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仿宋" w:eastAsia="仿宋_GB2312"/>
          <w:sz w:val="32"/>
          <w:szCs w:val="32"/>
        </w:rPr>
      </w:pPr>
      <w:r>
        <w:rPr>
          <w:rFonts w:hint="eastAsia" w:ascii="仿宋" w:hAnsi="仿宋" w:eastAsia="仿宋"/>
          <w:sz w:val="32"/>
          <w:szCs w:val="32"/>
        </w:rPr>
        <w:t>榕高新区安办﹝201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48</w:t>
      </w:r>
      <w:r>
        <w:rPr>
          <w:rFonts w:hint="eastAsia" w:ascii="仿宋" w:hAnsi="仿宋" w:eastAsia="仿宋"/>
          <w:sz w:val="32"/>
          <w:szCs w:val="32"/>
        </w:rPr>
        <w:t>号</w:t>
      </w:r>
    </w:p>
    <w:p>
      <w:pPr>
        <w:keepNext w:val="0"/>
        <w:keepLines w:val="0"/>
        <w:pageBreakBefore w:val="0"/>
        <w:widowControl w:val="0"/>
        <w:kinsoku/>
        <w:overflowPunct/>
        <w:topLinePunct w:val="0"/>
        <w:autoSpaceDE/>
        <w:autoSpaceDN/>
        <w:bidi w:val="0"/>
        <w:adjustRightInd/>
        <w:snapToGrid w:val="0"/>
        <w:spacing w:before="0" w:beforeLines="0" w:after="0" w:afterLines="0" w:line="580" w:lineRule="exact"/>
        <w:jc w:val="center"/>
        <w:textAlignment w:val="auto"/>
        <w:rPr>
          <w:rFonts w:hint="eastAsia" w:ascii="方正小标宋简体" w:hAnsi="方正小标宋简体" w:eastAsia="方正小标宋简体" w:cs="方正小标宋简体"/>
          <w:bCs/>
          <w:spacing w:val="-3"/>
          <w:kern w:val="0"/>
          <w:sz w:val="44"/>
          <w:szCs w:val="44"/>
        </w:rPr>
      </w:pP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福州高新区</w:t>
      </w:r>
      <w:r>
        <w:rPr>
          <w:rFonts w:hint="eastAsia" w:ascii="方正小标宋简体" w:eastAsia="方正小标宋简体"/>
          <w:color w:val="000000"/>
          <w:sz w:val="44"/>
          <w:szCs w:val="44"/>
        </w:rPr>
        <w:t>安全生产委员会办公室</w:t>
      </w: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关于公布</w:t>
      </w:r>
      <w:r>
        <w:rPr>
          <w:rFonts w:hint="eastAsia" w:ascii="方正小标宋简体" w:eastAsia="方正小标宋简体"/>
          <w:sz w:val="44"/>
          <w:szCs w:val="44"/>
          <w:lang w:val="en-US" w:eastAsia="zh-CN"/>
        </w:rPr>
        <w:t>第三批冶金等工贸行业的小微企业</w:t>
      </w: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安全生产标准化达标企业名单</w:t>
      </w:r>
      <w:r>
        <w:rPr>
          <w:rFonts w:hint="eastAsia" w:ascii="方正小标宋简体" w:eastAsia="方正小标宋简体"/>
          <w:sz w:val="44"/>
          <w:szCs w:val="44"/>
          <w:lang w:eastAsia="zh-CN"/>
        </w:rPr>
        <w:t>的通知</w:t>
      </w:r>
    </w:p>
    <w:p>
      <w:pPr>
        <w:keepNext w:val="0"/>
        <w:keepLines w:val="0"/>
        <w:pageBreakBefore w:val="0"/>
        <w:widowControl w:val="0"/>
        <w:kinsoku/>
        <w:overflowPunct/>
        <w:topLinePunct w:val="0"/>
        <w:autoSpaceDE/>
        <w:autoSpaceDN/>
        <w:bidi w:val="0"/>
        <w:adjustRightInd/>
        <w:spacing w:before="0" w:beforeLines="0" w:after="0" w:afterLines="0" w:line="580" w:lineRule="exact"/>
        <w:textAlignment w:val="auto"/>
        <w:rPr>
          <w:rFonts w:hint="eastAsia" w:ascii="方正仿宋简体" w:eastAsia="方正仿宋简体"/>
          <w:sz w:val="32"/>
          <w:szCs w:val="32"/>
        </w:rPr>
      </w:pPr>
    </w:p>
    <w:p>
      <w:pPr>
        <w:pStyle w:val="5"/>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both"/>
        <w:textAlignment w:val="auto"/>
        <w:outlineLvl w:val="9"/>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rPr>
        <w:t>南屿镇</w:t>
      </w:r>
      <w:r>
        <w:rPr>
          <w:rFonts w:hint="eastAsia" w:ascii="仿宋" w:hAnsi="仿宋" w:eastAsia="仿宋" w:cs="仿宋"/>
          <w:sz w:val="32"/>
          <w:szCs w:val="32"/>
          <w:lang w:eastAsia="zh-CN"/>
        </w:rPr>
        <w:t>人民政府</w:t>
      </w:r>
      <w:r>
        <w:rPr>
          <w:rFonts w:hint="eastAsia" w:ascii="仿宋" w:hAnsi="仿宋" w:eastAsia="仿宋" w:cs="仿宋"/>
          <w:sz w:val="32"/>
          <w:szCs w:val="32"/>
        </w:rPr>
        <w:t>、村镇办</w:t>
      </w:r>
      <w:r>
        <w:rPr>
          <w:rFonts w:hint="eastAsia" w:ascii="仿宋" w:hAnsi="仿宋" w:eastAsia="仿宋" w:cs="仿宋"/>
          <w:color w:val="000000"/>
          <w:sz w:val="32"/>
          <w:szCs w:val="32"/>
        </w:rPr>
        <w:t>：</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关于进一步加强企业安全生产工作的通知》（国发〔2010〕23号）、《国务院安委会关于深入开展企业安全生产标准化建设的指导意见》（安委〔2011〕4号）、《国家安全监管总局关于印发冶金等工贸行业小微企业安全生产标准化评定标准的通知》（安监总管四〔2014〕17号）、《福州市人民政府安全生产委员会办公室关于全市小微企业安全生产标准化创建提升工作的意见》（榕安办〔2015〕52号）等有关规定，对高新区福州鑫锦裳服装有限公司闽侯分公司等45家小微企业进行现场考评并形成评审报告，认为符合</w:t>
      </w:r>
      <w:r>
        <w:rPr>
          <w:rFonts w:hint="eastAsia" w:ascii="仿宋_GB2312" w:eastAsia="仿宋_GB2312"/>
          <w:sz w:val="32"/>
          <w:szCs w:val="32"/>
        </w:rPr>
        <w:t>冶金等工贸行业</w:t>
      </w:r>
      <w:r>
        <w:rPr>
          <w:rFonts w:hint="eastAsia" w:ascii="仿宋_GB2312" w:eastAsia="仿宋_GB2312"/>
          <w:sz w:val="32"/>
          <w:szCs w:val="32"/>
          <w:lang w:eastAsia="zh-CN"/>
        </w:rPr>
        <w:t>的小微</w:t>
      </w:r>
      <w:r>
        <w:rPr>
          <w:rFonts w:hint="eastAsia" w:ascii="仿宋_GB2312" w:eastAsia="仿宋_GB2312"/>
          <w:sz w:val="32"/>
          <w:szCs w:val="32"/>
        </w:rPr>
        <w:t>企业安全生产标准化达标企业</w:t>
      </w:r>
      <w:r>
        <w:rPr>
          <w:rFonts w:hint="eastAsia" w:ascii="仿宋_GB2312" w:eastAsia="仿宋_GB2312"/>
          <w:sz w:val="32"/>
          <w:szCs w:val="32"/>
          <w:lang w:eastAsia="zh-CN"/>
        </w:rPr>
        <w:t>标准</w:t>
      </w:r>
      <w:r>
        <w:rPr>
          <w:rFonts w:hint="eastAsia" w:ascii="仿宋" w:hAnsi="仿宋" w:eastAsia="仿宋" w:cs="仿宋"/>
          <w:sz w:val="32"/>
          <w:szCs w:val="32"/>
          <w:lang w:val="en-US" w:eastAsia="zh-CN"/>
        </w:rPr>
        <w:t>。经研究，现予以核准公布。</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1676" w:leftChars="304" w:right="0" w:rightChars="0" w:hanging="1040" w:hangingChars="325"/>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附件：《福州高新区第三批冶金等工贸行业小微企业安全生产标准化达标企业名单》</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福州高新区</w:t>
      </w:r>
      <w:r>
        <w:rPr>
          <w:rFonts w:hint="eastAsia" w:ascii="仿宋" w:hAnsi="仿宋" w:eastAsia="仿宋" w:cs="仿宋"/>
          <w:sz w:val="32"/>
          <w:szCs w:val="32"/>
          <w:lang w:eastAsia="zh-CN"/>
        </w:rPr>
        <w:t>安委会办公室</w:t>
      </w:r>
      <w:r>
        <w:rPr>
          <w:rFonts w:hint="eastAsia" w:ascii="仿宋" w:hAnsi="仿宋" w:eastAsia="仿宋" w:cs="仿宋"/>
          <w:sz w:val="32"/>
          <w:szCs w:val="32"/>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2016年11月12日</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（此件主动公开）</w:t>
      </w:r>
    </w:p>
    <w:bookmarkEnd w:id="0"/>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spacing w:line="560" w:lineRule="exact"/>
        <w:rPr>
          <w:rFonts w:hint="eastAsia" w:ascii="黑体" w:hAnsi="黑体" w:eastAsia="黑体" w:cs="黑体"/>
          <w:sz w:val="32"/>
          <w:szCs w:val="32"/>
          <w:lang w:val="en-US" w:eastAsia="zh-CN"/>
        </w:rPr>
      </w:pPr>
    </w:p>
    <w:p>
      <w:pPr>
        <w:pStyle w:val="2"/>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spacing w:line="560" w:lineRule="exact"/>
        <w:rPr>
          <w:rFonts w:hint="eastAsia" w:ascii="仿宋" w:hAnsi="仿宋" w:eastAsia="仿宋" w:cs="仿宋"/>
          <w:sz w:val="32"/>
          <w:szCs w:val="32"/>
          <w:lang w:val="en-US" w:eastAsia="zh-CN"/>
        </w:rPr>
      </w:pPr>
    </w:p>
    <w:p>
      <w:pPr>
        <w:pStyle w:val="2"/>
        <w:spacing w:line="560" w:lineRule="exact"/>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福州高新区第三批冶金等工贸行业小微企业安全生产标准化</w:t>
      </w:r>
    </w:p>
    <w:p>
      <w:pPr>
        <w:pStyle w:val="2"/>
        <w:spacing w:line="560" w:lineRule="exact"/>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达标企业名单</w:t>
      </w:r>
    </w:p>
    <w:p>
      <w:pPr>
        <w:pStyle w:val="2"/>
        <w:spacing w:line="560" w:lineRule="exact"/>
        <w:ind w:firstLine="640"/>
        <w:jc w:val="center"/>
        <w:rPr>
          <w:rFonts w:hint="eastAsia" w:ascii="黑体" w:hAnsi="黑体" w:eastAsia="黑体" w:cs="黑体"/>
          <w:sz w:val="32"/>
          <w:szCs w:val="32"/>
          <w:lang w:val="en-US" w:eastAsia="zh-CN"/>
        </w:rPr>
      </w:pPr>
    </w:p>
    <w:tbl>
      <w:tblPr>
        <w:tblStyle w:val="7"/>
        <w:tblW w:w="7951" w:type="dxa"/>
        <w:tblInd w:w="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8"/>
        <w:gridCol w:w="6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福州鑫锦裳服装有限公司闽侯分公司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福建福发康明斯发动机有限公司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福建闽侯永辉商业有限公司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蝶恋花（福州）食品有限公司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福州万德兴食品有限公司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福州市萨贝尔餐饮配送有限公司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福建杰荣不锈钢商用设备有限公司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福州澳铭生物科技有限公司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福州华隆制衣有限公司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福州新顺保洁服务有限公司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台江区山艺木线店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福建嘉富顿环保科技有限公司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福建乔杰森户外用品有限公司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福州精诚丰机械设备有限公司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福州市东冈子茶业有限公司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福建万顺运动科技有限公司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福建省闽侯县南粤厨房设备有限公司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福建恩迈特新材料有限公司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福建省榕圣市政工程股份有限公司福州高新区工程分公司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福建惠亿美环保材料科技有限公司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福州泽和生物科技有限公司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福州三可建材有限公司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闽侯县上街徐氏工艺品经营部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24</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福州市中景纺织有限公司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5</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福州日盛三亿重工机械有限公司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6</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福建长洋建材有限公司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7</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闽侯沃施盾新型材料有限公司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8</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闽侯县江口贤达纺织厂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29</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闽侯县南屿江口兴隆手套织布厂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0</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闽侯县江口立立纺织厂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1</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福建长洋沥青工程有限公司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2</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闽侯县长洋机制砂有限责任公司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3</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福州信明新型建材有限公司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4</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亿柔纸业（福州）有限公司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5</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福州文达通机电设备有限公司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6</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福建凯旋烘焙食品有限公司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7</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福州允能光电有限公司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38</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福州胜行印务有限公司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39</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福州腊一惊餐饮管理有限公司南屿分公司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40</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福州天健达商贸有限公司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1</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鑫同鑫（福建）高新科技集团有限公司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2</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福州源泉生物科技有限公司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3</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福建盛宁建设发展有限公司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4</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福州金兄弟装饰材料有限公司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348"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5</w:t>
            </w:r>
          </w:p>
        </w:tc>
        <w:tc>
          <w:tcPr>
            <w:tcW w:w="6603" w:type="dxa"/>
            <w:tcBorders>
              <w:top w:val="single" w:color="000000" w:sz="4" w:space="0"/>
              <w:left w:val="single" w:color="000000" w:sz="4" w:space="0"/>
              <w:bottom w:val="single" w:color="000000" w:sz="4" w:space="0"/>
              <w:right w:val="single" w:color="000000" w:sz="4" w:space="0"/>
            </w:tcBorders>
            <w:shd w:val="clear" w:color="FFFFFF" w:themeColor="background1"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福州闽顺建材有限公司</w:t>
            </w:r>
          </w:p>
        </w:tc>
      </w:tr>
    </w:tbl>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
    <w:p/>
    <w:p/>
    <w:p/>
    <w:p/>
    <w:p/>
    <w:p/>
    <w:p/>
    <w:p/>
    <w:p/>
    <w:p/>
    <w:p/>
    <w:p/>
    <w:p/>
    <w:p/>
    <w:p/>
    <w:p/>
    <w:p/>
    <w:p/>
    <w:p/>
    <w:p/>
    <w:p/>
    <w:p/>
    <w:p/>
    <w:p/>
    <w:p/>
    <w:p/>
    <w:tbl>
      <w:tblPr>
        <w:tblStyle w:val="7"/>
        <w:tblpPr w:leftFromText="181" w:rightFromText="181" w:vertAnchor="page" w:horzAnchor="page" w:tblpX="1582" w:tblpY="13866"/>
        <w:tblW w:w="8860" w:type="dxa"/>
        <w:tblInd w:w="0" w:type="dxa"/>
        <w:tblLayout w:type="fixed"/>
        <w:tblCellMar>
          <w:top w:w="0" w:type="dxa"/>
          <w:left w:w="0" w:type="dxa"/>
          <w:bottom w:w="0" w:type="dxa"/>
          <w:right w:w="0" w:type="dxa"/>
        </w:tblCellMar>
      </w:tblPr>
      <w:tblGrid>
        <w:gridCol w:w="1379"/>
        <w:gridCol w:w="3929"/>
        <w:gridCol w:w="3552"/>
      </w:tblGrid>
      <w:tr>
        <w:tblPrEx>
          <w:tblLayout w:type="fixed"/>
          <w:tblCellMar>
            <w:top w:w="0" w:type="dxa"/>
            <w:left w:w="0" w:type="dxa"/>
            <w:bottom w:w="0" w:type="dxa"/>
            <w:right w:w="0" w:type="dxa"/>
          </w:tblCellMar>
        </w:tblPrEx>
        <w:trPr>
          <w:cantSplit/>
          <w:trHeight w:val="578" w:hRule="atLeast"/>
        </w:trPr>
        <w:tc>
          <w:tcPr>
            <w:tcW w:w="1379" w:type="dxa"/>
            <w:tcBorders>
              <w:top w:val="single" w:color="auto" w:sz="8" w:space="0"/>
              <w:bottom w:val="single" w:color="auto" w:sz="4"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抄送：</w:t>
            </w:r>
          </w:p>
        </w:tc>
        <w:tc>
          <w:tcPr>
            <w:tcW w:w="7481" w:type="dxa"/>
            <w:gridSpan w:val="2"/>
            <w:tcBorders>
              <w:top w:val="single" w:color="auto" w:sz="8" w:space="0"/>
              <w:bottom w:val="single" w:color="auto" w:sz="4"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福州市安全生产监督管理局</w:t>
            </w:r>
          </w:p>
        </w:tc>
      </w:tr>
      <w:tr>
        <w:tblPrEx>
          <w:tblLayout w:type="fixed"/>
          <w:tblCellMar>
            <w:top w:w="0" w:type="dxa"/>
            <w:left w:w="0" w:type="dxa"/>
            <w:bottom w:w="0" w:type="dxa"/>
            <w:right w:w="0" w:type="dxa"/>
          </w:tblCellMar>
        </w:tblPrEx>
        <w:trPr>
          <w:cantSplit/>
          <w:trHeight w:val="578" w:hRule="atLeast"/>
        </w:trPr>
        <w:tc>
          <w:tcPr>
            <w:tcW w:w="5308" w:type="dxa"/>
            <w:gridSpan w:val="2"/>
            <w:tcBorders>
              <w:top w:val="single" w:color="auto" w:sz="4" w:space="0"/>
              <w:bottom w:val="single" w:color="auto" w:sz="8"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福州高新区安办</w:t>
            </w:r>
          </w:p>
        </w:tc>
        <w:tc>
          <w:tcPr>
            <w:tcW w:w="3552" w:type="dxa"/>
            <w:tcBorders>
              <w:top w:val="single" w:color="auto" w:sz="4" w:space="0"/>
              <w:bottom w:val="single" w:color="auto" w:sz="8"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2016年11月12日印发　</w:t>
            </w:r>
          </w:p>
        </w:tc>
      </w:tr>
    </w:tbl>
    <w:p/>
    <w:sectPr>
      <w:headerReference r:id="rId3" w:type="default"/>
      <w:footerReference r:id="rId4" w:type="default"/>
      <w:pgSz w:w="11906" w:h="16838"/>
      <w:pgMar w:top="1417" w:right="1134"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CtOjR74BAABsAwAADgAAAAAAAAABACAAAAAeAQAAZHJzL2Uyb0RvYy54bWxQSwUGAAAA&#10;AAYABgBZAQAATg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ED1"/>
    <w:rsid w:val="7F3F1E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2016-11-12T00:51:00Z</dcterms:created>
  <dc:creator>孙枝荣/FZGXQ</dc:creator>
  <cp:lastModifiedBy>孙枝荣/FZGXQ</cp:lastModifiedBy>
  <cp:lastPrinted>2016-11-12T01:05:56Z</cp:lastPrinted>
  <dcterms:modified xsi:type="dcterms:W3CDTF">2016-11-12T01:34:52Z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