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方正小标宋简体" w:hAnsi="宋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仿宋_GB2312" w:hAnsi="仿宋" w:eastAsia="仿宋_GB2312"/>
          <w:sz w:val="32"/>
          <w:szCs w:val="32"/>
        </w:rPr>
      </w:pPr>
      <w:r>
        <w:rPr>
          <w:rFonts w:hint="eastAsia" w:ascii="仿宋" w:hAnsi="仿宋" w:eastAsia="仿宋"/>
          <w:sz w:val="32"/>
          <w:szCs w:val="32"/>
        </w:rPr>
        <w:t>榕高新区安办﹝201</w:t>
      </w:r>
      <w:r>
        <w:rPr>
          <w:rFonts w:hint="eastAsia" w:ascii="仿宋" w:hAnsi="仿宋" w:eastAsia="仿宋"/>
          <w:sz w:val="32"/>
          <w:szCs w:val="32"/>
          <w:lang w:val="en-US" w:eastAsia="zh-CN"/>
        </w:rPr>
        <w:t>6</w:t>
      </w:r>
      <w:r>
        <w:rPr>
          <w:rFonts w:hint="eastAsia" w:ascii="仿宋" w:hAnsi="仿宋" w:eastAsia="仿宋"/>
          <w:sz w:val="32"/>
          <w:szCs w:val="32"/>
        </w:rPr>
        <w:t>﹞</w:t>
      </w:r>
      <w:r>
        <w:rPr>
          <w:rFonts w:hint="eastAsia" w:ascii="仿宋" w:hAnsi="仿宋" w:eastAsia="仿宋"/>
          <w:sz w:val="32"/>
          <w:szCs w:val="32"/>
          <w:lang w:val="en-US" w:eastAsia="zh-CN"/>
        </w:rPr>
        <w:t>53</w:t>
      </w:r>
      <w:r>
        <w:rPr>
          <w:rFonts w:hint="eastAsia" w:ascii="仿宋" w:hAnsi="仿宋" w:eastAsia="仿宋"/>
          <w:sz w:val="32"/>
          <w:szCs w:val="32"/>
        </w:rPr>
        <w:t>号</w:t>
      </w:r>
    </w:p>
    <w:p>
      <w:pPr>
        <w:keepNext w:val="0"/>
        <w:keepLines w:val="0"/>
        <w:pageBreakBefore w:val="0"/>
        <w:widowControl w:val="0"/>
        <w:kinsoku/>
        <w:overflowPunct/>
        <w:topLinePunct w:val="0"/>
        <w:autoSpaceDE/>
        <w:autoSpaceDN/>
        <w:bidi w:val="0"/>
        <w:adjustRightInd/>
        <w:snapToGrid w:val="0"/>
        <w:spacing w:before="0" w:beforeLines="0" w:after="0" w:afterLines="0" w:line="580" w:lineRule="exact"/>
        <w:jc w:val="center"/>
        <w:textAlignment w:val="auto"/>
        <w:rPr>
          <w:rFonts w:hint="eastAsia" w:ascii="方正小标宋简体" w:hAnsi="方正小标宋简体" w:eastAsia="方正小标宋简体" w:cs="方正小标宋简体"/>
          <w:bCs/>
          <w:spacing w:val="-3"/>
          <w:kern w:val="0"/>
          <w:sz w:val="44"/>
          <w:szCs w:val="44"/>
        </w:rPr>
      </w:pPr>
    </w:p>
    <w:p>
      <w:pPr>
        <w:keepNext w:val="0"/>
        <w:keepLines w:val="0"/>
        <w:pageBreakBefore w:val="0"/>
        <w:widowControl w:val="0"/>
        <w:kinsoku/>
        <w:overflowPunct/>
        <w:topLinePunct w:val="0"/>
        <w:autoSpaceDE/>
        <w:autoSpaceDN/>
        <w:bidi w:val="0"/>
        <w:adjustRightInd/>
        <w:spacing w:before="0" w:beforeLines="0" w:after="0" w:afterLines="0" w:line="580" w:lineRule="exact"/>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lang w:eastAsia="zh-CN"/>
        </w:rPr>
        <w:t>福州高新区</w:t>
      </w:r>
      <w:r>
        <w:rPr>
          <w:rFonts w:hint="eastAsia" w:ascii="方正小标宋简体" w:eastAsia="方正小标宋简体"/>
          <w:color w:val="000000"/>
          <w:sz w:val="44"/>
          <w:szCs w:val="44"/>
        </w:rPr>
        <w:t>安全生产委员会办公室</w:t>
      </w:r>
    </w:p>
    <w:p>
      <w:pPr>
        <w:keepNext w:val="0"/>
        <w:keepLines w:val="0"/>
        <w:pageBreakBefore w:val="0"/>
        <w:widowControl w:val="0"/>
        <w:kinsoku/>
        <w:overflowPunct/>
        <w:topLinePunct w:val="0"/>
        <w:autoSpaceDE/>
        <w:autoSpaceDN/>
        <w:bidi w:val="0"/>
        <w:adjustRightInd/>
        <w:spacing w:before="0" w:beforeLines="0" w:after="0" w:afterLines="0" w:line="58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eastAsia="zh-CN"/>
        </w:rPr>
        <w:t>关于公布</w:t>
      </w:r>
      <w:r>
        <w:rPr>
          <w:rFonts w:hint="eastAsia" w:ascii="方正小标宋简体" w:eastAsia="方正小标宋简体"/>
          <w:sz w:val="44"/>
          <w:szCs w:val="44"/>
          <w:lang w:val="en-US" w:eastAsia="zh-CN"/>
        </w:rPr>
        <w:t>第四批冶金等工贸行业的小微企业</w:t>
      </w:r>
    </w:p>
    <w:p>
      <w:pPr>
        <w:keepNext w:val="0"/>
        <w:keepLines w:val="0"/>
        <w:pageBreakBefore w:val="0"/>
        <w:widowControl w:val="0"/>
        <w:kinsoku/>
        <w:overflowPunct/>
        <w:topLinePunct w:val="0"/>
        <w:autoSpaceDE/>
        <w:autoSpaceDN/>
        <w:bidi w:val="0"/>
        <w:adjustRightInd/>
        <w:spacing w:before="0" w:beforeLines="0" w:after="0" w:afterLines="0"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安全生产标准化达标企业名单</w:t>
      </w:r>
      <w:r>
        <w:rPr>
          <w:rFonts w:hint="eastAsia" w:ascii="方正小标宋简体" w:eastAsia="方正小标宋简体"/>
          <w:sz w:val="44"/>
          <w:szCs w:val="44"/>
          <w:lang w:eastAsia="zh-CN"/>
        </w:rPr>
        <w:t>的通知</w:t>
      </w:r>
    </w:p>
    <w:p>
      <w:pPr>
        <w:keepNext w:val="0"/>
        <w:keepLines w:val="0"/>
        <w:pageBreakBefore w:val="0"/>
        <w:widowControl w:val="0"/>
        <w:kinsoku/>
        <w:overflowPunct/>
        <w:topLinePunct w:val="0"/>
        <w:autoSpaceDE/>
        <w:autoSpaceDN/>
        <w:bidi w:val="0"/>
        <w:adjustRightInd/>
        <w:spacing w:before="0" w:beforeLines="0" w:after="0" w:afterLines="0" w:line="580" w:lineRule="exact"/>
        <w:textAlignment w:val="auto"/>
        <w:rPr>
          <w:rFonts w:hint="eastAsia" w:ascii="方正仿宋简体" w:eastAsia="方正仿宋简体"/>
          <w:sz w:val="32"/>
          <w:szCs w:val="32"/>
        </w:rPr>
      </w:pPr>
    </w:p>
    <w:p>
      <w:pPr>
        <w:pStyle w:val="5"/>
        <w:keepNext w:val="0"/>
        <w:keepLines w:val="0"/>
        <w:pageBreakBefore w:val="0"/>
        <w:widowControl w:val="0"/>
        <w:kinsoku/>
        <w:overflowPunct/>
        <w:topLinePunct w:val="0"/>
        <w:autoSpaceDE/>
        <w:autoSpaceDN/>
        <w:bidi w:val="0"/>
        <w:adjustRightInd w:val="0"/>
        <w:snapToGrid w:val="0"/>
        <w:spacing w:before="0" w:beforeLines="0" w:beforeAutospacing="0" w:after="0" w:afterLines="0" w:afterAutospacing="0" w:line="60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南屿镇</w:t>
      </w:r>
      <w:r>
        <w:rPr>
          <w:rFonts w:hint="eastAsia" w:ascii="仿宋" w:hAnsi="仿宋" w:eastAsia="仿宋" w:cs="仿宋"/>
          <w:sz w:val="32"/>
          <w:szCs w:val="32"/>
          <w:lang w:eastAsia="zh-CN"/>
        </w:rPr>
        <w:t>人民政府</w:t>
      </w:r>
      <w:r>
        <w:rPr>
          <w:rFonts w:hint="eastAsia" w:ascii="仿宋" w:hAnsi="仿宋" w:eastAsia="仿宋" w:cs="仿宋"/>
          <w:sz w:val="32"/>
          <w:szCs w:val="32"/>
        </w:rPr>
        <w:t>、村镇办</w:t>
      </w:r>
      <w:r>
        <w:rPr>
          <w:rFonts w:hint="eastAsia" w:ascii="仿宋" w:hAnsi="仿宋" w:eastAsia="仿宋" w:cs="仿宋"/>
          <w:color w:val="000000"/>
          <w:sz w:val="32"/>
          <w:szCs w:val="32"/>
        </w:rPr>
        <w:t>：</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国务院关于进一步加强企业安全生产工作的通知》（国发〔2010〕23号）、《国务院安委会关于深入开展企业安全生产标准化建设的指导意见》（安委〔2011〕4号）、《国家安全监管总局关于印发冶金等工贸行业小微企业安全生产标准化评定标准的通知》（安监总管四〔2014〕17号）、《福州市人民政府安全生产委员会办公室关于全市小微企业安全生产标准化创建提升工作的意见》（榕安办〔2015〕52号）等有关规定，对高新区福州丽锦特服装有限公司等59家小微企业进行现场考评并形成评审报告，符合</w:t>
      </w:r>
      <w:r>
        <w:rPr>
          <w:rFonts w:hint="eastAsia" w:ascii="仿宋_GB2312" w:eastAsia="仿宋_GB2312"/>
          <w:sz w:val="32"/>
          <w:szCs w:val="32"/>
        </w:rPr>
        <w:t>冶金等工贸行业</w:t>
      </w:r>
      <w:r>
        <w:rPr>
          <w:rFonts w:hint="eastAsia" w:ascii="仿宋_GB2312" w:eastAsia="仿宋_GB2312"/>
          <w:sz w:val="32"/>
          <w:szCs w:val="32"/>
          <w:lang w:eastAsia="zh-CN"/>
        </w:rPr>
        <w:t>的小微</w:t>
      </w:r>
      <w:r>
        <w:rPr>
          <w:rFonts w:hint="eastAsia" w:ascii="仿宋_GB2312" w:eastAsia="仿宋_GB2312"/>
          <w:sz w:val="32"/>
          <w:szCs w:val="32"/>
        </w:rPr>
        <w:t>企业安全生产标准化达标企业</w:t>
      </w:r>
      <w:r>
        <w:rPr>
          <w:rFonts w:hint="eastAsia" w:ascii="仿宋_GB2312" w:eastAsia="仿宋_GB2312"/>
          <w:sz w:val="32"/>
          <w:szCs w:val="32"/>
          <w:lang w:eastAsia="zh-CN"/>
        </w:rPr>
        <w:t>标准</w:t>
      </w:r>
      <w:r>
        <w:rPr>
          <w:rFonts w:hint="eastAsia" w:ascii="仿宋" w:hAnsi="仿宋" w:eastAsia="仿宋" w:cs="仿宋"/>
          <w:sz w:val="32"/>
          <w:szCs w:val="32"/>
          <w:lang w:val="en-US" w:eastAsia="zh-CN"/>
        </w:rPr>
        <w:t>，现予以核准公布。</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1676" w:leftChars="304" w:right="0" w:rightChars="0" w:hanging="1040" w:hangingChars="325"/>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附件：《福州高新区第四批冶金等工贸行业小微企业安全生产标准化达标企业名单》</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福州高新区</w:t>
      </w:r>
      <w:r>
        <w:rPr>
          <w:rFonts w:hint="eastAsia" w:ascii="仿宋" w:hAnsi="仿宋" w:eastAsia="仿宋" w:cs="仿宋"/>
          <w:sz w:val="32"/>
          <w:szCs w:val="32"/>
          <w:lang w:eastAsia="zh-CN"/>
        </w:rPr>
        <w:t>安委会办公室</w:t>
      </w:r>
      <w:r>
        <w:rPr>
          <w:rFonts w:hint="eastAsia" w:ascii="仿宋" w:hAnsi="仿宋" w:eastAsia="仿宋" w:cs="仿宋"/>
          <w:sz w:val="32"/>
          <w:szCs w:val="32"/>
        </w:rPr>
        <w:t xml:space="preserve"> </w:t>
      </w:r>
    </w:p>
    <w:p>
      <w:pPr>
        <w:pStyle w:val="2"/>
        <w:keepNext w:val="0"/>
        <w:keepLines w:val="0"/>
        <w:pageBreakBefore w:val="0"/>
        <w:widowControl w:val="0"/>
        <w:kinsoku/>
        <w:wordWrap w:val="0"/>
        <w:overflowPunct/>
        <w:topLinePunct w:val="0"/>
        <w:autoSpaceDE/>
        <w:autoSpaceDN/>
        <w:bidi w:val="0"/>
        <w:adjustRightInd w:val="0"/>
        <w:snapToGrid w:val="0"/>
        <w:spacing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2016年12月28日</w:t>
      </w: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（此件主动公开）</w:t>
      </w: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snapToGrid/>
        <w:spacing w:before="0" w:beforeLines="0" w:after="0" w:afterLines="0" w:line="60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p>
    <w:p>
      <w:pPr>
        <w:pStyle w:val="2"/>
        <w:spacing w:line="560" w:lineRule="exact"/>
        <w:rPr>
          <w:rFonts w:hint="eastAsia" w:ascii="仿宋" w:hAnsi="仿宋" w:eastAsia="仿宋" w:cs="仿宋"/>
          <w:sz w:val="32"/>
          <w:szCs w:val="32"/>
          <w:lang w:val="en-US" w:eastAsia="zh-CN"/>
        </w:rPr>
      </w:pPr>
      <w:bookmarkStart w:id="0" w:name="_GoBack"/>
      <w:bookmarkEnd w:id="0"/>
    </w:p>
    <w:p>
      <w:pPr>
        <w:pStyle w:val="2"/>
        <w:spacing w:line="560" w:lineRule="exact"/>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附件</w:t>
      </w:r>
    </w:p>
    <w:p>
      <w:pPr>
        <w:pStyle w:val="2"/>
        <w:spacing w:line="560" w:lineRule="exact"/>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福州高新区第四批冶金等工贸行业小微企业安全生产标准化</w:t>
      </w:r>
    </w:p>
    <w:p>
      <w:pPr>
        <w:pStyle w:val="2"/>
        <w:spacing w:line="560" w:lineRule="exact"/>
        <w:ind w:firstLine="640"/>
        <w:jc w:val="cente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达标企业名单</w:t>
      </w:r>
    </w:p>
    <w:tbl>
      <w:tblPr>
        <w:tblStyle w:val="8"/>
        <w:tblW w:w="8655" w:type="dxa"/>
        <w:jc w:val="center"/>
        <w:tblInd w:w="10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序 号</w:t>
            </w:r>
          </w:p>
        </w:tc>
        <w:tc>
          <w:tcPr>
            <w:tcW w:w="7228"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shd w:val="clear" w:color="auto" w:fill="auto"/>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7228" w:type="dxa"/>
            <w:shd w:val="clear" w:color="auto" w:fill="FFFFFF"/>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福州丽锦特服装有限公司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闽侯县南屿江口旺羽织布厂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福州帝宏刀锯有限公司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福州迈纶凯箱包有限公司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闽侯县万祥工艺品厂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福州澳安工艺品有限公司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福州高新区涵盛纺织有限公司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福州田野矿泉有限公司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福州旺强模具有限公司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福州市斌丽缘工艺品有限公司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福州学昊启航教育科技有限公司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闽侯县中子星教育培训中心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闽侯县优俊花卉园艺有限公司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14</w:t>
            </w:r>
          </w:p>
        </w:tc>
        <w:tc>
          <w:tcPr>
            <w:tcW w:w="7228" w:type="dxa"/>
            <w:shd w:val="clear" w:color="auto" w:fill="auto"/>
            <w:textDirection w:val="lrTb"/>
            <w:vAlign w:val="center"/>
          </w:tcPr>
          <w:p>
            <w:pPr>
              <w:widowControl/>
              <w:jc w:val="center"/>
              <w:textAlignment w:val="center"/>
              <w:rPr>
                <w:rFonts w:hint="eastAsia" w:ascii="仿宋" w:hAnsi="仿宋" w:eastAsia="仿宋" w:cs="仿宋"/>
                <w:color w:val="000000"/>
                <w:kern w:val="0"/>
                <w:sz w:val="32"/>
                <w:szCs w:val="32"/>
                <w:shd w:val="clear" w:color="auto" w:fill="auto"/>
                <w:lang w:val="en-US" w:eastAsia="zh-CN" w:bidi="ar"/>
              </w:rPr>
            </w:pPr>
            <w:r>
              <w:rPr>
                <w:rFonts w:hint="eastAsia" w:ascii="仿宋" w:hAnsi="仿宋" w:eastAsia="仿宋" w:cs="仿宋"/>
                <w:color w:val="000000"/>
                <w:kern w:val="0"/>
                <w:sz w:val="32"/>
                <w:szCs w:val="32"/>
                <w:shd w:val="clear" w:color="auto" w:fill="auto"/>
                <w:lang w:val="en-US" w:eastAsia="zh-CN" w:bidi="ar"/>
              </w:rPr>
              <w:t>陕西九环实业有限公司福建分公司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15</w:t>
            </w:r>
          </w:p>
        </w:tc>
        <w:tc>
          <w:tcPr>
            <w:tcW w:w="7228" w:type="dxa"/>
            <w:shd w:val="clear" w:color="auto" w:fill="auto"/>
            <w:textDirection w:val="lrTb"/>
            <w:vAlign w:val="center"/>
          </w:tcPr>
          <w:p>
            <w:pPr>
              <w:widowControl/>
              <w:jc w:val="center"/>
              <w:textAlignment w:val="center"/>
              <w:rPr>
                <w:rFonts w:hint="eastAsia" w:ascii="仿宋" w:hAnsi="仿宋" w:eastAsia="仿宋" w:cs="仿宋"/>
                <w:color w:val="000000"/>
                <w:kern w:val="0"/>
                <w:sz w:val="32"/>
                <w:szCs w:val="32"/>
                <w:shd w:val="clear" w:color="auto" w:fill="auto"/>
                <w:lang w:val="en-US" w:eastAsia="zh-CN" w:bidi="ar"/>
              </w:rPr>
            </w:pPr>
            <w:r>
              <w:rPr>
                <w:rFonts w:hint="eastAsia" w:ascii="仿宋" w:hAnsi="仿宋" w:eastAsia="仿宋" w:cs="仿宋"/>
                <w:color w:val="000000"/>
                <w:kern w:val="0"/>
                <w:sz w:val="32"/>
                <w:szCs w:val="32"/>
                <w:shd w:val="clear" w:color="auto" w:fill="auto"/>
                <w:lang w:val="en-US" w:eastAsia="zh-CN" w:bidi="ar"/>
              </w:rPr>
              <w:t>福建福辉隆贸易有限公司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福建省光速达物联网科技股份有限公司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17</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福州旗山建筑工程有限公司第二分公司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18</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福州扬美食品有限公司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19</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福州市日日升包装有限公司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20</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福州乐雅汇装饰材料有限公司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21</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福州鸿鑫源日用品有限责任公司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22</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闽侯县南屿味香村蜜饯加工场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23</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福州锦辉包装材料有限公司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24</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闽侯县金顺汽车修配有限公司南屿分公司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25</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福建中一建建设有限公司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26</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福州春欣玻璃有限公司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27</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福建省宇力农业开发有限公司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28</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福州阿牛哥工艺品有限公司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29</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福州莱茵科技有限公司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30</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福建和蓝环保科技集团有限公司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31</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福州星之源工艺品有限公司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32</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福州福宇化工有限公司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33</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福州新捷塑胶有限公司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34</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闽侯县禾信电器有限公司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35</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福州一唐食品有限公司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36</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苏比克（福州）药械科技有限公司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37</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福州耐克森集成家居有限公司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38</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福州兴嘉创装饰涂料有限公司闽侯县上街分公司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39</w:t>
            </w:r>
          </w:p>
        </w:tc>
        <w:tc>
          <w:tcPr>
            <w:tcW w:w="7228" w:type="dxa"/>
            <w:textDirection w:val="lrTb"/>
            <w:vAlign w:val="top"/>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福建添顺粮油有限公司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40</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福州新南建设开发有限公司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41</w:t>
            </w:r>
          </w:p>
        </w:tc>
        <w:tc>
          <w:tcPr>
            <w:tcW w:w="7228" w:type="dxa"/>
            <w:shd w:val="clear" w:color="auto" w:fill="auto"/>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福州市台江区众城模具厂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42</w:t>
            </w:r>
          </w:p>
        </w:tc>
        <w:tc>
          <w:tcPr>
            <w:tcW w:w="7228" w:type="dxa"/>
            <w:shd w:val="clear" w:color="auto" w:fill="auto"/>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福州名家织造有限公司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43</w:t>
            </w:r>
          </w:p>
        </w:tc>
        <w:tc>
          <w:tcPr>
            <w:tcW w:w="7228" w:type="dxa"/>
            <w:shd w:val="clear" w:color="auto" w:fill="auto"/>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闽侯县友隆建筑装饰材料厂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44</w:t>
            </w:r>
          </w:p>
        </w:tc>
        <w:tc>
          <w:tcPr>
            <w:tcW w:w="7228" w:type="dxa"/>
            <w:shd w:val="clear" w:color="auto" w:fill="auto"/>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福建卓企贸易有限公司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45</w:t>
            </w:r>
          </w:p>
        </w:tc>
        <w:tc>
          <w:tcPr>
            <w:tcW w:w="7228" w:type="dxa"/>
            <w:shd w:val="clear" w:color="auto" w:fill="auto"/>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福州市磐宏塑胶科技有限公司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46</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福州曌禾包装有限公司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47</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福州古木印象工艺品有限公司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48</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福州鑫明扬木业有限公司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49</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福州草根工艺品有限公司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50</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福州木友堂工艺品有限公司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51</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福建榕消建设工程发展集团有限公司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52</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河南省海浪消防设备有限公司福建分公司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53</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福建肥皂在线网络科技有限公司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54</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福州榕高消防工程有限公司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55</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福建亿万嘉电力科技有限公司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56</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闽侯县爱家装饰材料加工厂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57</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福州闽筑家具有限公司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58</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闽侯县龙之雕工艺品有限公司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7" w:type="dxa"/>
            <w:vAlign w:val="top"/>
          </w:tcPr>
          <w:p>
            <w:pPr>
              <w:pStyle w:val="2"/>
              <w:spacing w:line="560" w:lineRule="exact"/>
              <w:jc w:val="center"/>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59</w:t>
            </w:r>
          </w:p>
        </w:tc>
        <w:tc>
          <w:tcPr>
            <w:tcW w:w="7228" w:type="dxa"/>
            <w:textDirection w:val="lrTb"/>
            <w:vAlign w:val="center"/>
          </w:tcPr>
          <w:p>
            <w:pPr>
              <w:widowControl/>
              <w:jc w:val="center"/>
              <w:textAlignment w:val="center"/>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福州戴诺斯医学科技有限公司</w:t>
            </w:r>
          </w:p>
        </w:tc>
      </w:tr>
    </w:tbl>
    <w:tbl>
      <w:tblPr>
        <w:tblStyle w:val="7"/>
        <w:tblpPr w:leftFromText="181" w:rightFromText="181" w:vertAnchor="page" w:horzAnchor="page" w:tblpX="1582" w:tblpY="13866"/>
        <w:tblW w:w="8860" w:type="dxa"/>
        <w:tblInd w:w="0" w:type="dxa"/>
        <w:tblLayout w:type="fixed"/>
        <w:tblCellMar>
          <w:top w:w="0" w:type="dxa"/>
          <w:left w:w="0" w:type="dxa"/>
          <w:bottom w:w="0" w:type="dxa"/>
          <w:right w:w="0" w:type="dxa"/>
        </w:tblCellMar>
      </w:tblPr>
      <w:tblGrid>
        <w:gridCol w:w="1379"/>
        <w:gridCol w:w="3929"/>
        <w:gridCol w:w="3552"/>
      </w:tblGrid>
      <w:tr>
        <w:tblPrEx>
          <w:tblLayout w:type="fixed"/>
          <w:tblCellMar>
            <w:top w:w="0" w:type="dxa"/>
            <w:left w:w="0" w:type="dxa"/>
            <w:bottom w:w="0" w:type="dxa"/>
            <w:right w:w="0" w:type="dxa"/>
          </w:tblCellMar>
        </w:tblPrEx>
        <w:trPr>
          <w:cantSplit/>
          <w:trHeight w:val="578" w:hRule="atLeast"/>
        </w:trPr>
        <w:tc>
          <w:tcPr>
            <w:tcW w:w="1379" w:type="dxa"/>
            <w:tcBorders>
              <w:top w:val="single" w:color="auto" w:sz="8" w:space="0"/>
              <w:bottom w:val="single" w:color="auto" w:sz="4" w:space="0"/>
            </w:tcBorders>
            <w:vAlign w:val="center"/>
          </w:tcPr>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抄送：</w:t>
            </w:r>
          </w:p>
        </w:tc>
        <w:tc>
          <w:tcPr>
            <w:tcW w:w="7481" w:type="dxa"/>
            <w:gridSpan w:val="2"/>
            <w:tcBorders>
              <w:top w:val="single" w:color="auto" w:sz="8" w:space="0"/>
              <w:bottom w:val="single" w:color="auto" w:sz="4" w:space="0"/>
            </w:tcBorders>
            <w:vAlign w:val="center"/>
          </w:tcPr>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福州市安全生产监督管理局</w:t>
            </w:r>
          </w:p>
        </w:tc>
      </w:tr>
      <w:tr>
        <w:tblPrEx>
          <w:tblLayout w:type="fixed"/>
          <w:tblCellMar>
            <w:top w:w="0" w:type="dxa"/>
            <w:left w:w="0" w:type="dxa"/>
            <w:bottom w:w="0" w:type="dxa"/>
            <w:right w:w="0" w:type="dxa"/>
          </w:tblCellMar>
        </w:tblPrEx>
        <w:trPr>
          <w:cantSplit/>
          <w:trHeight w:val="578" w:hRule="atLeast"/>
        </w:trPr>
        <w:tc>
          <w:tcPr>
            <w:tcW w:w="5308" w:type="dxa"/>
            <w:gridSpan w:val="2"/>
            <w:tcBorders>
              <w:top w:val="single" w:color="auto" w:sz="4" w:space="0"/>
              <w:bottom w:val="single" w:color="auto" w:sz="8" w:space="0"/>
            </w:tcBorders>
            <w:vAlign w:val="center"/>
          </w:tcPr>
          <w:p>
            <w:pP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福州高新区安办</w:t>
            </w:r>
          </w:p>
        </w:tc>
        <w:tc>
          <w:tcPr>
            <w:tcW w:w="3552" w:type="dxa"/>
            <w:tcBorders>
              <w:top w:val="single" w:color="auto" w:sz="4" w:space="0"/>
              <w:bottom w:val="single" w:color="auto" w:sz="8"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2016年12月28日印发　</w:t>
            </w:r>
          </w:p>
        </w:tc>
      </w:tr>
    </w:tbl>
    <w:p/>
    <w:sectPr>
      <w:headerReference r:id="rId3" w:type="default"/>
      <w:footerReference r:id="rId4" w:type="default"/>
      <w:pgSz w:w="11906" w:h="16838"/>
      <w:pgMar w:top="1417" w:right="1134" w:bottom="1134" w:left="141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CtOjR74BAABsAwAADgAAAAAAAAABACAAAAAeAQAAZHJzL2Uyb0RvYy54bWxQSwUGAAAA&#10;AAYABgBZAQAATgUAAAAA&#10;">
              <v:fill on="f" focussize="0,0"/>
              <v:stroke on="f" joinstyle="miter"/>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002F9"/>
    <w:rsid w:val="049F7C2F"/>
    <w:rsid w:val="30983189"/>
    <w:rsid w:val="31AC6DE6"/>
    <w:rsid w:val="53F7404F"/>
    <w:rsid w:val="586002F9"/>
    <w:rsid w:val="74A5155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2017-01-10T02:29:00Z</dcterms:created>
  <dc:creator>孙枝荣/FZGXQ</dc:creator>
  <cp:lastModifiedBy>孙枝荣/FZGXQ</cp:lastModifiedBy>
  <cp:lastPrinted>2017-01-11T08:03:58Z</cp:lastPrinted>
  <dcterms:modified xsi:type="dcterms:W3CDTF">2017-01-11T08:06:32Z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