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AFB6B">
      <w:pPr>
        <w:widowControl/>
        <w:shd w:val="clear" w:color="auto" w:fill="FFFFFF"/>
        <w:spacing w:line="560" w:lineRule="exact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</w:p>
    <w:p w14:paraId="273253F4">
      <w:pPr>
        <w:pStyle w:val="4"/>
        <w:spacing w:line="560" w:lineRule="exact"/>
      </w:pPr>
    </w:p>
    <w:p w14:paraId="1271E541"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福州高新区财政金融局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kern w:val="0"/>
          <w:sz w:val="44"/>
          <w:szCs w:val="44"/>
        </w:rPr>
        <w:t>随机抽查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kern w:val="0"/>
          <w:sz w:val="44"/>
          <w:szCs w:val="44"/>
          <w:lang w:eastAsia="zh-CN"/>
        </w:rPr>
        <w:t>事项清单</w:t>
      </w:r>
    </w:p>
    <w:p w14:paraId="4D84E0E1">
      <w:pPr>
        <w:pStyle w:val="2"/>
        <w:rPr>
          <w:rFonts w:hint="eastAsia" w:asciiTheme="majorEastAsia" w:hAnsiTheme="majorEastAsia" w:eastAsiaTheme="majorEastAsia" w:cstheme="majorEastAsia"/>
          <w:b/>
          <w:bCs/>
          <w:spacing w:val="-20"/>
          <w:kern w:val="0"/>
          <w:sz w:val="44"/>
          <w:szCs w:val="44"/>
          <w:lang w:eastAsia="zh-CN"/>
        </w:rPr>
      </w:pPr>
    </w:p>
    <w:tbl>
      <w:tblPr>
        <w:tblStyle w:val="6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04"/>
        <w:gridCol w:w="781"/>
        <w:gridCol w:w="7274"/>
        <w:gridCol w:w="1170"/>
        <w:gridCol w:w="1155"/>
        <w:gridCol w:w="1290"/>
        <w:gridCol w:w="1081"/>
      </w:tblGrid>
      <w:tr w14:paraId="1942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 w14:paraId="4B91D290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04" w:type="dxa"/>
            <w:vAlign w:val="center"/>
          </w:tcPr>
          <w:p w14:paraId="70AE5330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781" w:type="dxa"/>
            <w:vAlign w:val="center"/>
          </w:tcPr>
          <w:p w14:paraId="60A043AA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7274" w:type="dxa"/>
            <w:vAlign w:val="center"/>
          </w:tcPr>
          <w:p w14:paraId="60150253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抽查依据</w:t>
            </w:r>
          </w:p>
        </w:tc>
        <w:tc>
          <w:tcPr>
            <w:tcW w:w="1170" w:type="dxa"/>
            <w:vAlign w:val="center"/>
          </w:tcPr>
          <w:p w14:paraId="6DB98A8D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抽查主体</w:t>
            </w:r>
          </w:p>
        </w:tc>
        <w:tc>
          <w:tcPr>
            <w:tcW w:w="1155" w:type="dxa"/>
            <w:vAlign w:val="center"/>
          </w:tcPr>
          <w:p w14:paraId="0DE2A068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抽查内容</w:t>
            </w:r>
          </w:p>
        </w:tc>
        <w:tc>
          <w:tcPr>
            <w:tcW w:w="1290" w:type="dxa"/>
            <w:vAlign w:val="center"/>
          </w:tcPr>
          <w:p w14:paraId="02ADE7A6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抽查方式</w:t>
            </w:r>
          </w:p>
        </w:tc>
        <w:tc>
          <w:tcPr>
            <w:tcW w:w="1081" w:type="dxa"/>
            <w:vAlign w:val="center"/>
          </w:tcPr>
          <w:p w14:paraId="12D955D4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抽查频次</w:t>
            </w:r>
          </w:p>
        </w:tc>
      </w:tr>
      <w:tr w14:paraId="07B9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526" w:type="dxa"/>
            <w:vAlign w:val="center"/>
          </w:tcPr>
          <w:p w14:paraId="0EDCF502"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 w14:paraId="6B040310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融资担保公司</w:t>
            </w:r>
          </w:p>
        </w:tc>
        <w:tc>
          <w:tcPr>
            <w:tcW w:w="781" w:type="dxa"/>
            <w:vAlign w:val="center"/>
          </w:tcPr>
          <w:p w14:paraId="33B25512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一般事项</w:t>
            </w:r>
          </w:p>
        </w:tc>
        <w:tc>
          <w:tcPr>
            <w:tcW w:w="7274" w:type="dxa"/>
            <w:vAlign w:val="center"/>
          </w:tcPr>
          <w:p w14:paraId="2A1CD3AE"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《融资担保公司监督管理条例》第二十五条  监督管理部门应当根据融资担保公司的经营规模、主要服务对象、内部管理水平、风险状况等，对融资担保公司实施分类监督管理。</w:t>
            </w:r>
          </w:p>
          <w:p w14:paraId="1D6ADDE1"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《福建省地方金融监督管理条例》第二十五条   地方金融监管部门应当根据地方金融组织的经营范围、经营规模、管理水平、内控机制、风险状况等，确定监督检查的频次、范围和需要采购的监管措施。</w:t>
            </w:r>
          </w:p>
        </w:tc>
        <w:tc>
          <w:tcPr>
            <w:tcW w:w="1170" w:type="dxa"/>
            <w:vAlign w:val="center"/>
          </w:tcPr>
          <w:p w14:paraId="1376FDF7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福州高新区财政金融局</w:t>
            </w:r>
          </w:p>
        </w:tc>
        <w:tc>
          <w:tcPr>
            <w:tcW w:w="1155" w:type="dxa"/>
            <w:vAlign w:val="center"/>
          </w:tcPr>
          <w:p w14:paraId="56C9EDE2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经营情况、财务会计、合法合规情况</w:t>
            </w:r>
          </w:p>
        </w:tc>
        <w:tc>
          <w:tcPr>
            <w:tcW w:w="1290" w:type="dxa"/>
            <w:vAlign w:val="center"/>
          </w:tcPr>
          <w:p w14:paraId="49C4DDF0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不定向抽查</w:t>
            </w:r>
          </w:p>
        </w:tc>
        <w:tc>
          <w:tcPr>
            <w:tcW w:w="1081" w:type="dxa"/>
            <w:vAlign w:val="center"/>
          </w:tcPr>
          <w:p w14:paraId="3FAFA655"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一年两次</w:t>
            </w:r>
          </w:p>
        </w:tc>
      </w:tr>
      <w:tr w14:paraId="72C7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526" w:type="dxa"/>
            <w:vAlign w:val="center"/>
          </w:tcPr>
          <w:p w14:paraId="1542B5E5"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04" w:type="dxa"/>
            <w:vAlign w:val="center"/>
          </w:tcPr>
          <w:p w14:paraId="021618BF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融资租赁公司</w:t>
            </w:r>
          </w:p>
        </w:tc>
        <w:tc>
          <w:tcPr>
            <w:tcW w:w="781" w:type="dxa"/>
            <w:vAlign w:val="center"/>
          </w:tcPr>
          <w:p w14:paraId="1EC3F005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一般事项</w:t>
            </w:r>
          </w:p>
        </w:tc>
        <w:tc>
          <w:tcPr>
            <w:tcW w:w="7274" w:type="dxa"/>
            <w:vAlign w:val="center"/>
          </w:tcPr>
          <w:p w14:paraId="274D000B"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《中国银保监会关于印发融资租赁公司监督管理暂行办法的通知》第三十二条  地方金融监管部门应当根据融资租赁公司的经营规模、风险状况、内控管理等情况，对融资租赁公司实施分类监管。</w:t>
            </w:r>
          </w:p>
          <w:p w14:paraId="35BD22EC"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《福建省地方金融监督管理条例》第二十五条   地方金融监管部门应当根据地方金融组织的经营范围、经营规模、管理水平、内控机制、风险状况等，确定监督检查的频次、范围和需要采购的监管措施。</w:t>
            </w:r>
          </w:p>
        </w:tc>
        <w:tc>
          <w:tcPr>
            <w:tcW w:w="1170" w:type="dxa"/>
            <w:vAlign w:val="center"/>
          </w:tcPr>
          <w:p w14:paraId="548353A6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福州高新区财政金融局</w:t>
            </w:r>
          </w:p>
        </w:tc>
        <w:tc>
          <w:tcPr>
            <w:tcW w:w="1155" w:type="dxa"/>
            <w:vAlign w:val="center"/>
          </w:tcPr>
          <w:p w14:paraId="6B38D9DD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经营状况、经营风险、内控管理检查</w:t>
            </w:r>
          </w:p>
        </w:tc>
        <w:tc>
          <w:tcPr>
            <w:tcW w:w="1290" w:type="dxa"/>
            <w:vAlign w:val="center"/>
          </w:tcPr>
          <w:p w14:paraId="4DD12762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不定向抽查</w:t>
            </w:r>
          </w:p>
        </w:tc>
        <w:tc>
          <w:tcPr>
            <w:tcW w:w="1081" w:type="dxa"/>
            <w:vAlign w:val="center"/>
          </w:tcPr>
          <w:p w14:paraId="4B29992C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一年两次</w:t>
            </w:r>
          </w:p>
        </w:tc>
      </w:tr>
    </w:tbl>
    <w:p w14:paraId="302B1C25">
      <w:pPr>
        <w:widowControl/>
        <w:shd w:val="clear" w:color="auto" w:fill="FFFFFF"/>
        <w:spacing w:line="56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0"/>
    <w:rsid w:val="000B25EE"/>
    <w:rsid w:val="00131190"/>
    <w:rsid w:val="004607E0"/>
    <w:rsid w:val="00487F11"/>
    <w:rsid w:val="00582E68"/>
    <w:rsid w:val="00A65A06"/>
    <w:rsid w:val="00C67689"/>
    <w:rsid w:val="00CA35D1"/>
    <w:rsid w:val="00D8442A"/>
    <w:rsid w:val="00E12482"/>
    <w:rsid w:val="1B9C1B58"/>
    <w:rsid w:val="25D74F4A"/>
    <w:rsid w:val="3EAB0813"/>
    <w:rsid w:val="3FD77758"/>
    <w:rsid w:val="E9F7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alloon Text"/>
    <w:basedOn w:val="1"/>
    <w:next w:val="1"/>
    <w:qFormat/>
    <w:uiPriority w:val="0"/>
    <w:rPr>
      <w:sz w:val="18"/>
      <w:szCs w:val="18"/>
    </w:rPr>
  </w:style>
  <w:style w:type="table" w:styleId="6">
    <w:name w:val="Table Grid"/>
    <w:basedOn w:val="5"/>
    <w:semiHidden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481</Words>
  <Characters>481</Characters>
  <Lines>8</Lines>
  <Paragraphs>2</Paragraphs>
  <TotalTime>21</TotalTime>
  <ScaleCrop>false</ScaleCrop>
  <LinksUpToDate>false</LinksUpToDate>
  <CharactersWithSpaces>491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✿YANXIN</cp:lastModifiedBy>
  <cp:lastPrinted>2025-04-02T01:31:32Z</cp:lastPrinted>
  <dcterms:modified xsi:type="dcterms:W3CDTF">2025-04-02T01:33:37Z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7EAA474FA9B04514970A2B0E7E0A1453</vt:lpwstr>
  </property>
  <property fmtid="{D5CDD505-2E9C-101B-9397-08002B2CF9AE}" pid="4" name="KSOTemplateDocerSaveRecord">
    <vt:lpwstr>eyJoZGlkIjoiMGJmNDQ0ZWQ1NWYzMDcwY2Q3YzYwY2YyZjQ4ODQ1MDAiLCJ1c2VySWQiOiI0MDU2OTIzOTAifQ==</vt:lpwstr>
  </property>
</Properties>
</file>