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both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福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州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lang w:eastAsia="zh-CN"/>
        </w:rPr>
        <w:t>高新区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混凝土搅拌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lang w:eastAsia="zh-CN"/>
        </w:rPr>
        <w:t>运输车辆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lang w:eastAsia="zh-CN"/>
        </w:rPr>
        <w:t>管理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办法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lang w:val="en-US" w:eastAsia="zh-CN"/>
        </w:rPr>
        <w:t>试行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lang w:eastAsia="zh-CN"/>
        </w:rPr>
        <w:t>）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center"/>
        <w:textAlignment w:val="auto"/>
        <w:rPr>
          <w:rFonts w:hint="eastAsia" w:ascii="仿宋" w:hAnsi="仿宋" w:eastAsia="仿宋" w:cs="仿宋_GB231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第一条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规范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混凝土搅拌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运输车辆管理，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营造干净整洁的市容环境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助力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福州高新区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建设，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本区域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本办法适用于福州高新区辖区内的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混凝土搅拌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运输车辆管理活动。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区直各部门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负责本办法的组织实施。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本辖区内的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混凝土搅拌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运输车辆管理具体实施工作，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机制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实行网格化管理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属地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城市管理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公安交通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建设、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交通运输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按照各自职责，共同做好相关监督管理工作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第四条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混凝土生产企业应当加强混凝土搅拌运输车辆的管理，保证行车安全。</w:t>
      </w:r>
    </w:p>
    <w:p>
      <w:pPr>
        <w:pStyle w:val="2"/>
        <w:numPr>
          <w:ilvl w:val="0"/>
          <w:numId w:val="0"/>
        </w:numPr>
        <w:spacing w:line="560" w:lineRule="exact"/>
        <w:ind w:firstLine="634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混凝土运输企业应当取得道路货物运输经营许可，并遵守下列规定：</w:t>
      </w:r>
    </w:p>
    <w:p>
      <w:pPr>
        <w:pStyle w:val="2"/>
        <w:numPr>
          <w:ilvl w:val="0"/>
          <w:numId w:val="1"/>
        </w:numPr>
        <w:spacing w:line="560" w:lineRule="exact"/>
        <w:ind w:firstLine="634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使用符合规范要求的混凝土搅拌运输车辆运输混凝土；</w:t>
      </w:r>
    </w:p>
    <w:p>
      <w:pPr>
        <w:pStyle w:val="2"/>
        <w:numPr>
          <w:ilvl w:val="0"/>
          <w:numId w:val="1"/>
        </w:numPr>
        <w:spacing w:line="560" w:lineRule="exact"/>
        <w:ind w:firstLine="634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混凝土搅拌运输车辆应当采取规范的防漏措施，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运输途中不得泄漏、遗洒；</w:t>
      </w:r>
    </w:p>
    <w:p>
      <w:pPr>
        <w:pStyle w:val="2"/>
        <w:numPr>
          <w:ilvl w:val="0"/>
          <w:numId w:val="1"/>
        </w:numPr>
        <w:spacing w:line="560" w:lineRule="exact"/>
        <w:ind w:firstLine="634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在规定场地内冲洗混凝土搅拌运输车辆，不得将冲洗的污水直接排入下水管道和城区河道内；</w:t>
      </w:r>
    </w:p>
    <w:p>
      <w:pPr>
        <w:pStyle w:val="2"/>
        <w:numPr>
          <w:ilvl w:val="0"/>
          <w:numId w:val="1"/>
        </w:numPr>
        <w:spacing w:line="560" w:lineRule="exact"/>
        <w:ind w:firstLine="634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严格遵守道路交通安全管理规定，进入交通控制路段时，按规定向公安机关交通管理部门办理车辆通行手续；</w:t>
      </w:r>
    </w:p>
    <w:p>
      <w:pPr>
        <w:pStyle w:val="2"/>
        <w:numPr>
          <w:ilvl w:val="0"/>
          <w:numId w:val="1"/>
        </w:numPr>
        <w:spacing w:line="560" w:lineRule="exact"/>
        <w:ind w:firstLine="634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法律、法规、规章的其他规定。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第六条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建设施工单位应当按规定在工地出口处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内侧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铺设硬化路面，并在运输车辆出口处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设置规范的车辆冲洗设施，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车辆经冲洗干净后方可上路。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混凝土搅拌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运输车辆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运输过程中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有下列行为的，由相关部门依法处理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（一）发生泄漏、遗洒的，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依据《福州市市容和环境卫生管理办法》的规定，责令当事人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在规定时间内清理到位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；当事人逾期不履行，经催告仍不履行，相关部门可以代履行，或者委托没有利害关系的第三人代履行。需要立即清除遗洒物，当事人不能清除的，相关部门可以决定立即实施代履行。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4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（二）损害城市道路的，责令当事人限期修复，并依据《城市道路管理条例》的规定予以处罚。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4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第八条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违反本办法其他规定的，由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相关部门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依照法律、法规、规章的规定予以处罚。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第九条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本办法自2022年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日起试行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，有效期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tbl>
      <w:tblPr>
        <w:tblStyle w:val="6"/>
        <w:tblpPr w:leftFromText="181" w:rightFromText="181" w:vertAnchor="page" w:horzAnchor="page" w:tblpX="1484" w:tblpY="14416"/>
        <w:tblW w:w="8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8"/>
        <w:gridCol w:w="35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</w:trPr>
        <w:tc>
          <w:tcPr>
            <w:tcW w:w="5308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rFonts w:hint="eastAsia" w:ascii="仿宋_GB2312" w:hAnsi="方正仿宋_GBK"/>
              </w:rPr>
            </w:pPr>
            <w:r>
              <w:rPr>
                <w:rFonts w:hint="eastAsia" w:ascii="仿宋_GB2312" w:hAnsi="方正仿宋_GBK"/>
                <w:sz w:val="28"/>
                <w:szCs w:val="28"/>
              </w:rPr>
              <w:t>　</w:t>
            </w:r>
            <w:r>
              <w:rPr>
                <w:rFonts w:hint="eastAsia" w:ascii="仿宋_GB2312" w:hAnsi="方正仿宋_GBK"/>
                <w:spacing w:val="-6"/>
                <w:kern w:val="2"/>
                <w:sz w:val="28"/>
                <w:szCs w:val="28"/>
                <w:lang w:val="en-US" w:eastAsia="zh-CN"/>
              </w:rPr>
              <w:t>福州高新区党政办公室</w:t>
            </w:r>
          </w:p>
        </w:tc>
        <w:tc>
          <w:tcPr>
            <w:tcW w:w="3552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wordWrap/>
              <w:ind w:left="0" w:leftChars="0" w:right="0" w:firstLine="0" w:firstLineChars="0"/>
              <w:jc w:val="center"/>
              <w:rPr>
                <w:rFonts w:hint="eastAsia" w:ascii="仿宋_GB2312" w:hAnsi="方正仿宋_GBK"/>
              </w:rPr>
            </w:pPr>
            <w:r>
              <w:rPr>
                <w:rFonts w:hint="eastAsia" w:ascii="仿宋_GB2312" w:hAnsi="方正仿宋_GBK"/>
                <w:sz w:val="28"/>
                <w:szCs w:val="28"/>
                <w:lang w:val="en-US" w:eastAsia="zh-CN"/>
              </w:rPr>
              <w:t xml:space="preserve">   2022年6月5日</w:t>
            </w:r>
            <w:r>
              <w:rPr>
                <w:rFonts w:hint="eastAsia" w:ascii="仿宋_GB2312" w:hAnsi="方正仿宋_GBK"/>
                <w:sz w:val="28"/>
                <w:szCs w:val="28"/>
              </w:rPr>
              <w:t>印发</w:t>
            </w:r>
            <w:r>
              <w:rPr>
                <w:rFonts w:hint="eastAsia" w:ascii="仿宋_GB2312" w:hAnsi="方正仿宋_GBK"/>
              </w:rPr>
              <w:t>　</w:t>
            </w:r>
          </w:p>
        </w:tc>
      </w:tr>
    </w:tbl>
    <w:p>
      <w:pPr>
        <w:pStyle w:val="2"/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2098" w:right="1417" w:bottom="1587" w:left="1587" w:header="851" w:footer="1361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AndChars" w:linePitch="579" w:charSpace="20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11"/>
      <w:jc w:val="right"/>
      <w:rPr>
        <w:rFonts w:hint="eastAsia" w:ascii="楷体_GB2312" w:eastAsia="楷体_GB2312"/>
        <w:sz w:val="28"/>
      </w:rPr>
    </w:pPr>
    <w:r>
      <w:rPr>
        <w:rStyle w:val="5"/>
        <w:rFonts w:hint="eastAsia" w:ascii="楷体_GB2312" w:eastAsia="楷体_GB2312"/>
        <w:sz w:val="28"/>
      </w:rPr>
      <w:t>—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5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5"/>
        <w:rFonts w:hint="eastAsia" w:ascii="宋体" w:hAnsi="宋体" w:eastAsia="宋体" w:cs="宋体"/>
        <w:sz w:val="28"/>
      </w:rPr>
      <w:t>1</w:t>
    </w:r>
    <w:r>
      <w:rPr>
        <w:rFonts w:hint="eastAsia" w:ascii="宋体" w:hAnsi="宋体" w:eastAsia="宋体" w:cs="宋体"/>
        <w:sz w:val="28"/>
      </w:rPr>
      <w:fldChar w:fldCharType="end"/>
    </w:r>
    <w:r>
      <w:rPr>
        <w:rStyle w:val="5"/>
        <w:rFonts w:hint="eastAsia" w:ascii="楷体_GB2312" w:eastAsia="楷体_GB2312"/>
        <w:sz w:val="28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68" w:firstLineChars="100"/>
      <w:rPr>
        <w:rFonts w:hint="eastAsia" w:ascii="楷体_GB2312" w:eastAsia="楷体_GB2312"/>
        <w:sz w:val="28"/>
      </w:rPr>
    </w:pPr>
    <w:r>
      <w:rPr>
        <w:rStyle w:val="5"/>
        <w:rFonts w:hint="eastAsia" w:ascii="楷体_GB2312" w:eastAsia="楷体_GB2312"/>
        <w:sz w:val="28"/>
      </w:rPr>
      <w:t>—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5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5"/>
        <w:rFonts w:hint="eastAsia" w:ascii="宋体" w:hAnsi="宋体" w:eastAsia="宋体" w:cs="宋体"/>
        <w:sz w:val="28"/>
      </w:rPr>
      <w:t>2</w:t>
    </w:r>
    <w:r>
      <w:rPr>
        <w:rFonts w:hint="eastAsia" w:ascii="宋体" w:hAnsi="宋体" w:eastAsia="宋体" w:cs="宋体"/>
        <w:sz w:val="28"/>
      </w:rPr>
      <w:fldChar w:fldCharType="end"/>
    </w:r>
    <w:r>
      <w:rPr>
        <w:rStyle w:val="5"/>
        <w:rFonts w:hint="eastAsia" w:ascii="楷体_GB2312" w:eastAsia="楷体_GB2312"/>
        <w:sz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55AF5B"/>
    <w:multiLevelType w:val="singleLevel"/>
    <w:tmpl w:val="DB55AF5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375BE"/>
    <w:rsid w:val="1D3375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2022-06-29T01:20:00Z</dcterms:created>
  <dc:creator>Administrator</dc:creator>
  <cp:lastModifiedBy>Administrator</cp:lastModifiedBy>
  <dcterms:modified xsi:type="dcterms:W3CDTF">2022-06-29T01:20:53Z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