
<file path=[Content_Types].xml><?xml version="1.0" encoding="utf-8"?>
<Types xmlns="http://schemas.openxmlformats.org/package/2006/content-types">
  <Default Extension="xml" ContentType="application/xml"/>
  <Default Extension="png" ContentType="image/png"/>
  <Default Extension="gif" ContentType="image/gi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widowControl/>
        <w:suppressLineNumbers w:val="0"/>
        <w:spacing w:before="75" w:beforeAutospacing="0" w:after="75" w:afterAutospacing="0"/>
        <w:ind w:left="0" w:right="0" w:firstLine="0"/>
        <w:jc w:val="center"/>
      </w:pPr>
      <w:r>
        <w:rPr>
          <w:rStyle w:val="6"/>
          <w:rFonts w:ascii="宋体" w:hAnsi="宋体" w:eastAsia="宋体" w:cs="宋体"/>
          <w:spacing w:val="0"/>
          <w:sz w:val="72"/>
          <w:szCs w:val="72"/>
        </w:rPr>
        <w:t>福建省政府采购</w:t>
      </w:r>
    </w:p>
    <w:p>
      <w:pPr>
        <w:pStyle w:val="4"/>
        <w:keepNext w:val="0"/>
        <w:keepLines w:val="0"/>
        <w:widowControl/>
        <w:suppressLineNumbers w:val="0"/>
        <w:spacing w:before="75" w:beforeAutospacing="0" w:after="75" w:afterAutospacing="0"/>
        <w:ind w:left="0" w:right="0" w:firstLine="0"/>
        <w:jc w:val="center"/>
      </w:pPr>
      <w:r>
        <w:rPr>
          <w:rStyle w:val="6"/>
          <w:rFonts w:hint="eastAsia" w:ascii="宋体" w:hAnsi="宋体" w:eastAsia="宋体" w:cs="宋体"/>
          <w:spacing w:val="0"/>
          <w:sz w:val="72"/>
          <w:szCs w:val="72"/>
        </w:rPr>
        <w:t>货物和服务项目</w:t>
      </w:r>
    </w:p>
    <w:p>
      <w:pPr>
        <w:pStyle w:val="4"/>
        <w:keepNext w:val="0"/>
        <w:keepLines w:val="0"/>
        <w:widowControl/>
        <w:suppressLineNumbers w:val="0"/>
        <w:spacing w:before="75" w:beforeAutospacing="0" w:after="75" w:afterAutospacing="0"/>
        <w:ind w:left="0" w:right="0" w:firstLine="0"/>
        <w:jc w:val="center"/>
      </w:pPr>
      <w:r>
        <w:rPr>
          <w:rStyle w:val="6"/>
          <w:rFonts w:hint="eastAsia" w:ascii="宋体" w:hAnsi="宋体" w:eastAsia="宋体" w:cs="宋体"/>
          <w:spacing w:val="0"/>
          <w:sz w:val="72"/>
          <w:szCs w:val="72"/>
        </w:rPr>
        <w:t>公开招标文件</w:t>
      </w:r>
    </w:p>
    <w:p>
      <w:pPr>
        <w:pStyle w:val="4"/>
        <w:keepNext w:val="0"/>
        <w:keepLines w:val="0"/>
        <w:widowControl/>
        <w:suppressLineNumbers w:val="0"/>
        <w:spacing w:before="75" w:beforeAutospacing="0" w:after="75" w:afterAutospacing="0"/>
        <w:ind w:left="0" w:right="0" w:firstLine="0"/>
      </w:pPr>
      <w:r>
        <w:rPr>
          <w:rStyle w:val="6"/>
          <w:rFonts w:hint="eastAsia" w:ascii="宋体" w:hAnsi="宋体" w:eastAsia="宋体" w:cs="宋体"/>
          <w:spacing w:val="0"/>
          <w:sz w:val="72"/>
          <w:szCs w:val="72"/>
        </w:rPr>
        <w:t>     </w:t>
      </w:r>
    </w:p>
    <w:p>
      <w:pPr>
        <w:pStyle w:val="4"/>
        <w:keepNext w:val="0"/>
        <w:keepLines w:val="0"/>
        <w:widowControl/>
        <w:suppressLineNumbers w:val="0"/>
        <w:spacing w:before="75" w:beforeAutospacing="0" w:after="75" w:afterAutospacing="0"/>
        <w:ind w:left="0" w:right="0" w:firstLine="0"/>
        <w:jc w:val="center"/>
      </w:pPr>
      <w:r>
        <w:rPr>
          <w:spacing w:val="0"/>
          <w:sz w:val="24"/>
          <w:szCs w:val="24"/>
        </w:rPr>
        <w:t> </w:t>
      </w:r>
    </w:p>
    <w:p>
      <w:pPr>
        <w:pStyle w:val="4"/>
        <w:keepNext w:val="0"/>
        <w:keepLines w:val="0"/>
        <w:widowControl/>
        <w:suppressLineNumbers w:val="0"/>
        <w:spacing w:before="75" w:beforeAutospacing="0" w:after="75" w:afterAutospacing="0"/>
        <w:ind w:left="0" w:right="0" w:firstLine="0"/>
      </w:pPr>
      <w:r>
        <w:rPr>
          <w:spacing w:val="0"/>
          <w:sz w:val="24"/>
          <w:szCs w:val="24"/>
        </w:rPr>
        <w:t> </w:t>
      </w:r>
    </w:p>
    <w:p>
      <w:pPr>
        <w:pStyle w:val="4"/>
        <w:keepNext w:val="0"/>
        <w:keepLines w:val="0"/>
        <w:widowControl/>
        <w:suppressLineNumbers w:val="0"/>
        <w:spacing w:before="75" w:beforeAutospacing="0" w:after="75" w:afterAutospacing="0"/>
        <w:ind w:left="0" w:right="0" w:firstLine="0"/>
      </w:pPr>
      <w:r>
        <w:rPr>
          <w:rStyle w:val="6"/>
          <w:rFonts w:hint="eastAsia" w:ascii="宋体" w:hAnsi="宋体" w:eastAsia="宋体" w:cs="宋体"/>
          <w:spacing w:val="0"/>
          <w:sz w:val="36"/>
          <w:szCs w:val="36"/>
        </w:rPr>
        <w:t> </w:t>
      </w:r>
    </w:p>
    <w:p>
      <w:pPr>
        <w:pStyle w:val="4"/>
        <w:keepNext w:val="0"/>
        <w:keepLines w:val="0"/>
        <w:widowControl/>
        <w:suppressLineNumbers w:val="0"/>
        <w:spacing w:before="75" w:beforeAutospacing="0" w:after="75" w:afterAutospacing="0"/>
        <w:ind w:left="0" w:right="0" w:firstLine="0"/>
      </w:pPr>
      <w:r>
        <w:rPr>
          <w:spacing w:val="0"/>
          <w:sz w:val="24"/>
          <w:szCs w:val="24"/>
        </w:rPr>
        <w:t> </w:t>
      </w:r>
    </w:p>
    <w:p>
      <w:pPr>
        <w:pStyle w:val="4"/>
        <w:keepNext w:val="0"/>
        <w:keepLines w:val="0"/>
        <w:widowControl/>
        <w:suppressLineNumbers w:val="0"/>
        <w:spacing w:before="75" w:beforeAutospacing="0" w:after="75" w:afterAutospacing="0"/>
        <w:ind w:right="0"/>
      </w:pPr>
      <w:r>
        <w:rPr>
          <w:rStyle w:val="6"/>
          <w:rFonts w:hint="eastAsia" w:ascii="宋体" w:hAnsi="宋体" w:eastAsia="宋体" w:cs="宋体"/>
          <w:spacing w:val="0"/>
          <w:sz w:val="30"/>
          <w:szCs w:val="30"/>
        </w:rPr>
        <w:t>项目名称：福州高新区行政审批局行政（市民）服务中心智能化项目货物类采购项目</w:t>
      </w:r>
    </w:p>
    <w:p>
      <w:pPr>
        <w:pStyle w:val="4"/>
        <w:keepNext w:val="0"/>
        <w:keepLines w:val="0"/>
        <w:widowControl/>
        <w:suppressLineNumbers w:val="0"/>
        <w:spacing w:before="75" w:beforeAutospacing="0" w:after="75" w:afterAutospacing="0"/>
        <w:ind w:left="0" w:right="0" w:firstLine="0"/>
        <w:rPr>
          <w:rStyle w:val="6"/>
          <w:rFonts w:hint="eastAsia" w:ascii="宋体" w:hAnsi="宋体" w:eastAsia="宋体" w:cs="宋体"/>
          <w:spacing w:val="0"/>
          <w:sz w:val="30"/>
          <w:szCs w:val="30"/>
        </w:rPr>
      </w:pPr>
      <w:r>
        <w:rPr>
          <w:spacing w:val="0"/>
          <w:sz w:val="24"/>
          <w:szCs w:val="24"/>
        </w:rPr>
        <w:t> </w:t>
      </w:r>
      <w:r>
        <w:rPr>
          <w:rStyle w:val="6"/>
          <w:rFonts w:hint="eastAsia" w:ascii="宋体" w:hAnsi="宋体" w:eastAsia="宋体" w:cs="宋体"/>
          <w:spacing w:val="0"/>
          <w:sz w:val="30"/>
          <w:szCs w:val="30"/>
        </w:rPr>
        <w:t>备案编号：A13-SP-GK-201808-B3869-MH</w:t>
      </w:r>
    </w:p>
    <w:p>
      <w:pPr>
        <w:pStyle w:val="4"/>
        <w:keepNext w:val="0"/>
        <w:keepLines w:val="0"/>
        <w:widowControl/>
        <w:suppressLineNumbers w:val="0"/>
        <w:spacing w:before="75" w:beforeAutospacing="0" w:after="75" w:afterAutospacing="0"/>
        <w:ind w:left="0" w:right="0" w:firstLine="0"/>
      </w:pPr>
      <w:r>
        <w:rPr>
          <w:rStyle w:val="6"/>
          <w:rFonts w:hint="eastAsia" w:ascii="宋体" w:hAnsi="宋体" w:eastAsia="宋体" w:cs="宋体"/>
          <w:spacing w:val="0"/>
          <w:sz w:val="30"/>
          <w:szCs w:val="30"/>
        </w:rPr>
        <w:t xml:space="preserve"> 招标编号：[350191]MH[GK]2018007</w:t>
      </w:r>
    </w:p>
    <w:p>
      <w:pPr>
        <w:pStyle w:val="4"/>
        <w:keepNext w:val="0"/>
        <w:keepLines w:val="0"/>
        <w:widowControl/>
        <w:suppressLineNumbers w:val="0"/>
        <w:spacing w:before="75" w:beforeAutospacing="0" w:after="75" w:afterAutospacing="0"/>
        <w:ind w:left="0" w:right="0" w:firstLine="0"/>
      </w:pPr>
      <w:r>
        <w:rPr>
          <w:spacing w:val="0"/>
          <w:sz w:val="24"/>
          <w:szCs w:val="24"/>
        </w:rPr>
        <w:t> </w:t>
      </w:r>
    </w:p>
    <w:p>
      <w:pPr>
        <w:pStyle w:val="4"/>
        <w:keepNext w:val="0"/>
        <w:keepLines w:val="0"/>
        <w:widowControl/>
        <w:suppressLineNumbers w:val="0"/>
        <w:spacing w:before="75" w:beforeAutospacing="0" w:after="75" w:afterAutospacing="0"/>
        <w:ind w:left="0" w:right="0" w:firstLine="0"/>
      </w:pPr>
      <w:r>
        <w:rPr>
          <w:rStyle w:val="6"/>
          <w:rFonts w:hint="eastAsia" w:ascii="宋体" w:hAnsi="宋体" w:eastAsia="宋体" w:cs="宋体"/>
          <w:spacing w:val="0"/>
          <w:sz w:val="28"/>
          <w:szCs w:val="28"/>
        </w:rPr>
        <w:t> </w:t>
      </w:r>
    </w:p>
    <w:p>
      <w:pPr>
        <w:pStyle w:val="4"/>
        <w:keepNext w:val="0"/>
        <w:keepLines w:val="0"/>
        <w:widowControl/>
        <w:suppressLineNumbers w:val="0"/>
        <w:spacing w:before="75" w:beforeAutospacing="0" w:after="75" w:afterAutospacing="0"/>
        <w:ind w:left="0" w:right="0" w:firstLine="0"/>
      </w:pPr>
      <w:r>
        <w:rPr>
          <w:spacing w:val="0"/>
          <w:sz w:val="24"/>
          <w:szCs w:val="24"/>
        </w:rPr>
        <w:t> </w:t>
      </w:r>
    </w:p>
    <w:p>
      <w:pPr>
        <w:pStyle w:val="4"/>
        <w:keepNext w:val="0"/>
        <w:keepLines w:val="0"/>
        <w:widowControl/>
        <w:suppressLineNumbers w:val="0"/>
        <w:spacing w:before="75" w:beforeAutospacing="0" w:after="75" w:afterAutospacing="0"/>
        <w:ind w:left="0" w:right="0" w:firstLine="0"/>
        <w:jc w:val="center"/>
      </w:pPr>
      <w:r>
        <w:rPr>
          <w:spacing w:val="0"/>
          <w:sz w:val="24"/>
          <w:szCs w:val="24"/>
        </w:rPr>
        <w:t> </w:t>
      </w:r>
    </w:p>
    <w:p>
      <w:pPr>
        <w:pStyle w:val="4"/>
        <w:keepNext w:val="0"/>
        <w:keepLines w:val="0"/>
        <w:widowControl/>
        <w:suppressLineNumbers w:val="0"/>
        <w:spacing w:before="75" w:beforeAutospacing="0" w:after="75" w:afterAutospacing="0"/>
        <w:ind w:left="0" w:right="0" w:firstLine="0"/>
      </w:pPr>
      <w:r>
        <w:rPr>
          <w:spacing w:val="0"/>
          <w:sz w:val="24"/>
          <w:szCs w:val="24"/>
        </w:rPr>
        <w:t>                                         </w:t>
      </w:r>
      <w:r>
        <w:rPr>
          <w:rStyle w:val="6"/>
          <w:rFonts w:hint="eastAsia" w:ascii="宋体" w:hAnsi="宋体" w:eastAsia="宋体" w:cs="宋体"/>
          <w:spacing w:val="0"/>
          <w:sz w:val="27"/>
          <w:szCs w:val="27"/>
        </w:rPr>
        <w:t>采购人：</w:t>
      </w:r>
      <w:r>
        <w:rPr>
          <w:spacing w:val="0"/>
          <w:sz w:val="27"/>
          <w:szCs w:val="27"/>
        </w:rPr>
        <w:t> </w:t>
      </w:r>
      <w:r>
        <w:rPr>
          <w:rStyle w:val="6"/>
          <w:rFonts w:hint="eastAsia" w:ascii="宋体" w:hAnsi="宋体" w:eastAsia="宋体" w:cs="宋体"/>
          <w:spacing w:val="0"/>
          <w:sz w:val="28"/>
          <w:szCs w:val="28"/>
        </w:rPr>
        <w:t>福州高新区行政审批局</w:t>
      </w:r>
    </w:p>
    <w:p>
      <w:pPr>
        <w:pStyle w:val="4"/>
        <w:keepNext w:val="0"/>
        <w:keepLines w:val="0"/>
        <w:widowControl/>
        <w:suppressLineNumbers w:val="0"/>
        <w:spacing w:before="75" w:beforeAutospacing="0" w:after="75" w:afterAutospacing="0"/>
        <w:ind w:left="0" w:right="0" w:firstLine="0"/>
        <w:jc w:val="center"/>
      </w:pPr>
      <w:r>
        <w:rPr>
          <w:rStyle w:val="6"/>
          <w:rFonts w:hint="eastAsia" w:ascii="宋体" w:hAnsi="宋体" w:eastAsia="宋体" w:cs="宋体"/>
          <w:spacing w:val="0"/>
          <w:sz w:val="28"/>
          <w:szCs w:val="28"/>
        </w:rPr>
        <w:t>代理机构：福建省闽鸿招标有限公司</w:t>
      </w:r>
    </w:p>
    <w:p>
      <w:pPr>
        <w:pStyle w:val="4"/>
        <w:keepNext w:val="0"/>
        <w:keepLines w:val="0"/>
        <w:widowControl/>
        <w:suppressLineNumbers w:val="0"/>
        <w:spacing w:before="75" w:beforeAutospacing="0" w:after="75" w:afterAutospacing="0"/>
        <w:ind w:left="0" w:right="0" w:firstLine="0"/>
      </w:pPr>
      <w:r>
        <w:rPr>
          <w:spacing w:val="0"/>
          <w:sz w:val="24"/>
          <w:szCs w:val="24"/>
        </w:rPr>
        <w:t> </w:t>
      </w:r>
    </w:p>
    <w:p>
      <w:pPr>
        <w:pStyle w:val="4"/>
        <w:keepNext w:val="0"/>
        <w:keepLines w:val="0"/>
        <w:widowControl/>
        <w:suppressLineNumbers w:val="0"/>
        <w:spacing w:before="75" w:beforeAutospacing="0" w:after="75" w:afterAutospacing="0" w:line="360" w:lineRule="atLeast"/>
        <w:ind w:left="0" w:right="720" w:firstLine="0"/>
        <w:jc w:val="center"/>
      </w:pPr>
      <w:r>
        <w:rPr>
          <w:rStyle w:val="6"/>
          <w:rFonts w:hint="eastAsia" w:ascii="宋体" w:hAnsi="宋体" w:eastAsia="宋体" w:cs="宋体"/>
          <w:spacing w:val="0"/>
          <w:sz w:val="28"/>
          <w:szCs w:val="28"/>
          <w:lang w:val="en-US" w:eastAsia="zh-CN"/>
        </w:rPr>
        <w:t xml:space="preserve">    </w:t>
      </w:r>
      <w:r>
        <w:rPr>
          <w:rStyle w:val="6"/>
          <w:rFonts w:hint="eastAsia" w:ascii="宋体" w:hAnsi="宋体" w:eastAsia="宋体" w:cs="宋体"/>
          <w:spacing w:val="0"/>
          <w:sz w:val="28"/>
          <w:szCs w:val="28"/>
        </w:rPr>
        <w:t>2018年08月</w:t>
      </w:r>
    </w:p>
    <w:p>
      <w:pPr>
        <w:pStyle w:val="4"/>
        <w:keepNext w:val="0"/>
        <w:keepLines w:val="0"/>
        <w:widowControl/>
        <w:suppressLineNumbers w:val="0"/>
        <w:spacing w:before="75" w:beforeAutospacing="0" w:after="75" w:afterAutospacing="0"/>
        <w:ind w:left="0" w:right="0" w:firstLine="0"/>
      </w:pPr>
      <w:r>
        <w:rPr>
          <w:spacing w:val="0"/>
          <w:sz w:val="24"/>
          <w:szCs w:val="24"/>
        </w:rPr>
        <w:t> </w:t>
      </w:r>
    </w:p>
    <w:p>
      <w:pPr>
        <w:pStyle w:val="4"/>
        <w:keepNext w:val="0"/>
        <w:keepLines w:val="0"/>
        <w:widowControl/>
        <w:suppressLineNumbers w:val="0"/>
        <w:spacing w:before="75" w:beforeAutospacing="0" w:after="75" w:afterAutospacing="0" w:line="360" w:lineRule="atLeast"/>
        <w:ind w:left="0" w:right="720" w:firstLine="0"/>
        <w:jc w:val="center"/>
      </w:pPr>
      <w:r>
        <w:rPr>
          <w:rFonts w:hint="eastAsia" w:ascii="宋体" w:hAnsi="宋体" w:eastAsia="宋体" w:cs="宋体"/>
          <w:spacing w:val="0"/>
          <w:sz w:val="24"/>
          <w:szCs w:val="24"/>
        </w:rPr>
        <w:t> </w:t>
      </w:r>
    </w:p>
    <w:p>
      <w:pPr>
        <w:pStyle w:val="4"/>
        <w:keepNext w:val="0"/>
        <w:keepLines w:val="0"/>
        <w:widowControl/>
        <w:suppressLineNumbers w:val="0"/>
        <w:spacing w:before="75" w:beforeAutospacing="0" w:after="75" w:afterAutospacing="0"/>
        <w:ind w:left="0" w:right="0" w:firstLine="0"/>
        <w:jc w:val="center"/>
      </w:pPr>
      <w:r>
        <w:rPr>
          <w:rStyle w:val="6"/>
          <w:rFonts w:hint="eastAsia" w:ascii="宋体" w:hAnsi="宋体" w:eastAsia="宋体" w:cs="宋体"/>
          <w:spacing w:val="0"/>
          <w:sz w:val="31"/>
          <w:szCs w:val="31"/>
        </w:rPr>
        <w:t>第一章</w:t>
      </w:r>
      <w:r>
        <w:rPr>
          <w:rStyle w:val="6"/>
          <w:spacing w:val="0"/>
          <w:sz w:val="31"/>
          <w:szCs w:val="31"/>
        </w:rPr>
        <w:t>   </w:t>
      </w:r>
      <w:r>
        <w:rPr>
          <w:rStyle w:val="6"/>
          <w:rFonts w:hint="eastAsia" w:ascii="宋体" w:hAnsi="宋体" w:eastAsia="宋体" w:cs="宋体"/>
          <w:spacing w:val="0"/>
          <w:sz w:val="31"/>
          <w:szCs w:val="31"/>
        </w:rPr>
        <w:t>投标邀请</w:t>
      </w:r>
    </w:p>
    <w:p>
      <w:pPr>
        <w:pStyle w:val="4"/>
        <w:keepNext w:val="0"/>
        <w:keepLines w:val="0"/>
        <w:widowControl/>
        <w:suppressLineNumbers w:val="0"/>
        <w:spacing w:before="75" w:beforeAutospacing="0" w:after="75" w:afterAutospacing="0"/>
        <w:ind w:left="0" w:right="0" w:firstLine="0"/>
      </w:pPr>
      <w:r>
        <w:rPr>
          <w:spacing w:val="0"/>
          <w:sz w:val="24"/>
          <w:szCs w:val="24"/>
        </w:rPr>
        <w:t> </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u w:val="single"/>
        </w:rPr>
        <w:t>福建省闽鸿招标有限公司</w:t>
      </w:r>
      <w:r>
        <w:rPr>
          <w:rFonts w:hint="eastAsia" w:ascii="宋体" w:hAnsi="宋体" w:eastAsia="宋体" w:cs="宋体"/>
          <w:spacing w:val="0"/>
          <w:sz w:val="24"/>
          <w:szCs w:val="24"/>
        </w:rPr>
        <w:t>采用</w:t>
      </w:r>
      <w:r>
        <w:rPr>
          <w:rFonts w:hint="eastAsia" w:ascii="宋体" w:hAnsi="宋体" w:eastAsia="宋体" w:cs="宋体"/>
          <w:spacing w:val="0"/>
          <w:sz w:val="24"/>
          <w:szCs w:val="24"/>
          <w:u w:val="single"/>
        </w:rPr>
        <w:t>公开招标方式</w:t>
      </w:r>
      <w:r>
        <w:rPr>
          <w:rFonts w:hint="eastAsia" w:ascii="宋体" w:hAnsi="宋体" w:eastAsia="宋体" w:cs="宋体"/>
          <w:spacing w:val="0"/>
          <w:sz w:val="24"/>
          <w:szCs w:val="24"/>
        </w:rPr>
        <w:t>组织</w:t>
      </w:r>
      <w:r>
        <w:rPr>
          <w:rFonts w:hint="eastAsia" w:ascii="宋体" w:hAnsi="宋体" w:eastAsia="宋体" w:cs="宋体"/>
          <w:spacing w:val="0"/>
          <w:sz w:val="24"/>
          <w:szCs w:val="24"/>
          <w:u w:val="none"/>
        </w:rPr>
        <w:t>福州高新区行政审批局行政（市民）服务中心智能化项目货物类采购项目</w:t>
      </w:r>
      <w:r>
        <w:rPr>
          <w:rFonts w:hint="eastAsia" w:ascii="宋体" w:hAnsi="宋体" w:eastAsia="宋体" w:cs="宋体"/>
          <w:spacing w:val="0"/>
          <w:sz w:val="24"/>
          <w:szCs w:val="24"/>
        </w:rPr>
        <w:t>（以下简称：“本项目”）的政府采购活动，现邀请供应商参加投标。</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1、备案编号：</w:t>
      </w:r>
      <w:r>
        <w:rPr>
          <w:rFonts w:hint="eastAsia" w:ascii="宋体" w:hAnsi="宋体" w:eastAsia="宋体" w:cs="宋体"/>
          <w:spacing w:val="0"/>
          <w:sz w:val="24"/>
          <w:szCs w:val="24"/>
          <w:u w:val="single"/>
        </w:rPr>
        <w:t>A13-SP-GK-201808-B3869-MH</w:t>
      </w:r>
      <w:r>
        <w:rPr>
          <w:rFonts w:hint="eastAsia" w:ascii="宋体" w:hAnsi="宋体" w:eastAsia="宋体" w:cs="宋体"/>
          <w:spacing w:val="0"/>
          <w:sz w:val="24"/>
          <w:szCs w:val="24"/>
        </w:rPr>
        <w:t>。</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2、招标编号：</w:t>
      </w:r>
      <w:r>
        <w:rPr>
          <w:rFonts w:hint="eastAsia" w:ascii="宋体" w:hAnsi="宋体" w:eastAsia="宋体" w:cs="宋体"/>
          <w:spacing w:val="0"/>
          <w:sz w:val="24"/>
          <w:szCs w:val="24"/>
          <w:u w:val="single"/>
        </w:rPr>
        <w:t>[350191]MH[GK]2018007</w:t>
      </w:r>
      <w:r>
        <w:rPr>
          <w:rFonts w:hint="eastAsia" w:ascii="宋体" w:hAnsi="宋体" w:eastAsia="宋体" w:cs="宋体"/>
          <w:spacing w:val="0"/>
          <w:sz w:val="24"/>
          <w:szCs w:val="24"/>
        </w:rPr>
        <w:t>。</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3、预算金额、最高限价：详见《采购标的一览表》。</w:t>
      </w:r>
      <w:r>
        <w:rPr>
          <w:rFonts w:hint="eastAsia" w:ascii="宋体" w:hAnsi="宋体" w:eastAsia="宋体" w:cs="宋体"/>
          <w:spacing w:val="0"/>
          <w:sz w:val="24"/>
          <w:szCs w:val="24"/>
        </w:rPr>
        <w:br w:type="textWrapping"/>
      </w:r>
      <w:r>
        <w:rPr>
          <w:rFonts w:hint="eastAsia" w:ascii="宋体" w:hAnsi="宋体" w:eastAsia="宋体" w:cs="宋体"/>
          <w:spacing w:val="0"/>
          <w:sz w:val="24"/>
          <w:szCs w:val="24"/>
        </w:rPr>
        <w:t>  4、招标内容及要求：详见《采购标的一览表》及招标文件第五章。</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5、需要落实的政府采购政策：节能产品，适用于（合同包1），按照最新一期节能清单执行。环境标志产品，适用于（合同包1），按照最新一期环境标志清单执行。信息安全产品，适用于（合同包1）。小型、微型企业，适用于（合同包1）。监狱企业，适用于（合同包1）。促进残疾人就业 ，适用于（合同包1）。信用记录，适用于（合同包1），按照下列规定执行：（1）投标人应在（填写招标文件要求的截止时点）前分别通过“信用中国”网站（www.creditchina.gov.cn）、中国政府采购网（www.ccgp.gov.cn）查询并打印相应的信用记录（以下简称：“投标人提供的查询结果”），投标人提供的查询结果应为其通过上述网站获取的信用信息查询结果原始页面的打印件（或截图）。（2）查询结果的审查：①由资格审查小组通过上述网站查询并打印投标人信用记录（以下简称：“资格审查小组的查询结果”）。②投标人提供的查询结果与资格审查小组的查询结果不一致的，以资格审查小组的查询结果为准。③因上述网站原因导致资格审查小组无法查询投标人信用记录的（资格审查小组应将通过上述网站查询投标人信用记录时的原始页面打印后随采购文件一并存档），以投标人提供的查询结果为准。④查询结果存在投标人应被拒绝参与政府采购活动相关信息的，其资格审查不合格。</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6、投标人的资格要求</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6.1法定条件：符合政府采购法第二十二条第一款规定的条件。</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6.2特定条件：</w:t>
      </w:r>
      <w:r>
        <w:rPr>
          <w:rFonts w:hint="eastAsia" w:ascii="宋体" w:hAnsi="宋体" w:eastAsia="宋体" w:cs="宋体"/>
          <w:spacing w:val="0"/>
          <w:sz w:val="24"/>
          <w:szCs w:val="24"/>
        </w:rPr>
        <w:br w:type="textWrapping"/>
      </w:r>
      <w:r>
        <w:rPr>
          <w:rStyle w:val="6"/>
          <w:rFonts w:hint="eastAsia" w:ascii="宋体" w:hAnsi="宋体" w:eastAsia="宋体" w:cs="宋体"/>
          <w:spacing w:val="0"/>
          <w:sz w:val="24"/>
          <w:szCs w:val="24"/>
        </w:rPr>
        <w:t>包：1</w:t>
      </w:r>
      <w:r>
        <w:rPr>
          <w:rFonts w:hint="eastAsia" w:ascii="宋体" w:hAnsi="宋体" w:eastAsia="宋体" w:cs="宋体"/>
          <w:spacing w:val="0"/>
          <w:sz w:val="24"/>
          <w:szCs w:val="24"/>
        </w:rPr>
        <w:t xml:space="preserve"> </w:t>
      </w:r>
    </w:p>
    <w:tbl>
      <w:tblPr>
        <w:tblStyle w:val="9"/>
        <w:tblW w:w="8305" w:type="dxa"/>
        <w:tblCellSpacing w:w="0" w:type="dxa"/>
        <w:tblInd w:w="15"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
      <w:tblGrid>
        <w:gridCol w:w="3737"/>
        <w:gridCol w:w="4568"/>
      </w:tblGrid>
      <w:tr>
        <w:trPr>
          <w:tblHeader/>
          <w:tblCellSpacing w:w="0" w:type="dxa"/>
        </w:trPr>
        <w:tc>
          <w:tcPr>
            <w:tcW w:w="3737" w:type="dxa"/>
            <w:shd w:val="clear" w:color="auto" w:fill="auto"/>
            <w:vAlign w:val="center"/>
          </w:tcPr>
          <w:p>
            <w:pPr>
              <w:keepNext w:val="0"/>
              <w:keepLines w:val="0"/>
              <w:widowControl/>
              <w:suppressLineNumbers w:val="0"/>
              <w:jc w:val="center"/>
              <w:rPr>
                <w:b/>
              </w:rPr>
            </w:pPr>
            <w:r>
              <w:rPr>
                <w:rFonts w:ascii="宋体" w:hAnsi="宋体" w:eastAsia="宋体" w:cs="宋体"/>
                <w:b/>
                <w:kern w:val="0"/>
                <w:sz w:val="24"/>
                <w:szCs w:val="24"/>
                <w:lang w:val="en-US" w:eastAsia="zh-CN" w:bidi="ar"/>
              </w:rPr>
              <w:t>明细</w:t>
            </w:r>
          </w:p>
        </w:tc>
        <w:tc>
          <w:tcPr>
            <w:tcW w:w="4568" w:type="dxa"/>
            <w:shd w:val="clear" w:color="auto" w:fill="auto"/>
            <w:vAlign w:val="center"/>
          </w:tcPr>
          <w:p>
            <w:pPr>
              <w:keepNext w:val="0"/>
              <w:keepLines w:val="0"/>
              <w:widowControl/>
              <w:suppressLineNumbers w:val="0"/>
              <w:jc w:val="center"/>
              <w:rPr>
                <w:b/>
              </w:rPr>
            </w:pPr>
            <w:r>
              <w:rPr>
                <w:rFonts w:ascii="宋体" w:hAnsi="宋体" w:eastAsia="宋体" w:cs="宋体"/>
                <w:b/>
                <w:kern w:val="0"/>
                <w:sz w:val="24"/>
                <w:szCs w:val="24"/>
                <w:lang w:val="en-US" w:eastAsia="zh-CN" w:bidi="ar"/>
              </w:rPr>
              <w:t>描述</w:t>
            </w:r>
          </w:p>
        </w:tc>
      </w:tr>
      <w:tr>
        <w:trPr>
          <w:tblCellSpacing w:w="0" w:type="dxa"/>
        </w:trPr>
        <w:tc>
          <w:tcPr>
            <w:tcW w:w="3737" w:type="dxa"/>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具备履行合同所必需设备和专业技术能力专项证明材料</w:t>
            </w:r>
          </w:p>
        </w:tc>
        <w:tc>
          <w:tcPr>
            <w:tcW w:w="4568" w:type="dxa"/>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①投标人提供办公场所的场地证明材料（属于自有产权的提供产权证复印件；非自有产权的提供场地租赁合同复印件，租赁期限不少于一年）。 ②提供负责本项目的主要技术人员的名单、联系方式，以及相关学历证书或职称证书或用工合同复印件</w:t>
            </w:r>
          </w:p>
        </w:tc>
      </w:tr>
      <w:tr>
        <w:trPr>
          <w:tblCellSpacing w:w="0" w:type="dxa"/>
        </w:trPr>
        <w:tc>
          <w:tcPr>
            <w:tcW w:w="3737" w:type="dxa"/>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所投产品国家若有强制性要求或认证的</w:t>
            </w:r>
          </w:p>
        </w:tc>
        <w:tc>
          <w:tcPr>
            <w:tcW w:w="4568" w:type="dxa"/>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投标人所投产品国家有强制性要求或认证的（如节能、3C认证等），必须提供规定的产品并提供相关的证明文件或证书复印件，其中属于财政部、国家发改委最新《节能产品政府采购清单》内产品的，需提供最新一期《节能产品政府采购清单》中产品所在页的复印件并标明投标产品所在位置，加盖投标人公章，作为证明材料，否则视为无效投标。</w:t>
            </w:r>
          </w:p>
        </w:tc>
      </w:tr>
    </w:tbl>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6.3是否接受联合体投标：不接受。</w:t>
      </w:r>
    </w:p>
    <w:p>
      <w:pPr>
        <w:pStyle w:val="4"/>
        <w:keepNext w:val="0"/>
        <w:keepLines w:val="0"/>
        <w:widowControl/>
        <w:suppressLineNumbers w:val="0"/>
        <w:spacing w:before="75" w:beforeAutospacing="0" w:after="75" w:afterAutospacing="0"/>
        <w:ind w:left="0" w:right="0" w:firstLine="480"/>
      </w:pPr>
      <w:r>
        <w:rPr>
          <w:rStyle w:val="6"/>
          <w:rFonts w:hint="eastAsia" w:ascii="宋体" w:hAnsi="宋体" w:eastAsia="宋体" w:cs="宋体"/>
          <w:spacing w:val="0"/>
          <w:sz w:val="24"/>
          <w:szCs w:val="24"/>
        </w:rPr>
        <w:t>※根据上述资格要求，投标文件中应提交的“投标人的资格及资信证明文件”详见招标文件第四章。</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7、报名</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7.1报名期限：详见招标公告或更正公告（若有），若不一致，以更正公告（若有）为准。</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7.2报名期限内，供应商应通过福建省政府采购网上公开信息系统的注册会员账号（免费注册）对本项目进行报名(请根据项目所在地，登录对应的福建省政府采购网上公开信息系统报名(即省本级网址/地市分网))，否则</w:t>
      </w:r>
      <w:r>
        <w:rPr>
          <w:rStyle w:val="6"/>
          <w:rFonts w:hint="eastAsia" w:ascii="宋体" w:hAnsi="宋体" w:eastAsia="宋体" w:cs="宋体"/>
          <w:spacing w:val="0"/>
          <w:sz w:val="24"/>
          <w:szCs w:val="24"/>
        </w:rPr>
        <w:t>投标将被拒绝。</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8、招标文件的获取</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8.1招标文件提供期限：详见招标公告或更正公告（若有），若不一致，以更正公告（若有）为准。</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8.2获取地点及方式：报名后，通过福建省政府采购网上公开信息系统以下载方式获取。</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8.3、招标文件售价：</w:t>
      </w:r>
      <w:r>
        <w:rPr>
          <w:rFonts w:hint="default" w:ascii="Times New Roman" w:hAnsi="Times New Roman" w:cs="Times New Roman"/>
          <w:spacing w:val="0"/>
          <w:sz w:val="24"/>
          <w:szCs w:val="24"/>
        </w:rPr>
        <w:t>0</w:t>
      </w:r>
      <w:r>
        <w:rPr>
          <w:rFonts w:hint="eastAsia" w:ascii="宋体" w:hAnsi="宋体" w:eastAsia="宋体" w:cs="宋体"/>
          <w:spacing w:val="0"/>
          <w:sz w:val="24"/>
          <w:szCs w:val="24"/>
        </w:rPr>
        <w:t>元。</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9、投标截止</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9.1投标截止时间：详见招标公告或更正公告（若有），若不一致，以更正公告（若有）为准。</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9.2投标人应在投标截止时间前按照福建省政府采购网上公开信息系统设定的操作流程将电子投标文件上传至福建省政府采购网上公开信息系统，同时将</w:t>
      </w:r>
      <w:r>
        <w:rPr>
          <w:rStyle w:val="6"/>
          <w:rFonts w:hint="eastAsia" w:ascii="宋体" w:hAnsi="宋体" w:eastAsia="宋体" w:cs="宋体"/>
          <w:spacing w:val="0"/>
          <w:sz w:val="24"/>
          <w:szCs w:val="24"/>
        </w:rPr>
        <w:t>投标人的CA证书</w:t>
      </w:r>
      <w:r>
        <w:rPr>
          <w:rFonts w:hint="eastAsia" w:ascii="宋体" w:hAnsi="宋体" w:eastAsia="宋体" w:cs="宋体"/>
          <w:spacing w:val="0"/>
          <w:sz w:val="24"/>
          <w:szCs w:val="24"/>
        </w:rPr>
        <w:t>连同</w:t>
      </w:r>
      <w:r>
        <w:rPr>
          <w:rStyle w:val="6"/>
          <w:rFonts w:hint="eastAsia" w:ascii="宋体" w:hAnsi="宋体" w:eastAsia="宋体" w:cs="宋体"/>
          <w:spacing w:val="0"/>
          <w:sz w:val="24"/>
          <w:szCs w:val="24"/>
        </w:rPr>
        <w:t>密封的纸质投标文件</w:t>
      </w:r>
      <w:r>
        <w:rPr>
          <w:rFonts w:hint="eastAsia" w:ascii="宋体" w:hAnsi="宋体" w:eastAsia="宋体" w:cs="宋体"/>
          <w:spacing w:val="0"/>
          <w:sz w:val="24"/>
          <w:szCs w:val="24"/>
        </w:rPr>
        <w:t>送达招标文件第一章第10条载明的地点，否则</w:t>
      </w:r>
      <w:r>
        <w:rPr>
          <w:rStyle w:val="6"/>
          <w:rFonts w:hint="eastAsia" w:ascii="宋体" w:hAnsi="宋体" w:eastAsia="宋体" w:cs="宋体"/>
          <w:spacing w:val="0"/>
          <w:sz w:val="24"/>
          <w:szCs w:val="24"/>
        </w:rPr>
        <w:t>投标将被拒绝。</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10、开标时间及地点：详见招标公告或更正公告（若有），若不一致，以更正公告（若有）为准。</w:t>
      </w:r>
      <w:r>
        <w:rPr>
          <w:rStyle w:val="6"/>
          <w:rFonts w:hint="eastAsia" w:ascii="宋体" w:hAnsi="宋体" w:eastAsia="宋体" w:cs="宋体"/>
          <w:spacing w:val="0"/>
          <w:sz w:val="24"/>
          <w:szCs w:val="24"/>
        </w:rPr>
        <w:t> </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11、公告期限</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11.1招标公告的公告期限：自财政部和福建省财政厅指定的政府采购信息发布媒体最先发布公告之日起</w:t>
      </w:r>
      <w:r>
        <w:rPr>
          <w:rFonts w:hint="default" w:ascii="Times New Roman" w:hAnsi="Times New Roman" w:cs="Times New Roman"/>
          <w:spacing w:val="0"/>
          <w:sz w:val="24"/>
          <w:szCs w:val="24"/>
        </w:rPr>
        <w:t>5</w:t>
      </w:r>
      <w:r>
        <w:rPr>
          <w:rFonts w:hint="eastAsia" w:ascii="宋体" w:hAnsi="宋体" w:eastAsia="宋体" w:cs="宋体"/>
          <w:spacing w:val="0"/>
          <w:sz w:val="24"/>
          <w:szCs w:val="24"/>
        </w:rPr>
        <w:t>个工作日。</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11.2招标文件公告期限：招标文件随同招标公告一并发布，其公告期限与本章第</w:t>
      </w:r>
      <w:r>
        <w:rPr>
          <w:rFonts w:hint="default" w:ascii="Times New Roman" w:hAnsi="Times New Roman" w:cs="Times New Roman"/>
          <w:spacing w:val="0"/>
          <w:sz w:val="24"/>
          <w:szCs w:val="24"/>
        </w:rPr>
        <w:t>11.1</w:t>
      </w:r>
      <w:r>
        <w:rPr>
          <w:rFonts w:hint="eastAsia" w:ascii="宋体" w:hAnsi="宋体" w:eastAsia="宋体" w:cs="宋体"/>
          <w:spacing w:val="0"/>
          <w:sz w:val="24"/>
          <w:szCs w:val="24"/>
        </w:rPr>
        <w:t>条载明的期限保持一致。</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12、采购人：福州高新区行政审批局</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地址：福州市闽侯县上街镇科技东路3号创新园一期1号楼</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联系方法：18850766897</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13、代理机构：福建省闽鸿招标有限公司</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地址：福州市仓山区金桔路天泽江鼎金爵苑48座1003室</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联系方法：座机：0591-83715389 手机：18084794588</w:t>
      </w:r>
    </w:p>
    <w:p>
      <w:pPr>
        <w:pStyle w:val="4"/>
        <w:keepNext w:val="0"/>
        <w:keepLines w:val="0"/>
        <w:widowControl/>
        <w:suppressLineNumbers w:val="0"/>
        <w:spacing w:before="75" w:beforeAutospacing="0" w:after="75" w:afterAutospacing="0"/>
        <w:ind w:left="0" w:right="0" w:firstLine="0"/>
      </w:pPr>
      <w:r>
        <w:rPr>
          <w:spacing w:val="0"/>
          <w:sz w:val="24"/>
          <w:szCs w:val="24"/>
        </w:rPr>
        <w:t> </w:t>
      </w:r>
    </w:p>
    <w:p>
      <w:pPr>
        <w:pStyle w:val="4"/>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br w:type="textWrapping"/>
      </w:r>
      <w:r>
        <w:rPr>
          <w:rFonts w:hint="eastAsia" w:ascii="宋体" w:hAnsi="宋体" w:eastAsia="宋体" w:cs="宋体"/>
          <w:spacing w:val="0"/>
          <w:sz w:val="24"/>
          <w:szCs w:val="24"/>
        </w:rPr>
        <w:t>附1：账户信息</w:t>
      </w:r>
    </w:p>
    <w:tbl>
      <w:tblPr>
        <w:tblStyle w:val="9"/>
        <w:tblW w:w="8980" w:type="dxa"/>
        <w:tblCellSpacing w:w="15" w:type="dxa"/>
        <w:tblInd w:w="-15"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15" w:type="dxa"/>
          <w:left w:w="15" w:type="dxa"/>
          <w:bottom w:w="15" w:type="dxa"/>
          <w:right w:w="15" w:type="dxa"/>
        </w:tblCellMar>
      </w:tblPr>
      <w:tblGrid>
        <w:gridCol w:w="8980"/>
      </w:tblGrid>
      <w:tr>
        <w:trPr>
          <w:trHeight w:val="426" w:hRule="atLeast"/>
          <w:tblCellSpacing w:w="15" w:type="dxa"/>
        </w:trPr>
        <w:tc>
          <w:tcPr>
            <w:tcW w:w="8920" w:type="dxa"/>
            <w:tcBorders>
              <w:top w:val="nil"/>
              <w:left w:val="nil"/>
              <w:bottom w:val="nil"/>
              <w:right w:val="nil"/>
            </w:tcBorders>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0" w:afterAutospacing="0"/>
              <w:ind w:left="0" w:right="0"/>
              <w:jc w:val="center"/>
            </w:pPr>
            <w:r>
              <w:rPr>
                <w:rStyle w:val="6"/>
                <w:rFonts w:hint="eastAsia" w:ascii="宋体" w:hAnsi="宋体" w:eastAsia="宋体" w:cs="宋体"/>
                <w:spacing w:val="0"/>
                <w:sz w:val="24"/>
                <w:szCs w:val="24"/>
              </w:rPr>
              <w:t>投标保证金账户</w:t>
            </w:r>
          </w:p>
        </w:tc>
      </w:tr>
      <w:tr>
        <w:trPr>
          <w:trHeight w:val="392" w:hRule="atLeast"/>
          <w:tblCellSpacing w:w="15" w:type="dxa"/>
        </w:trPr>
        <w:tc>
          <w:tcPr>
            <w:tcW w:w="8920" w:type="dxa"/>
            <w:tcBorders>
              <w:top w:val="nil"/>
              <w:left w:val="nil"/>
              <w:bottom w:val="nil"/>
              <w:right w:val="nil"/>
            </w:tcBorders>
            <w:shd w:val="clear" w:color="auto" w:fill="auto"/>
            <w:tcMar>
              <w:top w:w="0" w:type="dxa"/>
              <w:left w:w="105" w:type="dxa"/>
              <w:bottom w:w="0" w:type="dxa"/>
              <w:right w:w="105" w:type="dxa"/>
            </w:tcMar>
            <w:vAlign w:val="top"/>
          </w:tcPr>
          <w:p>
            <w:pPr>
              <w:pStyle w:val="4"/>
              <w:keepNext w:val="0"/>
              <w:keepLines w:val="0"/>
              <w:widowControl/>
              <w:suppressLineNumbers w:val="0"/>
              <w:spacing w:before="0" w:beforeAutospacing="0" w:after="0" w:afterAutospacing="0"/>
              <w:ind w:left="0" w:right="0"/>
            </w:pPr>
            <w:r>
              <w:rPr>
                <w:rFonts w:hint="eastAsia" w:ascii="宋体" w:hAnsi="宋体" w:eastAsia="宋体" w:cs="宋体"/>
                <w:spacing w:val="0"/>
                <w:sz w:val="24"/>
                <w:szCs w:val="24"/>
              </w:rPr>
              <w:t>开户名称：</w:t>
            </w:r>
            <w:r>
              <w:rPr>
                <w:rFonts w:hint="eastAsia" w:ascii="宋体" w:hAnsi="宋体" w:eastAsia="宋体" w:cs="宋体"/>
                <w:spacing w:val="0"/>
                <w:sz w:val="24"/>
                <w:szCs w:val="24"/>
                <w:u w:val="single"/>
                <w:shd w:val="clear" w:fill="FFFFFF"/>
              </w:rPr>
              <w:t>福建省闽鸿招标有限公司</w:t>
            </w:r>
          </w:p>
        </w:tc>
      </w:tr>
      <w:tr>
        <w:trPr>
          <w:trHeight w:val="750" w:hRule="atLeast"/>
          <w:tblCellSpacing w:w="15" w:type="dxa"/>
        </w:trPr>
        <w:tc>
          <w:tcPr>
            <w:tcW w:w="8920" w:type="dxa"/>
            <w:tcBorders>
              <w:top w:val="nil"/>
              <w:left w:val="nil"/>
              <w:bottom w:val="nil"/>
              <w:right w:val="nil"/>
            </w:tcBorders>
            <w:shd w:val="clear" w:color="auto" w:fill="auto"/>
            <w:tcMar>
              <w:top w:w="0" w:type="dxa"/>
              <w:left w:w="105" w:type="dxa"/>
              <w:bottom w:w="0" w:type="dxa"/>
              <w:right w:w="105" w:type="dxa"/>
            </w:tcMar>
            <w:vAlign w:val="top"/>
          </w:tcPr>
          <w:p>
            <w:pPr>
              <w:pStyle w:val="4"/>
              <w:keepNext w:val="0"/>
              <w:keepLines w:val="0"/>
              <w:widowControl/>
              <w:suppressLineNumbers w:val="0"/>
              <w:spacing w:before="0" w:beforeAutospacing="0" w:after="0" w:afterAutospacing="0"/>
              <w:ind w:left="0" w:right="0"/>
            </w:pPr>
            <w:r>
              <w:rPr>
                <w:rFonts w:hint="eastAsia" w:ascii="宋体" w:hAnsi="宋体" w:eastAsia="宋体" w:cs="宋体"/>
                <w:spacing w:val="0"/>
                <w:sz w:val="24"/>
                <w:szCs w:val="24"/>
              </w:rPr>
              <w:t>开户银行：</w:t>
            </w:r>
            <w:r>
              <w:rPr>
                <w:rFonts w:hint="eastAsia" w:ascii="宋体" w:hAnsi="宋体" w:eastAsia="宋体" w:cs="宋体"/>
                <w:spacing w:val="0"/>
                <w:sz w:val="24"/>
                <w:szCs w:val="24"/>
                <w:u w:val="none"/>
              </w:rPr>
              <w:t>供应商在福建省政府采购网上公开信息系统报名后，根据其提示自行选择要缴交的投标保证金托管银行</w:t>
            </w:r>
            <w:r>
              <w:rPr>
                <w:rFonts w:hint="eastAsia" w:ascii="宋体" w:hAnsi="宋体" w:eastAsia="宋体" w:cs="宋体"/>
                <w:spacing w:val="0"/>
                <w:sz w:val="24"/>
                <w:szCs w:val="24"/>
              </w:rPr>
              <w:t>。</w:t>
            </w:r>
          </w:p>
        </w:tc>
      </w:tr>
      <w:tr>
        <w:trPr>
          <w:trHeight w:val="1107" w:hRule="atLeast"/>
          <w:tblCellSpacing w:w="15" w:type="dxa"/>
        </w:trPr>
        <w:tc>
          <w:tcPr>
            <w:tcW w:w="8920" w:type="dxa"/>
            <w:tcBorders>
              <w:top w:val="nil"/>
              <w:left w:val="nil"/>
              <w:bottom w:val="nil"/>
              <w:right w:val="nil"/>
            </w:tcBorders>
            <w:shd w:val="clear" w:color="auto" w:fill="auto"/>
            <w:tcMar>
              <w:top w:w="0" w:type="dxa"/>
              <w:left w:w="105" w:type="dxa"/>
              <w:bottom w:w="0" w:type="dxa"/>
              <w:right w:w="105" w:type="dxa"/>
            </w:tcMar>
            <w:vAlign w:val="top"/>
          </w:tcPr>
          <w:p>
            <w:pPr>
              <w:pStyle w:val="4"/>
              <w:keepNext w:val="0"/>
              <w:keepLines w:val="0"/>
              <w:widowControl/>
              <w:suppressLineNumbers w:val="0"/>
              <w:spacing w:before="0" w:beforeAutospacing="0" w:after="0" w:afterAutospacing="0"/>
              <w:ind w:left="0" w:right="0"/>
            </w:pPr>
            <w:r>
              <w:rPr>
                <w:rFonts w:hint="eastAsia" w:ascii="宋体" w:hAnsi="宋体" w:eastAsia="宋体" w:cs="宋体"/>
                <w:spacing w:val="0"/>
                <w:sz w:val="24"/>
                <w:szCs w:val="24"/>
              </w:rPr>
              <w:t>银行账号：</w:t>
            </w:r>
            <w:r>
              <w:rPr>
                <w:rFonts w:hint="eastAsia" w:ascii="宋体" w:hAnsi="宋体" w:eastAsia="宋体" w:cs="宋体"/>
                <w:spacing w:val="0"/>
                <w:sz w:val="24"/>
                <w:szCs w:val="24"/>
                <w:u w:val="none"/>
              </w:rPr>
              <w:t>福建省政府采购网上公开信息系统根据供应商选择的投标保证金托管银行，以合同包为单位，自动生成供应商所投合同包的缴交银行账号（即多个合同包将对应生成多个缴交账号）。供应商应按照所投合同包的投标保证金要求，缴交相应的投标保证金。</w:t>
            </w:r>
          </w:p>
        </w:tc>
      </w:tr>
      <w:tr>
        <w:trPr>
          <w:trHeight w:val="392" w:hRule="atLeast"/>
          <w:tblCellSpacing w:w="15" w:type="dxa"/>
        </w:trPr>
        <w:tc>
          <w:tcPr>
            <w:tcW w:w="8920" w:type="dxa"/>
            <w:tcBorders>
              <w:top w:val="nil"/>
              <w:left w:val="nil"/>
              <w:bottom w:val="nil"/>
              <w:right w:val="nil"/>
            </w:tcBorders>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0" w:afterAutospacing="0"/>
              <w:ind w:left="0" w:right="0"/>
              <w:jc w:val="center"/>
            </w:pPr>
            <w:r>
              <w:rPr>
                <w:rStyle w:val="6"/>
                <w:rFonts w:hint="eastAsia" w:ascii="宋体" w:hAnsi="宋体" w:eastAsia="宋体" w:cs="宋体"/>
                <w:spacing w:val="0"/>
                <w:sz w:val="24"/>
                <w:szCs w:val="24"/>
              </w:rPr>
              <w:t>特别提示</w:t>
            </w:r>
          </w:p>
        </w:tc>
      </w:tr>
      <w:tr>
        <w:trPr>
          <w:trHeight w:val="1500" w:hRule="atLeast"/>
          <w:tblCellSpacing w:w="15" w:type="dxa"/>
        </w:trPr>
        <w:tc>
          <w:tcPr>
            <w:tcW w:w="8920" w:type="dxa"/>
            <w:tcBorders>
              <w:top w:val="nil"/>
              <w:left w:val="nil"/>
              <w:bottom w:val="nil"/>
              <w:right w:val="nil"/>
            </w:tcBorders>
            <w:shd w:val="clear" w:color="auto" w:fill="auto"/>
            <w:tcMar>
              <w:top w:w="0" w:type="dxa"/>
              <w:left w:w="105" w:type="dxa"/>
              <w:bottom w:w="0" w:type="dxa"/>
              <w:right w:w="105" w:type="dxa"/>
            </w:tcMar>
            <w:vAlign w:val="top"/>
          </w:tcPr>
          <w:p>
            <w:pPr>
              <w:pStyle w:val="4"/>
              <w:keepNext w:val="0"/>
              <w:keepLines w:val="0"/>
              <w:widowControl/>
              <w:suppressLineNumbers w:val="0"/>
              <w:spacing w:before="0" w:beforeAutospacing="0" w:after="0" w:afterAutospacing="0"/>
              <w:ind w:left="0" w:right="0"/>
            </w:pPr>
            <w:r>
              <w:rPr>
                <w:rFonts w:hint="eastAsia" w:ascii="宋体" w:hAnsi="宋体" w:eastAsia="宋体" w:cs="宋体"/>
                <w:spacing w:val="0"/>
                <w:sz w:val="24"/>
                <w:szCs w:val="24"/>
              </w:rPr>
              <w:t>1、投标人应认真核对账户信息，将投标保证金汇入以上账户，并自行承担因汇错投标保证金而产生的一切后果。</w:t>
            </w:r>
          </w:p>
          <w:p>
            <w:pPr>
              <w:pStyle w:val="4"/>
              <w:keepNext w:val="0"/>
              <w:keepLines w:val="0"/>
              <w:widowControl/>
              <w:suppressLineNumbers w:val="0"/>
              <w:spacing w:before="0" w:beforeAutospacing="0" w:after="0" w:afterAutospacing="0"/>
              <w:ind w:left="0" w:right="0"/>
            </w:pPr>
            <w:r>
              <w:rPr>
                <w:rFonts w:hint="eastAsia" w:ascii="宋体" w:hAnsi="宋体" w:eastAsia="宋体" w:cs="宋体"/>
                <w:spacing w:val="0"/>
                <w:sz w:val="24"/>
                <w:szCs w:val="24"/>
              </w:rPr>
              <w:t>2、投标人在转账或电汇的凭证上应按照以下格式注明，以便核对：“（招标编号：</w:t>
            </w:r>
            <w:r>
              <w:rPr>
                <w:rFonts w:hint="default" w:ascii="Times New Roman" w:hAnsi="Times New Roman" w:cs="Times New Roman"/>
                <w:spacing w:val="0"/>
                <w:sz w:val="24"/>
                <w:szCs w:val="24"/>
              </w:rPr>
              <w:t>***</w:t>
            </w:r>
            <w:r>
              <w:rPr>
                <w:rFonts w:hint="eastAsia" w:ascii="宋体" w:hAnsi="宋体" w:eastAsia="宋体" w:cs="宋体"/>
                <w:spacing w:val="0"/>
                <w:sz w:val="24"/>
                <w:szCs w:val="24"/>
              </w:rPr>
              <w:t>、合同包：</w:t>
            </w:r>
            <w:r>
              <w:rPr>
                <w:rFonts w:hint="default" w:ascii="Times New Roman" w:hAnsi="Times New Roman" w:cs="Times New Roman"/>
                <w:spacing w:val="0"/>
                <w:sz w:val="24"/>
                <w:szCs w:val="24"/>
              </w:rPr>
              <w:t>***</w:t>
            </w:r>
            <w:r>
              <w:rPr>
                <w:rFonts w:hint="eastAsia" w:ascii="宋体" w:hAnsi="宋体" w:eastAsia="宋体" w:cs="宋体"/>
                <w:spacing w:val="0"/>
                <w:sz w:val="24"/>
                <w:szCs w:val="24"/>
              </w:rPr>
              <w:t>）的投标保证金”。</w:t>
            </w:r>
          </w:p>
        </w:tc>
      </w:tr>
    </w:tbl>
    <w:p>
      <w:pPr>
        <w:pStyle w:val="4"/>
        <w:keepNext w:val="0"/>
        <w:keepLines w:val="0"/>
        <w:widowControl/>
        <w:suppressLineNumbers w:val="0"/>
        <w:spacing w:before="75" w:beforeAutospacing="0" w:after="75" w:afterAutospacing="0"/>
        <w:ind w:left="0" w:right="0" w:firstLine="0"/>
      </w:pPr>
      <w:r>
        <w:rPr>
          <w:spacing w:val="0"/>
          <w:sz w:val="24"/>
          <w:szCs w:val="24"/>
        </w:rPr>
        <w:t> </w:t>
      </w:r>
    </w:p>
    <w:p>
      <w:pPr>
        <w:pStyle w:val="4"/>
        <w:keepNext w:val="0"/>
        <w:keepLines w:val="0"/>
        <w:widowControl/>
        <w:suppressLineNumbers w:val="0"/>
        <w:spacing w:before="75" w:beforeAutospacing="0" w:after="75" w:afterAutospacing="0"/>
        <w:ind w:left="0" w:right="0" w:firstLine="480"/>
      </w:pPr>
      <w:r>
        <w:rPr>
          <w:spacing w:val="0"/>
          <w:sz w:val="24"/>
          <w:szCs w:val="24"/>
        </w:rPr>
        <w:t> </w:t>
      </w:r>
    </w:p>
    <w:p>
      <w:pPr>
        <w:pStyle w:val="4"/>
        <w:keepNext w:val="0"/>
        <w:keepLines w:val="0"/>
        <w:widowControl/>
        <w:suppressLineNumbers w:val="0"/>
        <w:spacing w:before="75" w:beforeAutospacing="0" w:after="75" w:afterAutospacing="0"/>
        <w:ind w:left="0" w:right="0" w:firstLine="0"/>
      </w:pPr>
      <w:r>
        <w:rPr>
          <w:spacing w:val="0"/>
          <w:sz w:val="24"/>
          <w:szCs w:val="24"/>
        </w:rPr>
        <w:t> </w:t>
      </w:r>
    </w:p>
    <w:p>
      <w:pPr>
        <w:pStyle w:val="4"/>
        <w:keepNext w:val="0"/>
        <w:keepLines w:val="0"/>
        <w:widowControl/>
        <w:suppressLineNumbers w:val="0"/>
        <w:spacing w:before="75" w:beforeAutospacing="0" w:after="75" w:afterAutospacing="0"/>
        <w:ind w:left="0" w:right="0" w:firstLine="0"/>
      </w:pPr>
      <w:r>
        <w:rPr>
          <w:spacing w:val="0"/>
          <w:sz w:val="24"/>
          <w:szCs w:val="24"/>
        </w:rPr>
        <w:t> </w:t>
      </w:r>
    </w:p>
    <w:p>
      <w:pPr>
        <w:pStyle w:val="4"/>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附</w:t>
      </w:r>
      <w:r>
        <w:rPr>
          <w:spacing w:val="0"/>
          <w:sz w:val="24"/>
          <w:szCs w:val="24"/>
        </w:rPr>
        <w:t>2</w:t>
      </w:r>
      <w:r>
        <w:rPr>
          <w:rFonts w:hint="eastAsia" w:ascii="宋体" w:hAnsi="宋体" w:eastAsia="宋体" w:cs="宋体"/>
          <w:spacing w:val="0"/>
          <w:sz w:val="24"/>
          <w:szCs w:val="24"/>
        </w:rPr>
        <w:t>：采购标的一览表</w:t>
      </w:r>
    </w:p>
    <w:p>
      <w:pPr>
        <w:pStyle w:val="4"/>
        <w:keepNext w:val="0"/>
        <w:keepLines w:val="0"/>
        <w:widowControl/>
        <w:suppressLineNumbers w:val="0"/>
        <w:spacing w:before="75" w:beforeAutospacing="0" w:after="75" w:afterAutospacing="0"/>
        <w:ind w:left="0" w:right="0" w:firstLine="0"/>
      </w:pPr>
      <w:r>
        <w:rPr>
          <w:spacing w:val="0"/>
          <w:sz w:val="24"/>
          <w:szCs w:val="24"/>
        </w:rPr>
        <w:t> </w:t>
      </w:r>
    </w:p>
    <w:p>
      <w:pPr>
        <w:pStyle w:val="4"/>
        <w:keepNext w:val="0"/>
        <w:keepLines w:val="0"/>
        <w:widowControl/>
        <w:suppressLineNumbers w:val="0"/>
        <w:jc w:val="right"/>
      </w:pPr>
      <w:r>
        <w:rPr>
          <w:rFonts w:hint="eastAsia" w:ascii="宋体" w:hAnsi="宋体" w:eastAsia="宋体" w:cs="宋体"/>
        </w:rPr>
        <w:t>金额单位：人民币元</w:t>
      </w:r>
      <w:r>
        <w:t xml:space="preserve"> </w:t>
      </w:r>
    </w:p>
    <w:tbl>
      <w:tblPr>
        <w:tblStyle w:val="9"/>
        <w:tblW w:w="8302"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
      <w:tblGrid>
        <w:gridCol w:w="827"/>
        <w:gridCol w:w="827"/>
        <w:gridCol w:w="1658"/>
        <w:gridCol w:w="827"/>
        <w:gridCol w:w="827"/>
        <w:gridCol w:w="827"/>
        <w:gridCol w:w="856"/>
        <w:gridCol w:w="1653"/>
      </w:tblGrid>
      <w:tr>
        <w:trPr>
          <w:tblHeader/>
        </w:trPr>
        <w:tc>
          <w:tcPr>
            <w:tcW w:w="827"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center"/>
            </w:pPr>
            <w:r>
              <w:rPr>
                <w:rFonts w:ascii="宋体" w:hAnsi="宋体" w:eastAsia="宋体" w:cs="宋体"/>
                <w:kern w:val="0"/>
                <w:sz w:val="24"/>
                <w:szCs w:val="24"/>
                <w:lang w:val="en-US" w:eastAsia="zh-CN" w:bidi="ar"/>
              </w:rPr>
              <w:t>合同包</w:t>
            </w:r>
          </w:p>
        </w:tc>
        <w:tc>
          <w:tcPr>
            <w:tcW w:w="827"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center"/>
            </w:pPr>
            <w:r>
              <w:rPr>
                <w:rFonts w:ascii="宋体" w:hAnsi="宋体" w:eastAsia="宋体" w:cs="宋体"/>
                <w:kern w:val="0"/>
                <w:sz w:val="24"/>
                <w:szCs w:val="24"/>
                <w:lang w:val="en-US" w:eastAsia="zh-CN" w:bidi="ar"/>
              </w:rPr>
              <w:t>品目号</w:t>
            </w:r>
          </w:p>
        </w:tc>
        <w:tc>
          <w:tcPr>
            <w:tcW w:w="1658"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center"/>
            </w:pPr>
            <w:r>
              <w:rPr>
                <w:rFonts w:ascii="宋体" w:hAnsi="宋体" w:eastAsia="宋体" w:cs="宋体"/>
                <w:kern w:val="0"/>
                <w:sz w:val="24"/>
                <w:szCs w:val="24"/>
                <w:lang w:val="en-US" w:eastAsia="zh-CN" w:bidi="ar"/>
              </w:rPr>
              <w:t>采购标的</w:t>
            </w:r>
          </w:p>
        </w:tc>
        <w:tc>
          <w:tcPr>
            <w:tcW w:w="827"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center"/>
            </w:pPr>
            <w:r>
              <w:rPr>
                <w:rFonts w:ascii="宋体" w:hAnsi="宋体" w:eastAsia="宋体" w:cs="宋体"/>
                <w:kern w:val="0"/>
                <w:sz w:val="24"/>
                <w:szCs w:val="24"/>
                <w:lang w:val="en-US" w:eastAsia="zh-CN" w:bidi="ar"/>
              </w:rPr>
              <w:t>允许进口</w:t>
            </w:r>
          </w:p>
        </w:tc>
        <w:tc>
          <w:tcPr>
            <w:tcW w:w="827"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center"/>
            </w:pPr>
            <w:r>
              <w:rPr>
                <w:rFonts w:ascii="宋体" w:hAnsi="宋体" w:eastAsia="宋体" w:cs="宋体"/>
                <w:kern w:val="0"/>
                <w:sz w:val="24"/>
                <w:szCs w:val="24"/>
                <w:lang w:val="en-US" w:eastAsia="zh-CN" w:bidi="ar"/>
              </w:rPr>
              <w:t>数量</w:t>
            </w:r>
          </w:p>
        </w:tc>
        <w:tc>
          <w:tcPr>
            <w:tcW w:w="827"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center"/>
            </w:pPr>
            <w:r>
              <w:rPr>
                <w:rFonts w:ascii="宋体" w:hAnsi="宋体" w:eastAsia="宋体" w:cs="宋体"/>
                <w:kern w:val="0"/>
                <w:sz w:val="24"/>
                <w:szCs w:val="24"/>
                <w:lang w:val="en-US" w:eastAsia="zh-CN" w:bidi="ar"/>
              </w:rPr>
              <w:t>品目号预算</w:t>
            </w:r>
          </w:p>
        </w:tc>
        <w:tc>
          <w:tcPr>
            <w:tcW w:w="856"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center"/>
            </w:pPr>
            <w:r>
              <w:rPr>
                <w:rFonts w:ascii="宋体" w:hAnsi="宋体" w:eastAsia="宋体" w:cs="宋体"/>
                <w:kern w:val="0"/>
                <w:sz w:val="24"/>
                <w:szCs w:val="24"/>
                <w:lang w:val="en-US" w:eastAsia="zh-CN" w:bidi="ar"/>
              </w:rPr>
              <w:t>合同包预算</w:t>
            </w:r>
          </w:p>
        </w:tc>
        <w:tc>
          <w:tcPr>
            <w:tcW w:w="1653"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center"/>
            </w:pPr>
            <w:r>
              <w:rPr>
                <w:rFonts w:ascii="宋体" w:hAnsi="宋体" w:eastAsia="宋体" w:cs="宋体"/>
                <w:kern w:val="0"/>
                <w:sz w:val="24"/>
                <w:szCs w:val="24"/>
                <w:lang w:val="en-US" w:eastAsia="zh-CN" w:bidi="ar"/>
              </w:rPr>
              <w:t>投标保证金</w:t>
            </w:r>
          </w:p>
        </w:tc>
      </w:tr>
      <w:tr>
        <w:tc>
          <w:tcPr>
            <w:tcW w:w="827"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center"/>
            </w:pPr>
            <w:r>
              <w:rPr>
                <w:rFonts w:ascii="宋体" w:hAnsi="宋体" w:eastAsia="宋体" w:cs="宋体"/>
                <w:kern w:val="0"/>
                <w:sz w:val="24"/>
                <w:szCs w:val="24"/>
                <w:lang w:val="en-US" w:eastAsia="zh-CN" w:bidi="ar"/>
              </w:rPr>
              <w:t>1</w:t>
            </w:r>
          </w:p>
        </w:tc>
        <w:tc>
          <w:tcPr>
            <w:tcW w:w="4966" w:type="dxa"/>
            <w:gridSpan w:val="5"/>
            <w:tcBorders>
              <w:top w:val="outset" w:color="auto" w:sz="6" w:space="0"/>
              <w:left w:val="outset" w:color="auto" w:sz="6" w:space="0"/>
              <w:bottom w:val="outset" w:color="auto" w:sz="6" w:space="0"/>
              <w:right w:val="outset" w:color="auto" w:sz="6" w:space="0"/>
            </w:tcBorders>
            <w:shd w:val="clear" w:color="auto" w:fill="auto"/>
            <w:vAlign w:val="center"/>
          </w:tcPr>
          <w:tbl>
            <w:tblPr>
              <w:tblStyle w:val="9"/>
              <w:tblW w:w="4937" w:type="dxa"/>
              <w:jc w:val="center"/>
              <w:tblBorders>
                <w:top w:val="single" w:color="auto" w:sz="6" w:space="0"/>
                <w:left w:val="single" w:color="auto" w:sz="6" w:space="0"/>
                <w:bottom w:val="single" w:color="auto" w:sz="6" w:space="0"/>
                <w:right w:val="singl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
            <w:tblGrid>
              <w:gridCol w:w="626"/>
              <w:gridCol w:w="1253"/>
              <w:gridCol w:w="626"/>
              <w:gridCol w:w="736"/>
              <w:gridCol w:w="1696"/>
            </w:tblGrid>
            <w:tr>
              <w:trPr>
                <w:jc w:val="center"/>
              </w:trPr>
              <w:tc>
                <w:tcPr>
                  <w:tcW w:w="626"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1-1</w:t>
                  </w:r>
                </w:p>
              </w:tc>
              <w:tc>
                <w:tcPr>
                  <w:tcW w:w="1253"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其他建筑工程</w:t>
                  </w:r>
                </w:p>
              </w:tc>
              <w:tc>
                <w:tcPr>
                  <w:tcW w:w="626"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否</w:t>
                  </w:r>
                </w:p>
              </w:tc>
              <w:tc>
                <w:tcPr>
                  <w:tcW w:w="736"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1（批）</w:t>
                  </w:r>
                </w:p>
              </w:tc>
              <w:tc>
                <w:tcPr>
                  <w:tcW w:w="1696"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1,960,700.0000</w:t>
                  </w:r>
                </w:p>
              </w:tc>
            </w:tr>
            <w:tr>
              <w:trPr>
                <w:jc w:val="center"/>
              </w:trPr>
              <w:tc>
                <w:tcPr>
                  <w:tcW w:w="626"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1-2</w:t>
                  </w:r>
                </w:p>
              </w:tc>
              <w:tc>
                <w:tcPr>
                  <w:tcW w:w="1253"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通信机房专用设备</w:t>
                  </w:r>
                </w:p>
              </w:tc>
              <w:tc>
                <w:tcPr>
                  <w:tcW w:w="626"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否</w:t>
                  </w:r>
                </w:p>
              </w:tc>
              <w:tc>
                <w:tcPr>
                  <w:tcW w:w="736"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1（批）</w:t>
                  </w:r>
                </w:p>
              </w:tc>
              <w:tc>
                <w:tcPr>
                  <w:tcW w:w="1696"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3,189,300.0000</w:t>
                  </w:r>
                </w:p>
              </w:tc>
            </w:tr>
            <w:tr>
              <w:trPr>
                <w:jc w:val="center"/>
              </w:trPr>
              <w:tc>
                <w:tcPr>
                  <w:tcW w:w="626"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1-3</w:t>
                  </w:r>
                </w:p>
              </w:tc>
              <w:tc>
                <w:tcPr>
                  <w:tcW w:w="1253"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专业技能培训服务</w:t>
                  </w:r>
                </w:p>
              </w:tc>
              <w:tc>
                <w:tcPr>
                  <w:tcW w:w="626"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否</w:t>
                  </w:r>
                </w:p>
              </w:tc>
              <w:tc>
                <w:tcPr>
                  <w:tcW w:w="736"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1（批）</w:t>
                  </w:r>
                </w:p>
              </w:tc>
              <w:tc>
                <w:tcPr>
                  <w:tcW w:w="1696"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103,000.0000</w:t>
                  </w:r>
                </w:p>
              </w:tc>
            </w:tr>
          </w:tbl>
          <w:p>
            <w:pPr>
              <w:jc w:val="center"/>
            </w:pPr>
          </w:p>
        </w:tc>
        <w:tc>
          <w:tcPr>
            <w:tcW w:w="856"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center"/>
            </w:pPr>
            <w:r>
              <w:rPr>
                <w:rFonts w:ascii="宋体" w:hAnsi="宋体" w:eastAsia="宋体" w:cs="宋体"/>
                <w:kern w:val="0"/>
                <w:sz w:val="24"/>
                <w:szCs w:val="24"/>
                <w:lang w:val="en-US" w:eastAsia="zh-CN" w:bidi="ar"/>
              </w:rPr>
              <w:t>5253000</w:t>
            </w:r>
          </w:p>
        </w:tc>
        <w:tc>
          <w:tcPr>
            <w:tcW w:w="1653"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center"/>
            </w:pPr>
            <w:r>
              <w:rPr>
                <w:rFonts w:ascii="宋体" w:hAnsi="宋体" w:eastAsia="宋体" w:cs="宋体"/>
                <w:kern w:val="0"/>
                <w:sz w:val="24"/>
                <w:szCs w:val="24"/>
                <w:lang w:val="en-US" w:eastAsia="zh-CN" w:bidi="ar"/>
              </w:rPr>
              <w:t>105060</w:t>
            </w:r>
          </w:p>
        </w:tc>
      </w:tr>
    </w:tbl>
    <w:p>
      <w:pPr>
        <w:pStyle w:val="4"/>
        <w:keepNext w:val="0"/>
        <w:keepLines w:val="0"/>
        <w:widowControl/>
        <w:suppressLineNumbers w:val="0"/>
        <w:spacing w:before="75" w:beforeAutospacing="0" w:after="75" w:afterAutospacing="0"/>
        <w:ind w:left="0" w:right="0" w:firstLine="0"/>
        <w:jc w:val="center"/>
      </w:pPr>
      <w:r>
        <w:rPr>
          <w:rStyle w:val="6"/>
          <w:rFonts w:hint="eastAsia" w:ascii="宋体" w:hAnsi="宋体" w:eastAsia="宋体" w:cs="宋体"/>
          <w:spacing w:val="0"/>
          <w:sz w:val="31"/>
          <w:szCs w:val="31"/>
        </w:rPr>
        <w:t>第二章</w:t>
      </w:r>
      <w:r>
        <w:rPr>
          <w:rStyle w:val="6"/>
          <w:spacing w:val="0"/>
          <w:sz w:val="31"/>
          <w:szCs w:val="31"/>
        </w:rPr>
        <w:t>   </w:t>
      </w:r>
      <w:r>
        <w:rPr>
          <w:rStyle w:val="6"/>
          <w:rFonts w:hint="eastAsia" w:ascii="宋体" w:hAnsi="宋体" w:eastAsia="宋体" w:cs="宋体"/>
          <w:spacing w:val="0"/>
          <w:sz w:val="31"/>
          <w:szCs w:val="31"/>
        </w:rPr>
        <w:t>投标人须知前附表（表1、</w:t>
      </w:r>
      <w:r>
        <w:rPr>
          <w:rStyle w:val="6"/>
          <w:rFonts w:hint="default" w:ascii="Times New Roman" w:hAnsi="Times New Roman" w:cs="Times New Roman"/>
          <w:spacing w:val="0"/>
          <w:sz w:val="31"/>
          <w:szCs w:val="31"/>
        </w:rPr>
        <w:t>2</w:t>
      </w:r>
      <w:r>
        <w:rPr>
          <w:rStyle w:val="6"/>
          <w:rFonts w:hint="eastAsia" w:ascii="宋体" w:hAnsi="宋体" w:eastAsia="宋体" w:cs="宋体"/>
          <w:spacing w:val="0"/>
          <w:sz w:val="31"/>
          <w:szCs w:val="31"/>
        </w:rPr>
        <w:t>）</w:t>
      </w:r>
    </w:p>
    <w:p>
      <w:pPr>
        <w:pStyle w:val="4"/>
        <w:keepNext w:val="0"/>
        <w:keepLines w:val="0"/>
        <w:widowControl/>
        <w:suppressLineNumbers w:val="0"/>
        <w:spacing w:before="75" w:beforeAutospacing="0" w:after="75" w:afterAutospacing="0"/>
        <w:ind w:left="0" w:right="0" w:firstLine="0"/>
      </w:pPr>
      <w:r>
        <w:rPr>
          <w:spacing w:val="0"/>
          <w:sz w:val="24"/>
          <w:szCs w:val="24"/>
        </w:rPr>
        <w:t> </w:t>
      </w:r>
    </w:p>
    <w:p>
      <w:pPr>
        <w:pStyle w:val="4"/>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表</w:t>
      </w:r>
      <w:r>
        <w:rPr>
          <w:spacing w:val="0"/>
          <w:sz w:val="24"/>
          <w:szCs w:val="24"/>
        </w:rPr>
        <w:t>1</w:t>
      </w:r>
    </w:p>
    <w:tbl>
      <w:tblPr>
        <w:tblStyle w:val="9"/>
        <w:tblW w:w="8576" w:type="dxa"/>
        <w:tblCellSpacing w:w="15" w:type="dxa"/>
        <w:tblInd w:w="-15"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15" w:type="dxa"/>
          <w:left w:w="15" w:type="dxa"/>
          <w:bottom w:w="15" w:type="dxa"/>
          <w:right w:w="15" w:type="dxa"/>
        </w:tblCellMar>
      </w:tblPr>
      <w:tblGrid>
        <w:gridCol w:w="642"/>
        <w:gridCol w:w="1604"/>
        <w:gridCol w:w="6330"/>
      </w:tblGrid>
      <w:tr>
        <w:trPr>
          <w:tblCellSpacing w:w="15" w:type="dxa"/>
        </w:trPr>
        <w:tc>
          <w:tcPr>
            <w:tcW w:w="8516" w:type="dxa"/>
            <w:gridSpan w:val="3"/>
            <w:tcBorders>
              <w:top w:val="nil"/>
              <w:left w:val="nil"/>
              <w:bottom w:val="nil"/>
              <w:right w:val="nil"/>
            </w:tcBorders>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0" w:afterAutospacing="0"/>
              <w:ind w:left="0" w:right="0"/>
              <w:jc w:val="center"/>
            </w:pPr>
            <w:r>
              <w:rPr>
                <w:rStyle w:val="6"/>
                <w:rFonts w:hint="eastAsia" w:ascii="宋体" w:hAnsi="宋体" w:eastAsia="宋体" w:cs="宋体"/>
                <w:spacing w:val="0"/>
                <w:sz w:val="24"/>
                <w:szCs w:val="24"/>
              </w:rPr>
              <w:t>特别提示：本表与招标文件对应章节的内容若不一致，以本表为准。</w:t>
            </w:r>
          </w:p>
        </w:tc>
      </w:tr>
      <w:tr>
        <w:trPr>
          <w:tblCellSpacing w:w="15" w:type="dxa"/>
        </w:trPr>
        <w:tc>
          <w:tcPr>
            <w:tcW w:w="597" w:type="dxa"/>
            <w:tcBorders>
              <w:top w:val="nil"/>
              <w:left w:val="nil"/>
              <w:bottom w:val="nil"/>
              <w:right w:val="nil"/>
            </w:tcBorders>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0" w:afterAutospacing="0"/>
              <w:ind w:left="0" w:right="0"/>
              <w:jc w:val="center"/>
            </w:pPr>
            <w:r>
              <w:rPr>
                <w:rFonts w:hint="eastAsia" w:ascii="宋体" w:hAnsi="宋体" w:eastAsia="宋体" w:cs="宋体"/>
                <w:spacing w:val="0"/>
                <w:sz w:val="24"/>
                <w:szCs w:val="24"/>
              </w:rPr>
              <w:t>项号</w:t>
            </w:r>
          </w:p>
        </w:tc>
        <w:tc>
          <w:tcPr>
            <w:tcW w:w="1574" w:type="dxa"/>
            <w:tcBorders>
              <w:top w:val="nil"/>
              <w:left w:val="nil"/>
              <w:bottom w:val="nil"/>
              <w:right w:val="nil"/>
            </w:tcBorders>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0" w:afterAutospacing="0"/>
              <w:ind w:left="0" w:right="0"/>
              <w:jc w:val="center"/>
            </w:pPr>
            <w:r>
              <w:rPr>
                <w:rFonts w:hint="eastAsia" w:ascii="宋体" w:hAnsi="宋体" w:eastAsia="宋体" w:cs="宋体"/>
                <w:spacing w:val="0"/>
                <w:sz w:val="24"/>
                <w:szCs w:val="24"/>
              </w:rPr>
              <w:t>招标文件</w:t>
            </w:r>
          </w:p>
          <w:p>
            <w:pPr>
              <w:pStyle w:val="4"/>
              <w:keepNext w:val="0"/>
              <w:keepLines w:val="0"/>
              <w:widowControl/>
              <w:suppressLineNumbers w:val="0"/>
              <w:spacing w:before="0" w:beforeAutospacing="0" w:after="0" w:afterAutospacing="0"/>
              <w:ind w:left="0" w:right="0"/>
              <w:jc w:val="center"/>
            </w:pPr>
            <w:r>
              <w:rPr>
                <w:rFonts w:hint="eastAsia" w:ascii="宋体" w:hAnsi="宋体" w:eastAsia="宋体" w:cs="宋体"/>
                <w:spacing w:val="0"/>
                <w:sz w:val="24"/>
                <w:szCs w:val="24"/>
              </w:rPr>
              <w:t>（第三章）</w:t>
            </w:r>
          </w:p>
        </w:tc>
        <w:tc>
          <w:tcPr>
            <w:tcW w:w="6285" w:type="dxa"/>
            <w:tcBorders>
              <w:top w:val="nil"/>
              <w:left w:val="nil"/>
              <w:bottom w:val="nil"/>
              <w:right w:val="nil"/>
            </w:tcBorders>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0" w:afterAutospacing="0"/>
              <w:ind w:left="0" w:right="0"/>
              <w:jc w:val="center"/>
            </w:pPr>
            <w:r>
              <w:rPr>
                <w:rFonts w:hint="eastAsia" w:ascii="宋体" w:hAnsi="宋体" w:eastAsia="宋体" w:cs="宋体"/>
                <w:spacing w:val="0"/>
                <w:sz w:val="24"/>
                <w:szCs w:val="24"/>
              </w:rPr>
              <w:t>编列内容</w:t>
            </w:r>
          </w:p>
        </w:tc>
      </w:tr>
      <w:tr>
        <w:trPr>
          <w:tblCellSpacing w:w="15" w:type="dxa"/>
        </w:trPr>
        <w:tc>
          <w:tcPr>
            <w:tcW w:w="597" w:type="dxa"/>
            <w:tcBorders>
              <w:top w:val="nil"/>
              <w:left w:val="nil"/>
              <w:bottom w:val="nil"/>
              <w:right w:val="nil"/>
            </w:tcBorders>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0" w:afterAutospacing="0"/>
              <w:ind w:left="0" w:right="0"/>
              <w:jc w:val="center"/>
            </w:pPr>
            <w:r>
              <w:rPr>
                <w:rFonts w:hint="eastAsia" w:ascii="宋体" w:hAnsi="宋体" w:eastAsia="宋体" w:cs="宋体"/>
                <w:spacing w:val="0"/>
                <w:sz w:val="24"/>
                <w:szCs w:val="24"/>
              </w:rPr>
              <w:t>1</w:t>
            </w:r>
          </w:p>
        </w:tc>
        <w:tc>
          <w:tcPr>
            <w:tcW w:w="1574" w:type="dxa"/>
            <w:tcBorders>
              <w:top w:val="nil"/>
              <w:left w:val="nil"/>
              <w:bottom w:val="nil"/>
              <w:right w:val="nil"/>
            </w:tcBorders>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0" w:afterAutospacing="0"/>
              <w:ind w:left="0" w:right="0"/>
              <w:jc w:val="center"/>
            </w:pPr>
            <w:r>
              <w:rPr>
                <w:rFonts w:hint="eastAsia" w:ascii="宋体" w:hAnsi="宋体" w:eastAsia="宋体" w:cs="宋体"/>
                <w:spacing w:val="0"/>
                <w:sz w:val="24"/>
                <w:szCs w:val="24"/>
              </w:rPr>
              <w:t>6.1</w:t>
            </w:r>
          </w:p>
        </w:tc>
        <w:tc>
          <w:tcPr>
            <w:tcW w:w="6285" w:type="dxa"/>
            <w:tcBorders>
              <w:top w:val="nil"/>
              <w:left w:val="nil"/>
              <w:bottom w:val="nil"/>
              <w:right w:val="nil"/>
            </w:tcBorders>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0" w:afterAutospacing="0"/>
              <w:ind w:left="0" w:right="0"/>
            </w:pPr>
            <w:r>
              <w:rPr>
                <w:rStyle w:val="6"/>
                <w:rFonts w:hint="eastAsia" w:ascii="宋体" w:hAnsi="宋体" w:eastAsia="宋体" w:cs="宋体"/>
                <w:spacing w:val="0"/>
                <w:sz w:val="24"/>
                <w:szCs w:val="24"/>
              </w:rPr>
              <w:t>是否组织现场考察或召开开标前答疑会：</w:t>
            </w:r>
            <w:r>
              <w:rPr>
                <w:rFonts w:hint="eastAsia" w:ascii="宋体" w:hAnsi="宋体" w:eastAsia="宋体" w:cs="宋体"/>
                <w:spacing w:val="0"/>
                <w:sz w:val="24"/>
                <w:szCs w:val="24"/>
              </w:rPr>
              <w:t>投标人必须对本项目进行实地踏勘。①投标人现场踏勘时应随带的资料：本单位介绍信原件、现场踏勘确认书。②投标人需将经采购人盖章确认后的《现场踏勘确认书》作为投标文件的一部分，随同投标文件一同递交。（原件放入投标文件技术商务部份正本中，复印件放入技术商务部份副本中，电子投标文件中提供原件的扫描件，否则投标无效）③集中时间：报名结束后第一个工作日的9：00，未在此时间前到集中地点的视为未参加现场勘查活动。④集中地点：福州高新区行政审批局，本次现场勘察所需的交通工具由投标人自备。⑤勘查所涉地点：高新区海西园安置房（科技东路和高新大道交叉口）。⑥勘查联系人：赵欣怡女士；联系电话：15659169960。。</w:t>
            </w:r>
          </w:p>
        </w:tc>
      </w:tr>
      <w:tr>
        <w:trPr>
          <w:tblCellSpacing w:w="15" w:type="dxa"/>
        </w:trPr>
        <w:tc>
          <w:tcPr>
            <w:tcW w:w="597" w:type="dxa"/>
            <w:tcBorders>
              <w:top w:val="nil"/>
              <w:left w:val="nil"/>
              <w:bottom w:val="nil"/>
              <w:right w:val="nil"/>
            </w:tcBorders>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0" w:afterAutospacing="0"/>
              <w:ind w:left="0" w:right="0"/>
              <w:jc w:val="center"/>
            </w:pPr>
            <w:r>
              <w:rPr>
                <w:rFonts w:hint="eastAsia" w:ascii="宋体" w:hAnsi="宋体" w:eastAsia="宋体" w:cs="宋体"/>
                <w:spacing w:val="0"/>
                <w:sz w:val="24"/>
                <w:szCs w:val="24"/>
              </w:rPr>
              <w:t>2</w:t>
            </w:r>
          </w:p>
        </w:tc>
        <w:tc>
          <w:tcPr>
            <w:tcW w:w="1574" w:type="dxa"/>
            <w:tcBorders>
              <w:top w:val="nil"/>
              <w:left w:val="nil"/>
              <w:bottom w:val="nil"/>
              <w:right w:val="nil"/>
            </w:tcBorders>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0" w:afterAutospacing="0"/>
              <w:ind w:left="0" w:right="0"/>
              <w:jc w:val="center"/>
            </w:pPr>
            <w:r>
              <w:rPr>
                <w:rFonts w:hint="eastAsia" w:ascii="宋体" w:hAnsi="宋体" w:eastAsia="宋体" w:cs="宋体"/>
                <w:spacing w:val="0"/>
                <w:sz w:val="24"/>
                <w:szCs w:val="24"/>
              </w:rPr>
              <w:t>10.4</w:t>
            </w:r>
          </w:p>
        </w:tc>
        <w:tc>
          <w:tcPr>
            <w:tcW w:w="6285" w:type="dxa"/>
            <w:tcBorders>
              <w:top w:val="nil"/>
              <w:left w:val="nil"/>
              <w:bottom w:val="nil"/>
              <w:right w:val="nil"/>
            </w:tcBorders>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0" w:afterAutospacing="0"/>
              <w:ind w:left="0" w:right="0"/>
            </w:pPr>
            <w:r>
              <w:rPr>
                <w:rStyle w:val="6"/>
                <w:rFonts w:hint="eastAsia" w:ascii="宋体" w:hAnsi="宋体" w:eastAsia="宋体" w:cs="宋体"/>
                <w:spacing w:val="0"/>
                <w:sz w:val="24"/>
                <w:szCs w:val="24"/>
              </w:rPr>
              <w:t>投标文件的份数：</w:t>
            </w:r>
          </w:p>
          <w:p>
            <w:pPr>
              <w:pStyle w:val="4"/>
              <w:keepNext w:val="0"/>
              <w:keepLines w:val="0"/>
              <w:widowControl/>
              <w:suppressLineNumbers w:val="0"/>
              <w:spacing w:before="0" w:beforeAutospacing="0" w:after="0" w:afterAutospacing="0"/>
              <w:ind w:left="0" w:right="0"/>
            </w:pPr>
            <w:r>
              <w:rPr>
                <w:rFonts w:hint="eastAsia" w:ascii="宋体" w:hAnsi="宋体" w:eastAsia="宋体" w:cs="宋体"/>
                <w:spacing w:val="0"/>
                <w:sz w:val="24"/>
                <w:szCs w:val="24"/>
              </w:rPr>
              <w:t>（1）纸质投标文件：</w:t>
            </w:r>
          </w:p>
          <w:p>
            <w:pPr>
              <w:pStyle w:val="4"/>
              <w:keepNext w:val="0"/>
              <w:keepLines w:val="0"/>
              <w:widowControl/>
              <w:suppressLineNumbers w:val="0"/>
              <w:spacing w:before="0" w:beforeAutospacing="0" w:after="0" w:afterAutospacing="0"/>
              <w:ind w:left="0" w:right="0"/>
            </w:pPr>
            <w:r>
              <w:rPr>
                <w:rFonts w:hint="eastAsia" w:ascii="宋体" w:hAnsi="宋体" w:eastAsia="宋体" w:cs="宋体"/>
                <w:spacing w:val="0"/>
                <w:sz w:val="24"/>
                <w:szCs w:val="24"/>
              </w:rPr>
              <w:t>①资格及资信证明部分的正本</w:t>
            </w:r>
            <w:r>
              <w:rPr>
                <w:rFonts w:hint="eastAsia" w:ascii="宋体" w:hAnsi="宋体" w:eastAsia="宋体" w:cs="宋体"/>
                <w:spacing w:val="0"/>
                <w:sz w:val="24"/>
                <w:szCs w:val="24"/>
                <w:u w:val="single"/>
              </w:rPr>
              <w:t>1</w:t>
            </w:r>
            <w:r>
              <w:rPr>
                <w:rFonts w:hint="eastAsia" w:ascii="宋体" w:hAnsi="宋体" w:eastAsia="宋体" w:cs="宋体"/>
                <w:spacing w:val="0"/>
                <w:sz w:val="24"/>
                <w:szCs w:val="24"/>
              </w:rPr>
              <w:t>份、副本</w:t>
            </w:r>
            <w:r>
              <w:rPr>
                <w:rFonts w:hint="eastAsia" w:ascii="宋体" w:hAnsi="宋体" w:eastAsia="宋体" w:cs="宋体"/>
                <w:spacing w:val="0"/>
                <w:sz w:val="24"/>
                <w:szCs w:val="24"/>
                <w:u w:val="single"/>
              </w:rPr>
              <w:t>3</w:t>
            </w:r>
            <w:r>
              <w:rPr>
                <w:rFonts w:hint="eastAsia" w:ascii="宋体" w:hAnsi="宋体" w:eastAsia="宋体" w:cs="宋体"/>
                <w:spacing w:val="0"/>
                <w:sz w:val="24"/>
                <w:szCs w:val="24"/>
              </w:rPr>
              <w:t>份，报价部分的正本</w:t>
            </w:r>
            <w:r>
              <w:rPr>
                <w:rFonts w:hint="eastAsia" w:ascii="宋体" w:hAnsi="宋体" w:eastAsia="宋体" w:cs="宋体"/>
                <w:spacing w:val="0"/>
                <w:sz w:val="24"/>
                <w:szCs w:val="24"/>
                <w:u w:val="single"/>
              </w:rPr>
              <w:t>1</w:t>
            </w:r>
            <w:r>
              <w:rPr>
                <w:rFonts w:hint="eastAsia" w:ascii="宋体" w:hAnsi="宋体" w:eastAsia="宋体" w:cs="宋体"/>
                <w:spacing w:val="0"/>
                <w:sz w:val="24"/>
                <w:szCs w:val="24"/>
              </w:rPr>
              <w:t>份、副本</w:t>
            </w:r>
            <w:r>
              <w:rPr>
                <w:rFonts w:hint="eastAsia" w:ascii="宋体" w:hAnsi="宋体" w:eastAsia="宋体" w:cs="宋体"/>
                <w:spacing w:val="0"/>
                <w:sz w:val="24"/>
                <w:szCs w:val="24"/>
                <w:u w:val="single"/>
              </w:rPr>
              <w:t>3</w:t>
            </w:r>
            <w:r>
              <w:rPr>
                <w:rFonts w:hint="eastAsia" w:ascii="宋体" w:hAnsi="宋体" w:eastAsia="宋体" w:cs="宋体"/>
                <w:spacing w:val="0"/>
                <w:sz w:val="24"/>
                <w:szCs w:val="24"/>
              </w:rPr>
              <w:t>份，技术商务部分的正本</w:t>
            </w:r>
            <w:r>
              <w:rPr>
                <w:rFonts w:hint="eastAsia" w:ascii="宋体" w:hAnsi="宋体" w:eastAsia="宋体" w:cs="宋体"/>
                <w:spacing w:val="0"/>
                <w:sz w:val="24"/>
                <w:szCs w:val="24"/>
                <w:u w:val="single"/>
              </w:rPr>
              <w:t>1</w:t>
            </w:r>
            <w:r>
              <w:rPr>
                <w:rFonts w:hint="eastAsia" w:ascii="宋体" w:hAnsi="宋体" w:eastAsia="宋体" w:cs="宋体"/>
                <w:spacing w:val="0"/>
                <w:sz w:val="24"/>
                <w:szCs w:val="24"/>
              </w:rPr>
              <w:t>份、副本</w:t>
            </w:r>
            <w:r>
              <w:rPr>
                <w:rFonts w:hint="eastAsia" w:ascii="宋体" w:hAnsi="宋体" w:eastAsia="宋体" w:cs="宋体"/>
                <w:spacing w:val="0"/>
                <w:sz w:val="24"/>
                <w:szCs w:val="24"/>
                <w:u w:val="single"/>
              </w:rPr>
              <w:t>3</w:t>
            </w:r>
            <w:r>
              <w:rPr>
                <w:rFonts w:hint="eastAsia" w:ascii="宋体" w:hAnsi="宋体" w:eastAsia="宋体" w:cs="宋体"/>
                <w:spacing w:val="0"/>
                <w:sz w:val="24"/>
                <w:szCs w:val="24"/>
              </w:rPr>
              <w:t>份。</w:t>
            </w:r>
          </w:p>
          <w:p>
            <w:pPr>
              <w:pStyle w:val="4"/>
              <w:keepNext w:val="0"/>
              <w:keepLines w:val="0"/>
              <w:widowControl/>
              <w:suppressLineNumbers w:val="0"/>
              <w:spacing w:before="0" w:beforeAutospacing="0" w:after="0" w:afterAutospacing="0"/>
              <w:ind w:left="0" w:right="0"/>
            </w:pPr>
            <w:r>
              <w:rPr>
                <w:rFonts w:hint="eastAsia" w:ascii="宋体" w:hAnsi="宋体" w:eastAsia="宋体" w:cs="宋体"/>
                <w:spacing w:val="0"/>
                <w:sz w:val="24"/>
                <w:szCs w:val="24"/>
              </w:rPr>
              <w:t>②可读介质（光盘或</w:t>
            </w:r>
            <w:r>
              <w:rPr>
                <w:rFonts w:hint="default" w:ascii="Times New Roman" w:hAnsi="Times New Roman" w:cs="Times New Roman"/>
                <w:spacing w:val="0"/>
                <w:sz w:val="24"/>
                <w:szCs w:val="24"/>
              </w:rPr>
              <w:t>U</w:t>
            </w:r>
            <w:r>
              <w:rPr>
                <w:rFonts w:hint="eastAsia" w:ascii="宋体" w:hAnsi="宋体" w:eastAsia="宋体" w:cs="宋体"/>
                <w:spacing w:val="0"/>
                <w:sz w:val="24"/>
                <w:szCs w:val="24"/>
              </w:rPr>
              <w:t>盘）</w:t>
            </w:r>
            <w:r>
              <w:rPr>
                <w:rFonts w:hint="eastAsia" w:ascii="宋体" w:hAnsi="宋体" w:eastAsia="宋体" w:cs="宋体"/>
                <w:spacing w:val="0"/>
                <w:sz w:val="24"/>
                <w:szCs w:val="24"/>
                <w:u w:val="single"/>
              </w:rPr>
              <w:t>1</w:t>
            </w:r>
            <w:r>
              <w:rPr>
                <w:rFonts w:hint="eastAsia" w:ascii="宋体" w:hAnsi="宋体" w:eastAsia="宋体" w:cs="宋体"/>
                <w:spacing w:val="0"/>
                <w:sz w:val="24"/>
                <w:szCs w:val="24"/>
              </w:rPr>
              <w:t>份：投标人应将其上传至福建省政府采购网上公开信息系统的电子投标文件在该可读介质中另存</w:t>
            </w:r>
            <w:r>
              <w:rPr>
                <w:rFonts w:hint="eastAsia" w:ascii="宋体" w:hAnsi="宋体" w:eastAsia="宋体" w:cs="宋体"/>
                <w:spacing w:val="0"/>
                <w:sz w:val="24"/>
                <w:szCs w:val="24"/>
                <w:u w:val="single"/>
              </w:rPr>
              <w:t>1</w:t>
            </w:r>
            <w:r>
              <w:rPr>
                <w:rFonts w:hint="eastAsia" w:ascii="宋体" w:hAnsi="宋体" w:eastAsia="宋体" w:cs="宋体"/>
                <w:spacing w:val="0"/>
                <w:sz w:val="24"/>
                <w:szCs w:val="24"/>
              </w:rPr>
              <w:t>份。</w:t>
            </w:r>
          </w:p>
          <w:p>
            <w:pPr>
              <w:pStyle w:val="4"/>
              <w:keepNext w:val="0"/>
              <w:keepLines w:val="0"/>
              <w:widowControl/>
              <w:suppressLineNumbers w:val="0"/>
              <w:spacing w:before="0" w:beforeAutospacing="0" w:after="0" w:afterAutospacing="0"/>
              <w:ind w:left="0" w:right="0"/>
            </w:pPr>
            <w:r>
              <w:rPr>
                <w:rFonts w:hint="eastAsia" w:ascii="宋体" w:hAnsi="宋体" w:eastAsia="宋体" w:cs="宋体"/>
                <w:spacing w:val="0"/>
                <w:sz w:val="24"/>
                <w:szCs w:val="24"/>
              </w:rPr>
              <w:t>（2）电子投标文件：详见表</w:t>
            </w:r>
            <w:r>
              <w:rPr>
                <w:rFonts w:hint="default" w:ascii="Times New Roman" w:hAnsi="Times New Roman" w:cs="Times New Roman"/>
                <w:spacing w:val="0"/>
                <w:sz w:val="24"/>
                <w:szCs w:val="24"/>
              </w:rPr>
              <w:t>2</w:t>
            </w:r>
            <w:r>
              <w:rPr>
                <w:rFonts w:hint="eastAsia" w:ascii="宋体" w:hAnsi="宋体" w:eastAsia="宋体" w:cs="宋体"/>
                <w:spacing w:val="0"/>
                <w:sz w:val="24"/>
                <w:szCs w:val="24"/>
              </w:rPr>
              <w:t>《关于电子招标投标活动的专门规定》。</w:t>
            </w:r>
          </w:p>
        </w:tc>
      </w:tr>
      <w:tr>
        <w:trPr>
          <w:tblCellSpacing w:w="15" w:type="dxa"/>
        </w:trPr>
        <w:tc>
          <w:tcPr>
            <w:tcW w:w="597" w:type="dxa"/>
            <w:tcBorders>
              <w:top w:val="nil"/>
              <w:left w:val="nil"/>
              <w:bottom w:val="nil"/>
              <w:right w:val="nil"/>
            </w:tcBorders>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0" w:afterAutospacing="0"/>
              <w:ind w:left="0" w:right="0"/>
              <w:jc w:val="center"/>
            </w:pPr>
            <w:r>
              <w:rPr>
                <w:rFonts w:hint="eastAsia" w:ascii="宋体" w:hAnsi="宋体" w:eastAsia="宋体" w:cs="宋体"/>
                <w:spacing w:val="0"/>
                <w:sz w:val="24"/>
                <w:szCs w:val="24"/>
              </w:rPr>
              <w:t>3</w:t>
            </w:r>
          </w:p>
        </w:tc>
        <w:tc>
          <w:tcPr>
            <w:tcW w:w="1574" w:type="dxa"/>
            <w:tcBorders>
              <w:top w:val="nil"/>
              <w:left w:val="nil"/>
              <w:bottom w:val="nil"/>
              <w:right w:val="nil"/>
            </w:tcBorders>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0" w:afterAutospacing="0"/>
              <w:ind w:left="0" w:right="0"/>
            </w:pPr>
            <w:r>
              <w:rPr>
                <w:rFonts w:hint="eastAsia" w:ascii="宋体" w:hAnsi="宋体" w:eastAsia="宋体" w:cs="宋体"/>
                <w:spacing w:val="0"/>
                <w:sz w:val="24"/>
                <w:szCs w:val="24"/>
              </w:rPr>
              <w:t>10.5-（</w:t>
            </w:r>
            <w:r>
              <w:rPr>
                <w:rFonts w:hint="default" w:ascii="Times New Roman" w:hAnsi="Times New Roman" w:cs="Times New Roman"/>
                <w:spacing w:val="0"/>
                <w:sz w:val="24"/>
                <w:szCs w:val="24"/>
              </w:rPr>
              <w:t>2</w:t>
            </w:r>
            <w:r>
              <w:rPr>
                <w:rFonts w:hint="eastAsia" w:ascii="宋体" w:hAnsi="宋体" w:eastAsia="宋体" w:cs="宋体"/>
                <w:spacing w:val="0"/>
                <w:sz w:val="24"/>
                <w:szCs w:val="24"/>
              </w:rPr>
              <w:t>）</w:t>
            </w:r>
            <w:r>
              <w:rPr>
                <w:rFonts w:hint="default" w:ascii="Times New Roman" w:hAnsi="Times New Roman" w:cs="Times New Roman"/>
                <w:spacing w:val="0"/>
                <w:sz w:val="24"/>
                <w:szCs w:val="24"/>
              </w:rPr>
              <w:t>-</w:t>
            </w:r>
            <w:r>
              <w:rPr>
                <w:rFonts w:hint="eastAsia" w:ascii="宋体" w:hAnsi="宋体" w:eastAsia="宋体" w:cs="宋体"/>
                <w:spacing w:val="0"/>
                <w:sz w:val="24"/>
                <w:szCs w:val="24"/>
              </w:rPr>
              <w:t>③</w:t>
            </w:r>
          </w:p>
        </w:tc>
        <w:tc>
          <w:tcPr>
            <w:tcW w:w="6285" w:type="dxa"/>
            <w:tcBorders>
              <w:top w:val="nil"/>
              <w:left w:val="nil"/>
              <w:bottom w:val="nil"/>
              <w:right w:val="nil"/>
            </w:tcBorders>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0" w:afterAutospacing="0"/>
              <w:ind w:left="0" w:right="0"/>
            </w:pPr>
            <w:r>
              <w:rPr>
                <w:rStyle w:val="6"/>
                <w:rFonts w:hint="eastAsia" w:ascii="宋体" w:hAnsi="宋体" w:eastAsia="宋体" w:cs="宋体"/>
                <w:spacing w:val="0"/>
                <w:sz w:val="24"/>
                <w:szCs w:val="24"/>
              </w:rPr>
              <w:t>允许散装或活页装订的内容或材料：</w:t>
            </w:r>
          </w:p>
          <w:p>
            <w:pPr>
              <w:pStyle w:val="4"/>
              <w:keepNext w:val="0"/>
              <w:keepLines w:val="0"/>
              <w:widowControl/>
              <w:suppressLineNumbers w:val="0"/>
              <w:spacing w:before="0" w:beforeAutospacing="0" w:after="0" w:afterAutospacing="0"/>
              <w:ind w:left="0" w:right="0"/>
            </w:pPr>
            <w:r>
              <w:rPr>
                <w:rFonts w:hint="eastAsia" w:ascii="宋体" w:hAnsi="宋体" w:eastAsia="宋体" w:cs="宋体"/>
                <w:spacing w:val="0"/>
                <w:sz w:val="24"/>
                <w:szCs w:val="24"/>
              </w:rPr>
              <w:t>（1）投标文件的补充、修改或撤回；</w:t>
            </w:r>
          </w:p>
          <w:p>
            <w:pPr>
              <w:pStyle w:val="4"/>
              <w:keepNext w:val="0"/>
              <w:keepLines w:val="0"/>
              <w:widowControl/>
              <w:suppressLineNumbers w:val="0"/>
              <w:spacing w:before="0" w:beforeAutospacing="0" w:after="0" w:afterAutospacing="0"/>
              <w:ind w:left="0" w:right="0"/>
            </w:pPr>
            <w:r>
              <w:rPr>
                <w:rFonts w:hint="eastAsia" w:ascii="宋体" w:hAnsi="宋体" w:eastAsia="宋体" w:cs="宋体"/>
                <w:spacing w:val="0"/>
                <w:sz w:val="24"/>
                <w:szCs w:val="24"/>
              </w:rPr>
              <w:t>（2）其他内容或材料：无</w:t>
            </w:r>
          </w:p>
        </w:tc>
      </w:tr>
      <w:tr>
        <w:trPr>
          <w:tblCellSpacing w:w="15" w:type="dxa"/>
        </w:trPr>
        <w:tc>
          <w:tcPr>
            <w:tcW w:w="597" w:type="dxa"/>
            <w:tcBorders>
              <w:top w:val="nil"/>
              <w:left w:val="nil"/>
              <w:bottom w:val="nil"/>
              <w:right w:val="nil"/>
            </w:tcBorders>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0" w:afterAutospacing="0"/>
              <w:ind w:left="0" w:right="0"/>
              <w:jc w:val="center"/>
            </w:pPr>
            <w:r>
              <w:rPr>
                <w:rFonts w:hint="eastAsia" w:ascii="宋体" w:hAnsi="宋体" w:eastAsia="宋体" w:cs="宋体"/>
                <w:spacing w:val="0"/>
                <w:sz w:val="24"/>
                <w:szCs w:val="24"/>
              </w:rPr>
              <w:t>4</w:t>
            </w:r>
          </w:p>
        </w:tc>
        <w:tc>
          <w:tcPr>
            <w:tcW w:w="1574" w:type="dxa"/>
            <w:tcBorders>
              <w:top w:val="nil"/>
              <w:left w:val="nil"/>
              <w:bottom w:val="nil"/>
              <w:right w:val="nil"/>
            </w:tcBorders>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0" w:afterAutospacing="0"/>
              <w:ind w:left="0" w:right="0"/>
            </w:pPr>
            <w:r>
              <w:rPr>
                <w:rFonts w:hint="eastAsia" w:ascii="宋体" w:hAnsi="宋体" w:eastAsia="宋体" w:cs="宋体"/>
                <w:spacing w:val="0"/>
                <w:sz w:val="24"/>
                <w:szCs w:val="24"/>
              </w:rPr>
              <w:t> 10.7-（</w:t>
            </w:r>
            <w:r>
              <w:rPr>
                <w:rFonts w:hint="default" w:ascii="Times New Roman" w:hAnsi="Times New Roman" w:cs="Times New Roman"/>
                <w:spacing w:val="0"/>
                <w:sz w:val="24"/>
                <w:szCs w:val="24"/>
              </w:rPr>
              <w:t>1</w:t>
            </w:r>
            <w:r>
              <w:rPr>
                <w:rFonts w:hint="eastAsia" w:ascii="宋体" w:hAnsi="宋体" w:eastAsia="宋体" w:cs="宋体"/>
                <w:spacing w:val="0"/>
                <w:sz w:val="24"/>
                <w:szCs w:val="24"/>
              </w:rPr>
              <w:t>）</w:t>
            </w:r>
          </w:p>
        </w:tc>
        <w:tc>
          <w:tcPr>
            <w:tcW w:w="6285" w:type="dxa"/>
            <w:tcBorders>
              <w:top w:val="nil"/>
              <w:left w:val="nil"/>
              <w:bottom w:val="nil"/>
              <w:right w:val="nil"/>
            </w:tcBorders>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0" w:afterAutospacing="0"/>
              <w:ind w:left="0" w:right="0"/>
            </w:pPr>
            <w:r>
              <w:rPr>
                <w:rStyle w:val="6"/>
                <w:rFonts w:hint="eastAsia" w:ascii="宋体" w:hAnsi="宋体" w:eastAsia="宋体" w:cs="宋体"/>
                <w:spacing w:val="0"/>
                <w:sz w:val="24"/>
                <w:szCs w:val="24"/>
              </w:rPr>
              <w:t>是否允许中标人将本项目的非主体、非关键性工作进行分包：</w:t>
            </w:r>
          </w:p>
          <w:p>
            <w:pPr>
              <w:pStyle w:val="4"/>
              <w:keepNext w:val="0"/>
              <w:keepLines w:val="0"/>
              <w:widowControl/>
              <w:suppressLineNumbers w:val="0"/>
              <w:spacing w:before="0" w:beforeAutospacing="0" w:after="0" w:afterAutospacing="0"/>
              <w:ind w:left="0" w:right="0"/>
            </w:pPr>
            <w:r>
              <w:rPr>
                <w:rFonts w:hint="eastAsia" w:ascii="宋体" w:hAnsi="宋体" w:eastAsia="宋体" w:cs="宋体"/>
                <w:spacing w:val="0"/>
                <w:sz w:val="24"/>
                <w:szCs w:val="24"/>
              </w:rPr>
              <w:t>不允许。</w:t>
            </w:r>
          </w:p>
        </w:tc>
      </w:tr>
      <w:tr>
        <w:trPr>
          <w:tblCellSpacing w:w="15" w:type="dxa"/>
        </w:trPr>
        <w:tc>
          <w:tcPr>
            <w:tcW w:w="597" w:type="dxa"/>
            <w:tcBorders>
              <w:top w:val="nil"/>
              <w:left w:val="nil"/>
              <w:bottom w:val="nil"/>
              <w:right w:val="nil"/>
            </w:tcBorders>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0" w:afterAutospacing="0"/>
              <w:ind w:left="0" w:right="0"/>
              <w:jc w:val="center"/>
            </w:pPr>
            <w:r>
              <w:rPr>
                <w:rFonts w:hint="eastAsia" w:ascii="宋体" w:hAnsi="宋体" w:eastAsia="宋体" w:cs="宋体"/>
                <w:spacing w:val="0"/>
                <w:sz w:val="24"/>
                <w:szCs w:val="24"/>
              </w:rPr>
              <w:t>5</w:t>
            </w:r>
          </w:p>
        </w:tc>
        <w:tc>
          <w:tcPr>
            <w:tcW w:w="1574" w:type="dxa"/>
            <w:tcBorders>
              <w:top w:val="nil"/>
              <w:left w:val="nil"/>
              <w:bottom w:val="nil"/>
              <w:right w:val="nil"/>
            </w:tcBorders>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0" w:afterAutospacing="0"/>
              <w:ind w:left="0" w:right="0"/>
              <w:jc w:val="center"/>
            </w:pPr>
            <w:r>
              <w:rPr>
                <w:rFonts w:hint="eastAsia" w:ascii="宋体" w:hAnsi="宋体" w:eastAsia="宋体" w:cs="宋体"/>
                <w:spacing w:val="0"/>
                <w:sz w:val="24"/>
                <w:szCs w:val="24"/>
              </w:rPr>
              <w:t>10.8-（</w:t>
            </w:r>
            <w:r>
              <w:rPr>
                <w:rFonts w:ascii="Calibri" w:hAnsi="Calibri" w:cs="Calibri"/>
                <w:spacing w:val="0"/>
                <w:sz w:val="24"/>
                <w:szCs w:val="24"/>
              </w:rPr>
              <w:t>1</w:t>
            </w:r>
            <w:r>
              <w:rPr>
                <w:rFonts w:hint="eastAsia" w:ascii="宋体" w:hAnsi="宋体" w:eastAsia="宋体" w:cs="宋体"/>
                <w:spacing w:val="0"/>
                <w:sz w:val="24"/>
                <w:szCs w:val="24"/>
              </w:rPr>
              <w:t>）</w:t>
            </w:r>
          </w:p>
        </w:tc>
        <w:tc>
          <w:tcPr>
            <w:tcW w:w="6285" w:type="dxa"/>
            <w:tcBorders>
              <w:top w:val="nil"/>
              <w:left w:val="nil"/>
              <w:bottom w:val="nil"/>
              <w:right w:val="nil"/>
            </w:tcBorders>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0" w:afterAutospacing="0"/>
              <w:ind w:left="0" w:right="0"/>
            </w:pPr>
            <w:r>
              <w:rPr>
                <w:rStyle w:val="6"/>
                <w:rFonts w:hint="eastAsia" w:ascii="宋体" w:hAnsi="宋体" w:eastAsia="宋体" w:cs="宋体"/>
                <w:spacing w:val="0"/>
                <w:sz w:val="24"/>
                <w:szCs w:val="24"/>
              </w:rPr>
              <w:t>投标有效期</w:t>
            </w:r>
            <w:r>
              <w:rPr>
                <w:rFonts w:hint="eastAsia" w:ascii="宋体" w:hAnsi="宋体" w:eastAsia="宋体" w:cs="宋体"/>
                <w:spacing w:val="0"/>
                <w:sz w:val="24"/>
                <w:szCs w:val="24"/>
              </w:rPr>
              <w:t>：投标截止时间起90个日历日。</w:t>
            </w:r>
          </w:p>
        </w:tc>
      </w:tr>
      <w:tr>
        <w:trPr>
          <w:tblCellSpacing w:w="15" w:type="dxa"/>
        </w:trPr>
        <w:tc>
          <w:tcPr>
            <w:tcW w:w="597" w:type="dxa"/>
            <w:tcBorders>
              <w:top w:val="nil"/>
              <w:left w:val="nil"/>
              <w:bottom w:val="nil"/>
              <w:right w:val="nil"/>
            </w:tcBorders>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0" w:afterAutospacing="0"/>
              <w:ind w:left="0" w:right="0"/>
              <w:jc w:val="center"/>
            </w:pPr>
            <w:r>
              <w:rPr>
                <w:rFonts w:hint="eastAsia" w:ascii="宋体" w:hAnsi="宋体" w:eastAsia="宋体" w:cs="宋体"/>
                <w:spacing w:val="0"/>
                <w:sz w:val="24"/>
                <w:szCs w:val="24"/>
              </w:rPr>
              <w:t>6</w:t>
            </w:r>
          </w:p>
        </w:tc>
        <w:tc>
          <w:tcPr>
            <w:tcW w:w="1574" w:type="dxa"/>
            <w:tcBorders>
              <w:top w:val="nil"/>
              <w:left w:val="nil"/>
              <w:bottom w:val="nil"/>
              <w:right w:val="nil"/>
            </w:tcBorders>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0" w:afterAutospacing="0"/>
              <w:ind w:left="0" w:right="0"/>
              <w:jc w:val="center"/>
            </w:pPr>
            <w:r>
              <w:rPr>
                <w:rFonts w:hint="eastAsia" w:ascii="宋体" w:hAnsi="宋体" w:eastAsia="宋体" w:cs="宋体"/>
                <w:spacing w:val="0"/>
                <w:sz w:val="24"/>
                <w:szCs w:val="24"/>
              </w:rPr>
              <w:t>10.10-（</w:t>
            </w:r>
            <w:r>
              <w:rPr>
                <w:rFonts w:hint="default" w:ascii="Calibri" w:hAnsi="Calibri" w:cs="Calibri"/>
                <w:spacing w:val="0"/>
                <w:sz w:val="24"/>
                <w:szCs w:val="24"/>
              </w:rPr>
              <w:t>2</w:t>
            </w:r>
            <w:r>
              <w:rPr>
                <w:rFonts w:hint="eastAsia" w:ascii="宋体" w:hAnsi="宋体" w:eastAsia="宋体" w:cs="宋体"/>
                <w:spacing w:val="0"/>
                <w:sz w:val="24"/>
                <w:szCs w:val="24"/>
              </w:rPr>
              <w:t>）</w:t>
            </w:r>
          </w:p>
        </w:tc>
        <w:tc>
          <w:tcPr>
            <w:tcW w:w="6285" w:type="dxa"/>
            <w:tcBorders>
              <w:top w:val="nil"/>
              <w:left w:val="nil"/>
              <w:bottom w:val="nil"/>
              <w:right w:val="nil"/>
            </w:tcBorders>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0" w:afterAutospacing="0"/>
              <w:ind w:left="0" w:right="0"/>
            </w:pPr>
            <w:r>
              <w:rPr>
                <w:rStyle w:val="6"/>
                <w:rFonts w:hint="eastAsia" w:ascii="宋体" w:hAnsi="宋体" w:eastAsia="宋体" w:cs="宋体"/>
                <w:spacing w:val="0"/>
                <w:sz w:val="24"/>
                <w:szCs w:val="24"/>
              </w:rPr>
              <w:t>密封及其标记的具体形式：</w:t>
            </w:r>
          </w:p>
          <w:p>
            <w:pPr>
              <w:pStyle w:val="4"/>
              <w:keepNext w:val="0"/>
              <w:keepLines w:val="0"/>
              <w:widowControl/>
              <w:suppressLineNumbers w:val="0"/>
              <w:spacing w:before="0" w:beforeAutospacing="0" w:after="0" w:afterAutospacing="0"/>
              <w:ind w:left="0" w:right="0"/>
            </w:pPr>
            <w:r>
              <w:rPr>
                <w:rFonts w:hint="eastAsia" w:ascii="宋体" w:hAnsi="宋体" w:eastAsia="宋体" w:cs="宋体"/>
                <w:spacing w:val="0"/>
                <w:sz w:val="24"/>
                <w:szCs w:val="24"/>
              </w:rPr>
              <w:t>（1）全部纸质投标文件（包括正本、副本及可读介质）均应密封，否则</w:t>
            </w:r>
            <w:r>
              <w:rPr>
                <w:rStyle w:val="6"/>
                <w:rFonts w:hint="eastAsia" w:ascii="宋体" w:hAnsi="宋体" w:eastAsia="宋体" w:cs="宋体"/>
                <w:spacing w:val="0"/>
                <w:sz w:val="24"/>
                <w:szCs w:val="24"/>
              </w:rPr>
              <w:t>投标将被拒绝。</w:t>
            </w:r>
          </w:p>
          <w:p>
            <w:pPr>
              <w:pStyle w:val="4"/>
              <w:keepNext w:val="0"/>
              <w:keepLines w:val="0"/>
              <w:widowControl/>
              <w:suppressLineNumbers w:val="0"/>
              <w:spacing w:before="0" w:beforeAutospacing="0" w:after="0" w:afterAutospacing="0"/>
              <w:ind w:left="0" w:right="0"/>
            </w:pPr>
            <w:r>
              <w:rPr>
                <w:rFonts w:hint="eastAsia" w:ascii="宋体" w:hAnsi="宋体" w:eastAsia="宋体" w:cs="宋体"/>
                <w:spacing w:val="0"/>
                <w:sz w:val="24"/>
                <w:szCs w:val="24"/>
              </w:rPr>
              <w:t>（2）密封的外包装应至少标记“项目名称、招标编号、所投合同包、投标人的全称”等内容，否则造成投标文件误投、遗漏或提前拆封的，</w:t>
            </w:r>
            <w:r>
              <w:rPr>
                <w:rFonts w:hint="eastAsia" w:ascii="宋体" w:hAnsi="宋体" w:eastAsia="宋体" w:cs="宋体"/>
                <w:spacing w:val="0"/>
                <w:sz w:val="24"/>
                <w:szCs w:val="24"/>
                <w:u w:val="single"/>
              </w:rPr>
              <w:t>福建省闽鸿招标有限公司</w:t>
            </w:r>
            <w:r>
              <w:rPr>
                <w:rFonts w:hint="eastAsia" w:ascii="宋体" w:hAnsi="宋体" w:eastAsia="宋体" w:cs="宋体"/>
                <w:spacing w:val="0"/>
                <w:sz w:val="24"/>
                <w:szCs w:val="24"/>
              </w:rPr>
              <w:t>不承担责任。</w:t>
            </w:r>
          </w:p>
          <w:p>
            <w:pPr>
              <w:pStyle w:val="4"/>
              <w:keepNext w:val="0"/>
              <w:keepLines w:val="0"/>
              <w:widowControl/>
              <w:suppressLineNumbers w:val="0"/>
              <w:spacing w:before="0" w:beforeAutospacing="0" w:after="0" w:afterAutospacing="0"/>
              <w:ind w:left="0" w:right="0"/>
            </w:pPr>
            <w:r>
              <w:rPr>
                <w:rFonts w:hint="eastAsia" w:ascii="宋体" w:hAnsi="宋体" w:eastAsia="宋体" w:cs="宋体"/>
                <w:spacing w:val="0"/>
                <w:sz w:val="24"/>
                <w:szCs w:val="24"/>
              </w:rPr>
              <w:t>（3）其他：投标人须编制由本须知规定文件组成的投标文件正本一份和副本三份（资格及资信证明部分、报价部分、技术商务部分需单独装订，分册密封投标），正本必须用A4幅面纸张打印装订成册（含产品彩页），应编制封面目录、页码，必须用胶装（为永久性、无破坏不可拆的）加盖红色骑缝章或逐页盖章。副本可以用正本的完整复印件并按规定装订成册，并在封面标明“正本”、“副本”字样。正本与副本如有不一致，则以正本为准。（注：若未按要求装订或投标文件技术商务部分或资格及资信证明部分出现投标报价，视为无效投标。）未按以上格式完成并提交的投标无效。投标文件正本中所有资格证明文件复印件须注明“与原件一致”并加盖投标人公章，否则视为无效投标。</w:t>
            </w:r>
          </w:p>
        </w:tc>
      </w:tr>
      <w:tr>
        <w:trPr>
          <w:tblCellSpacing w:w="15" w:type="dxa"/>
        </w:trPr>
        <w:tc>
          <w:tcPr>
            <w:tcW w:w="597" w:type="dxa"/>
            <w:tcBorders>
              <w:top w:val="nil"/>
              <w:left w:val="nil"/>
              <w:bottom w:val="nil"/>
              <w:right w:val="nil"/>
            </w:tcBorders>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0" w:afterAutospacing="0"/>
              <w:ind w:left="0" w:right="0"/>
              <w:jc w:val="center"/>
            </w:pPr>
            <w:r>
              <w:rPr>
                <w:rFonts w:hint="eastAsia" w:ascii="宋体" w:hAnsi="宋体" w:eastAsia="宋体" w:cs="宋体"/>
                <w:spacing w:val="0"/>
                <w:sz w:val="24"/>
                <w:szCs w:val="24"/>
              </w:rPr>
              <w:t>7</w:t>
            </w:r>
          </w:p>
        </w:tc>
        <w:tc>
          <w:tcPr>
            <w:tcW w:w="1574" w:type="dxa"/>
            <w:tcBorders>
              <w:top w:val="nil"/>
              <w:left w:val="nil"/>
              <w:bottom w:val="nil"/>
              <w:right w:val="nil"/>
            </w:tcBorders>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0" w:afterAutospacing="0"/>
              <w:ind w:left="0" w:right="0"/>
              <w:jc w:val="center"/>
            </w:pPr>
            <w:r>
              <w:rPr>
                <w:rFonts w:hint="eastAsia" w:ascii="宋体" w:hAnsi="宋体" w:eastAsia="宋体" w:cs="宋体"/>
                <w:spacing w:val="0"/>
                <w:sz w:val="24"/>
                <w:szCs w:val="24"/>
              </w:rPr>
              <w:t>12.1</w:t>
            </w:r>
          </w:p>
        </w:tc>
        <w:tc>
          <w:tcPr>
            <w:tcW w:w="6285" w:type="dxa"/>
            <w:tcBorders>
              <w:top w:val="nil"/>
              <w:left w:val="nil"/>
              <w:bottom w:val="nil"/>
              <w:right w:val="nil"/>
            </w:tcBorders>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0" w:afterAutospacing="0"/>
              <w:ind w:left="0" w:right="0"/>
            </w:pPr>
            <w:r>
              <w:rPr>
                <w:rFonts w:hint="eastAsia" w:ascii="宋体" w:hAnsi="宋体" w:eastAsia="宋体" w:cs="宋体"/>
                <w:spacing w:val="0"/>
                <w:sz w:val="24"/>
                <w:szCs w:val="24"/>
              </w:rPr>
              <w:t>本项目推荐合同包1中标候选人数为1家。</w:t>
            </w:r>
          </w:p>
        </w:tc>
      </w:tr>
      <w:tr>
        <w:trPr>
          <w:tblCellSpacing w:w="15" w:type="dxa"/>
        </w:trPr>
        <w:tc>
          <w:tcPr>
            <w:tcW w:w="597" w:type="dxa"/>
            <w:tcBorders>
              <w:top w:val="nil"/>
              <w:left w:val="nil"/>
              <w:bottom w:val="nil"/>
              <w:right w:val="nil"/>
            </w:tcBorders>
            <w:shd w:val="clear" w:color="auto" w:fill="auto"/>
            <w:tcMar>
              <w:top w:w="75" w:type="dxa"/>
              <w:left w:w="150" w:type="dxa"/>
              <w:bottom w:w="75" w:type="dxa"/>
              <w:right w:w="150" w:type="dxa"/>
            </w:tcMar>
            <w:vAlign w:val="center"/>
          </w:tcPr>
          <w:p>
            <w:pPr>
              <w:pStyle w:val="4"/>
              <w:keepNext w:val="0"/>
              <w:keepLines w:val="0"/>
              <w:widowControl/>
              <w:suppressLineNumbers w:val="0"/>
              <w:spacing w:before="0" w:beforeAutospacing="0" w:after="0" w:afterAutospacing="0"/>
              <w:ind w:left="0" w:right="0" w:firstLine="0"/>
            </w:pPr>
            <w:r>
              <w:rPr>
                <w:spacing w:val="0"/>
                <w:sz w:val="24"/>
                <w:szCs w:val="24"/>
              </w:rPr>
              <w:t>  8</w:t>
            </w:r>
          </w:p>
        </w:tc>
        <w:tc>
          <w:tcPr>
            <w:tcW w:w="1574" w:type="dxa"/>
            <w:tcBorders>
              <w:top w:val="nil"/>
              <w:left w:val="nil"/>
              <w:bottom w:val="nil"/>
              <w:right w:val="nil"/>
            </w:tcBorders>
            <w:shd w:val="clear" w:color="auto" w:fill="auto"/>
            <w:tcMar>
              <w:top w:w="75" w:type="dxa"/>
              <w:left w:w="150" w:type="dxa"/>
              <w:bottom w:w="75" w:type="dxa"/>
              <w:right w:w="150" w:type="dxa"/>
            </w:tcMar>
            <w:vAlign w:val="center"/>
          </w:tcPr>
          <w:p>
            <w:pPr>
              <w:pStyle w:val="4"/>
              <w:keepNext w:val="0"/>
              <w:keepLines w:val="0"/>
              <w:widowControl/>
              <w:suppressLineNumbers w:val="0"/>
              <w:spacing w:before="0" w:beforeAutospacing="0" w:after="0" w:afterAutospacing="0"/>
              <w:ind w:left="0" w:right="0" w:firstLine="0"/>
            </w:pPr>
            <w:r>
              <w:rPr>
                <w:spacing w:val="0"/>
                <w:sz w:val="24"/>
                <w:szCs w:val="24"/>
              </w:rPr>
              <w:t>  </w:t>
            </w:r>
            <w:r>
              <w:rPr>
                <w:rFonts w:hint="eastAsia" w:ascii="宋体" w:hAnsi="宋体" w:eastAsia="宋体" w:cs="宋体"/>
                <w:spacing w:val="0"/>
                <w:sz w:val="24"/>
                <w:szCs w:val="24"/>
              </w:rPr>
              <w:t>12.2</w:t>
            </w:r>
          </w:p>
        </w:tc>
        <w:tc>
          <w:tcPr>
            <w:tcW w:w="6285" w:type="dxa"/>
            <w:tcBorders>
              <w:top w:val="nil"/>
              <w:left w:val="nil"/>
              <w:bottom w:val="nil"/>
              <w:right w:val="nil"/>
            </w:tcBorders>
            <w:shd w:val="clear" w:color="auto" w:fill="auto"/>
            <w:tcMar>
              <w:top w:w="75" w:type="dxa"/>
              <w:left w:w="150" w:type="dxa"/>
              <w:bottom w:w="75" w:type="dxa"/>
              <w:right w:w="150" w:type="dxa"/>
            </w:tcMar>
            <w:vAlign w:val="center"/>
          </w:tcPr>
          <w:p>
            <w:pPr>
              <w:pStyle w:val="4"/>
              <w:keepNext w:val="0"/>
              <w:keepLines w:val="0"/>
              <w:widowControl/>
              <w:suppressLineNumbers w:val="0"/>
              <w:spacing w:before="0" w:beforeAutospacing="0" w:after="0" w:afterAutospacing="0"/>
              <w:ind w:left="0" w:right="0" w:firstLine="0"/>
            </w:pPr>
            <w:r>
              <w:rPr>
                <w:rStyle w:val="6"/>
                <w:rFonts w:hint="eastAsia" w:ascii="宋体" w:hAnsi="宋体" w:eastAsia="宋体" w:cs="宋体"/>
                <w:spacing w:val="0"/>
                <w:sz w:val="24"/>
                <w:szCs w:val="24"/>
              </w:rPr>
              <w:t>本项目中标人的确定（以合同包为单位）：</w:t>
            </w:r>
          </w:p>
          <w:p>
            <w:pPr>
              <w:pStyle w:val="4"/>
              <w:keepNext w:val="0"/>
              <w:keepLines w:val="0"/>
              <w:widowControl/>
              <w:suppressLineNumbers w:val="0"/>
              <w:spacing w:before="0" w:beforeAutospacing="0" w:after="0" w:afterAutospacing="0"/>
              <w:ind w:left="0" w:right="0"/>
            </w:pPr>
            <w:r>
              <w:rPr>
                <w:rFonts w:hint="eastAsia" w:ascii="宋体" w:hAnsi="宋体" w:eastAsia="宋体" w:cs="宋体"/>
                <w:spacing w:val="0"/>
                <w:sz w:val="24"/>
                <w:szCs w:val="24"/>
              </w:rPr>
              <w:t>（1）采购人应在政府采购招投标管理办法规定的时限内确定中标人。</w:t>
            </w:r>
          </w:p>
          <w:p>
            <w:pPr>
              <w:pStyle w:val="4"/>
              <w:keepNext w:val="0"/>
              <w:keepLines w:val="0"/>
              <w:widowControl/>
              <w:suppressLineNumbers w:val="0"/>
              <w:spacing w:before="0" w:beforeAutospacing="0" w:after="0" w:afterAutospacing="0"/>
              <w:ind w:left="0" w:right="0"/>
            </w:pPr>
            <w:r>
              <w:rPr>
                <w:rFonts w:hint="eastAsia" w:ascii="宋体" w:hAnsi="宋体" w:eastAsia="宋体" w:cs="宋体"/>
                <w:spacing w:val="0"/>
                <w:sz w:val="24"/>
                <w:szCs w:val="24"/>
              </w:rPr>
              <w:t>（2）若出现中标候选人并列情形，则按照下列方式确定中标人：</w:t>
            </w:r>
          </w:p>
          <w:p>
            <w:pPr>
              <w:pStyle w:val="4"/>
              <w:keepNext w:val="0"/>
              <w:keepLines w:val="0"/>
              <w:widowControl/>
              <w:suppressLineNumbers w:val="0"/>
              <w:spacing w:before="0" w:beforeAutospacing="0" w:after="0" w:afterAutospacing="0"/>
              <w:ind w:left="0" w:right="0"/>
            </w:pPr>
            <w:r>
              <w:rPr>
                <w:rFonts w:hint="eastAsia" w:ascii="宋体" w:hAnsi="宋体" w:eastAsia="宋体" w:cs="宋体"/>
                <w:spacing w:val="0"/>
                <w:sz w:val="24"/>
                <w:szCs w:val="24"/>
              </w:rPr>
              <w:t>①招标文件规定的方式：</w:t>
            </w:r>
            <w:r>
              <w:rPr>
                <w:spacing w:val="0"/>
                <w:sz w:val="24"/>
                <w:szCs w:val="24"/>
              </w:rPr>
              <w:t>无</w:t>
            </w:r>
            <w:r>
              <w:rPr>
                <w:rFonts w:hint="eastAsia" w:ascii="宋体" w:hAnsi="宋体" w:eastAsia="宋体" w:cs="宋体"/>
                <w:spacing w:val="0"/>
                <w:sz w:val="24"/>
                <w:szCs w:val="24"/>
              </w:rPr>
              <w:t>。</w:t>
            </w:r>
          </w:p>
          <w:p>
            <w:pPr>
              <w:pStyle w:val="4"/>
              <w:keepNext w:val="0"/>
              <w:keepLines w:val="0"/>
              <w:widowControl/>
              <w:suppressLineNumbers w:val="0"/>
              <w:spacing w:before="0" w:beforeAutospacing="0" w:after="0" w:afterAutospacing="0"/>
              <w:ind w:left="0" w:right="0"/>
            </w:pPr>
            <w:r>
              <w:rPr>
                <w:rFonts w:hint="eastAsia" w:ascii="宋体" w:hAnsi="宋体" w:eastAsia="宋体" w:cs="宋体"/>
                <w:spacing w:val="0"/>
                <w:sz w:val="24"/>
                <w:szCs w:val="24"/>
              </w:rPr>
              <w:t>②若本款第①点规定方式为“无”，则按照下列方式确定：无。</w:t>
            </w:r>
          </w:p>
          <w:p>
            <w:pPr>
              <w:pStyle w:val="4"/>
              <w:keepNext w:val="0"/>
              <w:keepLines w:val="0"/>
              <w:widowControl/>
              <w:suppressLineNumbers w:val="0"/>
              <w:spacing w:before="0" w:beforeAutospacing="0" w:after="0" w:afterAutospacing="0"/>
              <w:ind w:left="0" w:right="0"/>
            </w:pPr>
            <w:r>
              <w:rPr>
                <w:rFonts w:hint="eastAsia" w:ascii="宋体" w:hAnsi="宋体" w:eastAsia="宋体" w:cs="宋体"/>
                <w:spacing w:val="0"/>
                <w:sz w:val="24"/>
                <w:szCs w:val="24"/>
              </w:rPr>
              <w:t>③若本款第①、②点规定方式均为“无”，则按照下列方式确定：随机抽取。</w:t>
            </w:r>
          </w:p>
          <w:p>
            <w:pPr>
              <w:pStyle w:val="4"/>
              <w:keepNext w:val="0"/>
              <w:keepLines w:val="0"/>
              <w:widowControl/>
              <w:suppressLineNumbers w:val="0"/>
              <w:spacing w:before="0" w:beforeAutospacing="0" w:after="0" w:afterAutospacing="0"/>
              <w:ind w:left="0" w:right="0"/>
            </w:pPr>
            <w:r>
              <w:rPr>
                <w:rFonts w:hint="eastAsia" w:ascii="宋体" w:hAnsi="宋体" w:eastAsia="宋体" w:cs="宋体"/>
                <w:spacing w:val="0"/>
                <w:sz w:val="24"/>
                <w:szCs w:val="24"/>
              </w:rPr>
              <w:t>（3）本项目确定的中标人家数：</w:t>
            </w:r>
          </w:p>
          <w:p>
            <w:pPr>
              <w:pStyle w:val="4"/>
              <w:keepNext w:val="0"/>
              <w:keepLines w:val="0"/>
              <w:widowControl/>
              <w:suppressLineNumbers w:val="0"/>
              <w:spacing w:before="0" w:beforeAutospacing="0" w:after="0" w:afterAutospacing="0"/>
              <w:ind w:left="0" w:right="0"/>
            </w:pPr>
            <w:r>
              <w:rPr>
                <w:rFonts w:hint="eastAsia" w:ascii="宋体" w:hAnsi="宋体" w:eastAsia="宋体" w:cs="宋体"/>
                <w:spacing w:val="0"/>
                <w:sz w:val="24"/>
                <w:szCs w:val="24"/>
              </w:rPr>
              <w:t>①本项目确定合同包1中标人数为1家；</w:t>
            </w:r>
          </w:p>
          <w:p>
            <w:pPr>
              <w:pStyle w:val="4"/>
              <w:keepNext w:val="0"/>
              <w:keepLines w:val="0"/>
              <w:widowControl/>
              <w:suppressLineNumbers w:val="0"/>
              <w:spacing w:before="0" w:beforeAutospacing="0" w:after="0" w:afterAutospacing="0"/>
              <w:ind w:left="0" w:right="0"/>
            </w:pPr>
            <w:r>
              <w:rPr>
                <w:rFonts w:hint="eastAsia" w:ascii="宋体" w:hAnsi="宋体" w:eastAsia="宋体" w:cs="宋体"/>
                <w:spacing w:val="0"/>
                <w:sz w:val="24"/>
                <w:szCs w:val="24"/>
              </w:rPr>
              <w:t>②若出现中标候选人符合法定家数但不足本款第①点规定中标人家数情形，则按照中标候选人的实际家数确定中标人。</w:t>
            </w:r>
          </w:p>
        </w:tc>
      </w:tr>
      <w:tr>
        <w:trPr>
          <w:tblCellSpacing w:w="15" w:type="dxa"/>
        </w:trPr>
        <w:tc>
          <w:tcPr>
            <w:tcW w:w="597" w:type="dxa"/>
            <w:tcBorders>
              <w:top w:val="nil"/>
              <w:left w:val="nil"/>
              <w:bottom w:val="nil"/>
              <w:right w:val="nil"/>
            </w:tcBorders>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0" w:afterAutospacing="0"/>
              <w:ind w:left="0" w:right="0"/>
              <w:jc w:val="center"/>
            </w:pPr>
            <w:r>
              <w:rPr>
                <w:rFonts w:hint="eastAsia" w:ascii="宋体" w:hAnsi="宋体" w:eastAsia="宋体" w:cs="宋体"/>
                <w:spacing w:val="0"/>
                <w:sz w:val="24"/>
                <w:szCs w:val="24"/>
              </w:rPr>
              <w:t>9</w:t>
            </w:r>
          </w:p>
        </w:tc>
        <w:tc>
          <w:tcPr>
            <w:tcW w:w="1574" w:type="dxa"/>
            <w:tcBorders>
              <w:top w:val="nil"/>
              <w:left w:val="nil"/>
              <w:bottom w:val="nil"/>
              <w:right w:val="nil"/>
            </w:tcBorders>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0" w:afterAutospacing="0"/>
              <w:ind w:left="0" w:right="0"/>
            </w:pPr>
            <w:r>
              <w:rPr>
                <w:rFonts w:hint="eastAsia" w:ascii="宋体" w:hAnsi="宋体" w:eastAsia="宋体" w:cs="宋体"/>
                <w:spacing w:val="0"/>
                <w:sz w:val="24"/>
                <w:szCs w:val="24"/>
              </w:rPr>
              <w:t> 15.1-（</w:t>
            </w:r>
            <w:r>
              <w:rPr>
                <w:rFonts w:hint="default" w:ascii="Times New Roman" w:hAnsi="Times New Roman" w:cs="Times New Roman"/>
                <w:spacing w:val="0"/>
                <w:sz w:val="24"/>
                <w:szCs w:val="24"/>
              </w:rPr>
              <w:t>2</w:t>
            </w:r>
            <w:r>
              <w:rPr>
                <w:rFonts w:hint="eastAsia" w:ascii="宋体" w:hAnsi="宋体" w:eastAsia="宋体" w:cs="宋体"/>
                <w:spacing w:val="0"/>
                <w:sz w:val="24"/>
                <w:szCs w:val="24"/>
              </w:rPr>
              <w:t>）</w:t>
            </w:r>
          </w:p>
        </w:tc>
        <w:tc>
          <w:tcPr>
            <w:tcW w:w="6285" w:type="dxa"/>
            <w:tcBorders>
              <w:top w:val="nil"/>
              <w:left w:val="nil"/>
              <w:bottom w:val="nil"/>
              <w:right w:val="nil"/>
            </w:tcBorders>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0" w:afterAutospacing="0"/>
              <w:ind w:left="0" w:right="0"/>
            </w:pPr>
            <w:r>
              <w:rPr>
                <w:rStyle w:val="6"/>
                <w:rFonts w:hint="eastAsia" w:ascii="宋体" w:hAnsi="宋体" w:eastAsia="宋体" w:cs="宋体"/>
                <w:spacing w:val="0"/>
                <w:sz w:val="24"/>
                <w:szCs w:val="24"/>
              </w:rPr>
              <w:t>质疑函原件应采用下列方式提交：</w:t>
            </w:r>
            <w:r>
              <w:rPr>
                <w:rFonts w:hint="eastAsia" w:ascii="宋体" w:hAnsi="宋体" w:eastAsia="宋体" w:cs="宋体"/>
                <w:spacing w:val="0"/>
                <w:sz w:val="24"/>
                <w:szCs w:val="24"/>
              </w:rPr>
              <w:t>现场方式。</w:t>
            </w:r>
          </w:p>
        </w:tc>
      </w:tr>
      <w:tr>
        <w:trPr>
          <w:tblCellSpacing w:w="15" w:type="dxa"/>
        </w:trPr>
        <w:tc>
          <w:tcPr>
            <w:tcW w:w="597" w:type="dxa"/>
            <w:tcBorders>
              <w:top w:val="nil"/>
              <w:left w:val="nil"/>
              <w:bottom w:val="nil"/>
              <w:right w:val="nil"/>
            </w:tcBorders>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0" w:afterAutospacing="0"/>
              <w:ind w:left="0" w:right="0"/>
              <w:jc w:val="center"/>
            </w:pPr>
            <w:r>
              <w:rPr>
                <w:rFonts w:hint="eastAsia" w:ascii="宋体" w:hAnsi="宋体" w:eastAsia="宋体" w:cs="宋体"/>
                <w:spacing w:val="0"/>
                <w:sz w:val="24"/>
                <w:szCs w:val="24"/>
              </w:rPr>
              <w:t>10</w:t>
            </w:r>
          </w:p>
        </w:tc>
        <w:tc>
          <w:tcPr>
            <w:tcW w:w="1574" w:type="dxa"/>
            <w:tcBorders>
              <w:top w:val="nil"/>
              <w:left w:val="nil"/>
              <w:bottom w:val="nil"/>
              <w:right w:val="nil"/>
            </w:tcBorders>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0" w:afterAutospacing="0"/>
              <w:ind w:left="0" w:right="0"/>
            </w:pPr>
            <w:r>
              <w:rPr>
                <w:rFonts w:hint="eastAsia" w:ascii="宋体" w:hAnsi="宋体" w:eastAsia="宋体" w:cs="宋体"/>
                <w:spacing w:val="0"/>
                <w:sz w:val="24"/>
                <w:szCs w:val="24"/>
              </w:rPr>
              <w:t> </w:t>
            </w:r>
          </w:p>
          <w:p>
            <w:pPr>
              <w:pStyle w:val="4"/>
              <w:keepNext w:val="0"/>
              <w:keepLines w:val="0"/>
              <w:widowControl/>
              <w:suppressLineNumbers w:val="0"/>
              <w:spacing w:before="0" w:beforeAutospacing="0" w:after="0" w:afterAutospacing="0"/>
              <w:ind w:left="0" w:right="0"/>
            </w:pPr>
            <w:r>
              <w:rPr>
                <w:rFonts w:hint="eastAsia" w:ascii="宋体" w:hAnsi="宋体" w:eastAsia="宋体" w:cs="宋体"/>
                <w:spacing w:val="0"/>
                <w:sz w:val="24"/>
                <w:szCs w:val="24"/>
              </w:rPr>
              <w:t>   15.4</w:t>
            </w:r>
          </w:p>
          <w:p>
            <w:pPr>
              <w:pStyle w:val="4"/>
              <w:keepNext w:val="0"/>
              <w:keepLines w:val="0"/>
              <w:widowControl/>
              <w:suppressLineNumbers w:val="0"/>
              <w:spacing w:before="0" w:beforeAutospacing="0" w:after="0" w:afterAutospacing="0"/>
              <w:ind w:left="0" w:right="0"/>
            </w:pPr>
            <w:r>
              <w:rPr>
                <w:rFonts w:hint="default" w:ascii="Calibri" w:hAnsi="Calibri" w:cs="Calibri"/>
                <w:spacing w:val="0"/>
                <w:sz w:val="24"/>
                <w:szCs w:val="24"/>
              </w:rPr>
              <w:t> </w:t>
            </w:r>
          </w:p>
          <w:p>
            <w:pPr>
              <w:pStyle w:val="4"/>
              <w:keepNext w:val="0"/>
              <w:keepLines w:val="0"/>
              <w:widowControl/>
              <w:suppressLineNumbers w:val="0"/>
              <w:spacing w:before="0" w:beforeAutospacing="0" w:after="0" w:afterAutospacing="0"/>
              <w:ind w:left="0" w:right="0"/>
              <w:jc w:val="center"/>
            </w:pPr>
            <w:r>
              <w:rPr>
                <w:rFonts w:hint="default" w:ascii="Calibri" w:hAnsi="Calibri" w:cs="Calibri"/>
                <w:spacing w:val="0"/>
                <w:sz w:val="24"/>
                <w:szCs w:val="24"/>
              </w:rPr>
              <w:t> </w:t>
            </w:r>
          </w:p>
        </w:tc>
        <w:tc>
          <w:tcPr>
            <w:tcW w:w="6285" w:type="dxa"/>
            <w:tcBorders>
              <w:top w:val="nil"/>
              <w:left w:val="nil"/>
              <w:bottom w:val="nil"/>
              <w:right w:val="nil"/>
            </w:tcBorders>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0" w:afterAutospacing="0"/>
              <w:ind w:left="0" w:right="0"/>
            </w:pPr>
            <w:r>
              <w:rPr>
                <w:rStyle w:val="6"/>
                <w:rFonts w:hint="eastAsia" w:ascii="宋体" w:hAnsi="宋体" w:eastAsia="宋体" w:cs="宋体"/>
                <w:spacing w:val="0"/>
                <w:sz w:val="24"/>
                <w:szCs w:val="24"/>
              </w:rPr>
              <w:t>招标文件的质疑</w:t>
            </w:r>
          </w:p>
          <w:p>
            <w:pPr>
              <w:pStyle w:val="4"/>
              <w:keepNext w:val="0"/>
              <w:keepLines w:val="0"/>
              <w:widowControl/>
              <w:suppressLineNumbers w:val="0"/>
              <w:spacing w:before="0" w:beforeAutospacing="0" w:after="0" w:afterAutospacing="0"/>
              <w:ind w:left="0" w:right="0"/>
            </w:pPr>
            <w:r>
              <w:rPr>
                <w:rFonts w:hint="eastAsia" w:ascii="宋体" w:hAnsi="宋体" w:eastAsia="宋体" w:cs="宋体"/>
                <w:spacing w:val="0"/>
                <w:sz w:val="24"/>
                <w:szCs w:val="24"/>
              </w:rPr>
              <w:t>（1）潜在投标人可在质疑时效期间内对招标文件以书面形式提出质疑。</w:t>
            </w:r>
          </w:p>
          <w:p>
            <w:pPr>
              <w:pStyle w:val="4"/>
              <w:keepNext w:val="0"/>
              <w:keepLines w:val="0"/>
              <w:widowControl/>
              <w:suppressLineNumbers w:val="0"/>
              <w:spacing w:before="0" w:beforeAutospacing="0" w:after="0" w:afterAutospacing="0"/>
              <w:ind w:left="0" w:right="0"/>
            </w:pPr>
            <w:r>
              <w:rPr>
                <w:rFonts w:hint="eastAsia" w:ascii="宋体" w:hAnsi="宋体" w:eastAsia="宋体" w:cs="宋体"/>
                <w:spacing w:val="0"/>
                <w:sz w:val="24"/>
                <w:szCs w:val="24"/>
              </w:rPr>
              <w:t>（2）质疑时效期间：</w:t>
            </w:r>
          </w:p>
          <w:p>
            <w:pPr>
              <w:pStyle w:val="4"/>
              <w:keepNext w:val="0"/>
              <w:keepLines w:val="0"/>
              <w:widowControl/>
              <w:suppressLineNumbers w:val="0"/>
              <w:spacing w:before="0" w:beforeAutospacing="0" w:after="0" w:afterAutospacing="0"/>
              <w:ind w:left="0" w:right="0"/>
            </w:pPr>
            <w:r>
              <w:rPr>
                <w:rFonts w:hint="eastAsia" w:ascii="宋体" w:hAnsi="宋体" w:eastAsia="宋体" w:cs="宋体"/>
                <w:spacing w:val="0"/>
                <w:sz w:val="24"/>
                <w:szCs w:val="24"/>
              </w:rPr>
              <w:t>①在招标文件公告期限内：自招标文件首次下载之日起</w:t>
            </w:r>
            <w:r>
              <w:rPr>
                <w:rFonts w:hint="default" w:ascii="Times New Roman" w:hAnsi="Times New Roman" w:cs="Times New Roman"/>
                <w:spacing w:val="0"/>
                <w:sz w:val="24"/>
                <w:szCs w:val="24"/>
              </w:rPr>
              <w:t>7</w:t>
            </w:r>
            <w:r>
              <w:rPr>
                <w:rFonts w:hint="eastAsia" w:ascii="宋体" w:hAnsi="宋体" w:eastAsia="宋体" w:cs="宋体"/>
                <w:spacing w:val="0"/>
                <w:sz w:val="24"/>
                <w:szCs w:val="24"/>
              </w:rPr>
              <w:t>个工作日内向</w:t>
            </w:r>
            <w:r>
              <w:rPr>
                <w:rFonts w:hint="eastAsia" w:ascii="宋体" w:hAnsi="宋体" w:eastAsia="宋体" w:cs="宋体"/>
                <w:spacing w:val="0"/>
                <w:sz w:val="24"/>
                <w:szCs w:val="24"/>
                <w:u w:val="single"/>
              </w:rPr>
              <w:t>福建省闽鸿招标有限公司</w:t>
            </w:r>
            <w:r>
              <w:rPr>
                <w:rFonts w:hint="eastAsia" w:ascii="宋体" w:hAnsi="宋体" w:eastAsia="宋体" w:cs="宋体"/>
                <w:spacing w:val="0"/>
                <w:sz w:val="24"/>
                <w:szCs w:val="24"/>
              </w:rPr>
              <w:t>提出，招标文件公告期限、首次下载之日均以福建省政府采购网上公开信息系统记载的为准。</w:t>
            </w:r>
          </w:p>
          <w:p>
            <w:pPr>
              <w:pStyle w:val="4"/>
              <w:keepNext w:val="0"/>
              <w:keepLines w:val="0"/>
              <w:widowControl/>
              <w:suppressLineNumbers w:val="0"/>
              <w:spacing w:before="0" w:beforeAutospacing="0" w:after="0" w:afterAutospacing="0"/>
              <w:ind w:left="0" w:right="0"/>
            </w:pPr>
            <w:r>
              <w:rPr>
                <w:rFonts w:hint="eastAsia" w:ascii="宋体" w:hAnsi="宋体" w:eastAsia="宋体" w:cs="宋体"/>
                <w:spacing w:val="0"/>
                <w:sz w:val="24"/>
                <w:szCs w:val="24"/>
              </w:rPr>
              <w:t>②在招标文件公告期限截止后至招标文件提供期限届满前的期间内：自招标文件公告期限届满之日起</w:t>
            </w:r>
            <w:r>
              <w:rPr>
                <w:rFonts w:hint="default" w:ascii="Times New Roman" w:hAnsi="Times New Roman" w:cs="Times New Roman"/>
                <w:spacing w:val="0"/>
                <w:sz w:val="24"/>
                <w:szCs w:val="24"/>
              </w:rPr>
              <w:t>7</w:t>
            </w:r>
            <w:r>
              <w:rPr>
                <w:rFonts w:hint="eastAsia" w:ascii="宋体" w:hAnsi="宋体" w:eastAsia="宋体" w:cs="宋体"/>
                <w:spacing w:val="0"/>
                <w:sz w:val="24"/>
                <w:szCs w:val="24"/>
              </w:rPr>
              <w:t>个工作日内向</w:t>
            </w:r>
            <w:r>
              <w:rPr>
                <w:rFonts w:hint="eastAsia" w:ascii="宋体" w:hAnsi="宋体" w:eastAsia="宋体" w:cs="宋体"/>
                <w:spacing w:val="0"/>
                <w:sz w:val="24"/>
                <w:szCs w:val="24"/>
                <w:u w:val="single"/>
              </w:rPr>
              <w:t>福建省闽鸿招标有限公司</w:t>
            </w:r>
            <w:r>
              <w:rPr>
                <w:rFonts w:hint="eastAsia" w:ascii="宋体" w:hAnsi="宋体" w:eastAsia="宋体" w:cs="宋体"/>
                <w:spacing w:val="0"/>
                <w:sz w:val="24"/>
                <w:szCs w:val="24"/>
              </w:rPr>
              <w:t>提出，招标文件公告期限、招标文件提供期限均以福建省政府采购网上公开信息系统记载的为准。</w:t>
            </w:r>
          </w:p>
          <w:p>
            <w:pPr>
              <w:pStyle w:val="4"/>
              <w:keepNext w:val="0"/>
              <w:keepLines w:val="0"/>
              <w:widowControl/>
              <w:suppressLineNumbers w:val="0"/>
              <w:spacing w:before="0" w:beforeAutospacing="0" w:after="0" w:afterAutospacing="0"/>
              <w:ind w:left="0" w:right="0"/>
            </w:pPr>
            <w:r>
              <w:rPr>
                <w:rStyle w:val="6"/>
                <w:rFonts w:hint="eastAsia" w:ascii="宋体" w:hAnsi="宋体" w:eastAsia="宋体" w:cs="宋体"/>
                <w:spacing w:val="0"/>
                <w:sz w:val="24"/>
                <w:szCs w:val="24"/>
              </w:rPr>
              <w:t>※除上述规定外，对招标文件提出的质疑还应符合招标文件第三章第</w:t>
            </w:r>
            <w:r>
              <w:rPr>
                <w:rStyle w:val="6"/>
                <w:rFonts w:hint="default" w:ascii="Times New Roman" w:hAnsi="Times New Roman" w:cs="Times New Roman"/>
                <w:spacing w:val="0"/>
                <w:sz w:val="24"/>
                <w:szCs w:val="24"/>
              </w:rPr>
              <w:t>15.1</w:t>
            </w:r>
            <w:r>
              <w:rPr>
                <w:rStyle w:val="6"/>
                <w:rFonts w:hint="eastAsia" w:ascii="宋体" w:hAnsi="宋体" w:eastAsia="宋体" w:cs="宋体"/>
                <w:spacing w:val="0"/>
                <w:sz w:val="24"/>
                <w:szCs w:val="24"/>
              </w:rPr>
              <w:t>条的有关规定。</w:t>
            </w:r>
          </w:p>
        </w:tc>
      </w:tr>
      <w:tr>
        <w:trPr>
          <w:tblCellSpacing w:w="15" w:type="dxa"/>
        </w:trPr>
        <w:tc>
          <w:tcPr>
            <w:tcW w:w="597" w:type="dxa"/>
            <w:tcBorders>
              <w:top w:val="nil"/>
              <w:left w:val="nil"/>
              <w:bottom w:val="nil"/>
              <w:right w:val="nil"/>
            </w:tcBorders>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0" w:afterAutospacing="0"/>
              <w:ind w:left="0" w:right="0"/>
              <w:jc w:val="center"/>
            </w:pPr>
            <w:r>
              <w:rPr>
                <w:rFonts w:hint="eastAsia" w:ascii="宋体" w:hAnsi="宋体" w:eastAsia="宋体" w:cs="宋体"/>
                <w:spacing w:val="0"/>
                <w:sz w:val="24"/>
                <w:szCs w:val="24"/>
              </w:rPr>
              <w:t>11</w:t>
            </w:r>
          </w:p>
        </w:tc>
        <w:tc>
          <w:tcPr>
            <w:tcW w:w="1574" w:type="dxa"/>
            <w:tcBorders>
              <w:top w:val="nil"/>
              <w:left w:val="nil"/>
              <w:bottom w:val="nil"/>
              <w:right w:val="nil"/>
            </w:tcBorders>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0" w:afterAutospacing="0"/>
              <w:ind w:left="0" w:right="0"/>
              <w:jc w:val="center"/>
            </w:pPr>
            <w:r>
              <w:rPr>
                <w:rFonts w:hint="eastAsia" w:ascii="宋体" w:hAnsi="宋体" w:eastAsia="宋体" w:cs="宋体"/>
                <w:spacing w:val="0"/>
                <w:sz w:val="24"/>
                <w:szCs w:val="24"/>
              </w:rPr>
              <w:t>16.1</w:t>
            </w:r>
          </w:p>
        </w:tc>
        <w:tc>
          <w:tcPr>
            <w:tcW w:w="6285" w:type="dxa"/>
            <w:tcBorders>
              <w:top w:val="nil"/>
              <w:left w:val="nil"/>
              <w:bottom w:val="nil"/>
              <w:right w:val="nil"/>
            </w:tcBorders>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0" w:afterAutospacing="0"/>
              <w:ind w:left="0" w:right="0"/>
            </w:pPr>
            <w:r>
              <w:rPr>
                <w:rStyle w:val="6"/>
                <w:rFonts w:hint="eastAsia" w:ascii="宋体" w:hAnsi="宋体" w:eastAsia="宋体" w:cs="宋体"/>
                <w:spacing w:val="0"/>
                <w:sz w:val="24"/>
                <w:szCs w:val="24"/>
              </w:rPr>
              <w:t>监督管理部门：</w:t>
            </w:r>
            <w:r>
              <w:rPr>
                <w:rFonts w:hint="eastAsia" w:ascii="宋体" w:hAnsi="宋体" w:eastAsia="宋体" w:cs="宋体"/>
                <w:spacing w:val="0"/>
                <w:sz w:val="24"/>
                <w:szCs w:val="24"/>
              </w:rPr>
              <w:t>福州高新技术产业开发区财政金融局</w:t>
            </w:r>
            <w:r>
              <w:rPr>
                <w:rStyle w:val="6"/>
                <w:rFonts w:hint="eastAsia" w:ascii="宋体" w:hAnsi="宋体" w:eastAsia="宋体" w:cs="宋体"/>
                <w:spacing w:val="0"/>
                <w:sz w:val="24"/>
                <w:szCs w:val="24"/>
              </w:rPr>
              <w:t>（仅限依法进行政府采购的货物或服务类项目）</w:t>
            </w:r>
            <w:r>
              <w:rPr>
                <w:rFonts w:hint="eastAsia" w:ascii="宋体" w:hAnsi="宋体" w:eastAsia="宋体" w:cs="宋体"/>
                <w:spacing w:val="0"/>
              </w:rPr>
              <w:t>。</w:t>
            </w:r>
          </w:p>
        </w:tc>
      </w:tr>
      <w:tr>
        <w:trPr>
          <w:tblCellSpacing w:w="15" w:type="dxa"/>
        </w:trPr>
        <w:tc>
          <w:tcPr>
            <w:tcW w:w="597" w:type="dxa"/>
            <w:tcBorders>
              <w:top w:val="nil"/>
              <w:left w:val="nil"/>
              <w:bottom w:val="nil"/>
              <w:right w:val="nil"/>
            </w:tcBorders>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0" w:afterAutospacing="0"/>
              <w:ind w:left="0" w:right="0"/>
              <w:jc w:val="center"/>
            </w:pPr>
            <w:r>
              <w:rPr>
                <w:rFonts w:hint="eastAsia" w:ascii="宋体" w:hAnsi="宋体" w:eastAsia="宋体" w:cs="宋体"/>
                <w:spacing w:val="0"/>
                <w:sz w:val="24"/>
                <w:szCs w:val="24"/>
              </w:rPr>
              <w:t>12</w:t>
            </w:r>
          </w:p>
        </w:tc>
        <w:tc>
          <w:tcPr>
            <w:tcW w:w="1574" w:type="dxa"/>
            <w:tcBorders>
              <w:top w:val="nil"/>
              <w:left w:val="nil"/>
              <w:bottom w:val="nil"/>
              <w:right w:val="nil"/>
            </w:tcBorders>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0" w:afterAutospacing="0"/>
              <w:ind w:left="0" w:right="0"/>
              <w:jc w:val="center"/>
            </w:pPr>
            <w:r>
              <w:rPr>
                <w:rFonts w:hint="eastAsia" w:ascii="宋体" w:hAnsi="宋体" w:eastAsia="宋体" w:cs="宋体"/>
                <w:spacing w:val="0"/>
                <w:sz w:val="24"/>
                <w:szCs w:val="24"/>
              </w:rPr>
              <w:t>18.1</w:t>
            </w:r>
          </w:p>
        </w:tc>
        <w:tc>
          <w:tcPr>
            <w:tcW w:w="6285" w:type="dxa"/>
            <w:tcBorders>
              <w:top w:val="nil"/>
              <w:left w:val="nil"/>
              <w:bottom w:val="nil"/>
              <w:right w:val="nil"/>
            </w:tcBorders>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0" w:afterAutospacing="0"/>
              <w:ind w:left="0" w:right="0"/>
            </w:pPr>
            <w:r>
              <w:rPr>
                <w:rStyle w:val="6"/>
                <w:rFonts w:hint="eastAsia" w:ascii="宋体" w:hAnsi="宋体" w:eastAsia="宋体" w:cs="宋体"/>
                <w:spacing w:val="0"/>
                <w:sz w:val="24"/>
                <w:szCs w:val="24"/>
              </w:rPr>
              <w:t>财政部和福建省财政厅指定的政府采购信息发布媒体（以下简称：“指定媒体”）：</w:t>
            </w:r>
          </w:p>
          <w:p>
            <w:pPr>
              <w:pStyle w:val="4"/>
              <w:keepNext w:val="0"/>
              <w:keepLines w:val="0"/>
              <w:widowControl/>
              <w:suppressLineNumbers w:val="0"/>
              <w:spacing w:before="0" w:beforeAutospacing="0" w:after="0" w:afterAutospacing="0"/>
              <w:ind w:left="0" w:right="0"/>
            </w:pPr>
            <w:r>
              <w:rPr>
                <w:rFonts w:hint="eastAsia" w:ascii="宋体" w:hAnsi="宋体" w:eastAsia="宋体" w:cs="宋体"/>
                <w:spacing w:val="0"/>
                <w:sz w:val="24"/>
                <w:szCs w:val="24"/>
              </w:rPr>
              <w:t>（1）中国政府采购网，网址</w:t>
            </w:r>
            <w:r>
              <w:rPr>
                <w:spacing w:val="0"/>
                <w:sz w:val="24"/>
                <w:szCs w:val="24"/>
              </w:rPr>
              <w:fldChar w:fldCharType="begin"/>
            </w:r>
            <w:r>
              <w:rPr>
                <w:spacing w:val="0"/>
                <w:sz w:val="24"/>
                <w:szCs w:val="24"/>
              </w:rPr>
              <w:instrText xml:space="preserve"> HYPERLINK "http://www.ccgp.gov.cn/" </w:instrText>
            </w:r>
            <w:r>
              <w:rPr>
                <w:spacing w:val="0"/>
                <w:sz w:val="24"/>
                <w:szCs w:val="24"/>
              </w:rPr>
              <w:fldChar w:fldCharType="separate"/>
            </w:r>
            <w:r>
              <w:rPr>
                <w:rStyle w:val="8"/>
                <w:spacing w:val="0"/>
                <w:sz w:val="24"/>
                <w:szCs w:val="24"/>
              </w:rPr>
              <w:t>http://www.ccgp.gov.cn</w:t>
            </w:r>
            <w:r>
              <w:rPr>
                <w:spacing w:val="0"/>
                <w:sz w:val="24"/>
                <w:szCs w:val="24"/>
              </w:rPr>
              <w:fldChar w:fldCharType="end"/>
            </w:r>
            <w:r>
              <w:t>。</w:t>
            </w:r>
          </w:p>
          <w:p>
            <w:pPr>
              <w:pStyle w:val="4"/>
              <w:keepNext w:val="0"/>
              <w:keepLines w:val="0"/>
              <w:widowControl/>
              <w:suppressLineNumbers w:val="0"/>
              <w:spacing w:before="0" w:beforeAutospacing="0" w:after="0" w:afterAutospacing="0"/>
              <w:ind w:left="0" w:right="0"/>
            </w:pPr>
            <w:r>
              <w:rPr>
                <w:rFonts w:hint="eastAsia" w:ascii="宋体" w:hAnsi="宋体" w:eastAsia="宋体" w:cs="宋体"/>
                <w:spacing w:val="0"/>
                <w:sz w:val="24"/>
                <w:szCs w:val="24"/>
              </w:rPr>
              <w:t>（2）中国政府采购网福建分网（福建省政府采购网），网址</w:t>
            </w:r>
            <w:r>
              <w:rPr>
                <w:spacing w:val="0"/>
                <w:sz w:val="24"/>
                <w:szCs w:val="24"/>
              </w:rPr>
              <w:fldChar w:fldCharType="begin"/>
            </w:r>
            <w:r>
              <w:rPr>
                <w:spacing w:val="0"/>
                <w:sz w:val="24"/>
                <w:szCs w:val="24"/>
              </w:rPr>
              <w:instrText xml:space="preserve"> HYPERLINK "http://cz.fjzfcg.gov.cn/" </w:instrText>
            </w:r>
            <w:r>
              <w:rPr>
                <w:spacing w:val="0"/>
                <w:sz w:val="24"/>
                <w:szCs w:val="24"/>
              </w:rPr>
              <w:fldChar w:fldCharType="separate"/>
            </w:r>
            <w:r>
              <w:rPr>
                <w:rStyle w:val="8"/>
                <w:spacing w:val="0"/>
                <w:sz w:val="24"/>
                <w:szCs w:val="24"/>
              </w:rPr>
              <w:t>http://cz.fjzfcg.gov.cn</w:t>
            </w:r>
            <w:r>
              <w:rPr>
                <w:spacing w:val="0"/>
                <w:sz w:val="24"/>
                <w:szCs w:val="24"/>
              </w:rPr>
              <w:fldChar w:fldCharType="end"/>
            </w:r>
            <w:r>
              <w:t>。</w:t>
            </w:r>
          </w:p>
          <w:p>
            <w:pPr>
              <w:pStyle w:val="4"/>
              <w:keepNext w:val="0"/>
              <w:keepLines w:val="0"/>
              <w:widowControl/>
              <w:suppressLineNumbers w:val="0"/>
              <w:spacing w:before="0" w:beforeAutospacing="0" w:after="0" w:afterAutospacing="0"/>
              <w:ind w:left="0" w:right="0"/>
            </w:pPr>
            <w:r>
              <w:rPr>
                <w:rStyle w:val="6"/>
                <w:rFonts w:hint="eastAsia" w:ascii="宋体" w:hAnsi="宋体" w:eastAsia="宋体" w:cs="宋体"/>
                <w:spacing w:val="0"/>
                <w:sz w:val="24"/>
                <w:szCs w:val="24"/>
              </w:rPr>
              <w:t>※除招标文件第一章第</w:t>
            </w:r>
            <w:r>
              <w:rPr>
                <w:rStyle w:val="6"/>
                <w:rFonts w:hint="default" w:ascii="Times New Roman" w:hAnsi="Times New Roman" w:cs="Times New Roman"/>
                <w:spacing w:val="0"/>
                <w:sz w:val="24"/>
                <w:szCs w:val="24"/>
              </w:rPr>
              <w:t>11.1</w:t>
            </w:r>
            <w:r>
              <w:rPr>
                <w:rStyle w:val="6"/>
                <w:rFonts w:hint="eastAsia" w:ascii="宋体" w:hAnsi="宋体" w:eastAsia="宋体" w:cs="宋体"/>
                <w:spacing w:val="0"/>
                <w:sz w:val="24"/>
                <w:szCs w:val="24"/>
              </w:rPr>
              <w:t>条规定情形外，若出现上述指定媒体信息不一致情形，应以中国政府采购网福建分网（福建省政府采购网）发布的为准。</w:t>
            </w:r>
          </w:p>
        </w:tc>
      </w:tr>
      <w:tr>
        <w:trPr>
          <w:tblCellSpacing w:w="15" w:type="dxa"/>
        </w:trPr>
        <w:tc>
          <w:tcPr>
            <w:tcW w:w="597" w:type="dxa"/>
            <w:tcBorders>
              <w:top w:val="nil"/>
              <w:left w:val="nil"/>
              <w:bottom w:val="nil"/>
              <w:right w:val="nil"/>
            </w:tcBorders>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0" w:afterAutospacing="0"/>
              <w:ind w:left="0" w:right="0"/>
              <w:jc w:val="center"/>
            </w:pPr>
            <w:r>
              <w:rPr>
                <w:rFonts w:hint="eastAsia" w:ascii="宋体" w:hAnsi="宋体" w:eastAsia="宋体" w:cs="宋体"/>
                <w:spacing w:val="0"/>
                <w:sz w:val="24"/>
                <w:szCs w:val="24"/>
              </w:rPr>
              <w:t>13</w:t>
            </w:r>
          </w:p>
        </w:tc>
        <w:tc>
          <w:tcPr>
            <w:tcW w:w="1574" w:type="dxa"/>
            <w:tcBorders>
              <w:top w:val="nil"/>
              <w:left w:val="nil"/>
              <w:bottom w:val="nil"/>
              <w:right w:val="nil"/>
            </w:tcBorders>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0" w:afterAutospacing="0"/>
              <w:ind w:left="0" w:right="0"/>
              <w:jc w:val="center"/>
            </w:pPr>
            <w:r>
              <w:rPr>
                <w:rFonts w:hint="eastAsia" w:ascii="宋体" w:hAnsi="宋体" w:eastAsia="宋体" w:cs="宋体"/>
                <w:spacing w:val="0"/>
                <w:sz w:val="24"/>
                <w:szCs w:val="24"/>
              </w:rPr>
              <w:t>19</w:t>
            </w:r>
          </w:p>
        </w:tc>
        <w:tc>
          <w:tcPr>
            <w:tcW w:w="6285" w:type="dxa"/>
            <w:tcBorders>
              <w:top w:val="nil"/>
              <w:left w:val="nil"/>
              <w:bottom w:val="nil"/>
              <w:right w:val="nil"/>
            </w:tcBorders>
            <w:shd w:val="clear" w:color="auto" w:fill="auto"/>
            <w:tcMar>
              <w:top w:w="0" w:type="dxa"/>
              <w:left w:w="105" w:type="dxa"/>
              <w:bottom w:w="0" w:type="dxa"/>
              <w:right w:w="105" w:type="dxa"/>
            </w:tcMar>
            <w:vAlign w:val="center"/>
          </w:tcPr>
          <w:p>
            <w:pPr>
              <w:pStyle w:val="4"/>
              <w:keepNext w:val="0"/>
              <w:keepLines w:val="0"/>
              <w:widowControl/>
              <w:suppressLineNumbers w:val="0"/>
              <w:wordWrap w:val="0"/>
              <w:spacing w:before="0" w:beforeAutospacing="0" w:after="0" w:afterAutospacing="0"/>
              <w:ind w:left="0" w:right="0"/>
            </w:pPr>
            <w:r>
              <w:rPr>
                <w:rStyle w:val="6"/>
                <w:rFonts w:hint="eastAsia" w:ascii="宋体" w:hAnsi="宋体" w:eastAsia="宋体" w:cs="宋体"/>
                <w:spacing w:val="0"/>
                <w:sz w:val="24"/>
                <w:szCs w:val="24"/>
              </w:rPr>
              <w:t>其他事项：</w:t>
            </w:r>
          </w:p>
          <w:p>
            <w:pPr>
              <w:pStyle w:val="4"/>
              <w:keepNext w:val="0"/>
              <w:keepLines w:val="0"/>
              <w:widowControl/>
              <w:suppressLineNumbers w:val="0"/>
              <w:wordWrap w:val="0"/>
              <w:spacing w:before="0" w:beforeAutospacing="0" w:after="0" w:afterAutospacing="0"/>
              <w:ind w:left="0" w:right="0"/>
            </w:pPr>
            <w:r>
              <w:rPr>
                <w:rStyle w:val="6"/>
                <w:rFonts w:hint="eastAsia" w:ascii="宋体" w:hAnsi="宋体" w:eastAsia="宋体" w:cs="宋体"/>
                <w:spacing w:val="0"/>
                <w:sz w:val="24"/>
                <w:szCs w:val="24"/>
              </w:rPr>
              <w:t>(1)本项目代理服务费由</w:t>
            </w:r>
            <w:r>
              <w:rPr>
                <w:rFonts w:hint="eastAsia" w:ascii="宋体" w:hAnsi="宋体" w:eastAsia="宋体" w:cs="宋体"/>
                <w:spacing w:val="0"/>
                <w:sz w:val="24"/>
                <w:szCs w:val="24"/>
              </w:rPr>
              <w:t>中标人</w:t>
            </w:r>
            <w:r>
              <w:rPr>
                <w:rStyle w:val="6"/>
                <w:rFonts w:hint="eastAsia" w:ascii="宋体" w:hAnsi="宋体" w:eastAsia="宋体" w:cs="宋体"/>
                <w:spacing w:val="0"/>
                <w:sz w:val="24"/>
                <w:szCs w:val="24"/>
              </w:rPr>
              <w:t>支付。</w:t>
            </w:r>
            <w:r>
              <w:rPr>
                <w:rStyle w:val="6"/>
                <w:rFonts w:hint="eastAsia" w:ascii="宋体" w:hAnsi="宋体" w:eastAsia="宋体" w:cs="宋体"/>
                <w:spacing w:val="0"/>
                <w:sz w:val="24"/>
                <w:szCs w:val="24"/>
              </w:rPr>
              <w:br w:type="textWrapping"/>
            </w:r>
            <w:r>
              <w:rPr>
                <w:rStyle w:val="6"/>
                <w:rFonts w:hint="eastAsia" w:ascii="宋体" w:hAnsi="宋体" w:eastAsia="宋体" w:cs="宋体"/>
                <w:spacing w:val="0"/>
                <w:sz w:val="24"/>
                <w:szCs w:val="24"/>
              </w:rPr>
              <w:t>(2)其他：</w:t>
            </w:r>
            <w:r>
              <w:rPr>
                <w:rFonts w:hint="eastAsia" w:ascii="宋体" w:hAnsi="宋体" w:eastAsia="宋体" w:cs="宋体"/>
                <w:spacing w:val="0"/>
                <w:sz w:val="24"/>
                <w:szCs w:val="24"/>
              </w:rPr>
              <w:t>采购代理服务费：招标代理服务费按差额定率累进法计算，向中标人收取(招标文件有其他要求，以此条规定为准）。中标人应在领取中标通知书的同时以现金、转帐、电汇付款方式一次性向招标代理机构缴纳招标代理服务费。 中标金额（万元） ：100以下的服务费比率1.5％，100—500的服务费比率1.1％，500—1000的0.8％，招标代理服务费缴交银行帐号 开户名称：福建省闽鸿招标有限公司 账 号：35050187770700000303 开户银行：中国建设银行福州上江城支行。 本项目代理费服务费由中标人支付。</w:t>
            </w:r>
          </w:p>
        </w:tc>
      </w:tr>
      <w:tr>
        <w:trPr>
          <w:tblCellSpacing w:w="15" w:type="dxa"/>
        </w:trPr>
        <w:tc>
          <w:tcPr>
            <w:tcW w:w="2201" w:type="dxa"/>
            <w:gridSpan w:val="2"/>
            <w:tcBorders>
              <w:top w:val="nil"/>
              <w:left w:val="nil"/>
              <w:bottom w:val="nil"/>
              <w:right w:val="nil"/>
            </w:tcBorders>
            <w:shd w:val="clear" w:color="auto" w:fill="auto"/>
            <w:tcMar>
              <w:top w:w="75" w:type="dxa"/>
              <w:left w:w="150" w:type="dxa"/>
              <w:bottom w:w="75" w:type="dxa"/>
              <w:right w:w="150" w:type="dxa"/>
            </w:tcMar>
            <w:vAlign w:val="center"/>
          </w:tcPr>
          <w:p>
            <w:pPr>
              <w:pStyle w:val="4"/>
              <w:keepNext w:val="0"/>
              <w:keepLines w:val="0"/>
              <w:widowControl/>
              <w:suppressLineNumbers w:val="0"/>
              <w:spacing w:before="0" w:beforeAutospacing="0" w:after="0" w:afterAutospacing="0"/>
              <w:ind w:left="0" w:right="0" w:firstLine="0"/>
            </w:pPr>
            <w:r>
              <w:rPr>
                <w:rFonts w:hint="eastAsia" w:ascii="宋体" w:hAnsi="宋体" w:eastAsia="宋体" w:cs="宋体"/>
                <w:spacing w:val="0"/>
                <w:sz w:val="24"/>
                <w:szCs w:val="24"/>
              </w:rPr>
              <w:t>     备注</w:t>
            </w:r>
          </w:p>
        </w:tc>
        <w:tc>
          <w:tcPr>
            <w:tcW w:w="6285" w:type="dxa"/>
            <w:tcBorders>
              <w:top w:val="nil"/>
              <w:left w:val="nil"/>
              <w:bottom w:val="nil"/>
              <w:right w:val="nil"/>
            </w:tcBorders>
            <w:shd w:val="clear" w:color="auto" w:fill="auto"/>
            <w:tcMar>
              <w:top w:w="75" w:type="dxa"/>
              <w:left w:w="150" w:type="dxa"/>
              <w:bottom w:w="75" w:type="dxa"/>
              <w:right w:w="150" w:type="dxa"/>
            </w:tcMar>
            <w:vAlign w:val="center"/>
          </w:tcPr>
          <w:p>
            <w:pPr>
              <w:pStyle w:val="4"/>
              <w:keepNext w:val="0"/>
              <w:keepLines w:val="0"/>
              <w:widowControl/>
              <w:suppressLineNumbers w:val="0"/>
              <w:spacing w:before="0" w:beforeAutospacing="0" w:after="0" w:afterAutospacing="0"/>
              <w:ind w:left="0" w:right="0" w:firstLine="0"/>
            </w:pPr>
            <w:r>
              <w:rPr>
                <w:rStyle w:val="6"/>
                <w:rFonts w:hint="eastAsia" w:ascii="宋体" w:hAnsi="宋体" w:eastAsia="宋体" w:cs="宋体"/>
                <w:spacing w:val="0"/>
                <w:sz w:val="24"/>
                <w:szCs w:val="24"/>
              </w:rPr>
              <w:t>后有表</w:t>
            </w:r>
            <w:r>
              <w:rPr>
                <w:rStyle w:val="6"/>
                <w:rFonts w:hint="default" w:ascii="Times New Roman" w:hAnsi="Times New Roman" w:cs="Times New Roman"/>
                <w:spacing w:val="0"/>
                <w:sz w:val="24"/>
                <w:szCs w:val="24"/>
              </w:rPr>
              <w:t>2</w:t>
            </w:r>
            <w:r>
              <w:rPr>
                <w:rStyle w:val="6"/>
                <w:rFonts w:hint="eastAsia" w:ascii="宋体" w:hAnsi="宋体" w:eastAsia="宋体" w:cs="宋体"/>
                <w:spacing w:val="0"/>
                <w:sz w:val="24"/>
                <w:szCs w:val="24"/>
              </w:rPr>
              <w:t>，请勿遗漏。</w:t>
            </w:r>
          </w:p>
        </w:tc>
      </w:tr>
    </w:tbl>
    <w:p>
      <w:pPr>
        <w:pStyle w:val="4"/>
        <w:keepNext w:val="0"/>
        <w:keepLines w:val="0"/>
        <w:widowControl/>
        <w:suppressLineNumbers w:val="0"/>
        <w:spacing w:before="75" w:beforeAutospacing="0" w:after="75" w:afterAutospacing="0"/>
        <w:ind w:left="0" w:right="0" w:firstLine="0"/>
      </w:pPr>
      <w:r>
        <w:rPr>
          <w:spacing w:val="0"/>
          <w:sz w:val="24"/>
          <w:szCs w:val="24"/>
        </w:rPr>
        <w:t> </w:t>
      </w:r>
    </w:p>
    <w:p>
      <w:pPr>
        <w:pStyle w:val="4"/>
        <w:keepNext w:val="0"/>
        <w:keepLines w:val="0"/>
        <w:widowControl/>
        <w:suppressLineNumbers w:val="0"/>
        <w:spacing w:before="75" w:beforeAutospacing="0" w:after="75" w:afterAutospacing="0"/>
        <w:ind w:left="0" w:right="0" w:firstLine="0"/>
      </w:pPr>
      <w:r>
        <w:rPr>
          <w:spacing w:val="0"/>
          <w:sz w:val="24"/>
          <w:szCs w:val="24"/>
        </w:rPr>
        <w:t> </w:t>
      </w:r>
    </w:p>
    <w:p>
      <w:pPr>
        <w:pStyle w:val="4"/>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表2</w:t>
      </w:r>
    </w:p>
    <w:tbl>
      <w:tblPr>
        <w:tblStyle w:val="9"/>
        <w:tblW w:w="8575" w:type="dxa"/>
        <w:tblCellSpacing w:w="15" w:type="dxa"/>
        <w:tblInd w:w="-15"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15" w:type="dxa"/>
          <w:left w:w="15" w:type="dxa"/>
          <w:bottom w:w="15" w:type="dxa"/>
          <w:right w:w="15" w:type="dxa"/>
        </w:tblCellMar>
      </w:tblPr>
      <w:tblGrid>
        <w:gridCol w:w="524"/>
        <w:gridCol w:w="8051"/>
      </w:tblGrid>
      <w:tr>
        <w:trPr>
          <w:tblCellSpacing w:w="15" w:type="dxa"/>
        </w:trPr>
        <w:tc>
          <w:tcPr>
            <w:tcW w:w="8515" w:type="dxa"/>
            <w:gridSpan w:val="2"/>
            <w:tcBorders>
              <w:top w:val="nil"/>
              <w:left w:val="nil"/>
              <w:bottom w:val="nil"/>
              <w:right w:val="nil"/>
            </w:tcBorders>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0" w:afterAutospacing="0"/>
              <w:ind w:left="0" w:right="0"/>
              <w:jc w:val="center"/>
            </w:pPr>
            <w:r>
              <w:rPr>
                <w:rStyle w:val="6"/>
                <w:rFonts w:hint="eastAsia" w:ascii="宋体" w:hAnsi="宋体" w:eastAsia="宋体" w:cs="宋体"/>
                <w:spacing w:val="0"/>
                <w:sz w:val="24"/>
                <w:szCs w:val="24"/>
              </w:rPr>
              <w:t>关于电子招标投标活动的专门规定</w:t>
            </w:r>
          </w:p>
        </w:tc>
      </w:tr>
      <w:tr>
        <w:trPr>
          <w:tblCellSpacing w:w="15" w:type="dxa"/>
        </w:trPr>
        <w:tc>
          <w:tcPr>
            <w:tcW w:w="479" w:type="dxa"/>
            <w:tcBorders>
              <w:top w:val="nil"/>
              <w:left w:val="nil"/>
              <w:bottom w:val="nil"/>
              <w:right w:val="nil"/>
            </w:tcBorders>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0" w:afterAutospacing="0"/>
              <w:ind w:left="0" w:right="0"/>
              <w:jc w:val="center"/>
            </w:pPr>
            <w:r>
              <w:rPr>
                <w:rFonts w:hint="eastAsia" w:ascii="宋体" w:hAnsi="宋体" w:eastAsia="宋体" w:cs="宋体"/>
                <w:spacing w:val="0"/>
                <w:sz w:val="24"/>
                <w:szCs w:val="24"/>
              </w:rPr>
              <w:t>序号</w:t>
            </w:r>
          </w:p>
        </w:tc>
        <w:tc>
          <w:tcPr>
            <w:tcW w:w="8006" w:type="dxa"/>
            <w:tcBorders>
              <w:top w:val="nil"/>
              <w:left w:val="nil"/>
              <w:bottom w:val="nil"/>
              <w:right w:val="nil"/>
            </w:tcBorders>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0" w:afterAutospacing="0"/>
              <w:ind w:left="0" w:right="0"/>
              <w:jc w:val="center"/>
            </w:pPr>
            <w:r>
              <w:rPr>
                <w:rFonts w:hint="eastAsia" w:ascii="宋体" w:hAnsi="宋体" w:eastAsia="宋体" w:cs="宋体"/>
                <w:spacing w:val="0"/>
                <w:sz w:val="24"/>
                <w:szCs w:val="24"/>
              </w:rPr>
              <w:t>编列内容</w:t>
            </w:r>
          </w:p>
        </w:tc>
      </w:tr>
      <w:tr>
        <w:trPr>
          <w:tblCellSpacing w:w="15" w:type="dxa"/>
        </w:trPr>
        <w:tc>
          <w:tcPr>
            <w:tcW w:w="479" w:type="dxa"/>
            <w:tcBorders>
              <w:top w:val="nil"/>
              <w:left w:val="nil"/>
              <w:bottom w:val="nil"/>
              <w:right w:val="nil"/>
            </w:tcBorders>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0" w:afterAutospacing="0"/>
              <w:ind w:left="0" w:right="0"/>
              <w:jc w:val="center"/>
            </w:pPr>
            <w:r>
              <w:rPr>
                <w:rFonts w:hint="eastAsia" w:ascii="宋体" w:hAnsi="宋体" w:eastAsia="宋体" w:cs="宋体"/>
                <w:spacing w:val="0"/>
                <w:sz w:val="24"/>
                <w:szCs w:val="24"/>
              </w:rPr>
              <w:t>1</w:t>
            </w:r>
          </w:p>
        </w:tc>
        <w:tc>
          <w:tcPr>
            <w:tcW w:w="8006" w:type="dxa"/>
            <w:tcBorders>
              <w:top w:val="nil"/>
              <w:left w:val="nil"/>
              <w:bottom w:val="nil"/>
              <w:right w:val="nil"/>
            </w:tcBorders>
            <w:shd w:val="clear" w:color="auto" w:fill="auto"/>
            <w:tcMar>
              <w:top w:w="0" w:type="dxa"/>
              <w:left w:w="105" w:type="dxa"/>
              <w:bottom w:w="0" w:type="dxa"/>
              <w:right w:w="105" w:type="dxa"/>
            </w:tcMar>
            <w:vAlign w:val="center"/>
          </w:tcPr>
          <w:p>
            <w:pPr>
              <w:pStyle w:val="4"/>
              <w:keepNext w:val="0"/>
              <w:keepLines w:val="0"/>
              <w:widowControl/>
              <w:suppressLineNumbers w:val="0"/>
              <w:wordWrap w:val="0"/>
              <w:spacing w:before="0" w:beforeAutospacing="0" w:after="0" w:afterAutospacing="0"/>
              <w:ind w:left="0" w:right="0"/>
            </w:pPr>
            <w:r>
              <w:rPr>
                <w:rFonts w:hint="eastAsia" w:ascii="宋体" w:hAnsi="宋体" w:eastAsia="宋体" w:cs="宋体"/>
                <w:spacing w:val="0"/>
                <w:sz w:val="24"/>
                <w:szCs w:val="24"/>
              </w:rPr>
              <w:t>（1）招标文件中除下述第（</w:t>
            </w:r>
            <w:r>
              <w:rPr>
                <w:rFonts w:hint="default" w:ascii="Calibri" w:hAnsi="Calibri" w:cs="Calibri"/>
                <w:spacing w:val="0"/>
                <w:sz w:val="24"/>
                <w:szCs w:val="24"/>
              </w:rPr>
              <w:t>2</w:t>
            </w:r>
            <w:r>
              <w:rPr>
                <w:rFonts w:hint="eastAsia" w:ascii="宋体" w:hAnsi="宋体" w:eastAsia="宋体" w:cs="宋体"/>
                <w:spacing w:val="0"/>
                <w:sz w:val="24"/>
                <w:szCs w:val="24"/>
              </w:rPr>
              <w:t>）、（</w:t>
            </w:r>
            <w:r>
              <w:rPr>
                <w:rFonts w:hint="default" w:ascii="Calibri" w:hAnsi="Calibri" w:cs="Calibri"/>
                <w:spacing w:val="0"/>
                <w:sz w:val="24"/>
                <w:szCs w:val="24"/>
              </w:rPr>
              <w:t>3</w:t>
            </w:r>
            <w:r>
              <w:rPr>
                <w:rFonts w:hint="eastAsia" w:ascii="宋体" w:hAnsi="宋体" w:eastAsia="宋体" w:cs="宋体"/>
                <w:spacing w:val="0"/>
                <w:sz w:val="24"/>
                <w:szCs w:val="24"/>
              </w:rPr>
              <w:t>）款所述内容外的其他内容及规定适用本项目的电子招标投标活动。</w:t>
            </w:r>
          </w:p>
          <w:p>
            <w:pPr>
              <w:pStyle w:val="4"/>
              <w:keepNext w:val="0"/>
              <w:keepLines w:val="0"/>
              <w:widowControl/>
              <w:suppressLineNumbers w:val="0"/>
              <w:wordWrap w:val="0"/>
              <w:spacing w:before="0" w:beforeAutospacing="0" w:after="0" w:afterAutospacing="0"/>
              <w:ind w:left="0" w:right="0"/>
            </w:pPr>
            <w:r>
              <w:rPr>
                <w:rFonts w:hint="eastAsia" w:ascii="宋体" w:hAnsi="宋体" w:eastAsia="宋体" w:cs="宋体"/>
                <w:spacing w:val="0"/>
                <w:sz w:val="24"/>
                <w:szCs w:val="24"/>
              </w:rPr>
              <w:t>（2）将招标文件</w:t>
            </w:r>
            <w:r>
              <w:rPr>
                <w:rFonts w:hint="eastAsia" w:ascii="宋体" w:hAnsi="宋体" w:eastAsia="宋体" w:cs="宋体"/>
                <w:spacing w:val="0"/>
                <w:sz w:val="24"/>
                <w:szCs w:val="24"/>
                <w:u w:val="single"/>
              </w:rPr>
              <w:t>无</w:t>
            </w:r>
            <w:r>
              <w:rPr>
                <w:rFonts w:hint="eastAsia" w:ascii="宋体" w:hAnsi="宋体" w:eastAsia="宋体" w:cs="宋体"/>
                <w:spacing w:val="0"/>
                <w:sz w:val="24"/>
                <w:szCs w:val="24"/>
              </w:rPr>
              <w:t>的内容</w:t>
            </w:r>
            <w:r>
              <w:rPr>
                <w:rStyle w:val="6"/>
                <w:rFonts w:hint="eastAsia" w:ascii="宋体" w:hAnsi="宋体" w:eastAsia="宋体" w:cs="宋体"/>
                <w:spacing w:val="0"/>
                <w:sz w:val="24"/>
                <w:szCs w:val="24"/>
              </w:rPr>
              <w:t>修正为</w:t>
            </w:r>
            <w:r>
              <w:rPr>
                <w:rFonts w:hint="eastAsia" w:ascii="宋体" w:hAnsi="宋体" w:eastAsia="宋体" w:cs="宋体"/>
                <w:spacing w:val="0"/>
                <w:sz w:val="24"/>
                <w:szCs w:val="24"/>
              </w:rPr>
              <w:t>下列内容：</w:t>
            </w:r>
            <w:r>
              <w:rPr>
                <w:rFonts w:hint="eastAsia" w:ascii="宋体" w:hAnsi="宋体" w:eastAsia="宋体" w:cs="宋体"/>
                <w:spacing w:val="0"/>
                <w:sz w:val="24"/>
                <w:szCs w:val="24"/>
                <w:u w:val="single"/>
              </w:rPr>
              <w:t>无</w:t>
            </w:r>
            <w:r>
              <w:rPr>
                <w:rFonts w:hint="eastAsia" w:ascii="宋体" w:hAnsi="宋体" w:eastAsia="宋体" w:cs="宋体"/>
                <w:spacing w:val="0"/>
                <w:sz w:val="24"/>
                <w:szCs w:val="24"/>
              </w:rPr>
              <w:t>后适用本项目的电子招标投标活动。</w:t>
            </w:r>
          </w:p>
          <w:p>
            <w:pPr>
              <w:pStyle w:val="4"/>
              <w:keepNext w:val="0"/>
              <w:keepLines w:val="0"/>
              <w:widowControl/>
              <w:suppressLineNumbers w:val="0"/>
              <w:wordWrap w:val="0"/>
              <w:spacing w:before="0" w:beforeAutospacing="0" w:after="0" w:afterAutospacing="0"/>
              <w:ind w:left="0" w:right="0"/>
            </w:pPr>
            <w:r>
              <w:rPr>
                <w:rFonts w:hint="eastAsia" w:ascii="宋体" w:hAnsi="宋体" w:eastAsia="宋体" w:cs="宋体"/>
                <w:spacing w:val="0"/>
                <w:sz w:val="24"/>
                <w:szCs w:val="24"/>
              </w:rPr>
              <w:t>（3）将下列内容</w:t>
            </w:r>
            <w:r>
              <w:rPr>
                <w:rStyle w:val="6"/>
                <w:rFonts w:hint="eastAsia" w:ascii="宋体" w:hAnsi="宋体" w:eastAsia="宋体" w:cs="宋体"/>
                <w:spacing w:val="0"/>
                <w:sz w:val="24"/>
                <w:szCs w:val="24"/>
              </w:rPr>
              <w:t>增列为</w:t>
            </w:r>
            <w:r>
              <w:rPr>
                <w:rFonts w:hint="eastAsia" w:ascii="宋体" w:hAnsi="宋体" w:eastAsia="宋体" w:cs="宋体"/>
                <w:spacing w:val="0"/>
                <w:sz w:val="24"/>
                <w:szCs w:val="24"/>
              </w:rPr>
              <w:t>招标文件的组成部分（以下简称：“增列内容”）适用本项目的电子招标投标活动，若增列内容与招标文件其他章节内容有冲突，应以增列内容为准：</w:t>
            </w:r>
          </w:p>
          <w:p>
            <w:pPr>
              <w:pStyle w:val="4"/>
              <w:keepNext w:val="0"/>
              <w:keepLines w:val="0"/>
              <w:widowControl/>
              <w:suppressLineNumbers w:val="0"/>
              <w:wordWrap w:val="0"/>
              <w:spacing w:before="0" w:beforeAutospacing="0" w:after="0" w:afterAutospacing="0"/>
              <w:ind w:left="0" w:right="0"/>
            </w:pPr>
            <w:r>
              <w:rPr>
                <w:rFonts w:hint="eastAsia" w:ascii="宋体" w:hAnsi="宋体" w:eastAsia="宋体" w:cs="宋体"/>
                <w:spacing w:val="0"/>
                <w:sz w:val="24"/>
                <w:szCs w:val="24"/>
              </w:rPr>
              <w:t>①电子招标投标活动的具体操作流程以福建省政府采购网上公开信息系统设定的为准。</w:t>
            </w:r>
          </w:p>
          <w:p>
            <w:pPr>
              <w:pStyle w:val="4"/>
              <w:keepNext w:val="0"/>
              <w:keepLines w:val="0"/>
              <w:widowControl/>
              <w:suppressLineNumbers w:val="0"/>
              <w:wordWrap w:val="0"/>
              <w:spacing w:before="0" w:beforeAutospacing="0" w:after="0" w:afterAutospacing="0"/>
              <w:ind w:left="0" w:right="0"/>
            </w:pPr>
            <w:r>
              <w:rPr>
                <w:rFonts w:hint="eastAsia" w:ascii="宋体" w:hAnsi="宋体" w:eastAsia="宋体" w:cs="宋体"/>
                <w:spacing w:val="0"/>
                <w:sz w:val="24"/>
                <w:szCs w:val="24"/>
              </w:rPr>
              <w:t>②关于投标文件：</w:t>
            </w:r>
          </w:p>
          <w:p>
            <w:pPr>
              <w:pStyle w:val="4"/>
              <w:keepNext w:val="0"/>
              <w:keepLines w:val="0"/>
              <w:widowControl/>
              <w:suppressLineNumbers w:val="0"/>
              <w:wordWrap w:val="0"/>
              <w:spacing w:before="0" w:beforeAutospacing="0" w:after="0" w:afterAutospacing="0"/>
              <w:ind w:left="0" w:right="0"/>
            </w:pPr>
            <w:r>
              <w:rPr>
                <w:rFonts w:hint="eastAsia" w:ascii="宋体" w:hAnsi="宋体" w:eastAsia="宋体" w:cs="宋体"/>
                <w:spacing w:val="0"/>
                <w:sz w:val="24"/>
                <w:szCs w:val="24"/>
              </w:rPr>
              <w:t>a.投标人应按照福建省政府采购网上公开信息系统设定的评审节点编制电子投标文件，否则</w:t>
            </w:r>
            <w:r>
              <w:rPr>
                <w:rStyle w:val="6"/>
                <w:rFonts w:hint="eastAsia" w:ascii="宋体" w:hAnsi="宋体" w:eastAsia="宋体" w:cs="宋体"/>
                <w:spacing w:val="0"/>
                <w:sz w:val="24"/>
                <w:szCs w:val="24"/>
              </w:rPr>
              <w:t>资格审查小组、评标委员会将按照不利于投标人的内容进行认定。</w:t>
            </w:r>
          </w:p>
          <w:p>
            <w:pPr>
              <w:pStyle w:val="4"/>
              <w:keepNext w:val="0"/>
              <w:keepLines w:val="0"/>
              <w:widowControl/>
              <w:suppressLineNumbers w:val="0"/>
              <w:wordWrap w:val="0"/>
              <w:spacing w:before="0" w:beforeAutospacing="0" w:after="0" w:afterAutospacing="0"/>
              <w:ind w:left="0" w:right="0"/>
            </w:pPr>
            <w:r>
              <w:rPr>
                <w:rFonts w:hint="eastAsia" w:ascii="宋体" w:hAnsi="宋体" w:eastAsia="宋体" w:cs="宋体"/>
                <w:spacing w:val="0"/>
                <w:sz w:val="24"/>
                <w:szCs w:val="24"/>
              </w:rPr>
              <w:t>b.投标人应在投标截止时间前按照福建省政府采购网上公开信息系统设定的操作流程将电子投标文件</w:t>
            </w:r>
            <w:r>
              <w:rPr>
                <w:rStyle w:val="6"/>
                <w:rFonts w:hint="eastAsia" w:ascii="宋体" w:hAnsi="宋体" w:eastAsia="宋体" w:cs="宋体"/>
                <w:spacing w:val="0"/>
                <w:sz w:val="24"/>
                <w:szCs w:val="24"/>
                <w:u w:val="single"/>
              </w:rPr>
              <w:t>1</w:t>
            </w:r>
            <w:r>
              <w:rPr>
                <w:rFonts w:hint="eastAsia" w:ascii="宋体" w:hAnsi="宋体" w:eastAsia="宋体" w:cs="宋体"/>
                <w:spacing w:val="0"/>
                <w:sz w:val="24"/>
                <w:szCs w:val="24"/>
              </w:rPr>
              <w:t>份上传至福建省政府采购网上公开信息系统，电子投标文件应与纸质投标文件保持一致，并以电子投标文件为准。电子投标文件的分项报价一览表、纸质投标文件的分项报价一览表、投标客户端的分项报价一览表应保持一致，并以投标客户端的分项报价一览表为准。</w:t>
            </w:r>
          </w:p>
          <w:p>
            <w:pPr>
              <w:pStyle w:val="4"/>
              <w:keepNext w:val="0"/>
              <w:keepLines w:val="0"/>
              <w:widowControl/>
              <w:suppressLineNumbers w:val="0"/>
              <w:wordWrap w:val="0"/>
              <w:spacing w:before="0" w:beforeAutospacing="0" w:after="0" w:afterAutospacing="0"/>
              <w:ind w:left="0" w:right="0"/>
            </w:pPr>
            <w:r>
              <w:rPr>
                <w:rFonts w:hint="eastAsia" w:ascii="宋体" w:hAnsi="宋体" w:eastAsia="宋体" w:cs="宋体"/>
                <w:spacing w:val="0"/>
                <w:sz w:val="24"/>
                <w:szCs w:val="24"/>
              </w:rPr>
              <w:t>c.若出现福建省政府采购网上公开信息系统设定的意外情形（如：系统故障等），经本项目监督管理部门同意使用纸质投标文件的，应以纸质投标文件为准。</w:t>
            </w:r>
          </w:p>
          <w:p>
            <w:pPr>
              <w:pStyle w:val="4"/>
              <w:keepNext w:val="0"/>
              <w:keepLines w:val="0"/>
              <w:widowControl/>
              <w:suppressLineNumbers w:val="0"/>
              <w:wordWrap w:val="0"/>
              <w:spacing w:before="0" w:beforeAutospacing="0" w:after="0" w:afterAutospacing="0"/>
              <w:ind w:left="0" w:right="0"/>
            </w:pPr>
            <w:r>
              <w:rPr>
                <w:rFonts w:hint="eastAsia" w:ascii="宋体" w:hAnsi="宋体" w:eastAsia="宋体" w:cs="宋体"/>
                <w:spacing w:val="0"/>
                <w:sz w:val="24"/>
                <w:szCs w:val="24"/>
              </w:rPr>
              <w:t>③关于证明材料或资料：</w:t>
            </w:r>
          </w:p>
          <w:p>
            <w:pPr>
              <w:pStyle w:val="4"/>
              <w:keepNext w:val="0"/>
              <w:keepLines w:val="0"/>
              <w:widowControl/>
              <w:suppressLineNumbers w:val="0"/>
              <w:wordWrap w:val="0"/>
            </w:pPr>
            <w:r>
              <w:rPr>
                <w:rFonts w:hint="eastAsia" w:ascii="宋体" w:hAnsi="宋体" w:eastAsia="宋体" w:cs="宋体"/>
                <w:sz w:val="24"/>
                <w:szCs w:val="24"/>
              </w:rPr>
              <w:t>a.除《检察机关行贿犯罪档案查询结果告知函》外，招标文件要求原件的，投标人在电子投标文件中可提供复印件（含扫描件），但在纸质投标文件正本中应提供原件</w:t>
            </w:r>
            <w:r>
              <w:rPr>
                <w:rStyle w:val="6"/>
                <w:rFonts w:hint="eastAsia" w:ascii="宋体" w:hAnsi="宋体" w:eastAsia="宋体" w:cs="宋体"/>
                <w:sz w:val="24"/>
                <w:szCs w:val="24"/>
              </w:rPr>
              <w:t>（资格审查小组、评标委员会将核对纸质投标文件正本，未提供原件的证明材料或资料将导致投标无效）</w:t>
            </w:r>
            <w:r>
              <w:rPr>
                <w:rFonts w:hint="eastAsia" w:ascii="宋体" w:hAnsi="宋体" w:eastAsia="宋体" w:cs="宋体"/>
                <w:sz w:val="24"/>
                <w:szCs w:val="24"/>
              </w:rPr>
              <w:t>；招标文件要求复印件的，投标人在纸质投标文件中提供原件、复印件（含扫描件）皆可；招标文件对原件、复印件未作要求的，投标人在纸质投标文件中提供原件、复印件（含扫描件）皆可。</w:t>
            </w:r>
          </w:p>
          <w:p>
            <w:pPr>
              <w:pStyle w:val="4"/>
              <w:keepNext w:val="0"/>
              <w:keepLines w:val="0"/>
              <w:widowControl/>
              <w:suppressLineNumbers w:val="0"/>
              <w:wordWrap w:val="0"/>
            </w:pPr>
            <w:r>
              <w:rPr>
                <w:rFonts w:hint="eastAsia" w:ascii="宋体" w:hAnsi="宋体" w:eastAsia="宋体" w:cs="宋体"/>
                <w:sz w:val="24"/>
                <w:szCs w:val="24"/>
              </w:rPr>
              <w:t>b.除《检察机关行贿犯罪档案查询结果告知函》外，若投标人提供注明“复印件无效”的证明材料或资料，其纸质投标文件正本中应提供原件</w:t>
            </w:r>
            <w:r>
              <w:rPr>
                <w:rStyle w:val="6"/>
                <w:rFonts w:hint="eastAsia" w:ascii="宋体" w:hAnsi="宋体" w:eastAsia="宋体" w:cs="宋体"/>
                <w:sz w:val="24"/>
                <w:szCs w:val="24"/>
              </w:rPr>
              <w:t>（资格审查小组、评标委员会将核对纸质投标文件正本，未提供原件的证明材料或资料将导致投标无效）。</w:t>
            </w:r>
          </w:p>
          <w:p>
            <w:pPr>
              <w:pStyle w:val="4"/>
              <w:keepNext w:val="0"/>
              <w:keepLines w:val="0"/>
              <w:widowControl/>
              <w:suppressLineNumbers w:val="0"/>
              <w:wordWrap w:val="0"/>
            </w:pPr>
            <w:r>
              <w:rPr>
                <w:rFonts w:hint="eastAsia" w:ascii="宋体" w:hAnsi="宋体" w:eastAsia="宋体" w:cs="宋体"/>
                <w:sz w:val="24"/>
                <w:szCs w:val="24"/>
              </w:rPr>
              <w:t>c.《检察机关行贿犯罪档案查询结果告知函》</w:t>
            </w:r>
          </w:p>
          <w:p>
            <w:pPr>
              <w:pStyle w:val="4"/>
              <w:keepNext w:val="0"/>
              <w:keepLines w:val="0"/>
              <w:widowControl/>
              <w:suppressLineNumbers w:val="0"/>
              <w:wordWrap w:val="0"/>
            </w:pPr>
            <w:r>
              <w:rPr>
                <w:rFonts w:hint="eastAsia" w:ascii="宋体" w:hAnsi="宋体" w:eastAsia="宋体" w:cs="宋体"/>
                <w:sz w:val="24"/>
                <w:szCs w:val="24"/>
              </w:rPr>
              <w:t>c1投标人在电子投标文件中可提供复印件（含扫描件）、符合招标文件第七章规定的打印件（或截图），在纸质投标文件正本中提供原件、复印件（含扫描件）、符合招标文件第七章规定的打印件（或截图）皆可。</w:t>
            </w:r>
          </w:p>
          <w:p>
            <w:pPr>
              <w:pStyle w:val="4"/>
              <w:keepNext w:val="0"/>
              <w:keepLines w:val="0"/>
              <w:widowControl/>
              <w:suppressLineNumbers w:val="0"/>
              <w:wordWrap w:val="0"/>
            </w:pPr>
            <w:r>
              <w:rPr>
                <w:rFonts w:hint="eastAsia" w:ascii="宋体" w:hAnsi="宋体" w:eastAsia="宋体" w:cs="宋体"/>
                <w:sz w:val="24"/>
                <w:szCs w:val="24"/>
              </w:rPr>
              <w:t>c2《检察机关行贿犯罪档案查询结果告知函》应在有效期内且内容完整、清晰、整洁，否则</w:t>
            </w:r>
            <w:r>
              <w:rPr>
                <w:rStyle w:val="6"/>
                <w:rFonts w:hint="eastAsia" w:ascii="宋体" w:hAnsi="宋体" w:eastAsia="宋体" w:cs="宋体"/>
                <w:sz w:val="24"/>
                <w:szCs w:val="24"/>
              </w:rPr>
              <w:t>投标无效。</w:t>
            </w:r>
          </w:p>
          <w:p>
            <w:pPr>
              <w:pStyle w:val="4"/>
              <w:keepNext w:val="0"/>
              <w:keepLines w:val="0"/>
              <w:widowControl/>
              <w:suppressLineNumbers w:val="0"/>
              <w:wordWrap w:val="0"/>
            </w:pPr>
            <w:r>
              <w:rPr>
                <w:rFonts w:hint="eastAsia" w:ascii="宋体" w:hAnsi="宋体" w:eastAsia="宋体" w:cs="宋体"/>
                <w:sz w:val="24"/>
                <w:szCs w:val="24"/>
              </w:rPr>
              <w:t>c3有效期内的《检察机关行贿犯罪档案查询结果告知函》复印件（含扫描件）及符合招标文件第七章规定的打印件（或截图），无论内容中是否注明“复印件无效”，</w:t>
            </w:r>
            <w:r>
              <w:rPr>
                <w:rStyle w:val="6"/>
                <w:rFonts w:hint="eastAsia" w:ascii="宋体" w:hAnsi="宋体" w:eastAsia="宋体" w:cs="宋体"/>
                <w:sz w:val="24"/>
                <w:szCs w:val="24"/>
              </w:rPr>
              <w:t>均视同有效。</w:t>
            </w:r>
          </w:p>
          <w:p>
            <w:pPr>
              <w:pStyle w:val="4"/>
              <w:keepNext w:val="0"/>
              <w:keepLines w:val="0"/>
              <w:widowControl/>
              <w:suppressLineNumbers w:val="0"/>
              <w:wordWrap w:val="0"/>
              <w:spacing w:before="0" w:beforeAutospacing="0" w:after="0" w:afterAutospacing="0"/>
              <w:ind w:left="0" w:right="0"/>
            </w:pPr>
          </w:p>
          <w:p>
            <w:pPr>
              <w:pStyle w:val="4"/>
              <w:keepNext w:val="0"/>
              <w:keepLines w:val="0"/>
              <w:widowControl/>
              <w:suppressLineNumbers w:val="0"/>
              <w:wordWrap w:val="0"/>
              <w:spacing w:before="0" w:beforeAutospacing="0" w:after="0" w:afterAutospacing="0"/>
              <w:ind w:left="0" w:right="0"/>
            </w:pPr>
            <w:r>
              <w:rPr>
                <w:rFonts w:hint="eastAsia" w:ascii="宋体" w:hAnsi="宋体" w:eastAsia="宋体" w:cs="宋体"/>
                <w:spacing w:val="0"/>
                <w:sz w:val="24"/>
                <w:szCs w:val="24"/>
              </w:rPr>
              <w:t>④关于“全称”、“投标人代表签字”及“加盖单位公章”：</w:t>
            </w:r>
          </w:p>
          <w:p>
            <w:pPr>
              <w:pStyle w:val="4"/>
              <w:keepNext w:val="0"/>
              <w:keepLines w:val="0"/>
              <w:widowControl/>
              <w:suppressLineNumbers w:val="0"/>
              <w:wordWrap w:val="0"/>
              <w:spacing w:before="0" w:beforeAutospacing="0" w:after="0" w:afterAutospacing="0"/>
              <w:ind w:left="0" w:right="0"/>
            </w:pPr>
            <w:r>
              <w:rPr>
                <w:rFonts w:hint="eastAsia" w:ascii="宋体" w:hAnsi="宋体" w:eastAsia="宋体" w:cs="宋体"/>
                <w:spacing w:val="0"/>
                <w:sz w:val="24"/>
                <w:szCs w:val="24"/>
              </w:rPr>
              <w:t>a.在电子投标文件中，涉及“全称”和“投标人代表签字”的内容可使用打字录入方式完成。</w:t>
            </w:r>
          </w:p>
          <w:p>
            <w:pPr>
              <w:pStyle w:val="4"/>
              <w:keepNext w:val="0"/>
              <w:keepLines w:val="0"/>
              <w:widowControl/>
              <w:suppressLineNumbers w:val="0"/>
              <w:wordWrap w:val="0"/>
              <w:spacing w:before="0" w:beforeAutospacing="0" w:after="0" w:afterAutospacing="0"/>
              <w:ind w:left="0" w:right="0"/>
            </w:pPr>
            <w:r>
              <w:rPr>
                <w:rFonts w:hint="eastAsia" w:ascii="宋体" w:hAnsi="宋体" w:eastAsia="宋体" w:cs="宋体"/>
                <w:spacing w:val="0"/>
                <w:sz w:val="24"/>
                <w:szCs w:val="24"/>
              </w:rPr>
              <w:t>b.在电子投标文件中，涉及“加盖单位公章”的内容应使用投标人的</w:t>
            </w:r>
            <w:r>
              <w:rPr>
                <w:rFonts w:hint="default" w:ascii="Calibri" w:hAnsi="Calibri" w:cs="Calibri"/>
                <w:spacing w:val="0"/>
                <w:sz w:val="24"/>
                <w:szCs w:val="24"/>
              </w:rPr>
              <w:t>CA</w:t>
            </w:r>
            <w:r>
              <w:rPr>
                <w:rFonts w:hint="eastAsia" w:ascii="宋体" w:hAnsi="宋体" w:eastAsia="宋体" w:cs="宋体"/>
                <w:spacing w:val="0"/>
                <w:sz w:val="24"/>
                <w:szCs w:val="24"/>
              </w:rPr>
              <w:t>证书完成，否则</w:t>
            </w:r>
            <w:r>
              <w:rPr>
                <w:rStyle w:val="6"/>
                <w:rFonts w:hint="eastAsia" w:ascii="宋体" w:hAnsi="宋体" w:eastAsia="宋体" w:cs="宋体"/>
                <w:spacing w:val="0"/>
                <w:sz w:val="24"/>
                <w:szCs w:val="24"/>
              </w:rPr>
              <w:t>投标无效。</w:t>
            </w:r>
          </w:p>
          <w:p>
            <w:pPr>
              <w:pStyle w:val="4"/>
              <w:keepNext w:val="0"/>
              <w:keepLines w:val="0"/>
              <w:widowControl/>
              <w:suppressLineNumbers w:val="0"/>
              <w:wordWrap w:val="0"/>
              <w:spacing w:before="0" w:beforeAutospacing="0" w:after="0" w:afterAutospacing="0"/>
              <w:ind w:left="0" w:right="0"/>
            </w:pPr>
            <w:r>
              <w:rPr>
                <w:rFonts w:hint="eastAsia" w:ascii="宋体" w:hAnsi="宋体" w:eastAsia="宋体" w:cs="宋体"/>
                <w:spacing w:val="0"/>
                <w:sz w:val="24"/>
                <w:szCs w:val="24"/>
              </w:rPr>
              <w:t>c.在电子投标文件中，若投标人按照本增列内容第④点第</w:t>
            </w:r>
            <w:r>
              <w:rPr>
                <w:rFonts w:hint="default" w:ascii="Calibri" w:hAnsi="Calibri" w:cs="Calibri"/>
                <w:spacing w:val="0"/>
                <w:sz w:val="24"/>
                <w:szCs w:val="24"/>
              </w:rPr>
              <w:t>b</w:t>
            </w:r>
            <w:r>
              <w:rPr>
                <w:rFonts w:hint="eastAsia" w:ascii="宋体" w:hAnsi="宋体" w:eastAsia="宋体" w:cs="宋体"/>
                <w:spacing w:val="0"/>
                <w:sz w:val="24"/>
                <w:szCs w:val="24"/>
              </w:rPr>
              <w:t>项规定加盖其单位公章，则出现无全称、或投标人代表未签字等情形，</w:t>
            </w:r>
            <w:r>
              <w:rPr>
                <w:rStyle w:val="6"/>
                <w:rFonts w:hint="eastAsia" w:ascii="宋体" w:hAnsi="宋体" w:eastAsia="宋体" w:cs="宋体"/>
                <w:spacing w:val="0"/>
                <w:sz w:val="24"/>
                <w:szCs w:val="24"/>
              </w:rPr>
              <w:t>不视为投标无效。</w:t>
            </w:r>
          </w:p>
          <w:p>
            <w:pPr>
              <w:pStyle w:val="4"/>
              <w:keepNext w:val="0"/>
              <w:keepLines w:val="0"/>
              <w:widowControl/>
              <w:suppressLineNumbers w:val="0"/>
              <w:wordWrap w:val="0"/>
              <w:spacing w:before="0" w:beforeAutospacing="0" w:after="0" w:afterAutospacing="0"/>
              <w:ind w:left="0" w:right="0"/>
            </w:pPr>
            <w:r>
              <w:rPr>
                <w:rFonts w:hint="eastAsia" w:ascii="宋体" w:hAnsi="宋体" w:eastAsia="宋体" w:cs="宋体"/>
                <w:spacing w:val="0"/>
                <w:sz w:val="24"/>
                <w:szCs w:val="24"/>
              </w:rPr>
              <w:t>⑤关于投标人的</w:t>
            </w:r>
            <w:r>
              <w:rPr>
                <w:rFonts w:hint="default" w:ascii="Calibri" w:hAnsi="Calibri" w:cs="Calibri"/>
                <w:spacing w:val="0"/>
                <w:sz w:val="24"/>
                <w:szCs w:val="24"/>
              </w:rPr>
              <w:t>CA</w:t>
            </w:r>
            <w:r>
              <w:rPr>
                <w:rFonts w:hint="eastAsia" w:ascii="宋体" w:hAnsi="宋体" w:eastAsia="宋体" w:cs="宋体"/>
                <w:spacing w:val="0"/>
                <w:sz w:val="24"/>
                <w:szCs w:val="24"/>
              </w:rPr>
              <w:t>证书：</w:t>
            </w:r>
          </w:p>
          <w:p>
            <w:pPr>
              <w:pStyle w:val="4"/>
              <w:keepNext w:val="0"/>
              <w:keepLines w:val="0"/>
              <w:widowControl/>
              <w:suppressLineNumbers w:val="0"/>
              <w:wordWrap w:val="0"/>
              <w:spacing w:before="0" w:beforeAutospacing="0" w:after="0" w:afterAutospacing="0"/>
              <w:ind w:left="0" w:right="0"/>
            </w:pPr>
            <w:r>
              <w:rPr>
                <w:rFonts w:hint="eastAsia" w:ascii="宋体" w:hAnsi="宋体" w:eastAsia="宋体" w:cs="宋体"/>
                <w:spacing w:val="0"/>
                <w:sz w:val="24"/>
                <w:szCs w:val="24"/>
              </w:rPr>
              <w:t>a.投标人的</w:t>
            </w:r>
            <w:r>
              <w:rPr>
                <w:rFonts w:hint="default" w:ascii="Calibri" w:hAnsi="Calibri" w:cs="Calibri"/>
                <w:spacing w:val="0"/>
                <w:sz w:val="24"/>
                <w:szCs w:val="24"/>
              </w:rPr>
              <w:t>CA</w:t>
            </w:r>
            <w:r>
              <w:rPr>
                <w:rFonts w:hint="eastAsia" w:ascii="宋体" w:hAnsi="宋体" w:eastAsia="宋体" w:cs="宋体"/>
                <w:spacing w:val="0"/>
                <w:sz w:val="24"/>
                <w:szCs w:val="24"/>
              </w:rPr>
              <w:t>证书应在投标截止时间前连同密封的纸质投标文件送达招标文件第一章第</w:t>
            </w:r>
            <w:r>
              <w:rPr>
                <w:rFonts w:hint="default" w:ascii="Calibri" w:hAnsi="Calibri" w:cs="Calibri"/>
                <w:spacing w:val="0"/>
                <w:sz w:val="24"/>
                <w:szCs w:val="24"/>
              </w:rPr>
              <w:t>10</w:t>
            </w:r>
            <w:r>
              <w:rPr>
                <w:rFonts w:hint="eastAsia" w:ascii="宋体" w:hAnsi="宋体" w:eastAsia="宋体" w:cs="宋体"/>
                <w:spacing w:val="0"/>
                <w:sz w:val="24"/>
                <w:szCs w:val="24"/>
              </w:rPr>
              <w:t>条载明的地点，否则</w:t>
            </w:r>
            <w:r>
              <w:rPr>
                <w:rStyle w:val="6"/>
                <w:rFonts w:hint="eastAsia" w:ascii="宋体" w:hAnsi="宋体" w:eastAsia="宋体" w:cs="宋体"/>
                <w:spacing w:val="0"/>
                <w:sz w:val="24"/>
                <w:szCs w:val="24"/>
              </w:rPr>
              <w:t>投标将被拒绝。</w:t>
            </w:r>
          </w:p>
          <w:p>
            <w:pPr>
              <w:pStyle w:val="4"/>
              <w:keepNext w:val="0"/>
              <w:keepLines w:val="0"/>
              <w:widowControl/>
              <w:suppressLineNumbers w:val="0"/>
              <w:wordWrap w:val="0"/>
              <w:spacing w:before="0" w:beforeAutospacing="0" w:after="0" w:afterAutospacing="0"/>
              <w:ind w:left="0" w:right="0"/>
            </w:pPr>
            <w:r>
              <w:rPr>
                <w:rFonts w:hint="eastAsia" w:ascii="宋体" w:hAnsi="宋体" w:eastAsia="宋体" w:cs="宋体"/>
                <w:spacing w:val="0"/>
                <w:sz w:val="24"/>
                <w:szCs w:val="24"/>
              </w:rPr>
              <w:t>b.投标人的</w:t>
            </w:r>
            <w:r>
              <w:rPr>
                <w:rFonts w:hint="default" w:ascii="Calibri" w:hAnsi="Calibri" w:cs="Calibri"/>
                <w:spacing w:val="0"/>
                <w:sz w:val="24"/>
                <w:szCs w:val="24"/>
              </w:rPr>
              <w:t>CA</w:t>
            </w:r>
            <w:r>
              <w:rPr>
                <w:rFonts w:hint="eastAsia" w:ascii="宋体" w:hAnsi="宋体" w:eastAsia="宋体" w:cs="宋体"/>
                <w:spacing w:val="0"/>
                <w:sz w:val="24"/>
                <w:szCs w:val="24"/>
              </w:rPr>
              <w:t>证书可采用信封（包括但不限于：信封、档案袋、文件袋等）作为外包装进行单独包装。外包装密封、不密封皆可。</w:t>
            </w:r>
          </w:p>
          <w:p>
            <w:pPr>
              <w:pStyle w:val="4"/>
              <w:keepNext w:val="0"/>
              <w:keepLines w:val="0"/>
              <w:widowControl/>
              <w:suppressLineNumbers w:val="0"/>
              <w:wordWrap w:val="0"/>
              <w:spacing w:before="0" w:beforeAutospacing="0" w:after="0" w:afterAutospacing="0"/>
              <w:ind w:left="0" w:right="0"/>
            </w:pPr>
            <w:r>
              <w:rPr>
                <w:rFonts w:hint="eastAsia" w:ascii="宋体" w:hAnsi="宋体" w:eastAsia="宋体" w:cs="宋体"/>
                <w:spacing w:val="0"/>
                <w:sz w:val="24"/>
                <w:szCs w:val="24"/>
              </w:rPr>
              <w:t>c.投标人的</w:t>
            </w:r>
            <w:r>
              <w:rPr>
                <w:rFonts w:hint="default" w:ascii="Calibri" w:hAnsi="Calibri" w:cs="Calibri"/>
                <w:spacing w:val="0"/>
                <w:sz w:val="24"/>
                <w:szCs w:val="24"/>
              </w:rPr>
              <w:t>CA</w:t>
            </w:r>
            <w:r>
              <w:rPr>
                <w:rFonts w:hint="eastAsia" w:ascii="宋体" w:hAnsi="宋体" w:eastAsia="宋体" w:cs="宋体"/>
                <w:spacing w:val="0"/>
                <w:sz w:val="24"/>
                <w:szCs w:val="24"/>
              </w:rPr>
              <w:t>证书或外包装应标记“项目名称、招标编号、投标人的全称”等内容，以方便识别、使用。</w:t>
            </w:r>
          </w:p>
          <w:p>
            <w:pPr>
              <w:pStyle w:val="4"/>
              <w:keepNext w:val="0"/>
              <w:keepLines w:val="0"/>
              <w:widowControl/>
              <w:suppressLineNumbers w:val="0"/>
              <w:wordWrap w:val="0"/>
              <w:spacing w:before="0" w:beforeAutospacing="0" w:after="0" w:afterAutospacing="0"/>
              <w:ind w:left="0" w:right="0"/>
            </w:pPr>
            <w:r>
              <w:rPr>
                <w:rFonts w:hint="eastAsia" w:ascii="宋体" w:hAnsi="宋体" w:eastAsia="宋体" w:cs="宋体"/>
                <w:spacing w:val="0"/>
                <w:sz w:val="24"/>
                <w:szCs w:val="24"/>
              </w:rPr>
              <w:t>d.投标人的</w:t>
            </w:r>
            <w:r>
              <w:rPr>
                <w:rFonts w:hint="default" w:ascii="Calibri" w:hAnsi="Calibri" w:cs="Calibri"/>
                <w:spacing w:val="0"/>
                <w:sz w:val="24"/>
                <w:szCs w:val="24"/>
              </w:rPr>
              <w:t>CA</w:t>
            </w:r>
            <w:r>
              <w:rPr>
                <w:rFonts w:hint="eastAsia" w:ascii="宋体" w:hAnsi="宋体" w:eastAsia="宋体" w:cs="宋体"/>
                <w:spacing w:val="0"/>
                <w:sz w:val="24"/>
                <w:szCs w:val="24"/>
              </w:rPr>
              <w:t>证书应能正常、有效使用，否则产生不利后果由投标人承担责任。</w:t>
            </w:r>
          </w:p>
          <w:p>
            <w:pPr>
              <w:pStyle w:val="4"/>
              <w:keepNext w:val="0"/>
              <w:keepLines w:val="0"/>
              <w:widowControl/>
              <w:suppressLineNumbers w:val="0"/>
              <w:wordWrap w:val="0"/>
              <w:spacing w:before="0" w:beforeAutospacing="0" w:after="0" w:afterAutospacing="0"/>
              <w:ind w:left="0" w:right="0"/>
            </w:pPr>
            <w:r>
              <w:rPr>
                <w:rFonts w:hint="eastAsia" w:ascii="宋体" w:hAnsi="宋体" w:eastAsia="宋体" w:cs="宋体"/>
                <w:spacing w:val="0"/>
                <w:sz w:val="24"/>
                <w:szCs w:val="24"/>
              </w:rPr>
              <w:t>⑥关于投标截止时间过后</w:t>
            </w:r>
          </w:p>
          <w:p>
            <w:pPr>
              <w:pStyle w:val="4"/>
              <w:keepNext w:val="0"/>
              <w:keepLines w:val="0"/>
              <w:widowControl/>
              <w:suppressLineNumbers w:val="0"/>
              <w:wordWrap w:val="0"/>
              <w:spacing w:before="0" w:beforeAutospacing="0" w:after="0" w:afterAutospacing="0"/>
              <w:ind w:left="0" w:right="0"/>
            </w:pPr>
            <w:r>
              <w:rPr>
                <w:rFonts w:hint="eastAsia" w:ascii="宋体" w:hAnsi="宋体" w:eastAsia="宋体" w:cs="宋体"/>
                <w:spacing w:val="0"/>
                <w:sz w:val="24"/>
                <w:szCs w:val="24"/>
              </w:rPr>
              <w:t>a.被福建省政府采购网上公开信息系统判定为投标保证金未提交（即未于投标截止时间前到达招标文件载明的投标保证金账户）的投标人，</w:t>
            </w:r>
            <w:r>
              <w:rPr>
                <w:rStyle w:val="6"/>
                <w:rFonts w:hint="eastAsia" w:ascii="宋体" w:hAnsi="宋体" w:eastAsia="宋体" w:cs="宋体"/>
                <w:spacing w:val="0"/>
                <w:sz w:val="24"/>
                <w:szCs w:val="24"/>
              </w:rPr>
              <w:t>投标将被拒绝。</w:t>
            </w:r>
          </w:p>
          <w:p>
            <w:pPr>
              <w:pStyle w:val="4"/>
              <w:keepNext w:val="0"/>
              <w:keepLines w:val="0"/>
              <w:widowControl/>
              <w:suppressLineNumbers w:val="0"/>
              <w:wordWrap w:val="0"/>
              <w:spacing w:before="0" w:beforeAutospacing="0" w:after="0" w:afterAutospacing="0"/>
              <w:ind w:left="0" w:right="0"/>
            </w:pPr>
            <w:r>
              <w:rPr>
                <w:rFonts w:hint="eastAsia" w:ascii="宋体" w:hAnsi="宋体" w:eastAsia="宋体" w:cs="宋体"/>
                <w:spacing w:val="0"/>
                <w:sz w:val="24"/>
                <w:szCs w:val="24"/>
              </w:rPr>
              <w:t>b.有下列情形之一的，视为投标人串通投标，</w:t>
            </w:r>
            <w:r>
              <w:rPr>
                <w:rStyle w:val="6"/>
                <w:rFonts w:hint="eastAsia" w:ascii="宋体" w:hAnsi="宋体" w:eastAsia="宋体" w:cs="宋体"/>
                <w:spacing w:val="0"/>
                <w:sz w:val="24"/>
                <w:szCs w:val="24"/>
              </w:rPr>
              <w:t>其投标无效：</w:t>
            </w:r>
          </w:p>
          <w:p>
            <w:pPr>
              <w:pStyle w:val="4"/>
              <w:keepNext w:val="0"/>
              <w:keepLines w:val="0"/>
              <w:widowControl/>
              <w:suppressLineNumbers w:val="0"/>
              <w:wordWrap w:val="0"/>
              <w:spacing w:before="0" w:beforeAutospacing="0" w:after="0" w:afterAutospacing="0"/>
              <w:ind w:left="0" w:right="0"/>
            </w:pPr>
            <w:r>
              <w:rPr>
                <w:rFonts w:hint="eastAsia" w:ascii="宋体" w:hAnsi="宋体" w:eastAsia="宋体" w:cs="宋体"/>
                <w:spacing w:val="0"/>
                <w:sz w:val="24"/>
                <w:szCs w:val="24"/>
              </w:rPr>
              <w:t>b1不同投标人的电子投标文件被福建省政府采购网上公开信息系统判定为具有相同内部识别码；</w:t>
            </w:r>
          </w:p>
          <w:p>
            <w:pPr>
              <w:pStyle w:val="4"/>
              <w:keepNext w:val="0"/>
              <w:keepLines w:val="0"/>
              <w:widowControl/>
              <w:suppressLineNumbers w:val="0"/>
              <w:wordWrap w:val="0"/>
              <w:spacing w:before="0" w:beforeAutospacing="0" w:after="0" w:afterAutospacing="0"/>
              <w:ind w:left="0" w:right="0"/>
            </w:pPr>
            <w:r>
              <w:rPr>
                <w:rFonts w:hint="eastAsia" w:ascii="宋体" w:hAnsi="宋体" w:eastAsia="宋体" w:cs="宋体"/>
                <w:spacing w:val="0"/>
                <w:sz w:val="24"/>
                <w:szCs w:val="24"/>
              </w:rPr>
              <w:t>b2不同投标人的投标保证金被福建省政府采购网上公开信息系统判定为从同一单位或个人的账户转出；</w:t>
            </w:r>
          </w:p>
          <w:p>
            <w:pPr>
              <w:pStyle w:val="4"/>
              <w:keepNext w:val="0"/>
              <w:keepLines w:val="0"/>
              <w:widowControl/>
              <w:suppressLineNumbers w:val="0"/>
              <w:wordWrap w:val="0"/>
              <w:spacing w:before="0" w:beforeAutospacing="0" w:after="0" w:afterAutospacing="0"/>
              <w:ind w:left="0" w:right="0"/>
            </w:pPr>
            <w:r>
              <w:rPr>
                <w:rFonts w:hint="eastAsia" w:ascii="宋体" w:hAnsi="宋体" w:eastAsia="宋体" w:cs="宋体"/>
                <w:spacing w:val="0"/>
                <w:sz w:val="24"/>
                <w:szCs w:val="24"/>
              </w:rPr>
              <w:t>b3投标人的投标保证金被福建省政府采购网上公开信息系统判定为同一合同项下有其他投标人提交的投标保证金</w:t>
            </w:r>
          </w:p>
          <w:p>
            <w:pPr>
              <w:pStyle w:val="4"/>
              <w:keepNext w:val="0"/>
              <w:keepLines w:val="0"/>
              <w:widowControl/>
              <w:suppressLineNumbers w:val="0"/>
              <w:wordWrap w:val="0"/>
            </w:pPr>
            <w:r>
              <w:rPr>
                <w:rFonts w:hint="eastAsia" w:ascii="宋体" w:hAnsi="宋体" w:eastAsia="宋体" w:cs="宋体"/>
                <w:sz w:val="24"/>
                <w:szCs w:val="24"/>
              </w:rPr>
              <w:t>b4不同投标人被福建省政府采购网上公开信息系统判定为串通投标的其他情形。</w:t>
            </w:r>
          </w:p>
          <w:p>
            <w:pPr>
              <w:pStyle w:val="4"/>
              <w:keepNext w:val="0"/>
              <w:keepLines w:val="0"/>
              <w:widowControl/>
              <w:suppressLineNumbers w:val="0"/>
              <w:wordWrap w:val="0"/>
              <w:spacing w:before="0" w:beforeAutospacing="0" w:after="0" w:afterAutospacing="0"/>
              <w:ind w:left="0" w:right="0"/>
            </w:pPr>
            <w:r>
              <w:rPr>
                <w:rFonts w:hint="eastAsia" w:ascii="宋体" w:hAnsi="宋体" w:eastAsia="宋体" w:cs="宋体"/>
                <w:spacing w:val="0"/>
                <w:sz w:val="24"/>
                <w:szCs w:val="24"/>
              </w:rPr>
              <w:t>⑦接受联合体投标且投标人为联合体的，投标人应由“联合体牵头方”完成福建省政府采购网上公开信息系统设定的具体操作流程（包括但不限于：报名、提交投标保证金、编制电子投标文件等）。</w:t>
            </w:r>
          </w:p>
          <w:p>
            <w:pPr>
              <w:pStyle w:val="4"/>
              <w:keepNext w:val="0"/>
              <w:keepLines w:val="0"/>
              <w:widowControl/>
              <w:suppressLineNumbers w:val="0"/>
              <w:wordWrap w:val="0"/>
              <w:spacing w:before="0" w:beforeAutospacing="0" w:after="0" w:afterAutospacing="0"/>
              <w:ind w:left="0" w:right="0"/>
            </w:pPr>
            <w:r>
              <w:rPr>
                <w:rFonts w:hint="eastAsia" w:ascii="宋体" w:hAnsi="宋体" w:eastAsia="宋体" w:cs="宋体"/>
                <w:spacing w:val="0"/>
                <w:sz w:val="24"/>
                <w:szCs w:val="24"/>
              </w:rPr>
              <w:t>⑧其他：</w:t>
            </w:r>
            <w:r>
              <w:rPr>
                <w:spacing w:val="0"/>
                <w:sz w:val="24"/>
                <w:szCs w:val="24"/>
              </w:rPr>
              <w:t>无</w:t>
            </w:r>
            <w:r>
              <w:rPr>
                <w:rFonts w:hint="eastAsia" w:ascii="宋体" w:hAnsi="宋体" w:eastAsia="宋体" w:cs="宋体"/>
                <w:spacing w:val="0"/>
                <w:sz w:val="24"/>
                <w:szCs w:val="24"/>
              </w:rPr>
              <w:t>。</w:t>
            </w:r>
          </w:p>
        </w:tc>
      </w:tr>
    </w:tbl>
    <w:p>
      <w:pPr>
        <w:pStyle w:val="4"/>
        <w:keepNext w:val="0"/>
        <w:keepLines w:val="0"/>
        <w:widowControl/>
        <w:suppressLineNumbers w:val="0"/>
        <w:spacing w:before="75" w:beforeAutospacing="0" w:after="75" w:afterAutospacing="0"/>
        <w:ind w:left="0" w:right="0" w:firstLine="0"/>
      </w:pPr>
      <w:r>
        <w:rPr>
          <w:spacing w:val="0"/>
          <w:sz w:val="24"/>
          <w:szCs w:val="24"/>
        </w:rPr>
        <w:t> </w:t>
      </w:r>
    </w:p>
    <w:p>
      <w:pPr>
        <w:pStyle w:val="4"/>
        <w:keepNext w:val="0"/>
        <w:keepLines w:val="0"/>
        <w:widowControl/>
        <w:suppressLineNumbers w:val="0"/>
        <w:spacing w:before="75" w:beforeAutospacing="0" w:after="75" w:afterAutospacing="0"/>
        <w:ind w:left="0" w:right="0" w:firstLine="0"/>
      </w:pPr>
      <w:r>
        <w:rPr>
          <w:spacing w:val="0"/>
          <w:sz w:val="24"/>
          <w:szCs w:val="24"/>
        </w:rPr>
        <w:t> </w:t>
      </w:r>
    </w:p>
    <w:p>
      <w:pPr>
        <w:pStyle w:val="4"/>
        <w:keepNext w:val="0"/>
        <w:keepLines w:val="0"/>
        <w:widowControl/>
        <w:suppressLineNumbers w:val="0"/>
        <w:spacing w:before="75" w:beforeAutospacing="0" w:after="75" w:afterAutospacing="0"/>
        <w:ind w:left="0" w:right="0" w:firstLine="0"/>
        <w:jc w:val="center"/>
      </w:pPr>
      <w:r>
        <w:rPr>
          <w:rStyle w:val="6"/>
          <w:rFonts w:hint="eastAsia" w:ascii="宋体" w:hAnsi="宋体" w:eastAsia="宋体" w:cs="宋体"/>
          <w:spacing w:val="0"/>
          <w:sz w:val="31"/>
          <w:szCs w:val="31"/>
        </w:rPr>
        <w:t>第三章   投标人须知</w:t>
      </w:r>
    </w:p>
    <w:p>
      <w:pPr>
        <w:pStyle w:val="4"/>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 </w:t>
      </w:r>
    </w:p>
    <w:p>
      <w:pPr>
        <w:pStyle w:val="4"/>
        <w:keepNext w:val="0"/>
        <w:keepLines w:val="0"/>
        <w:widowControl/>
        <w:suppressLineNumbers w:val="0"/>
        <w:spacing w:before="75" w:beforeAutospacing="0" w:after="75" w:afterAutospacing="0"/>
        <w:ind w:left="0" w:right="0" w:firstLine="0"/>
        <w:jc w:val="center"/>
      </w:pPr>
      <w:r>
        <w:rPr>
          <w:rStyle w:val="6"/>
          <w:rFonts w:hint="eastAsia" w:ascii="宋体" w:hAnsi="宋体" w:eastAsia="宋体" w:cs="宋体"/>
          <w:spacing w:val="0"/>
          <w:sz w:val="24"/>
          <w:szCs w:val="24"/>
        </w:rPr>
        <w:t>一、总则</w:t>
      </w:r>
    </w:p>
    <w:p>
      <w:pPr>
        <w:pStyle w:val="4"/>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1、适用范围</w:t>
      </w:r>
    </w:p>
    <w:p>
      <w:pPr>
        <w:pStyle w:val="4"/>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1.1适用于招标文件载明项目的政府采购活动（以下简称：“本次采购活动”）。</w:t>
      </w:r>
    </w:p>
    <w:p>
      <w:pPr>
        <w:pStyle w:val="4"/>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2、定义</w:t>
      </w:r>
    </w:p>
    <w:p>
      <w:pPr>
        <w:pStyle w:val="4"/>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2.1“采购标的”指招标文件载明的需要采购的货物或服务。</w:t>
      </w:r>
    </w:p>
    <w:p>
      <w:pPr>
        <w:pStyle w:val="4"/>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2.2“潜在投标人”指按照招标文件第一章第</w:t>
      </w:r>
      <w:r>
        <w:rPr>
          <w:rFonts w:hint="default" w:ascii="Calibri" w:hAnsi="Calibri" w:cs="Calibri"/>
          <w:spacing w:val="0"/>
          <w:sz w:val="24"/>
          <w:szCs w:val="24"/>
        </w:rPr>
        <w:t>7</w:t>
      </w:r>
      <w:r>
        <w:rPr>
          <w:rFonts w:hint="eastAsia" w:ascii="宋体" w:hAnsi="宋体" w:eastAsia="宋体" w:cs="宋体"/>
          <w:spacing w:val="0"/>
          <w:sz w:val="24"/>
          <w:szCs w:val="24"/>
        </w:rPr>
        <w:t>条规定进行报名且有意向参加本项目投标的供应商。</w:t>
      </w:r>
    </w:p>
    <w:p>
      <w:pPr>
        <w:pStyle w:val="4"/>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2.3“投标人”指按照招标文件第一章第</w:t>
      </w:r>
      <w:r>
        <w:rPr>
          <w:rFonts w:hint="default" w:ascii="Calibri" w:hAnsi="Calibri" w:cs="Calibri"/>
          <w:spacing w:val="0"/>
          <w:sz w:val="24"/>
          <w:szCs w:val="24"/>
        </w:rPr>
        <w:t>7</w:t>
      </w:r>
      <w:r>
        <w:rPr>
          <w:rFonts w:hint="eastAsia" w:ascii="宋体" w:hAnsi="宋体" w:eastAsia="宋体" w:cs="宋体"/>
          <w:spacing w:val="0"/>
          <w:sz w:val="24"/>
          <w:szCs w:val="24"/>
        </w:rPr>
        <w:t>条规定进行报名并参加本项目投标的供应商。</w:t>
      </w:r>
    </w:p>
    <w:p>
      <w:pPr>
        <w:pStyle w:val="4"/>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2.4“单位负责人”指单位法定代表人或法律、法规规定代表单位行使职权的主要负责人。</w:t>
      </w:r>
    </w:p>
    <w:p>
      <w:pPr>
        <w:pStyle w:val="4"/>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2.5“投标人代表”指投标人的单位负责人或“单位负责人授权书”中载明的接受授权方。</w:t>
      </w:r>
    </w:p>
    <w:p>
      <w:pPr>
        <w:pStyle w:val="4"/>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 </w:t>
      </w:r>
    </w:p>
    <w:p>
      <w:pPr>
        <w:pStyle w:val="4"/>
        <w:keepNext w:val="0"/>
        <w:keepLines w:val="0"/>
        <w:widowControl/>
        <w:suppressLineNumbers w:val="0"/>
        <w:spacing w:before="75" w:beforeAutospacing="0" w:after="75" w:afterAutospacing="0"/>
        <w:ind w:left="0" w:right="0" w:firstLine="0"/>
        <w:jc w:val="center"/>
      </w:pPr>
      <w:r>
        <w:rPr>
          <w:rStyle w:val="6"/>
          <w:rFonts w:hint="eastAsia" w:ascii="宋体" w:hAnsi="宋体" w:eastAsia="宋体" w:cs="宋体"/>
          <w:spacing w:val="0"/>
          <w:sz w:val="24"/>
          <w:szCs w:val="24"/>
        </w:rPr>
        <w:t>二、投标人</w:t>
      </w:r>
    </w:p>
    <w:p>
      <w:pPr>
        <w:pStyle w:val="4"/>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3、合格投标人</w:t>
      </w:r>
    </w:p>
    <w:p>
      <w:pPr>
        <w:pStyle w:val="4"/>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3.1一般规定</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（1）投标人应遵守政府采购法及实施条例、政府采购招投标管理办法、</w:t>
      </w:r>
      <w:r>
        <w:rPr>
          <w:rFonts w:hint="eastAsia" w:ascii="宋体" w:hAnsi="宋体" w:eastAsia="宋体" w:cs="宋体"/>
        </w:rPr>
        <w:t>政府采购质疑和投诉办法及财政部、</w:t>
      </w:r>
      <w:r>
        <w:rPr>
          <w:rFonts w:hint="eastAsia" w:ascii="宋体" w:hAnsi="宋体" w:eastAsia="宋体" w:cs="宋体"/>
          <w:spacing w:val="0"/>
        </w:rPr>
        <w:t>福建省财政厅有关政府采购文件的规定，同时还应遵守有关法律、法规和规章的强制性规定。</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（2）投标人的资格要求：详见招标文件第一章。</w:t>
      </w:r>
    </w:p>
    <w:p>
      <w:pPr>
        <w:pStyle w:val="4"/>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3.2若本项目接受联合体投标且投标人为联合体，则联合体各方应遵守本章第3.1条规定，同时还应遵守下列规定：</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（1）联合体各方应提交联合体协议，联合体协议应符合招标文件规定。</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（2）联合体各方不得再单独参加或与其他供应商另外组成联合体参加同一合同项下的投标。</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（3）联合体各方应共同与采购人签订政府采购合同，就政府采购合同约定的事项对采购人承担连带责任。</w:t>
      </w:r>
    </w:p>
    <w:p>
      <w:pPr>
        <w:pStyle w:val="4"/>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4、投标费用</w:t>
      </w:r>
    </w:p>
    <w:p>
      <w:pPr>
        <w:pStyle w:val="4"/>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4.1除招标文件另有规定外，投标人应自行承担其参加本项目投标所涉及的一切费用。</w:t>
      </w:r>
    </w:p>
    <w:p>
      <w:pPr>
        <w:pStyle w:val="4"/>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 </w:t>
      </w:r>
    </w:p>
    <w:p>
      <w:pPr>
        <w:pStyle w:val="4"/>
        <w:keepNext w:val="0"/>
        <w:keepLines w:val="0"/>
        <w:widowControl/>
        <w:suppressLineNumbers w:val="0"/>
        <w:spacing w:before="75" w:beforeAutospacing="0" w:after="75" w:afterAutospacing="0"/>
        <w:ind w:left="0" w:right="0" w:firstLine="0"/>
        <w:jc w:val="center"/>
      </w:pPr>
      <w:r>
        <w:rPr>
          <w:rStyle w:val="6"/>
          <w:rFonts w:hint="eastAsia" w:ascii="宋体" w:hAnsi="宋体" w:eastAsia="宋体" w:cs="宋体"/>
          <w:spacing w:val="0"/>
          <w:sz w:val="24"/>
          <w:szCs w:val="24"/>
        </w:rPr>
        <w:t>三、招标</w:t>
      </w:r>
    </w:p>
    <w:p>
      <w:pPr>
        <w:pStyle w:val="4"/>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5、招标文件</w:t>
      </w:r>
    </w:p>
    <w:p>
      <w:pPr>
        <w:pStyle w:val="4"/>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5.1招标文件由下述部分组成：</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（1）投标邀请</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（2）投标人须知前附表（表</w:t>
      </w:r>
      <w:r>
        <w:rPr>
          <w:rFonts w:hint="default" w:ascii="Calibri" w:hAnsi="Calibri" w:cs="Calibri"/>
          <w:spacing w:val="0"/>
          <w:sz w:val="24"/>
          <w:szCs w:val="24"/>
        </w:rPr>
        <w:t>1</w:t>
      </w:r>
      <w:r>
        <w:rPr>
          <w:rFonts w:hint="eastAsia" w:ascii="宋体" w:hAnsi="宋体" w:eastAsia="宋体" w:cs="宋体"/>
          <w:spacing w:val="0"/>
          <w:sz w:val="24"/>
          <w:szCs w:val="24"/>
        </w:rPr>
        <w:t>、</w:t>
      </w:r>
      <w:r>
        <w:rPr>
          <w:rFonts w:hint="default" w:ascii="Calibri" w:hAnsi="Calibri" w:cs="Calibri"/>
          <w:spacing w:val="0"/>
          <w:sz w:val="24"/>
          <w:szCs w:val="24"/>
        </w:rPr>
        <w:t>2</w:t>
      </w:r>
      <w:r>
        <w:rPr>
          <w:rFonts w:hint="eastAsia" w:ascii="宋体" w:hAnsi="宋体" w:eastAsia="宋体" w:cs="宋体"/>
          <w:spacing w:val="0"/>
          <w:sz w:val="24"/>
          <w:szCs w:val="24"/>
        </w:rPr>
        <w:t>）</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（3）投标人须知</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（4）资格审查与评标</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（5）招标内容及要求</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（6）政府采购合同（参考文本）</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（7）投标文件格式</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（8）按照招标文件规定作为招标文件组成部分的其他内容（若有）</w:t>
      </w:r>
    </w:p>
    <w:p>
      <w:pPr>
        <w:pStyle w:val="4"/>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5.2招标文件的澄清或修改</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（1）</w:t>
      </w:r>
      <w:r>
        <w:rPr>
          <w:spacing w:val="0"/>
          <w:sz w:val="24"/>
          <w:szCs w:val="24"/>
          <w:u w:val="single"/>
        </w:rPr>
        <w:t>福建省闽鸿招标有限公司</w:t>
      </w:r>
      <w:r>
        <w:rPr>
          <w:rFonts w:hint="eastAsia" w:ascii="宋体" w:hAnsi="宋体" w:eastAsia="宋体" w:cs="宋体"/>
          <w:spacing w:val="0"/>
          <w:sz w:val="24"/>
          <w:szCs w:val="24"/>
        </w:rPr>
        <w:t>可对已发出的招标文件进行必要的澄清或修改，但不得对招标文件载明的采购标的和投标人的资格要求进行改变。</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（2）除本章第</w:t>
      </w:r>
      <w:r>
        <w:rPr>
          <w:rFonts w:hint="default" w:ascii="Calibri" w:hAnsi="Calibri" w:cs="Calibri"/>
          <w:spacing w:val="0"/>
          <w:sz w:val="24"/>
          <w:szCs w:val="24"/>
        </w:rPr>
        <w:t>5.2</w:t>
      </w:r>
      <w:r>
        <w:rPr>
          <w:rFonts w:hint="eastAsia" w:ascii="宋体" w:hAnsi="宋体" w:eastAsia="宋体" w:cs="宋体"/>
          <w:spacing w:val="0"/>
          <w:sz w:val="24"/>
          <w:szCs w:val="24"/>
        </w:rPr>
        <w:t>条第（</w:t>
      </w:r>
      <w:r>
        <w:rPr>
          <w:rFonts w:hint="default" w:ascii="Calibri" w:hAnsi="Calibri" w:cs="Calibri"/>
          <w:spacing w:val="0"/>
          <w:sz w:val="24"/>
          <w:szCs w:val="24"/>
        </w:rPr>
        <w:t>3</w:t>
      </w:r>
      <w:r>
        <w:rPr>
          <w:rFonts w:hint="eastAsia" w:ascii="宋体" w:hAnsi="宋体" w:eastAsia="宋体" w:cs="宋体"/>
          <w:spacing w:val="0"/>
          <w:sz w:val="24"/>
          <w:szCs w:val="24"/>
        </w:rPr>
        <w:t>）款规定情形外，澄清或修改的内容可能影响投标文件编制的，</w:t>
      </w:r>
      <w:r>
        <w:rPr>
          <w:rFonts w:hint="eastAsia" w:ascii="宋体" w:hAnsi="宋体" w:eastAsia="宋体" w:cs="宋体"/>
          <w:spacing w:val="0"/>
          <w:sz w:val="24"/>
          <w:szCs w:val="24"/>
          <w:u w:val="single"/>
        </w:rPr>
        <w:t>福建省闽鸿招标有限公司</w:t>
      </w:r>
      <w:r>
        <w:rPr>
          <w:rFonts w:hint="eastAsia" w:ascii="宋体" w:hAnsi="宋体" w:eastAsia="宋体" w:cs="宋体"/>
          <w:spacing w:val="0"/>
          <w:sz w:val="24"/>
          <w:szCs w:val="24"/>
        </w:rPr>
        <w:t>将在投标截止时间至少15个日历日前，在招标文件载明的指定媒体以更正公告的形式发布澄清或修改的内容。不足</w:t>
      </w:r>
      <w:r>
        <w:rPr>
          <w:rFonts w:hint="default" w:ascii="Calibri" w:hAnsi="Calibri" w:cs="Calibri"/>
          <w:spacing w:val="0"/>
          <w:sz w:val="24"/>
          <w:szCs w:val="24"/>
        </w:rPr>
        <w:t>15</w:t>
      </w:r>
      <w:r>
        <w:rPr>
          <w:rFonts w:hint="eastAsia" w:ascii="宋体" w:hAnsi="宋体" w:eastAsia="宋体" w:cs="宋体"/>
          <w:spacing w:val="0"/>
          <w:sz w:val="24"/>
          <w:szCs w:val="24"/>
        </w:rPr>
        <w:t>个日历日的，</w:t>
      </w:r>
      <w:r>
        <w:rPr>
          <w:rFonts w:hint="eastAsia" w:ascii="宋体" w:hAnsi="宋体" w:eastAsia="宋体" w:cs="宋体"/>
          <w:spacing w:val="0"/>
          <w:sz w:val="24"/>
          <w:szCs w:val="24"/>
          <w:u w:val="single"/>
        </w:rPr>
        <w:t>福建省闽鸿招标有限公司</w:t>
      </w:r>
      <w:r>
        <w:rPr>
          <w:rFonts w:hint="eastAsia" w:ascii="宋体" w:hAnsi="宋体" w:eastAsia="宋体" w:cs="宋体"/>
          <w:spacing w:val="0"/>
          <w:sz w:val="24"/>
          <w:szCs w:val="24"/>
        </w:rPr>
        <w:t>将顺延投标截止时间及开标时间，</w:t>
      </w:r>
      <w:r>
        <w:rPr>
          <w:rFonts w:hint="eastAsia" w:ascii="宋体" w:hAnsi="宋体" w:eastAsia="宋体" w:cs="宋体"/>
          <w:spacing w:val="0"/>
          <w:sz w:val="24"/>
          <w:szCs w:val="24"/>
          <w:u w:val="single"/>
        </w:rPr>
        <w:t>福建省闽鸿招标有限公司</w:t>
      </w:r>
      <w:r>
        <w:rPr>
          <w:rFonts w:hint="eastAsia" w:ascii="宋体" w:hAnsi="宋体" w:eastAsia="宋体" w:cs="宋体"/>
          <w:spacing w:val="0"/>
          <w:sz w:val="24"/>
          <w:szCs w:val="24"/>
        </w:rPr>
        <w:t>和投标人受原投标截止时间及开标时间制约的所有权利和义务均延长至新的投标截止时间及开标时间。</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（3）澄清或修改的内容可能改变招标文件载明的采购标的和投标人的资格要求的，本次采购活动结束，</w:t>
      </w:r>
      <w:r>
        <w:rPr>
          <w:rFonts w:hint="eastAsia" w:ascii="宋体" w:hAnsi="宋体" w:eastAsia="宋体" w:cs="宋体"/>
          <w:spacing w:val="0"/>
          <w:sz w:val="24"/>
          <w:szCs w:val="24"/>
          <w:u w:val="single"/>
        </w:rPr>
        <w:t>福建省闽鸿招标有限公司</w:t>
      </w:r>
      <w:r>
        <w:rPr>
          <w:rFonts w:hint="eastAsia" w:ascii="宋体" w:hAnsi="宋体" w:eastAsia="宋体" w:cs="宋体"/>
          <w:spacing w:val="0"/>
          <w:sz w:val="24"/>
          <w:szCs w:val="24"/>
        </w:rPr>
        <w:t>将依法组织后续采购活动（包括但不限于：重新招标、采用其他方式采购等）。</w:t>
      </w:r>
    </w:p>
    <w:p>
      <w:pPr>
        <w:pStyle w:val="4"/>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6、现场考察或开标前答疑会</w:t>
      </w:r>
    </w:p>
    <w:p>
      <w:pPr>
        <w:pStyle w:val="4"/>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6.1是否组织现场考察或召开开标前答疑会：详见招标文件第二章。</w:t>
      </w:r>
    </w:p>
    <w:p>
      <w:pPr>
        <w:pStyle w:val="4"/>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7、更正公告</w:t>
      </w:r>
    </w:p>
    <w:p>
      <w:pPr>
        <w:pStyle w:val="4"/>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7.1若</w:t>
      </w:r>
      <w:r>
        <w:rPr>
          <w:rFonts w:hint="eastAsia" w:ascii="宋体" w:hAnsi="宋体" w:eastAsia="宋体" w:cs="宋体"/>
          <w:spacing w:val="0"/>
          <w:sz w:val="24"/>
          <w:szCs w:val="24"/>
          <w:u w:val="single"/>
        </w:rPr>
        <w:t>福建省闽鸿招标有限公司</w:t>
      </w:r>
      <w:r>
        <w:rPr>
          <w:rFonts w:hint="eastAsia" w:ascii="宋体" w:hAnsi="宋体" w:eastAsia="宋体" w:cs="宋体"/>
          <w:spacing w:val="0"/>
          <w:sz w:val="24"/>
          <w:szCs w:val="24"/>
        </w:rPr>
        <w:t>发布更正公告，则更正公告及其所发布的内容或信息（包括但不限于：招标文件的澄清或修改、现场考察或答疑会的有关事宜等）</w:t>
      </w:r>
      <w:r>
        <w:rPr>
          <w:rStyle w:val="6"/>
          <w:rFonts w:hint="eastAsia" w:ascii="宋体" w:hAnsi="宋体" w:eastAsia="宋体" w:cs="宋体"/>
          <w:spacing w:val="0"/>
          <w:sz w:val="24"/>
          <w:szCs w:val="24"/>
        </w:rPr>
        <w:t>作为招标文件组成部分</w:t>
      </w:r>
      <w:r>
        <w:rPr>
          <w:rFonts w:hint="eastAsia" w:ascii="宋体" w:hAnsi="宋体" w:eastAsia="宋体" w:cs="宋体"/>
          <w:spacing w:val="0"/>
          <w:sz w:val="24"/>
          <w:szCs w:val="24"/>
        </w:rPr>
        <w:t>，对投标人具有约束力。</w:t>
      </w:r>
    </w:p>
    <w:p>
      <w:pPr>
        <w:pStyle w:val="4"/>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7.2更正公告作为</w:t>
      </w:r>
      <w:r>
        <w:rPr>
          <w:rFonts w:hint="eastAsia" w:ascii="宋体" w:hAnsi="宋体" w:eastAsia="宋体" w:cs="宋体"/>
          <w:spacing w:val="0"/>
          <w:sz w:val="24"/>
          <w:szCs w:val="24"/>
          <w:u w:val="single"/>
        </w:rPr>
        <w:t>福建省闽鸿招标有限公司</w:t>
      </w:r>
      <w:r>
        <w:rPr>
          <w:rFonts w:hint="eastAsia" w:ascii="宋体" w:hAnsi="宋体" w:eastAsia="宋体" w:cs="宋体"/>
          <w:spacing w:val="0"/>
          <w:sz w:val="24"/>
          <w:szCs w:val="24"/>
        </w:rPr>
        <w:t>通知所有潜在投标人的书面形式。</w:t>
      </w:r>
    </w:p>
    <w:p>
      <w:pPr>
        <w:pStyle w:val="4"/>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8、终止公告</w:t>
      </w:r>
    </w:p>
    <w:p>
      <w:pPr>
        <w:pStyle w:val="4"/>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8.1若出现因重大变故导致采购任务取消情形，</w:t>
      </w:r>
      <w:r>
        <w:rPr>
          <w:rFonts w:hint="eastAsia" w:ascii="宋体" w:hAnsi="宋体" w:eastAsia="宋体" w:cs="宋体"/>
          <w:spacing w:val="0"/>
          <w:sz w:val="24"/>
          <w:szCs w:val="24"/>
          <w:u w:val="none"/>
        </w:rPr>
        <w:t>福建省闽鸿招标有限公司可终止招标并发布终止公告。</w:t>
      </w:r>
    </w:p>
    <w:p>
      <w:pPr>
        <w:pStyle w:val="4"/>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u w:val="none"/>
        </w:rPr>
        <w:t>8.2终止公告作为福建省闽鸿招标有限公司</w:t>
      </w:r>
      <w:r>
        <w:rPr>
          <w:rFonts w:hint="eastAsia" w:ascii="宋体" w:hAnsi="宋体" w:eastAsia="宋体" w:cs="宋体"/>
          <w:spacing w:val="0"/>
          <w:sz w:val="24"/>
          <w:szCs w:val="24"/>
        </w:rPr>
        <w:t>通知所有潜在投标人的书面形式。</w:t>
      </w:r>
    </w:p>
    <w:p>
      <w:pPr>
        <w:pStyle w:val="4"/>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 </w:t>
      </w:r>
    </w:p>
    <w:p>
      <w:pPr>
        <w:pStyle w:val="4"/>
        <w:keepNext w:val="0"/>
        <w:keepLines w:val="0"/>
        <w:widowControl/>
        <w:suppressLineNumbers w:val="0"/>
        <w:spacing w:before="75" w:beforeAutospacing="0" w:after="75" w:afterAutospacing="0"/>
        <w:ind w:left="0" w:right="0" w:firstLine="0"/>
        <w:jc w:val="center"/>
      </w:pPr>
      <w:r>
        <w:rPr>
          <w:rStyle w:val="6"/>
          <w:rFonts w:hint="eastAsia" w:ascii="宋体" w:hAnsi="宋体" w:eastAsia="宋体" w:cs="宋体"/>
          <w:spacing w:val="0"/>
          <w:sz w:val="24"/>
          <w:szCs w:val="24"/>
        </w:rPr>
        <w:t>四、投标</w:t>
      </w:r>
    </w:p>
    <w:p>
      <w:pPr>
        <w:pStyle w:val="4"/>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9、投标</w:t>
      </w:r>
    </w:p>
    <w:p>
      <w:pPr>
        <w:pStyle w:val="4"/>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9.1投标人可对招标文件载明的全部或部分合同包进行投标。</w:t>
      </w:r>
    </w:p>
    <w:p>
      <w:pPr>
        <w:pStyle w:val="4"/>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9.2投标人应对同一个合同包内的所有内容进行完整投标，否则</w:t>
      </w:r>
      <w:r>
        <w:rPr>
          <w:rStyle w:val="6"/>
          <w:rFonts w:hint="eastAsia" w:ascii="宋体" w:hAnsi="宋体" w:eastAsia="宋体" w:cs="宋体"/>
          <w:spacing w:val="0"/>
          <w:sz w:val="24"/>
          <w:szCs w:val="24"/>
        </w:rPr>
        <w:t>投标无效</w:t>
      </w:r>
      <w:r>
        <w:rPr>
          <w:rFonts w:hint="eastAsia" w:ascii="宋体" w:hAnsi="宋体" w:eastAsia="宋体" w:cs="宋体"/>
          <w:spacing w:val="0"/>
          <w:sz w:val="24"/>
          <w:szCs w:val="24"/>
        </w:rPr>
        <w:t>。</w:t>
      </w:r>
    </w:p>
    <w:p>
      <w:pPr>
        <w:pStyle w:val="4"/>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9.3投标人代表只能接受一个投标人的授权参加投标，否则</w:t>
      </w:r>
      <w:r>
        <w:rPr>
          <w:rStyle w:val="6"/>
          <w:rFonts w:hint="eastAsia" w:ascii="宋体" w:hAnsi="宋体" w:eastAsia="宋体" w:cs="宋体"/>
          <w:spacing w:val="0"/>
          <w:sz w:val="24"/>
          <w:szCs w:val="24"/>
        </w:rPr>
        <w:t>投标无效</w:t>
      </w:r>
      <w:r>
        <w:rPr>
          <w:rFonts w:hint="eastAsia" w:ascii="宋体" w:hAnsi="宋体" w:eastAsia="宋体" w:cs="宋体"/>
          <w:spacing w:val="0"/>
          <w:sz w:val="24"/>
          <w:szCs w:val="24"/>
        </w:rPr>
        <w:t>。</w:t>
      </w:r>
    </w:p>
    <w:p>
      <w:pPr>
        <w:pStyle w:val="4"/>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9.4单位负责人为同一人或存在直接控股、管理关系的不同供应商，不得同时参加同一合同项下的投标，否则</w:t>
      </w:r>
      <w:r>
        <w:rPr>
          <w:rStyle w:val="6"/>
          <w:rFonts w:hint="eastAsia" w:ascii="宋体" w:hAnsi="宋体" w:eastAsia="宋体" w:cs="宋体"/>
          <w:spacing w:val="0"/>
          <w:sz w:val="24"/>
          <w:szCs w:val="24"/>
        </w:rPr>
        <w:t>投标无效</w:t>
      </w:r>
      <w:r>
        <w:rPr>
          <w:rFonts w:hint="eastAsia" w:ascii="宋体" w:hAnsi="宋体" w:eastAsia="宋体" w:cs="宋体"/>
          <w:spacing w:val="0"/>
          <w:sz w:val="24"/>
          <w:szCs w:val="24"/>
        </w:rPr>
        <w:t>。</w:t>
      </w:r>
    </w:p>
    <w:p>
      <w:pPr>
        <w:pStyle w:val="4"/>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9.5为本项目提供整体设计、规范编制或项目管理、监理、检测等服务的供应商，不得参加本项目除整体设计、规范编制和项目管理、监理、检测等服务外的采购活动，否则</w:t>
      </w:r>
      <w:r>
        <w:rPr>
          <w:rStyle w:val="6"/>
          <w:rFonts w:hint="eastAsia" w:ascii="宋体" w:hAnsi="宋体" w:eastAsia="宋体" w:cs="宋体"/>
          <w:spacing w:val="0"/>
          <w:sz w:val="24"/>
          <w:szCs w:val="24"/>
        </w:rPr>
        <w:t>投标无效</w:t>
      </w:r>
      <w:r>
        <w:rPr>
          <w:rFonts w:hint="eastAsia" w:ascii="宋体" w:hAnsi="宋体" w:eastAsia="宋体" w:cs="宋体"/>
          <w:spacing w:val="0"/>
          <w:sz w:val="24"/>
          <w:szCs w:val="24"/>
        </w:rPr>
        <w:t>。</w:t>
      </w:r>
    </w:p>
    <w:p>
      <w:pPr>
        <w:pStyle w:val="4"/>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9.6列入失信被执行人、重大税收违法案件当事人名单、政府采购严重违法失信行为记录名单及其他不符合政府采购法第二十二条规定条件的供应商，不得参加投标，否则</w:t>
      </w:r>
      <w:r>
        <w:rPr>
          <w:rStyle w:val="6"/>
          <w:rFonts w:hint="eastAsia" w:ascii="宋体" w:hAnsi="宋体" w:eastAsia="宋体" w:cs="宋体"/>
          <w:spacing w:val="0"/>
          <w:sz w:val="24"/>
          <w:szCs w:val="24"/>
        </w:rPr>
        <w:t>投标无效</w:t>
      </w:r>
      <w:r>
        <w:rPr>
          <w:rFonts w:hint="eastAsia" w:ascii="宋体" w:hAnsi="宋体" w:eastAsia="宋体" w:cs="宋体"/>
          <w:spacing w:val="0"/>
          <w:sz w:val="24"/>
          <w:szCs w:val="24"/>
        </w:rPr>
        <w:t>。</w:t>
      </w:r>
    </w:p>
    <w:p>
      <w:pPr>
        <w:pStyle w:val="4"/>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9.7有下列情形之一的，视为投标人串通投标，</w:t>
      </w:r>
      <w:r>
        <w:rPr>
          <w:rStyle w:val="6"/>
          <w:rFonts w:hint="eastAsia" w:ascii="宋体" w:hAnsi="宋体" w:eastAsia="宋体" w:cs="宋体"/>
          <w:spacing w:val="0"/>
          <w:sz w:val="24"/>
          <w:szCs w:val="24"/>
        </w:rPr>
        <w:t>其投标无效：</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（1）不同投标人的投标文件由同一单位或个人编制；</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（2）不同投标人委托同一单位或个人办理投标事宜；</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（3）不同投标人的投标文件载明的项目管理成员或联系人员为同一人；</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（4）不同投标人的投标文件异常一致或投标报价呈规律性差异；</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（5）不同投标人的投标文件相互混装；</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（6）不同投标人的投标保证金从同一单位或个人的账户转出；</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（7）有关法律、法规和规章及招标文件规定的其他串通投标情形。</w:t>
      </w:r>
    </w:p>
    <w:p>
      <w:pPr>
        <w:pStyle w:val="4"/>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10、投标文件</w:t>
      </w:r>
    </w:p>
    <w:p>
      <w:pPr>
        <w:pStyle w:val="4"/>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10.1投标文件的编制</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（1）投标人应先仔细阅读招标文件的全部内容后，再进行投标文件的编制。</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（2）投标文件应按照本章第</w:t>
      </w:r>
      <w:r>
        <w:rPr>
          <w:rFonts w:hint="default" w:ascii="Calibri" w:hAnsi="Calibri" w:cs="Calibri"/>
          <w:spacing w:val="0"/>
          <w:sz w:val="24"/>
          <w:szCs w:val="24"/>
        </w:rPr>
        <w:t>10.2</w:t>
      </w:r>
      <w:r>
        <w:rPr>
          <w:rFonts w:hint="eastAsia" w:ascii="宋体" w:hAnsi="宋体" w:eastAsia="宋体" w:cs="宋体"/>
          <w:spacing w:val="0"/>
          <w:sz w:val="24"/>
          <w:szCs w:val="24"/>
        </w:rPr>
        <w:t>条规定编制其组成部分。</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（3）投标文件应满足招标文件提出的实质性要求和条件，并保证其所提交的全部资料是不可割离且真实、有效、准确、完整和不具有任何误导性的，否则造成不利后果由投标人承担责任。</w:t>
      </w:r>
    </w:p>
    <w:p>
      <w:pPr>
        <w:pStyle w:val="4"/>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10.2投标文件由下述部分组成：</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（1）资格及资信证明部分</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①投标函</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②投标人的资格及资信证明文件</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③投标保证金</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（2）报价部分</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①开标一览表</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②投标分项报价表</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③招标文件规定的价格扣除证明材料（若有）</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④招标文件规定的加分证明材料（若有）</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（3）技术商务部分</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①标的说明一览表</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②技术和服务要求响应表</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③商务条件响应表</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④投标人提交的其他资料（若有）</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⑤招标文件规定作为投标文件组成部分的其他内容（若有）</w:t>
      </w:r>
    </w:p>
    <w:p>
      <w:pPr>
        <w:pStyle w:val="4"/>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10.3投标文件的语言</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（1）除招标文件另有规定外，投标文件应使用中文文本，若有不同文本，以中文文本为准。</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2）投标文件提供的全部资料中，若原件属于非中文描述，应提供具有翻译资质的机构翻译的中文译本。前述翻译机构应为中国翻译协会成员单位，翻译的中文译本应由翻译人员签名并加盖翻译机构公章，同时提供翻译人员翻译资格证书。中文译本、翻译机构的成员单位证书及翻译人员的资格证书可为复印件。</w:t>
      </w:r>
    </w:p>
    <w:p>
      <w:pPr>
        <w:pStyle w:val="4"/>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10.4投标文件的份数：详见招标文件第二章。</w:t>
      </w:r>
    </w:p>
    <w:p>
      <w:pPr>
        <w:pStyle w:val="4"/>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10.5投标文件的格式</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（1）除招标文件另有规定外，投标文件应使用招标文件第七章规定的格式。</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（2）除招标文件另有规定外，投标文件的正本和全部副本均应使用不能擦去的墨料或墨水打印、书写或复印，其中：</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①正本应用</w:t>
      </w:r>
      <w:r>
        <w:rPr>
          <w:rFonts w:hint="default" w:ascii="Calibri" w:hAnsi="Calibri" w:cs="Calibri"/>
          <w:spacing w:val="0"/>
          <w:sz w:val="24"/>
          <w:szCs w:val="24"/>
        </w:rPr>
        <w:t>A4</w:t>
      </w:r>
      <w:r>
        <w:rPr>
          <w:rFonts w:hint="eastAsia" w:ascii="宋体" w:hAnsi="宋体" w:eastAsia="宋体" w:cs="宋体"/>
          <w:spacing w:val="0"/>
          <w:sz w:val="24"/>
          <w:szCs w:val="24"/>
        </w:rPr>
        <w:t>幅面纸张打印装订，编制封面（封面标明“正本”字样）、索引、页码，并用胶装装订成册。</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②副本应用</w:t>
      </w:r>
      <w:r>
        <w:rPr>
          <w:rFonts w:hint="default" w:ascii="Calibri" w:hAnsi="Calibri" w:cs="Calibri"/>
          <w:spacing w:val="0"/>
          <w:sz w:val="24"/>
          <w:szCs w:val="24"/>
        </w:rPr>
        <w:t>A4</w:t>
      </w:r>
      <w:r>
        <w:rPr>
          <w:rFonts w:hint="eastAsia" w:ascii="宋体" w:hAnsi="宋体" w:eastAsia="宋体" w:cs="宋体"/>
          <w:spacing w:val="0"/>
          <w:sz w:val="24"/>
          <w:szCs w:val="24"/>
        </w:rPr>
        <w:t>幅面纸张打印装订，编制封面（封面标明“副本”字样）、索引、页码，并用胶装装订成册；副本可用正本的完整复印件，并与正本保持一致（若不一致，以正本为准）。</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③允许散装或活页装订的内容或材料：详见招标文件第二章。</w:t>
      </w:r>
    </w:p>
    <w:p>
      <w:pPr>
        <w:pStyle w:val="4"/>
        <w:keepNext w:val="0"/>
        <w:keepLines w:val="0"/>
        <w:widowControl/>
        <w:suppressLineNumbers w:val="0"/>
        <w:spacing w:before="75" w:beforeAutospacing="0" w:after="75" w:afterAutospacing="0"/>
        <w:ind w:left="0" w:right="0" w:firstLine="480"/>
      </w:pPr>
      <w:r>
        <w:rPr>
          <w:rStyle w:val="6"/>
          <w:rFonts w:hint="eastAsia" w:ascii="宋体" w:hAnsi="宋体" w:eastAsia="宋体" w:cs="宋体"/>
          <w:spacing w:val="0"/>
          <w:sz w:val="24"/>
          <w:szCs w:val="24"/>
        </w:rPr>
        <w:t>※除本章第</w:t>
      </w:r>
      <w:r>
        <w:rPr>
          <w:rStyle w:val="6"/>
          <w:rFonts w:hint="default" w:ascii="Calibri" w:hAnsi="Calibri" w:cs="Calibri"/>
          <w:spacing w:val="0"/>
          <w:sz w:val="24"/>
          <w:szCs w:val="24"/>
        </w:rPr>
        <w:t>10.5</w:t>
      </w:r>
      <w:r>
        <w:rPr>
          <w:rStyle w:val="6"/>
          <w:rFonts w:hint="eastAsia" w:ascii="宋体" w:hAnsi="宋体" w:eastAsia="宋体" w:cs="宋体"/>
          <w:spacing w:val="0"/>
          <w:sz w:val="24"/>
          <w:szCs w:val="24"/>
        </w:rPr>
        <w:t>条第（</w:t>
      </w:r>
      <w:r>
        <w:rPr>
          <w:rStyle w:val="6"/>
          <w:rFonts w:hint="default" w:ascii="Calibri" w:hAnsi="Calibri" w:cs="Calibri"/>
          <w:spacing w:val="0"/>
          <w:sz w:val="24"/>
          <w:szCs w:val="24"/>
        </w:rPr>
        <w:t>2</w:t>
      </w:r>
      <w:r>
        <w:rPr>
          <w:rStyle w:val="6"/>
          <w:rFonts w:hint="eastAsia" w:ascii="宋体" w:hAnsi="宋体" w:eastAsia="宋体" w:cs="宋体"/>
          <w:spacing w:val="0"/>
          <w:sz w:val="24"/>
          <w:szCs w:val="24"/>
        </w:rPr>
        <w:t>）款第③点规定情形外，投标文件散装或活页装订将导致投标无效。</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（3）除招标文件另有规定外，投标文件应使用人民币作为计量货币。</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（4）除招标文件另有规定外，签署、盖章应遵守下列规定：</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①投标文件应由投标人代表签字并加盖投标人的单位公章。若投标人代表为单位负责人授权的委托代理人，应提供“单位负责人授权书”。</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②投标文件应没有涂改或行间插字，除非这些改动是根据</w:t>
      </w:r>
      <w:r>
        <w:rPr>
          <w:rFonts w:hint="eastAsia" w:ascii="宋体" w:hAnsi="宋体" w:eastAsia="宋体" w:cs="宋体"/>
          <w:spacing w:val="0"/>
          <w:sz w:val="24"/>
          <w:szCs w:val="24"/>
          <w:u w:val="single"/>
        </w:rPr>
        <w:t>福建省闽鸿招标有限公司</w:t>
      </w:r>
      <w:r>
        <w:rPr>
          <w:rFonts w:hint="eastAsia" w:ascii="宋体" w:hAnsi="宋体" w:eastAsia="宋体" w:cs="宋体"/>
          <w:spacing w:val="0"/>
          <w:sz w:val="24"/>
          <w:szCs w:val="24"/>
        </w:rPr>
        <w:t>的指示进行的，或是为改正投标人造成的应修改的错误而进行的。若有前述改动，应按照下列规定之一对改动处进行处理：</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a.投标人代表签字确认；</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b.加盖投标人的单位公章或校正章。</w:t>
      </w:r>
    </w:p>
    <w:p>
      <w:pPr>
        <w:pStyle w:val="4"/>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10.6投标报价</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（1）投标报价超出最高限价将导致</w:t>
      </w:r>
      <w:r>
        <w:rPr>
          <w:rStyle w:val="6"/>
          <w:rFonts w:hint="eastAsia" w:ascii="宋体" w:hAnsi="宋体" w:eastAsia="宋体" w:cs="宋体"/>
          <w:spacing w:val="0"/>
          <w:sz w:val="24"/>
          <w:szCs w:val="24"/>
        </w:rPr>
        <w:t>投标无效。</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（2）最高限价由采购人根据价格测算情况，在预算金额的额度内合理设定。最高限价不得超出预算金额。</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（3）除招标文件另有规定外，投标文件不能出现任何选择性的投标报价，即每一个合同包和品目号的采购标的都只能有一个投标报价。任何选择性的投标报价将导致</w:t>
      </w:r>
      <w:r>
        <w:rPr>
          <w:rStyle w:val="6"/>
          <w:rFonts w:hint="eastAsia" w:ascii="宋体" w:hAnsi="宋体" w:eastAsia="宋体" w:cs="宋体"/>
          <w:spacing w:val="0"/>
          <w:sz w:val="24"/>
          <w:szCs w:val="24"/>
        </w:rPr>
        <w:t>投标无效。</w:t>
      </w:r>
    </w:p>
    <w:p>
      <w:pPr>
        <w:pStyle w:val="4"/>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10.7分包</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（1）是否允许中标人将本项目的非主体、非关键性工作进行分包：详见招标文件第二章。</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（2）若允许中标人将本项目的非主体、非关键性工作进行分包且投标人拟在中标后进行分包，则投标人应在投标文件中载明分包承担主体，分包承担主体应具备相应资质条件（若有）且不得再次分包。</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（3）招标文件允许中标人将非主体、非关键性工作进行分包的项目，有下列情形之一的，中标人不得分包：</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①投标文件中未载明分包承担主体；</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②投标文件载明的分包承担主体不具备相应资质条件；</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③投标文件载明的分包承担主体拟再次分包。</w:t>
      </w:r>
    </w:p>
    <w:p>
      <w:pPr>
        <w:pStyle w:val="4"/>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10.8投标有效期</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（1）招标文件载明的投标有效期：详见招标文件第二章。</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（2）投标文件承诺的投标有效期不得少于招标文件载明的投标有效期，否则</w:t>
      </w:r>
      <w:r>
        <w:rPr>
          <w:rStyle w:val="6"/>
          <w:rFonts w:hint="eastAsia" w:ascii="宋体" w:hAnsi="宋体" w:eastAsia="宋体" w:cs="宋体"/>
          <w:spacing w:val="0"/>
          <w:sz w:val="24"/>
          <w:szCs w:val="24"/>
        </w:rPr>
        <w:t>投标无效</w:t>
      </w:r>
      <w:r>
        <w:rPr>
          <w:rFonts w:hint="eastAsia" w:ascii="宋体" w:hAnsi="宋体" w:eastAsia="宋体" w:cs="宋体"/>
          <w:spacing w:val="0"/>
          <w:sz w:val="24"/>
          <w:szCs w:val="24"/>
        </w:rPr>
        <w:t>。</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（3）根据本次采购活动的需要，</w:t>
      </w:r>
      <w:r>
        <w:rPr>
          <w:rFonts w:hint="eastAsia" w:ascii="宋体" w:hAnsi="宋体" w:eastAsia="宋体" w:cs="宋体"/>
          <w:spacing w:val="0"/>
          <w:sz w:val="24"/>
          <w:szCs w:val="24"/>
          <w:u w:val="single"/>
        </w:rPr>
        <w:t>福建省闽鸿招标有限公司</w:t>
      </w:r>
      <w:r>
        <w:rPr>
          <w:rFonts w:hint="eastAsia" w:ascii="宋体" w:hAnsi="宋体" w:eastAsia="宋体" w:cs="宋体"/>
          <w:spacing w:val="0"/>
          <w:sz w:val="24"/>
          <w:szCs w:val="24"/>
        </w:rPr>
        <w:t>可于投标有效期届满之前书面要求投标人延长投标有效期，投标人应在</w:t>
      </w:r>
      <w:r>
        <w:rPr>
          <w:rFonts w:hint="eastAsia" w:ascii="宋体" w:hAnsi="宋体" w:eastAsia="宋体" w:cs="宋体"/>
          <w:spacing w:val="0"/>
          <w:sz w:val="24"/>
          <w:szCs w:val="24"/>
          <w:u w:val="single"/>
        </w:rPr>
        <w:t>福建省闽鸿招标有限公司</w:t>
      </w:r>
      <w:r>
        <w:rPr>
          <w:rFonts w:hint="eastAsia" w:ascii="宋体" w:hAnsi="宋体" w:eastAsia="宋体" w:cs="宋体"/>
          <w:spacing w:val="0"/>
          <w:sz w:val="24"/>
          <w:szCs w:val="24"/>
        </w:rPr>
        <w:t>规定的期限内以书面形式予以答复。对于延长投标有效期的要求，投标人可以拒绝也可以接受，投标人答复不明确或逾期未答复的，均视为拒绝该要求。对于接受延长投标有效期的投标人，既不要求也不允许修改投标文件。</w:t>
      </w:r>
    </w:p>
    <w:p>
      <w:pPr>
        <w:pStyle w:val="4"/>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10.9投标保证金</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（1）投标保证金作为投标人按照招标文件规定履行相应投标责任、义务的约束及担保。</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（2）投标保证金的有效期应与投标文件承诺的投标有效期保持一致，否则</w:t>
      </w:r>
      <w:r>
        <w:rPr>
          <w:rStyle w:val="6"/>
          <w:rFonts w:hint="eastAsia" w:ascii="宋体" w:hAnsi="宋体" w:eastAsia="宋体" w:cs="宋体"/>
          <w:spacing w:val="0"/>
          <w:sz w:val="24"/>
          <w:szCs w:val="24"/>
        </w:rPr>
        <w:t>投标无效</w:t>
      </w:r>
      <w:r>
        <w:rPr>
          <w:rFonts w:hint="eastAsia" w:ascii="宋体" w:hAnsi="宋体" w:eastAsia="宋体" w:cs="宋体"/>
          <w:spacing w:val="0"/>
          <w:sz w:val="24"/>
          <w:szCs w:val="24"/>
        </w:rPr>
        <w:t>。</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（3）提交</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①投标人应从其银行账户</w:t>
      </w:r>
      <w:r>
        <w:rPr>
          <w:rStyle w:val="6"/>
          <w:rFonts w:hint="eastAsia" w:ascii="宋体" w:hAnsi="宋体" w:eastAsia="宋体" w:cs="宋体"/>
          <w:spacing w:val="0"/>
          <w:sz w:val="24"/>
          <w:szCs w:val="24"/>
        </w:rPr>
        <w:t>（基本存款账户）</w:t>
      </w:r>
      <w:r>
        <w:rPr>
          <w:rFonts w:hint="eastAsia" w:ascii="宋体" w:hAnsi="宋体" w:eastAsia="宋体" w:cs="宋体"/>
          <w:spacing w:val="0"/>
          <w:sz w:val="24"/>
          <w:szCs w:val="24"/>
        </w:rPr>
        <w:t>按照下列方式：</w:t>
      </w:r>
      <w:r>
        <w:rPr>
          <w:rStyle w:val="6"/>
          <w:rFonts w:hint="eastAsia" w:ascii="宋体" w:hAnsi="宋体" w:eastAsia="宋体" w:cs="宋体"/>
          <w:spacing w:val="0"/>
          <w:sz w:val="24"/>
          <w:szCs w:val="24"/>
        </w:rPr>
        <w:t>公对公转账方式</w:t>
      </w:r>
      <w:r>
        <w:rPr>
          <w:rFonts w:hint="eastAsia" w:ascii="宋体" w:hAnsi="宋体" w:eastAsia="宋体" w:cs="宋体"/>
          <w:spacing w:val="0"/>
          <w:sz w:val="24"/>
          <w:szCs w:val="24"/>
        </w:rPr>
        <w:t>向招标文件载明的投标保证金账户提交投标保证金，具体金额详见招标文件第一章。</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②投标保证金应于投标截止时间前到达招标文件载明的投标保证金账户，否则视为投标保证金未提交；是否到达按照下列方式认定：</w:t>
      </w:r>
      <w:r>
        <w:rPr>
          <w:rStyle w:val="6"/>
          <w:rFonts w:hint="eastAsia" w:ascii="宋体" w:hAnsi="宋体" w:eastAsia="宋体" w:cs="宋体"/>
          <w:spacing w:val="0"/>
          <w:sz w:val="24"/>
          <w:szCs w:val="24"/>
        </w:rPr>
        <w:t>以福建省政府采购网上公开信息系统记载的为准。</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③若本项目接受联合体投标且投标人为联合体，则联合体中的牵头方应按照本章第</w:t>
      </w:r>
      <w:r>
        <w:rPr>
          <w:rFonts w:hint="default" w:ascii="Calibri" w:hAnsi="Calibri" w:cs="Calibri"/>
          <w:spacing w:val="0"/>
          <w:sz w:val="24"/>
          <w:szCs w:val="24"/>
        </w:rPr>
        <w:t>10.9</w:t>
      </w:r>
      <w:r>
        <w:rPr>
          <w:rFonts w:hint="eastAsia" w:ascii="宋体" w:hAnsi="宋体" w:eastAsia="宋体" w:cs="宋体"/>
          <w:spacing w:val="0"/>
          <w:sz w:val="24"/>
          <w:szCs w:val="24"/>
        </w:rPr>
        <w:t>条第（</w:t>
      </w:r>
      <w:r>
        <w:rPr>
          <w:rFonts w:hint="default" w:ascii="Calibri" w:hAnsi="Calibri" w:cs="Calibri"/>
          <w:spacing w:val="0"/>
          <w:sz w:val="24"/>
          <w:szCs w:val="24"/>
        </w:rPr>
        <w:t>3</w:t>
      </w:r>
      <w:r>
        <w:rPr>
          <w:rFonts w:hint="eastAsia" w:ascii="宋体" w:hAnsi="宋体" w:eastAsia="宋体" w:cs="宋体"/>
          <w:spacing w:val="0"/>
          <w:sz w:val="24"/>
          <w:szCs w:val="24"/>
        </w:rPr>
        <w:t>）款第①、②点规定提交投标保证金。</w:t>
      </w:r>
    </w:p>
    <w:p>
      <w:pPr>
        <w:pStyle w:val="4"/>
        <w:keepNext w:val="0"/>
        <w:keepLines w:val="0"/>
        <w:widowControl/>
        <w:suppressLineNumbers w:val="0"/>
        <w:spacing w:before="75" w:beforeAutospacing="0" w:after="75" w:afterAutospacing="0"/>
        <w:ind w:left="0" w:right="0" w:firstLine="480"/>
      </w:pPr>
      <w:r>
        <w:rPr>
          <w:rStyle w:val="6"/>
          <w:rFonts w:hint="eastAsia" w:ascii="宋体" w:hAnsi="宋体" w:eastAsia="宋体" w:cs="宋体"/>
          <w:spacing w:val="0"/>
          <w:sz w:val="24"/>
          <w:szCs w:val="24"/>
        </w:rPr>
        <w:t>※除招标文件另有规定外，未按照上述规定提交投标保证金将导致资格审查不合格。</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（4）退还</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①在投标截止时间前撤回已提交的投标文件的投标人，其投标保证金将在</w:t>
      </w:r>
      <w:r>
        <w:rPr>
          <w:rFonts w:hint="eastAsia" w:ascii="宋体" w:hAnsi="宋体" w:eastAsia="宋体" w:cs="宋体"/>
          <w:spacing w:val="0"/>
          <w:sz w:val="24"/>
          <w:szCs w:val="24"/>
          <w:u w:val="single"/>
        </w:rPr>
        <w:t>福建省闽鸿招标有限公司</w:t>
      </w:r>
      <w:r>
        <w:rPr>
          <w:rFonts w:hint="eastAsia" w:ascii="宋体" w:hAnsi="宋体" w:eastAsia="宋体" w:cs="宋体"/>
          <w:spacing w:val="0"/>
          <w:sz w:val="24"/>
          <w:szCs w:val="24"/>
        </w:rPr>
        <w:t>收到投标人书面撤回通知之日起5个工作日内退回原账户。</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②未中标人的投标保证金将在中标通知书发出之日起</w:t>
      </w:r>
      <w:r>
        <w:rPr>
          <w:rFonts w:hint="default" w:ascii="Calibri" w:hAnsi="Calibri" w:cs="Calibri"/>
          <w:spacing w:val="0"/>
          <w:sz w:val="24"/>
          <w:szCs w:val="24"/>
        </w:rPr>
        <w:t>5</w:t>
      </w:r>
      <w:r>
        <w:rPr>
          <w:rFonts w:hint="eastAsia" w:ascii="宋体" w:hAnsi="宋体" w:eastAsia="宋体" w:cs="宋体"/>
          <w:spacing w:val="0"/>
          <w:sz w:val="24"/>
          <w:szCs w:val="24"/>
        </w:rPr>
        <w:t>个工作日内退回原账户。</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③中标人的投标保证金将在政府采购合同签订之日起</w:t>
      </w:r>
      <w:r>
        <w:rPr>
          <w:rFonts w:hint="default" w:ascii="Calibri" w:hAnsi="Calibri" w:cs="Calibri"/>
          <w:spacing w:val="0"/>
          <w:sz w:val="24"/>
          <w:szCs w:val="24"/>
        </w:rPr>
        <w:t>5</w:t>
      </w:r>
      <w:r>
        <w:rPr>
          <w:rFonts w:hint="eastAsia" w:ascii="宋体" w:hAnsi="宋体" w:eastAsia="宋体" w:cs="宋体"/>
          <w:spacing w:val="0"/>
          <w:sz w:val="24"/>
          <w:szCs w:val="24"/>
        </w:rPr>
        <w:t>个工作日内退回原账户；合同签订之日按照下列方式认定：</w:t>
      </w:r>
      <w:r>
        <w:rPr>
          <w:rStyle w:val="6"/>
          <w:rFonts w:hint="eastAsia" w:ascii="宋体" w:hAnsi="宋体" w:eastAsia="宋体" w:cs="宋体"/>
          <w:spacing w:val="0"/>
          <w:sz w:val="24"/>
          <w:szCs w:val="24"/>
        </w:rPr>
        <w:t>以福建省政府采购网上公开信息系统记载的为准。</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④终止招标的，</w:t>
      </w:r>
      <w:r>
        <w:rPr>
          <w:rFonts w:hint="eastAsia" w:ascii="宋体" w:hAnsi="宋体" w:eastAsia="宋体" w:cs="宋体"/>
          <w:spacing w:val="0"/>
          <w:sz w:val="24"/>
          <w:szCs w:val="24"/>
          <w:u w:val="single"/>
        </w:rPr>
        <w:t>福建省闽鸿招标有限公司</w:t>
      </w:r>
      <w:r>
        <w:rPr>
          <w:rFonts w:hint="eastAsia" w:ascii="宋体" w:hAnsi="宋体" w:eastAsia="宋体" w:cs="宋体"/>
          <w:spacing w:val="0"/>
          <w:sz w:val="24"/>
          <w:szCs w:val="24"/>
        </w:rPr>
        <w:t>将在终止公告发布之日起5个工作日内退回已收取的投标保证金及其在银行产生的孳息。</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⑤除招标文件另有规定外，质疑或投诉涉及的投标人，若投标保证金尚未退还，则待质疑或投诉处理完毕后不计利息原额退还。</w:t>
      </w:r>
    </w:p>
    <w:p>
      <w:pPr>
        <w:pStyle w:val="4"/>
        <w:keepNext w:val="0"/>
        <w:keepLines w:val="0"/>
        <w:widowControl/>
        <w:suppressLineNumbers w:val="0"/>
        <w:spacing w:before="75" w:beforeAutospacing="0" w:after="75" w:afterAutospacing="0"/>
        <w:ind w:left="0" w:right="0" w:firstLine="480"/>
      </w:pPr>
      <w:r>
        <w:rPr>
          <w:rStyle w:val="6"/>
          <w:rFonts w:hint="eastAsia" w:ascii="宋体" w:hAnsi="宋体" w:eastAsia="宋体" w:cs="宋体"/>
          <w:spacing w:val="0"/>
          <w:sz w:val="24"/>
          <w:szCs w:val="24"/>
        </w:rPr>
        <w:t>※本章第</w:t>
      </w:r>
      <w:r>
        <w:rPr>
          <w:rStyle w:val="6"/>
          <w:rFonts w:hint="default" w:ascii="Calibri" w:hAnsi="Calibri" w:cs="Calibri"/>
          <w:spacing w:val="0"/>
          <w:sz w:val="24"/>
          <w:szCs w:val="24"/>
        </w:rPr>
        <w:t>10.9</w:t>
      </w:r>
      <w:r>
        <w:rPr>
          <w:rStyle w:val="6"/>
          <w:rFonts w:hint="eastAsia" w:ascii="宋体" w:hAnsi="宋体" w:eastAsia="宋体" w:cs="宋体"/>
          <w:spacing w:val="0"/>
          <w:sz w:val="24"/>
          <w:szCs w:val="24"/>
        </w:rPr>
        <w:t>条第（</w:t>
      </w:r>
      <w:r>
        <w:rPr>
          <w:rStyle w:val="6"/>
          <w:rFonts w:hint="default" w:ascii="Calibri" w:hAnsi="Calibri" w:cs="Calibri"/>
          <w:spacing w:val="0"/>
          <w:sz w:val="24"/>
          <w:szCs w:val="24"/>
        </w:rPr>
        <w:t>4</w:t>
      </w:r>
      <w:r>
        <w:rPr>
          <w:rStyle w:val="6"/>
          <w:rFonts w:hint="eastAsia" w:ascii="宋体" w:hAnsi="宋体" w:eastAsia="宋体" w:cs="宋体"/>
          <w:spacing w:val="0"/>
          <w:sz w:val="24"/>
          <w:szCs w:val="24"/>
        </w:rPr>
        <w:t>）款第①、②、③点规定的投标保证金退还时限不包括因投标人自身原因导致无法及时退还而增加的时间。</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（5）若出现本章第</w:t>
      </w:r>
      <w:r>
        <w:rPr>
          <w:rFonts w:hint="default" w:ascii="Calibri" w:hAnsi="Calibri" w:cs="Calibri"/>
          <w:spacing w:val="0"/>
          <w:sz w:val="24"/>
          <w:szCs w:val="24"/>
        </w:rPr>
        <w:t>10.8</w:t>
      </w:r>
      <w:r>
        <w:rPr>
          <w:rFonts w:hint="eastAsia" w:ascii="宋体" w:hAnsi="宋体" w:eastAsia="宋体" w:cs="宋体"/>
          <w:spacing w:val="0"/>
          <w:sz w:val="24"/>
          <w:szCs w:val="24"/>
        </w:rPr>
        <w:t>条第（</w:t>
      </w:r>
      <w:r>
        <w:rPr>
          <w:rFonts w:hint="default" w:ascii="Calibri" w:hAnsi="Calibri" w:cs="Calibri"/>
          <w:spacing w:val="0"/>
          <w:sz w:val="24"/>
          <w:szCs w:val="24"/>
        </w:rPr>
        <w:t>3</w:t>
      </w:r>
      <w:r>
        <w:rPr>
          <w:rFonts w:hint="eastAsia" w:ascii="宋体" w:hAnsi="宋体" w:eastAsia="宋体" w:cs="宋体"/>
          <w:spacing w:val="0"/>
          <w:sz w:val="24"/>
          <w:szCs w:val="24"/>
        </w:rPr>
        <w:t>）款规定情形，对于拒绝延长投标有效期的投标人，投标保证金仍可退还。对于接受延长投标有效期的投标人，相应延长投标保证金有效期，招标文件关于退还和不予退还投标保证金的规定继续适用。</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（6）有下列情形之一的，投标保证金将不予退还：</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①投标人串通投标；</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②投标人提供虚假材料；</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③投标人采取不正当手段诋毁、排挤其他投标人；</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④投标截止时间后，投标人在投标有效期内撤销投标文件；</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⑤投标人不接受评标委员会按照招标文件规定对投标报价错误之处进行修正；</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⑥投标人违反招标文件第三章第</w:t>
      </w:r>
      <w:r>
        <w:rPr>
          <w:rFonts w:hint="default" w:ascii="Calibri" w:hAnsi="Calibri" w:cs="Calibri"/>
          <w:spacing w:val="0"/>
          <w:sz w:val="24"/>
          <w:szCs w:val="24"/>
        </w:rPr>
        <w:t>9.4</w:t>
      </w:r>
      <w:r>
        <w:rPr>
          <w:rFonts w:hint="eastAsia" w:ascii="宋体" w:hAnsi="宋体" w:eastAsia="宋体" w:cs="宋体"/>
          <w:spacing w:val="0"/>
          <w:sz w:val="24"/>
          <w:szCs w:val="24"/>
        </w:rPr>
        <w:t>、</w:t>
      </w:r>
      <w:r>
        <w:rPr>
          <w:rFonts w:hint="default" w:ascii="Calibri" w:hAnsi="Calibri" w:cs="Calibri"/>
          <w:spacing w:val="0"/>
          <w:sz w:val="24"/>
          <w:szCs w:val="24"/>
        </w:rPr>
        <w:t>9.5</w:t>
      </w:r>
      <w:r>
        <w:rPr>
          <w:rFonts w:hint="eastAsia" w:ascii="宋体" w:hAnsi="宋体" w:eastAsia="宋体" w:cs="宋体"/>
          <w:spacing w:val="0"/>
          <w:sz w:val="24"/>
          <w:szCs w:val="24"/>
        </w:rPr>
        <w:t>、</w:t>
      </w:r>
      <w:r>
        <w:rPr>
          <w:rFonts w:hint="default" w:ascii="Calibri" w:hAnsi="Calibri" w:cs="Calibri"/>
          <w:spacing w:val="0"/>
          <w:sz w:val="24"/>
          <w:szCs w:val="24"/>
        </w:rPr>
        <w:t>9.6</w:t>
      </w:r>
      <w:r>
        <w:rPr>
          <w:rFonts w:hint="eastAsia" w:ascii="宋体" w:hAnsi="宋体" w:eastAsia="宋体" w:cs="宋体"/>
          <w:spacing w:val="0"/>
          <w:sz w:val="24"/>
          <w:szCs w:val="24"/>
        </w:rPr>
        <w:t>条规定之一；</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⑦招标文件规定的其他不予退还情形；</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⑧中标人有下列情形之一的：</w:t>
      </w:r>
    </w:p>
    <w:p>
      <w:pPr>
        <w:pStyle w:val="4"/>
        <w:keepNext w:val="0"/>
        <w:keepLines w:val="0"/>
        <w:widowControl/>
        <w:suppressLineNumbers w:val="0"/>
        <w:spacing w:before="75" w:beforeAutospacing="0" w:after="75" w:afterAutospacing="0"/>
        <w:ind w:left="0" w:right="0" w:firstLine="480"/>
      </w:pPr>
      <w:r>
        <w:rPr>
          <w:rFonts w:hint="default" w:ascii="Calibri" w:hAnsi="Calibri" w:cs="Calibri"/>
          <w:spacing w:val="0"/>
          <w:sz w:val="24"/>
          <w:szCs w:val="24"/>
        </w:rPr>
        <w:t>a</w:t>
      </w:r>
      <w:r>
        <w:rPr>
          <w:rFonts w:hint="eastAsia" w:ascii="宋体" w:hAnsi="宋体" w:eastAsia="宋体" w:cs="宋体"/>
          <w:spacing w:val="0"/>
          <w:sz w:val="24"/>
          <w:szCs w:val="24"/>
        </w:rPr>
        <w:t>.除不可抗力外，因中标人自身原因未在中标通知书要求的期限内与采购人签订政府采购合同；</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b.未按照招标文件、投标文件的约定签订政府采购合同或提交履约保证金。</w:t>
      </w:r>
    </w:p>
    <w:p>
      <w:pPr>
        <w:pStyle w:val="4"/>
        <w:keepNext w:val="0"/>
        <w:keepLines w:val="0"/>
        <w:widowControl/>
        <w:suppressLineNumbers w:val="0"/>
        <w:spacing w:before="75" w:beforeAutospacing="0" w:after="75" w:afterAutospacing="0"/>
        <w:ind w:left="0" w:right="0" w:firstLine="480"/>
      </w:pPr>
      <w:r>
        <w:rPr>
          <w:rStyle w:val="6"/>
          <w:rFonts w:hint="eastAsia" w:ascii="宋体" w:hAnsi="宋体" w:eastAsia="宋体" w:cs="宋体"/>
          <w:spacing w:val="0"/>
          <w:sz w:val="24"/>
          <w:szCs w:val="24"/>
        </w:rPr>
        <w:t>※若上述投标保证金不予退还情形给采购人（采购代理机构）造成损失，则投标人还要承担相应的赔偿责任。</w:t>
      </w:r>
    </w:p>
    <w:p>
      <w:pPr>
        <w:pStyle w:val="4"/>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10.10投标文件的提交</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（1）一个投标人只能提交一个投标文件，并按照招标文件第一章规定将其送达。</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（2）密封及其标记的具体形式：详见招标文件第二章。</w:t>
      </w:r>
    </w:p>
    <w:p>
      <w:pPr>
        <w:pStyle w:val="4"/>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10.11投标文件的补充、修改或撤回</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（1）投标截止时间前，投标人可对所提交的投标文件进行补充、修改或撤回，并书面通知</w:t>
      </w:r>
      <w:r>
        <w:rPr>
          <w:rFonts w:hint="eastAsia" w:ascii="宋体" w:hAnsi="宋体" w:eastAsia="宋体" w:cs="宋体"/>
          <w:spacing w:val="0"/>
          <w:sz w:val="24"/>
          <w:szCs w:val="24"/>
          <w:u w:val="single"/>
        </w:rPr>
        <w:t>福建省闽鸿招标有限公司</w:t>
      </w:r>
      <w:r>
        <w:rPr>
          <w:rFonts w:hint="eastAsia" w:ascii="宋体" w:hAnsi="宋体" w:eastAsia="宋体" w:cs="宋体"/>
          <w:spacing w:val="0"/>
          <w:sz w:val="24"/>
          <w:szCs w:val="24"/>
        </w:rPr>
        <w:t>。</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（2）补充、修改的内容应按照本章第</w:t>
      </w:r>
      <w:r>
        <w:rPr>
          <w:rFonts w:hint="default" w:ascii="Calibri" w:hAnsi="Calibri" w:cs="Calibri"/>
          <w:spacing w:val="0"/>
          <w:sz w:val="24"/>
          <w:szCs w:val="24"/>
        </w:rPr>
        <w:t>10.5</w:t>
      </w:r>
      <w:r>
        <w:rPr>
          <w:rFonts w:hint="eastAsia" w:ascii="宋体" w:hAnsi="宋体" w:eastAsia="宋体" w:cs="宋体"/>
          <w:spacing w:val="0"/>
          <w:sz w:val="24"/>
          <w:szCs w:val="24"/>
        </w:rPr>
        <w:t>条第（</w:t>
      </w:r>
      <w:r>
        <w:rPr>
          <w:rFonts w:hint="default" w:ascii="Calibri" w:hAnsi="Calibri" w:cs="Calibri"/>
          <w:spacing w:val="0"/>
          <w:sz w:val="24"/>
          <w:szCs w:val="24"/>
        </w:rPr>
        <w:t>4</w:t>
      </w:r>
      <w:r>
        <w:rPr>
          <w:rFonts w:hint="eastAsia" w:ascii="宋体" w:hAnsi="宋体" w:eastAsia="宋体" w:cs="宋体"/>
          <w:spacing w:val="0"/>
          <w:sz w:val="24"/>
          <w:szCs w:val="24"/>
        </w:rPr>
        <w:t>）款规定进行签署、盖章，并按照本章第</w:t>
      </w:r>
      <w:r>
        <w:rPr>
          <w:rFonts w:hint="default" w:ascii="Calibri" w:hAnsi="Calibri" w:cs="Calibri"/>
          <w:spacing w:val="0"/>
          <w:sz w:val="24"/>
          <w:szCs w:val="24"/>
        </w:rPr>
        <w:t>10.10</w:t>
      </w:r>
      <w:r>
        <w:rPr>
          <w:rFonts w:hint="eastAsia" w:ascii="宋体" w:hAnsi="宋体" w:eastAsia="宋体" w:cs="宋体"/>
          <w:spacing w:val="0"/>
          <w:sz w:val="24"/>
          <w:szCs w:val="24"/>
        </w:rPr>
        <w:t>条规定提交，</w:t>
      </w:r>
      <w:r>
        <w:rPr>
          <w:rStyle w:val="6"/>
          <w:rFonts w:hint="eastAsia" w:ascii="宋体" w:hAnsi="宋体" w:eastAsia="宋体" w:cs="宋体"/>
          <w:spacing w:val="0"/>
          <w:sz w:val="24"/>
          <w:szCs w:val="24"/>
        </w:rPr>
        <w:t>否则将被拒收。</w:t>
      </w:r>
    </w:p>
    <w:p>
      <w:pPr>
        <w:pStyle w:val="4"/>
        <w:keepNext w:val="0"/>
        <w:keepLines w:val="0"/>
        <w:widowControl/>
        <w:suppressLineNumbers w:val="0"/>
        <w:spacing w:before="75" w:beforeAutospacing="0" w:after="75" w:afterAutospacing="0"/>
        <w:ind w:left="0" w:right="0" w:firstLine="480"/>
      </w:pPr>
      <w:r>
        <w:rPr>
          <w:rStyle w:val="6"/>
          <w:rFonts w:hint="eastAsia" w:ascii="宋体" w:hAnsi="宋体" w:eastAsia="宋体" w:cs="宋体"/>
          <w:spacing w:val="0"/>
          <w:sz w:val="24"/>
          <w:szCs w:val="24"/>
        </w:rPr>
        <w:t>※按照上述规定提交的补充、修改内容作为投标文件组成部分。</w:t>
      </w:r>
    </w:p>
    <w:p>
      <w:pPr>
        <w:pStyle w:val="4"/>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10.12除招标文件另有规定外，有下列情形之一的，</w:t>
      </w:r>
      <w:r>
        <w:rPr>
          <w:rStyle w:val="6"/>
          <w:rFonts w:hint="eastAsia" w:ascii="宋体" w:hAnsi="宋体" w:eastAsia="宋体" w:cs="宋体"/>
          <w:spacing w:val="0"/>
          <w:sz w:val="24"/>
          <w:szCs w:val="24"/>
        </w:rPr>
        <w:t>投标无效</w:t>
      </w:r>
      <w:r>
        <w:rPr>
          <w:rFonts w:hint="eastAsia" w:ascii="宋体" w:hAnsi="宋体" w:eastAsia="宋体" w:cs="宋体"/>
          <w:spacing w:val="0"/>
          <w:sz w:val="24"/>
          <w:szCs w:val="24"/>
        </w:rPr>
        <w:t>：</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（1）投标文件未按照招标文件要求签署、盖章；</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（2）不符合招标文件中规定的资格要求；</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（3）投标报价超过招标文件中规定的预算金额或最高限价；</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（4）投标文件含有采购人不能接受的附加条件；</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（5）有关法律、法规和规章及招标文件规定的其他无效情形。</w:t>
      </w:r>
    </w:p>
    <w:p>
      <w:pPr>
        <w:pStyle w:val="4"/>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 </w:t>
      </w:r>
    </w:p>
    <w:p>
      <w:pPr>
        <w:pStyle w:val="4"/>
        <w:keepNext w:val="0"/>
        <w:keepLines w:val="0"/>
        <w:widowControl/>
        <w:suppressLineNumbers w:val="0"/>
        <w:spacing w:before="75" w:beforeAutospacing="0" w:after="75" w:afterAutospacing="0"/>
        <w:ind w:left="0" w:right="0" w:firstLine="0"/>
        <w:jc w:val="center"/>
      </w:pPr>
      <w:r>
        <w:rPr>
          <w:rStyle w:val="6"/>
          <w:rFonts w:hint="eastAsia" w:ascii="宋体" w:hAnsi="宋体" w:eastAsia="宋体" w:cs="宋体"/>
          <w:spacing w:val="0"/>
          <w:sz w:val="24"/>
          <w:szCs w:val="24"/>
        </w:rPr>
        <w:t>五、开标</w:t>
      </w:r>
    </w:p>
    <w:p>
      <w:pPr>
        <w:pStyle w:val="4"/>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11、开标</w:t>
      </w:r>
    </w:p>
    <w:p>
      <w:pPr>
        <w:pStyle w:val="4"/>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11.1</w:t>
      </w:r>
      <w:r>
        <w:rPr>
          <w:rFonts w:hint="eastAsia" w:ascii="宋体" w:hAnsi="宋体" w:eastAsia="宋体" w:cs="宋体"/>
          <w:spacing w:val="0"/>
          <w:sz w:val="24"/>
          <w:szCs w:val="24"/>
          <w:u w:val="single"/>
        </w:rPr>
        <w:t>福建省闽鸿招标有限公司</w:t>
      </w:r>
      <w:r>
        <w:rPr>
          <w:rFonts w:hint="eastAsia" w:ascii="宋体" w:hAnsi="宋体" w:eastAsia="宋体" w:cs="宋体"/>
          <w:spacing w:val="0"/>
          <w:sz w:val="24"/>
          <w:szCs w:val="24"/>
        </w:rPr>
        <w:t>将在招标文件载明的开标时间及地点主持召开开标会，并邀请投标人参加。</w:t>
      </w:r>
    </w:p>
    <w:p>
      <w:pPr>
        <w:pStyle w:val="4"/>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11.2开标会的主持人、唱标人、记录人及其他工作人员（若有）均由</w:t>
      </w:r>
      <w:r>
        <w:rPr>
          <w:rFonts w:hint="eastAsia" w:ascii="宋体" w:hAnsi="宋体" w:eastAsia="宋体" w:cs="宋体"/>
          <w:spacing w:val="0"/>
          <w:sz w:val="24"/>
          <w:szCs w:val="24"/>
          <w:u w:val="single"/>
        </w:rPr>
        <w:t>福建省闽鸿招标有限公司</w:t>
      </w:r>
      <w:r>
        <w:rPr>
          <w:rFonts w:hint="eastAsia" w:ascii="宋体" w:hAnsi="宋体" w:eastAsia="宋体" w:cs="宋体"/>
          <w:spacing w:val="0"/>
          <w:sz w:val="24"/>
          <w:szCs w:val="24"/>
        </w:rPr>
        <w:t>派出，现场监督人员（若有）可由有关方面派出。</w:t>
      </w:r>
    </w:p>
    <w:p>
      <w:pPr>
        <w:pStyle w:val="4"/>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11.3参加开标会的投标人应签到，非投标人不参加开标会。</w:t>
      </w:r>
    </w:p>
    <w:p>
      <w:pPr>
        <w:pStyle w:val="4"/>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11.4开标会应遵守下列规定：</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（1）首先由主持人宣布开标会须知，然后由投标人代表对投标文件的密封情况进行检查，经确认无误后，由工作人员对密封的投标文件当众拆封。</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2）唱标时，唱标人将依次宣布“投标人名称”、“各投标人关于投标文件补充、修改或撤回的书面通知（若有）”、“各投标人的投标报价”和招标文件规定的需要宣布的其他内容（包括但不限于：开标一览表中的内容、唱标人认为需要宣布的内容等）。</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（3）记录人对唱标人宣布的内容作开标记录。</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4）唱标结束后，投标人代表应对开标记录进行签字确认。投标人代表的签字确认，视为投标人对开标过程和开标记录予以认可。投标人代表拒绝签字确认且无正当理由，亦视为投标人对开标过程和开标记录予以认可。</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（5）投标人代表对开标过程和开标记录有疑义，以及认为采购人（采购代理机构）相关工作人员有需要回避情形的，应当场提出询问或回避申请。否则，视为投标人对开标过程和开标记录予以认可。</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（6）若投标人未参加开标会（包括但不限于投标人派出的人员不是投标人代表），视同其对开标过程和开标记录予以认可。</w:t>
      </w:r>
    </w:p>
    <w:p>
      <w:pPr>
        <w:pStyle w:val="4"/>
        <w:keepNext w:val="0"/>
        <w:keepLines w:val="0"/>
        <w:widowControl/>
        <w:suppressLineNumbers w:val="0"/>
        <w:spacing w:before="75" w:beforeAutospacing="0" w:after="75" w:afterAutospacing="0"/>
        <w:ind w:left="0" w:right="0" w:firstLine="480"/>
      </w:pPr>
      <w:r>
        <w:rPr>
          <w:rStyle w:val="6"/>
          <w:rFonts w:hint="eastAsia" w:ascii="宋体" w:hAnsi="宋体" w:eastAsia="宋体" w:cs="宋体"/>
          <w:spacing w:val="0"/>
          <w:sz w:val="24"/>
          <w:szCs w:val="24"/>
        </w:rPr>
        <w:t>※若出现本章第</w:t>
      </w:r>
      <w:r>
        <w:rPr>
          <w:rStyle w:val="6"/>
          <w:rFonts w:hint="default" w:ascii="Calibri" w:hAnsi="Calibri" w:cs="Calibri"/>
          <w:spacing w:val="0"/>
          <w:sz w:val="24"/>
          <w:szCs w:val="24"/>
        </w:rPr>
        <w:t>11.4</w:t>
      </w:r>
      <w:r>
        <w:rPr>
          <w:rStyle w:val="6"/>
          <w:rFonts w:hint="eastAsia" w:ascii="宋体" w:hAnsi="宋体" w:eastAsia="宋体" w:cs="宋体"/>
          <w:spacing w:val="0"/>
          <w:sz w:val="24"/>
          <w:szCs w:val="24"/>
        </w:rPr>
        <w:t>条第（</w:t>
      </w:r>
      <w:r>
        <w:rPr>
          <w:rStyle w:val="6"/>
          <w:rFonts w:hint="default" w:ascii="Calibri" w:hAnsi="Calibri" w:cs="Calibri"/>
          <w:spacing w:val="0"/>
          <w:sz w:val="24"/>
          <w:szCs w:val="24"/>
        </w:rPr>
        <w:t>4</w:t>
      </w:r>
      <w:r>
        <w:rPr>
          <w:rStyle w:val="6"/>
          <w:rFonts w:hint="eastAsia" w:ascii="宋体" w:hAnsi="宋体" w:eastAsia="宋体" w:cs="宋体"/>
          <w:spacing w:val="0"/>
          <w:sz w:val="24"/>
          <w:szCs w:val="24"/>
        </w:rPr>
        <w:t>）、（</w:t>
      </w:r>
      <w:r>
        <w:rPr>
          <w:rStyle w:val="6"/>
          <w:rFonts w:hint="default" w:ascii="Calibri" w:hAnsi="Calibri" w:cs="Calibri"/>
          <w:spacing w:val="0"/>
          <w:sz w:val="24"/>
          <w:szCs w:val="24"/>
        </w:rPr>
        <w:t>5</w:t>
      </w:r>
      <w:r>
        <w:rPr>
          <w:rStyle w:val="6"/>
          <w:rFonts w:hint="eastAsia" w:ascii="宋体" w:hAnsi="宋体" w:eastAsia="宋体" w:cs="宋体"/>
          <w:spacing w:val="0"/>
          <w:sz w:val="24"/>
          <w:szCs w:val="24"/>
        </w:rPr>
        <w:t>）、（</w:t>
      </w:r>
      <w:r>
        <w:rPr>
          <w:rStyle w:val="6"/>
          <w:rFonts w:hint="default" w:ascii="Calibri" w:hAnsi="Calibri" w:cs="Calibri"/>
          <w:spacing w:val="0"/>
          <w:sz w:val="24"/>
          <w:szCs w:val="24"/>
        </w:rPr>
        <w:t>6</w:t>
      </w:r>
      <w:r>
        <w:rPr>
          <w:rStyle w:val="6"/>
          <w:rFonts w:hint="eastAsia" w:ascii="宋体" w:hAnsi="宋体" w:eastAsia="宋体" w:cs="宋体"/>
          <w:spacing w:val="0"/>
          <w:sz w:val="24"/>
          <w:szCs w:val="24"/>
        </w:rPr>
        <w:t>）款规定情形之一</w:t>
      </w:r>
      <w:r>
        <w:rPr>
          <w:rFonts w:hint="eastAsia" w:ascii="宋体" w:hAnsi="宋体" w:eastAsia="宋体" w:cs="宋体"/>
          <w:spacing w:val="0"/>
          <w:sz w:val="24"/>
          <w:szCs w:val="24"/>
        </w:rPr>
        <w:t>，</w:t>
      </w:r>
      <w:r>
        <w:rPr>
          <w:rStyle w:val="6"/>
          <w:rFonts w:hint="eastAsia" w:ascii="宋体" w:hAnsi="宋体" w:eastAsia="宋体" w:cs="宋体"/>
          <w:spacing w:val="0"/>
          <w:sz w:val="24"/>
          <w:szCs w:val="24"/>
        </w:rPr>
        <w:t>则投标人不得在开标会后就开标过程和开标记录涉及或可能涉及的有关事由（包括但不限于：“投标报价”、“投标文件的格式”、“投标文件的提交”、“投标文件的补充、修改或撤回”等）向</w:t>
      </w:r>
      <w:r>
        <w:rPr>
          <w:rFonts w:hint="eastAsia" w:ascii="宋体" w:hAnsi="宋体" w:eastAsia="宋体" w:cs="宋体"/>
          <w:spacing w:val="0"/>
          <w:sz w:val="24"/>
          <w:szCs w:val="24"/>
          <w:u w:val="single"/>
        </w:rPr>
        <w:t>福建省闽鸿招标有限公司</w:t>
      </w:r>
      <w:r>
        <w:rPr>
          <w:rStyle w:val="6"/>
          <w:rFonts w:hint="eastAsia" w:ascii="宋体" w:hAnsi="宋体" w:eastAsia="宋体" w:cs="宋体"/>
          <w:spacing w:val="0"/>
          <w:sz w:val="24"/>
          <w:szCs w:val="24"/>
        </w:rPr>
        <w:t>提出任何疑义或要求（包括质疑）。</w:t>
      </w:r>
    </w:p>
    <w:p>
      <w:pPr>
        <w:pStyle w:val="4"/>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11.5投标截止时间后，参加投标的投标人不足三家的，不进行开标。同时，本次采购活动结束，</w:t>
      </w:r>
      <w:r>
        <w:rPr>
          <w:rFonts w:hint="eastAsia" w:ascii="宋体" w:hAnsi="宋体" w:eastAsia="宋体" w:cs="宋体"/>
          <w:spacing w:val="0"/>
          <w:sz w:val="24"/>
          <w:szCs w:val="24"/>
          <w:u w:val="single"/>
        </w:rPr>
        <w:t>福建省闽鸿招标有限公司</w:t>
      </w:r>
      <w:r>
        <w:rPr>
          <w:rFonts w:hint="eastAsia" w:ascii="宋体" w:hAnsi="宋体" w:eastAsia="宋体" w:cs="宋体"/>
          <w:spacing w:val="0"/>
          <w:sz w:val="24"/>
          <w:szCs w:val="24"/>
        </w:rPr>
        <w:t>将依法组织后续采购活动（包括但不限于：重新招标、采用其他方式采购等）。</w:t>
      </w:r>
    </w:p>
    <w:p>
      <w:pPr>
        <w:pStyle w:val="4"/>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 </w:t>
      </w:r>
    </w:p>
    <w:p>
      <w:pPr>
        <w:pStyle w:val="4"/>
        <w:keepNext w:val="0"/>
        <w:keepLines w:val="0"/>
        <w:widowControl/>
        <w:suppressLineNumbers w:val="0"/>
        <w:spacing w:before="75" w:beforeAutospacing="0" w:after="75" w:afterAutospacing="0"/>
        <w:ind w:left="0" w:right="0" w:firstLine="0"/>
        <w:jc w:val="center"/>
      </w:pPr>
      <w:r>
        <w:rPr>
          <w:rStyle w:val="6"/>
          <w:rFonts w:hint="eastAsia" w:ascii="宋体" w:hAnsi="宋体" w:eastAsia="宋体" w:cs="宋体"/>
          <w:spacing w:val="0"/>
          <w:sz w:val="24"/>
          <w:szCs w:val="24"/>
        </w:rPr>
        <w:t>六、中标与政府采购合同</w:t>
      </w:r>
    </w:p>
    <w:p>
      <w:pPr>
        <w:pStyle w:val="4"/>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12、中标</w:t>
      </w:r>
    </w:p>
    <w:p>
      <w:pPr>
        <w:pStyle w:val="4"/>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12.1本项目推荐的中标候选人家数：详见招标文件第二章。</w:t>
      </w:r>
    </w:p>
    <w:p>
      <w:pPr>
        <w:pStyle w:val="4"/>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12.2本项目中标人的确定：详见招标文件第二章。</w:t>
      </w:r>
    </w:p>
    <w:p>
      <w:pPr>
        <w:pStyle w:val="4"/>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12.3中标公告</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（1）中标人确定之日起</w:t>
      </w:r>
      <w:r>
        <w:rPr>
          <w:rFonts w:hint="default" w:ascii="Calibri" w:hAnsi="Calibri" w:cs="Calibri"/>
          <w:spacing w:val="0"/>
          <w:sz w:val="24"/>
          <w:szCs w:val="24"/>
        </w:rPr>
        <w:t>2</w:t>
      </w:r>
      <w:r>
        <w:rPr>
          <w:rFonts w:hint="eastAsia" w:ascii="宋体" w:hAnsi="宋体" w:eastAsia="宋体" w:cs="宋体"/>
          <w:spacing w:val="0"/>
          <w:sz w:val="24"/>
          <w:szCs w:val="24"/>
        </w:rPr>
        <w:t>个工作日内，</w:t>
      </w:r>
      <w:r>
        <w:rPr>
          <w:rFonts w:hint="eastAsia" w:ascii="宋体" w:hAnsi="宋体" w:eastAsia="宋体" w:cs="宋体"/>
          <w:spacing w:val="0"/>
          <w:sz w:val="24"/>
          <w:szCs w:val="24"/>
          <w:u w:val="single"/>
        </w:rPr>
        <w:t>福建省闽鸿招标有限公司</w:t>
      </w:r>
      <w:r>
        <w:rPr>
          <w:rFonts w:hint="eastAsia" w:ascii="宋体" w:hAnsi="宋体" w:eastAsia="宋体" w:cs="宋体"/>
          <w:spacing w:val="0"/>
          <w:sz w:val="24"/>
          <w:szCs w:val="24"/>
        </w:rPr>
        <w:t>将在招标文件载明的指定媒体以中标公告的形式发布中标结果。</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（2）中标公告的公告期限为</w:t>
      </w:r>
      <w:r>
        <w:rPr>
          <w:rFonts w:hint="default" w:ascii="Calibri" w:hAnsi="Calibri" w:cs="Calibri"/>
          <w:spacing w:val="0"/>
          <w:sz w:val="24"/>
          <w:szCs w:val="24"/>
        </w:rPr>
        <w:t>1</w:t>
      </w:r>
      <w:r>
        <w:rPr>
          <w:rFonts w:hint="eastAsia" w:ascii="宋体" w:hAnsi="宋体" w:eastAsia="宋体" w:cs="宋体"/>
          <w:spacing w:val="0"/>
          <w:sz w:val="24"/>
          <w:szCs w:val="24"/>
        </w:rPr>
        <w:t>个工作日。</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（3）中标公告同时作为</w:t>
      </w:r>
      <w:r>
        <w:rPr>
          <w:rFonts w:hint="eastAsia" w:ascii="宋体" w:hAnsi="宋体" w:eastAsia="宋体" w:cs="宋体"/>
          <w:spacing w:val="0"/>
          <w:sz w:val="24"/>
          <w:szCs w:val="24"/>
          <w:u w:val="single"/>
        </w:rPr>
        <w:t>福建省闽鸿招标有限公司</w:t>
      </w:r>
      <w:r>
        <w:rPr>
          <w:rFonts w:hint="eastAsia" w:ascii="宋体" w:hAnsi="宋体" w:eastAsia="宋体" w:cs="宋体"/>
          <w:spacing w:val="0"/>
          <w:sz w:val="24"/>
          <w:szCs w:val="24"/>
        </w:rPr>
        <w:t>通知除中标人外的其他投标人没有中标的书面形式。</w:t>
      </w:r>
    </w:p>
    <w:p>
      <w:pPr>
        <w:pStyle w:val="4"/>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12.4中标通知书</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（1）中标公告发布的同时，</w:t>
      </w:r>
      <w:r>
        <w:rPr>
          <w:rFonts w:hint="eastAsia" w:ascii="宋体" w:hAnsi="宋体" w:eastAsia="宋体" w:cs="宋体"/>
          <w:spacing w:val="0"/>
          <w:sz w:val="24"/>
          <w:szCs w:val="24"/>
          <w:u w:val="single"/>
        </w:rPr>
        <w:t>福建省闽鸿招标有限公司</w:t>
      </w:r>
      <w:r>
        <w:rPr>
          <w:rFonts w:hint="eastAsia" w:ascii="宋体" w:hAnsi="宋体" w:eastAsia="宋体" w:cs="宋体"/>
          <w:spacing w:val="0"/>
          <w:sz w:val="24"/>
          <w:szCs w:val="24"/>
        </w:rPr>
        <w:t>将向中标人发出中标通知书。</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（2）中标通知书发出后，采购人不得违法改变中标结果，中标人无正当理由不得放弃中标。</w:t>
      </w:r>
    </w:p>
    <w:p>
      <w:pPr>
        <w:pStyle w:val="4"/>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13、政府采购合同</w:t>
      </w:r>
    </w:p>
    <w:p>
      <w:pPr>
        <w:pStyle w:val="4"/>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13.1签订政府采购合同应遵守政府采购法及实施条例的规定，不得对招标文件确定的事项和中标人的投标文件作实质性修改。采购人不得向中标人提出任何不合理的要求作为政府采购合同的签订条件。</w:t>
      </w:r>
    </w:p>
    <w:p>
      <w:pPr>
        <w:pStyle w:val="4"/>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13.2签订时限：自中标通知书发出之日起</w:t>
      </w:r>
      <w:r>
        <w:rPr>
          <w:rFonts w:hint="default" w:ascii="Calibri" w:hAnsi="Calibri" w:cs="Calibri"/>
          <w:spacing w:val="0"/>
          <w:sz w:val="24"/>
          <w:szCs w:val="24"/>
        </w:rPr>
        <w:t>30</w:t>
      </w:r>
      <w:r>
        <w:rPr>
          <w:rFonts w:hint="eastAsia" w:ascii="宋体" w:hAnsi="宋体" w:eastAsia="宋体" w:cs="宋体"/>
          <w:spacing w:val="0"/>
          <w:sz w:val="24"/>
          <w:szCs w:val="24"/>
        </w:rPr>
        <w:t>个日历日内。</w:t>
      </w:r>
    </w:p>
    <w:p>
      <w:pPr>
        <w:pStyle w:val="4"/>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13.3政府采购合同的履行、违约责任和解决争议的方法等适用合同法。</w:t>
      </w:r>
    </w:p>
    <w:p>
      <w:pPr>
        <w:pStyle w:val="4"/>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13.4采购人与中标人应根据政府采购合同的约定依法履行合同义务。</w:t>
      </w:r>
    </w:p>
    <w:p>
      <w:pPr>
        <w:pStyle w:val="4"/>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13.5政府采购合同履行过程中，采购人若需追加与合同标的相同的货物或服务，则追加采购金额不得超过原合同采购金额的</w:t>
      </w:r>
      <w:r>
        <w:rPr>
          <w:rFonts w:hint="default" w:ascii="Calibri" w:hAnsi="Calibri" w:cs="Calibri"/>
          <w:spacing w:val="0"/>
          <w:sz w:val="24"/>
          <w:szCs w:val="24"/>
        </w:rPr>
        <w:t>10%</w:t>
      </w:r>
      <w:r>
        <w:rPr>
          <w:rFonts w:hint="eastAsia" w:ascii="宋体" w:hAnsi="宋体" w:eastAsia="宋体" w:cs="宋体"/>
          <w:spacing w:val="0"/>
          <w:sz w:val="24"/>
          <w:szCs w:val="24"/>
        </w:rPr>
        <w:t>。</w:t>
      </w:r>
    </w:p>
    <w:p>
      <w:pPr>
        <w:pStyle w:val="4"/>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13.6中标人在政府采购合同履行过程中应遵守有关法律、法规和规章的强制性规定（即使前述强制性规定有可能在招标文件中未予列明）。</w:t>
      </w:r>
    </w:p>
    <w:p>
      <w:pPr>
        <w:pStyle w:val="4"/>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 </w:t>
      </w:r>
    </w:p>
    <w:p>
      <w:pPr>
        <w:pStyle w:val="4"/>
        <w:keepNext w:val="0"/>
        <w:keepLines w:val="0"/>
        <w:widowControl/>
        <w:suppressLineNumbers w:val="0"/>
        <w:spacing w:before="75" w:beforeAutospacing="0" w:after="75" w:afterAutospacing="0"/>
        <w:ind w:left="0" w:right="0" w:firstLine="0"/>
        <w:jc w:val="center"/>
      </w:pPr>
      <w:r>
        <w:rPr>
          <w:rStyle w:val="6"/>
          <w:rFonts w:hint="eastAsia" w:ascii="宋体" w:hAnsi="宋体" w:eastAsia="宋体" w:cs="宋体"/>
          <w:spacing w:val="0"/>
          <w:sz w:val="24"/>
          <w:szCs w:val="24"/>
        </w:rPr>
        <w:t>七、询问、质疑与投诉</w:t>
      </w:r>
    </w:p>
    <w:p>
      <w:pPr>
        <w:pStyle w:val="4"/>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14、询问</w:t>
      </w:r>
    </w:p>
    <w:p>
      <w:pPr>
        <w:pStyle w:val="4"/>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14.1潜在投标人或投标人对本次采购活动的有关事项若有疑问，可向福建省闽鸿招标有限公司提出询问，福建省闽鸿招标有限公司将按照政府采购法及实施条例的有关规定进行答复。</w:t>
      </w:r>
    </w:p>
    <w:p>
      <w:pPr>
        <w:pStyle w:val="4"/>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15、质疑</w:t>
      </w:r>
    </w:p>
    <w:p>
      <w:pPr>
        <w:pStyle w:val="4"/>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15.1</w:t>
      </w:r>
      <w:r>
        <w:rPr>
          <w:rFonts w:hint="eastAsia" w:ascii="宋体" w:hAnsi="宋体" w:eastAsia="宋体" w:cs="宋体"/>
        </w:rPr>
        <w:t>针对同一采购程序环节的质疑应在政府采购法及实施条例规定的时限内一次性提出</w:t>
      </w:r>
      <w:r>
        <w:rPr>
          <w:rFonts w:hint="eastAsia" w:ascii="宋体" w:hAnsi="宋体" w:eastAsia="宋体" w:cs="宋体"/>
          <w:spacing w:val="0"/>
        </w:rPr>
        <w:t>，并同时符合下列条件：</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（1）对招标文件提出质疑的，质疑人应为潜在投标人，且两者的身份、名称等均应保持一致。对采购过程、结果提出质疑的，质疑人应为投标人，且两者的身份、名称等均应保持一致。</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（2）质疑人应按照招标文件第二章规定方式提交质疑函。</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（3）质疑函应包括下列主要内容：</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①质疑人的基本信息，至少包括：全称、地址、邮政编码等；</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②所质疑项目的基本信息，至少包括：招标编号、项目名称等；</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③所质疑的具体事项（以下简称：“质疑事项”）；</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④针对质疑事项提出的明确请求，前述明确请求指质疑人提出质疑的目的以及希望福建省闽鸿招标有限公司对其质疑作出的处理结果，如：暂停招标投标活动、修改招标文件、停止或纠正违法违规行为、中标结果无效、废标、重新招标等；</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⑤针对质疑事项导致质疑人自身权益受到损害的必要证明材料，至少包括：</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a.质疑人代表的身份证明材料：</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a1</w:t>
      </w:r>
      <w:r>
        <w:rPr>
          <w:rFonts w:hint="eastAsia" w:ascii="宋体" w:hAnsi="宋体" w:eastAsia="宋体" w:cs="宋体"/>
        </w:rPr>
        <w:t>质疑人为法人或其他组织的，提供统一社会信用代码营业执照等证明文件的副本复印件、单位负责人的身份证复印件；质疑人代表为委托代理人的，还应同时提供单位负责人授权书（应载明代理人的姓名或者名称、代理事项、具体权限、期限和相关事项，授权书应由单位负责人签字或盖章，并加盖投标人的单位公章）和委托代理人的身份证复印件</w:t>
      </w:r>
      <w:r>
        <w:rPr>
          <w:rFonts w:hint="eastAsia" w:ascii="宋体" w:hAnsi="宋体" w:eastAsia="宋体" w:cs="宋体"/>
          <w:spacing w:val="0"/>
        </w:rPr>
        <w:t>。</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a2若本项目接受自然人投标且质疑人为自然人的，提供本人的身份证复印件。</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b.</w:t>
      </w:r>
      <w:r>
        <w:rPr>
          <w:rFonts w:hint="eastAsia" w:ascii="宋体" w:hAnsi="宋体" w:eastAsia="宋体" w:cs="宋体"/>
        </w:rPr>
        <w:t>其他证明材料（即事实依据和必要的法律依据）</w:t>
      </w:r>
      <w:r>
        <w:rPr>
          <w:rFonts w:hint="eastAsia" w:ascii="宋体" w:hAnsi="宋体" w:eastAsia="宋体" w:cs="宋体"/>
          <w:spacing w:val="0"/>
        </w:rPr>
        <w:t>包括但不限于下列材料：</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b1所质疑的具体事项是与自已有利害关系的证明材料；</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b2质疑函所述事实存在的证明材料，如：采购文件、采购过程或中标结果违法违规或不符合采购文件要求等证明材料；</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b3依法应终止采购程序的证明材料；</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b4应重新采购的证明材料；</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b5采购文件、采购过程或中标、成交结果损害自已合法权益的证明材料等；</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b6若质疑的具体事项按照有关法律、法规和规章规定处于保密阶段，则应提供信息或证明材料为合法或公开渠道获得的有效证据（若证据无法有效表明信息或证明材料为合法或公开渠道获得，则前述信息或证明材料</w:t>
      </w:r>
      <w:r>
        <w:rPr>
          <w:rStyle w:val="6"/>
          <w:rFonts w:hint="eastAsia" w:ascii="宋体" w:hAnsi="宋体" w:eastAsia="宋体" w:cs="宋体"/>
          <w:spacing w:val="0"/>
          <w:sz w:val="24"/>
          <w:szCs w:val="24"/>
        </w:rPr>
        <w:t>视为无效</w:t>
      </w:r>
      <w:r>
        <w:rPr>
          <w:rFonts w:hint="eastAsia" w:ascii="宋体" w:hAnsi="宋体" w:eastAsia="宋体" w:cs="宋体"/>
          <w:spacing w:val="0"/>
          <w:sz w:val="24"/>
          <w:szCs w:val="24"/>
        </w:rPr>
        <w:t>）。</w:t>
      </w:r>
      <w:r>
        <w:rPr>
          <w:rFonts w:hint="eastAsia" w:ascii="宋体" w:hAnsi="宋体" w:eastAsia="宋体" w:cs="宋体"/>
          <w:spacing w:val="0"/>
          <w:sz w:val="24"/>
          <w:szCs w:val="24"/>
        </w:rPr>
        <w:br w:type="textWrapping"/>
      </w:r>
      <w:r>
        <w:rPr>
          <w:rFonts w:hint="eastAsia" w:ascii="宋体" w:hAnsi="宋体" w:eastAsia="宋体" w:cs="宋体"/>
        </w:rPr>
        <w:t>   ⑥质疑人代表及其联系方法的信息，至少包括：姓名、手机、电子信箱、邮寄地址等。</w:t>
      </w:r>
      <w:r>
        <w:rPr>
          <w:rFonts w:hint="eastAsia" w:ascii="宋体" w:hAnsi="宋体" w:eastAsia="宋体" w:cs="宋体"/>
        </w:rPr>
        <w:br w:type="textWrapping"/>
      </w:r>
      <w:r>
        <w:rPr>
          <w:rFonts w:hint="eastAsia" w:ascii="宋体" w:hAnsi="宋体" w:eastAsia="宋体" w:cs="宋体"/>
        </w:rPr>
        <w:t>   ⑦提出质疑的日期。</w:t>
      </w:r>
    </w:p>
    <w:p>
      <w:pPr>
        <w:pStyle w:val="4"/>
        <w:keepNext w:val="0"/>
        <w:keepLines w:val="0"/>
        <w:widowControl/>
        <w:suppressLineNumbers w:val="0"/>
        <w:ind w:left="0" w:firstLine="480"/>
      </w:pPr>
      <w:r>
        <w:rPr>
          <w:rStyle w:val="6"/>
          <w:rFonts w:hint="eastAsia" w:ascii="宋体" w:hAnsi="宋体" w:eastAsia="宋体" w:cs="宋体"/>
          <w:sz w:val="24"/>
          <w:szCs w:val="24"/>
        </w:rPr>
        <w:t>※质疑人为法人或其他组织的，质疑函应由单位负责人或委托代理人签字或盖章，并加盖投标人的单位公章。质疑人为自然人的，质疑函应由本人签字。</w:t>
      </w:r>
    </w:p>
    <w:p>
      <w:pPr>
        <w:pStyle w:val="4"/>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15.2对不符合本章第</w:t>
      </w:r>
      <w:r>
        <w:rPr>
          <w:rFonts w:hint="default" w:ascii="Calibri" w:hAnsi="Calibri" w:cs="Calibri"/>
          <w:spacing w:val="0"/>
          <w:sz w:val="24"/>
          <w:szCs w:val="24"/>
        </w:rPr>
        <w:t>15.1</w:t>
      </w:r>
      <w:r>
        <w:rPr>
          <w:rFonts w:hint="eastAsia" w:ascii="宋体" w:hAnsi="宋体" w:eastAsia="宋体" w:cs="宋体"/>
          <w:spacing w:val="0"/>
          <w:sz w:val="24"/>
          <w:szCs w:val="24"/>
        </w:rPr>
        <w:t>条规定的质疑，将按照下列规定进行处理：</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（1）不符合其中第（</w:t>
      </w:r>
      <w:r>
        <w:rPr>
          <w:rFonts w:hint="default" w:ascii="Calibri" w:hAnsi="Calibri" w:cs="Calibri"/>
          <w:spacing w:val="0"/>
          <w:sz w:val="24"/>
          <w:szCs w:val="24"/>
        </w:rPr>
        <w:t>1</w:t>
      </w:r>
      <w:r>
        <w:rPr>
          <w:rFonts w:hint="eastAsia" w:ascii="宋体" w:hAnsi="宋体" w:eastAsia="宋体" w:cs="宋体"/>
          <w:spacing w:val="0"/>
          <w:sz w:val="24"/>
          <w:szCs w:val="24"/>
        </w:rPr>
        <w:t>）、（</w:t>
      </w:r>
      <w:r>
        <w:rPr>
          <w:rFonts w:hint="default" w:ascii="Calibri" w:hAnsi="Calibri" w:cs="Calibri"/>
          <w:spacing w:val="0"/>
          <w:sz w:val="24"/>
          <w:szCs w:val="24"/>
        </w:rPr>
        <w:t>2</w:t>
      </w:r>
      <w:r>
        <w:rPr>
          <w:rFonts w:hint="eastAsia" w:ascii="宋体" w:hAnsi="宋体" w:eastAsia="宋体" w:cs="宋体"/>
          <w:spacing w:val="0"/>
          <w:sz w:val="24"/>
          <w:szCs w:val="24"/>
        </w:rPr>
        <w:t>）条规定的，书面告知质疑人不予受理及其理由。</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（2）不符合其中第（</w:t>
      </w:r>
      <w:r>
        <w:rPr>
          <w:rFonts w:hint="default" w:ascii="Calibri" w:hAnsi="Calibri" w:cs="Calibri"/>
          <w:spacing w:val="0"/>
          <w:sz w:val="24"/>
          <w:szCs w:val="24"/>
        </w:rPr>
        <w:t>3</w:t>
      </w:r>
      <w:r>
        <w:rPr>
          <w:rFonts w:hint="eastAsia" w:ascii="宋体" w:hAnsi="宋体" w:eastAsia="宋体" w:cs="宋体"/>
          <w:spacing w:val="0"/>
          <w:sz w:val="24"/>
          <w:szCs w:val="24"/>
        </w:rPr>
        <w:t>）条规定的，书面告知质疑人修改、补充后在规定时限内重新提交质疑函。</w:t>
      </w:r>
    </w:p>
    <w:p>
      <w:pPr>
        <w:pStyle w:val="4"/>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15.3对符合本章第</w:t>
      </w:r>
      <w:r>
        <w:rPr>
          <w:rFonts w:hint="default" w:ascii="Calibri" w:hAnsi="Calibri" w:cs="Calibri"/>
          <w:spacing w:val="0"/>
          <w:sz w:val="24"/>
          <w:szCs w:val="24"/>
        </w:rPr>
        <w:t>15.1</w:t>
      </w:r>
      <w:r>
        <w:rPr>
          <w:rFonts w:hint="eastAsia" w:ascii="宋体" w:hAnsi="宋体" w:eastAsia="宋体" w:cs="宋体"/>
          <w:spacing w:val="0"/>
          <w:sz w:val="24"/>
          <w:szCs w:val="24"/>
        </w:rPr>
        <w:t>条规定的质疑，将按照政府采购法及实施条例</w:t>
      </w:r>
      <w:r>
        <w:rPr>
          <w:rFonts w:hint="eastAsia" w:ascii="宋体" w:hAnsi="宋体" w:eastAsia="宋体" w:cs="宋体"/>
        </w:rPr>
        <w:t>、政府采购质疑和投诉办法</w:t>
      </w:r>
      <w:r>
        <w:rPr>
          <w:rFonts w:hint="eastAsia" w:ascii="宋体" w:hAnsi="宋体" w:eastAsia="宋体" w:cs="宋体"/>
          <w:spacing w:val="0"/>
        </w:rPr>
        <w:t>的有关规定进行答复。</w:t>
      </w:r>
    </w:p>
    <w:p>
      <w:pPr>
        <w:pStyle w:val="4"/>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15.4招标文件的质疑：详见招标文件第二章。</w:t>
      </w:r>
    </w:p>
    <w:p>
      <w:pPr>
        <w:pStyle w:val="4"/>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16、投诉</w:t>
      </w:r>
    </w:p>
    <w:p>
      <w:pPr>
        <w:pStyle w:val="4"/>
        <w:keepNext w:val="0"/>
        <w:keepLines w:val="0"/>
        <w:widowControl/>
        <w:suppressLineNumbers w:val="0"/>
      </w:pPr>
      <w:r>
        <w:rPr>
          <w:rFonts w:hint="eastAsia" w:ascii="宋体" w:hAnsi="宋体" w:eastAsia="宋体" w:cs="宋体"/>
          <w:sz w:val="24"/>
          <w:szCs w:val="24"/>
        </w:rPr>
        <w:t>16.1若对质疑答复不满意或质疑答复未在答复期限内作出，质疑人可在答复期限届满之日起</w:t>
      </w:r>
      <w:r>
        <w:rPr>
          <w:rFonts w:hint="default" w:ascii="Calibri" w:hAnsi="Calibri" w:eastAsia="宋体" w:cs="Calibri"/>
          <w:sz w:val="24"/>
          <w:szCs w:val="24"/>
        </w:rPr>
        <w:t>15</w:t>
      </w:r>
      <w:r>
        <w:rPr>
          <w:rFonts w:hint="eastAsia" w:ascii="宋体" w:hAnsi="宋体" w:eastAsia="宋体" w:cs="宋体"/>
          <w:sz w:val="24"/>
          <w:szCs w:val="24"/>
        </w:rPr>
        <w:t>个工作日内按照政府采购质疑和投诉办法的有关规定向招标文件第二章载明的本项目监督管理部门提起投诉。</w:t>
      </w:r>
    </w:p>
    <w:p>
      <w:pPr>
        <w:pStyle w:val="4"/>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16.2投诉应有明确的请求和必要的证明材料，投诉的事项不得超出已质疑事项的范围。</w:t>
      </w:r>
    </w:p>
    <w:p>
      <w:pPr>
        <w:pStyle w:val="4"/>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 </w:t>
      </w:r>
    </w:p>
    <w:p>
      <w:pPr>
        <w:pStyle w:val="4"/>
        <w:keepNext w:val="0"/>
        <w:keepLines w:val="0"/>
        <w:widowControl/>
        <w:suppressLineNumbers w:val="0"/>
        <w:spacing w:before="75" w:beforeAutospacing="0" w:after="75" w:afterAutospacing="0"/>
        <w:ind w:left="0" w:right="0" w:firstLine="0"/>
        <w:jc w:val="center"/>
      </w:pPr>
      <w:r>
        <w:rPr>
          <w:rStyle w:val="6"/>
          <w:rFonts w:hint="eastAsia" w:ascii="宋体" w:hAnsi="宋体" w:eastAsia="宋体" w:cs="宋体"/>
          <w:spacing w:val="0"/>
          <w:sz w:val="24"/>
          <w:szCs w:val="24"/>
        </w:rPr>
        <w:t>八、政府采购政策</w:t>
      </w:r>
    </w:p>
    <w:p>
      <w:pPr>
        <w:pStyle w:val="4"/>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17、政府采购政策由财政部根据国家的经济和社会发展政策并会同国家有关部委制定，包括但不限于下列具体政策要求：</w:t>
      </w:r>
    </w:p>
    <w:p>
      <w:pPr>
        <w:pStyle w:val="4"/>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17.1进口产品指通过中国海关报关验放进入中国境内且产自关境外的产品，其中：</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1）我国现行关境指适用海关法的中华人民共和国行政管辖区域，不包括香港、澳门和台湾金马等单独关境地区；保税区、出口加工区、保税港区、珠澳跨境工业区珠海园区、中哈霍尔果斯国际边境合作中心中方配套区、综合保税区等区域，为海关特殊监管区域，仍属于中华人民共和国关境内区域，由海关按照海关法实施监管。</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（2）凡在海关特殊监管区域内企业生产或加工（包括从境外进口料件）销往境内其他地区的产品，不作为政府采购项下进口产品。</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（3）对从境外进入海关特殊监管区域，再经办理报关手续后从海关特殊监管区进入境内其他地区的产品，认定为进口产品。</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（4）招标文件列明不允许或未列明允许进口产品参加投标的，均视为拒绝进口产品参加投标。</w:t>
      </w:r>
    </w:p>
    <w:p>
      <w:pPr>
        <w:pStyle w:val="4"/>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17.2节能产品指列入财政部、国家发改委《节能产品政府采购清单》（以下简称：“节能清单”）的产品。环境标志产品指列入财政部、环保部《环境标志产品政府采购清单》（以下简称：“环保清单”）的产品。其中：</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1）节能清单所列产品包括政府强制采购和优先采购的节能产品。未列入节能清单的产品，不属于政府强制采购、优先采购的节能产品（以下分别简称：“强制类节能产品”、“优先类节能产品”）范围。节能清单中的产品，其制造商名称或地址在清单执行期内依法变更的，经有关认证机构核准并办理认证证书变更手续后，仍属于节能清单的范围。节能清单中的台式计算机产品的性能参数应与节能清单所列性能参数一致，否则不属于节能清单的范围。</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2）环保清单所列产品为政府优先采购产品。未列入环保清单的产品，不属于政府优先采购的环境标志产品范围。环保清单中的产品，其制造商名称或地址在清单执行期内依法变更的，经有关认证机构核准并办理认证证书变更手续后，仍属于环保清单的范围。环保清单中的台式计算机产品的性能参数应与环保清单所列性能参数一致，否则不属于环保清单的范围。</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（3）对于同时列入节能清单和环保清单的产品，优先于只列入其中一个清单的产品。</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（4）在财政部会同上述国家部委调整公布最新一期节能或环保清单通知发布之前已经开展但尚未进入评审环节的采购活动，按照招标文件约定的期数执行。在发布之后开展的采购活动，按照最新一期执行。</w:t>
      </w:r>
    </w:p>
    <w:p>
      <w:pPr>
        <w:pStyle w:val="4"/>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17.3列入国家质检总局、国家认监委《第一批信息安全产品强制性认证目录》（以下简称“信息安全产品目录”）内的信息安全产品，应获得强制性产品认证证书（即中国信息安全认证中心颁发的《中国国家信息安全产品认证证书》）和加施中国强制性认证标志。未列入信息安全产品目录的产品，不属于政府强制采购的信息安全产品范围。</w:t>
      </w:r>
    </w:p>
    <w:p>
      <w:pPr>
        <w:pStyle w:val="4"/>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17.4符合财政部、工信部文件（财库</w:t>
      </w:r>
      <w:r>
        <w:rPr>
          <w:rFonts w:hint="default" w:ascii="Calibri" w:hAnsi="Calibri" w:cs="Calibri"/>
          <w:spacing w:val="0"/>
          <w:sz w:val="24"/>
          <w:szCs w:val="24"/>
        </w:rPr>
        <w:t>[2011]181</w:t>
      </w:r>
      <w:r>
        <w:rPr>
          <w:rFonts w:hint="eastAsia" w:ascii="宋体" w:hAnsi="宋体" w:eastAsia="宋体" w:cs="宋体"/>
          <w:spacing w:val="0"/>
          <w:sz w:val="24"/>
          <w:szCs w:val="24"/>
        </w:rPr>
        <w:t>号）规定的</w:t>
      </w:r>
      <w:r>
        <w:rPr>
          <w:rStyle w:val="6"/>
          <w:rFonts w:hint="eastAsia" w:ascii="宋体" w:hAnsi="宋体" w:eastAsia="宋体" w:cs="宋体"/>
          <w:spacing w:val="0"/>
          <w:sz w:val="24"/>
          <w:szCs w:val="24"/>
        </w:rPr>
        <w:t>小型、微型企业</w:t>
      </w:r>
      <w:r>
        <w:rPr>
          <w:rFonts w:hint="eastAsia" w:ascii="宋体" w:hAnsi="宋体" w:eastAsia="宋体" w:cs="宋体"/>
          <w:spacing w:val="0"/>
          <w:sz w:val="24"/>
          <w:szCs w:val="24"/>
        </w:rPr>
        <w:t>可享受扶持政策（如：预留份额、评审中价格扣除等）。符合财政部、司法部文件（财库[2014]68号）规定的监狱企业（以下简称：</w:t>
      </w:r>
      <w:r>
        <w:rPr>
          <w:rStyle w:val="6"/>
          <w:rFonts w:hint="eastAsia" w:ascii="宋体" w:hAnsi="宋体" w:eastAsia="宋体" w:cs="宋体"/>
          <w:spacing w:val="0"/>
          <w:sz w:val="24"/>
          <w:szCs w:val="24"/>
        </w:rPr>
        <w:t>“监狱企业”</w:t>
      </w:r>
      <w:r>
        <w:rPr>
          <w:rFonts w:hint="eastAsia" w:ascii="宋体" w:hAnsi="宋体" w:eastAsia="宋体" w:cs="宋体"/>
          <w:spacing w:val="0"/>
          <w:sz w:val="24"/>
          <w:szCs w:val="24"/>
        </w:rPr>
        <w:t>）亦可享受前述扶持政策。符合财政部、民政部、中国残联文件（财库[2017]141号）规定的残疾人福利性单位（以下简称：</w:t>
      </w:r>
      <w:r>
        <w:rPr>
          <w:rStyle w:val="6"/>
          <w:rFonts w:hint="eastAsia" w:ascii="宋体" w:hAnsi="宋体" w:eastAsia="宋体" w:cs="宋体"/>
          <w:spacing w:val="0"/>
          <w:sz w:val="24"/>
          <w:szCs w:val="24"/>
        </w:rPr>
        <w:t>“残疾人福利性单位”</w:t>
      </w:r>
      <w:r>
        <w:rPr>
          <w:rFonts w:hint="eastAsia" w:ascii="宋体" w:hAnsi="宋体" w:eastAsia="宋体" w:cs="宋体"/>
          <w:spacing w:val="0"/>
          <w:sz w:val="24"/>
          <w:szCs w:val="24"/>
        </w:rPr>
        <w:t>）亦可享受前述扶持政策。其中：</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（1）中小企业指同时符合下列条件的中型、小型、微型企业：</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①符合《工业和信息化部、国家统计局、国家发展和改革委员会、财政部关于印发中小企业划型标准规定的通知》（工信部联企业</w:t>
      </w:r>
      <w:r>
        <w:rPr>
          <w:rFonts w:hint="default" w:ascii="Calibri" w:hAnsi="Calibri" w:cs="Calibri"/>
          <w:spacing w:val="0"/>
          <w:sz w:val="24"/>
          <w:szCs w:val="24"/>
        </w:rPr>
        <w:t>[2011]300</w:t>
      </w:r>
      <w:r>
        <w:rPr>
          <w:rFonts w:hint="eastAsia" w:ascii="宋体" w:hAnsi="宋体" w:eastAsia="宋体" w:cs="宋体"/>
          <w:spacing w:val="0"/>
          <w:sz w:val="24"/>
          <w:szCs w:val="24"/>
        </w:rPr>
        <w:t>号）规定的划分标准；</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②提供本企业制造的货物、承担的工程或服务，或提供其他中小企业制造的货物。本项所称货物不包括使用大型企业注册商标的货物。小型、微型企业提供中型企业制造的货物，视同中型企业。</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2）监狱企业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其中：</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①监狱企业参加采购活动时，应提供由省级以上监狱管理局、戒毒管理局（含新疆生产建设兵团）出具的属于监狱企业的证明文件。</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②监狱企业视同小型、微型企业。</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（3）残疾人福利性单位指同时符合下列条件的单位：</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①安置的残疾人占本单位在职职工人数的比例不低于</w:t>
      </w:r>
      <w:r>
        <w:rPr>
          <w:rFonts w:hint="default" w:ascii="Calibri" w:hAnsi="Calibri" w:cs="Calibri"/>
          <w:spacing w:val="0"/>
          <w:sz w:val="24"/>
          <w:szCs w:val="24"/>
        </w:rPr>
        <w:t>25%</w:t>
      </w:r>
      <w:r>
        <w:rPr>
          <w:rFonts w:hint="eastAsia" w:ascii="宋体" w:hAnsi="宋体" w:eastAsia="宋体" w:cs="宋体"/>
          <w:spacing w:val="0"/>
          <w:sz w:val="24"/>
          <w:szCs w:val="24"/>
        </w:rPr>
        <w:t>（含</w:t>
      </w:r>
      <w:r>
        <w:rPr>
          <w:rFonts w:hint="default" w:ascii="Calibri" w:hAnsi="Calibri" w:cs="Calibri"/>
          <w:spacing w:val="0"/>
          <w:sz w:val="24"/>
          <w:szCs w:val="24"/>
        </w:rPr>
        <w:t>25%</w:t>
      </w:r>
      <w:r>
        <w:rPr>
          <w:rFonts w:hint="eastAsia" w:ascii="宋体" w:hAnsi="宋体" w:eastAsia="宋体" w:cs="宋体"/>
          <w:spacing w:val="0"/>
          <w:sz w:val="24"/>
          <w:szCs w:val="24"/>
        </w:rPr>
        <w:t>），并且安置的残疾人人数不少于</w:t>
      </w:r>
      <w:r>
        <w:rPr>
          <w:rFonts w:hint="default" w:ascii="Calibri" w:hAnsi="Calibri" w:cs="Calibri"/>
          <w:spacing w:val="0"/>
          <w:sz w:val="24"/>
          <w:szCs w:val="24"/>
        </w:rPr>
        <w:t>10</w:t>
      </w:r>
      <w:r>
        <w:rPr>
          <w:rFonts w:hint="eastAsia" w:ascii="宋体" w:hAnsi="宋体" w:eastAsia="宋体" w:cs="宋体"/>
          <w:spacing w:val="0"/>
          <w:sz w:val="24"/>
          <w:szCs w:val="24"/>
        </w:rPr>
        <w:t>人（含</w:t>
      </w:r>
      <w:r>
        <w:rPr>
          <w:rFonts w:hint="default" w:ascii="Calibri" w:hAnsi="Calibri" w:cs="Calibri"/>
          <w:spacing w:val="0"/>
          <w:sz w:val="24"/>
          <w:szCs w:val="24"/>
        </w:rPr>
        <w:t>10</w:t>
      </w:r>
      <w:r>
        <w:rPr>
          <w:rFonts w:hint="eastAsia" w:ascii="宋体" w:hAnsi="宋体" w:eastAsia="宋体" w:cs="宋体"/>
          <w:spacing w:val="0"/>
          <w:sz w:val="24"/>
          <w:szCs w:val="24"/>
        </w:rPr>
        <w:t>人）；</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②依法与安置的每位残疾人签订了一年以上（含一年）的劳动合同或服务协议；</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③为安置的每位残疾人按月足额缴纳了基本养老保险、基本医疗保险、失业保险、工伤保险和生育保险等社会保险费；</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④通过银行等金融机构向安置的每位残疾人，按月支付了不低于单位所在区县适用的经省级人民政府批准的月最低工资标准的工资；</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⑤提供本单位制造的货物、承担的工程或服务，或提供其他残疾人福利性单位制造的货物（不包括使用非残疾人福利性单位注册商标的货物）。</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前款所称残疾人指法定劳动年龄内，持有《中华人民共和国残疾人证》或《中华人民共和国残疾军人证（1至</w:t>
      </w:r>
      <w:r>
        <w:rPr>
          <w:rFonts w:hint="default" w:ascii="Calibri" w:hAnsi="Calibri" w:cs="Calibri"/>
          <w:spacing w:val="0"/>
          <w:sz w:val="24"/>
          <w:szCs w:val="24"/>
        </w:rPr>
        <w:t>8</w:t>
      </w:r>
      <w:r>
        <w:rPr>
          <w:rFonts w:hint="eastAsia" w:ascii="宋体" w:hAnsi="宋体" w:eastAsia="宋体" w:cs="宋体"/>
          <w:spacing w:val="0"/>
          <w:sz w:val="24"/>
          <w:szCs w:val="24"/>
        </w:rPr>
        <w:t>级）》的自然人，包括具有劳动条件和劳动意愿的精神残疾人。在职职工人数是指与残疾人福利性单位建立劳动关系并依法签订劳动合同或服务协议的雇员人数。</w:t>
      </w:r>
    </w:p>
    <w:p>
      <w:pPr>
        <w:pStyle w:val="4"/>
        <w:keepNext w:val="0"/>
        <w:keepLines w:val="0"/>
        <w:widowControl/>
        <w:suppressLineNumbers w:val="0"/>
        <w:spacing w:before="75" w:beforeAutospacing="0" w:after="75" w:afterAutospacing="0"/>
        <w:ind w:left="0" w:right="0" w:firstLine="480"/>
      </w:pPr>
      <w:r>
        <w:rPr>
          <w:rStyle w:val="6"/>
          <w:rFonts w:hint="eastAsia" w:ascii="宋体" w:hAnsi="宋体" w:eastAsia="宋体" w:cs="宋体"/>
          <w:spacing w:val="0"/>
          <w:sz w:val="24"/>
          <w:szCs w:val="24"/>
        </w:rPr>
        <w:t>※符合上述条件的残疾人福利性单位参加采购活动时，应提供《残疾人福利性单位声明函》，并对声明的真实性负责。残疾人福利性单位视同小型、微型企业。残疾人福利性单位属于小型、微型企业的，不重复享受政策。</w:t>
      </w:r>
    </w:p>
    <w:p>
      <w:pPr>
        <w:pStyle w:val="4"/>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17.5信用记录指由财政部确定的有关网站提供的相关主体信用信息。信用记录的查询及使用应符合财政部文件（财库</w:t>
      </w:r>
      <w:r>
        <w:rPr>
          <w:rFonts w:hint="default" w:ascii="Calibri" w:hAnsi="Calibri" w:cs="Calibri"/>
          <w:spacing w:val="0"/>
          <w:sz w:val="24"/>
          <w:szCs w:val="24"/>
        </w:rPr>
        <w:t>[2016]125</w:t>
      </w:r>
      <w:r>
        <w:rPr>
          <w:rFonts w:hint="eastAsia" w:ascii="宋体" w:hAnsi="宋体" w:eastAsia="宋体" w:cs="宋体"/>
          <w:spacing w:val="0"/>
          <w:sz w:val="24"/>
          <w:szCs w:val="24"/>
        </w:rPr>
        <w:t>号）规定。</w:t>
      </w:r>
    </w:p>
    <w:p>
      <w:pPr>
        <w:pStyle w:val="4"/>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17.6为落实政府采购政策需满足的要求：详见招标文件第一章。</w:t>
      </w:r>
    </w:p>
    <w:p>
      <w:pPr>
        <w:pStyle w:val="4"/>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 </w:t>
      </w:r>
    </w:p>
    <w:p>
      <w:pPr>
        <w:pStyle w:val="4"/>
        <w:keepNext w:val="0"/>
        <w:keepLines w:val="0"/>
        <w:widowControl/>
        <w:suppressLineNumbers w:val="0"/>
        <w:spacing w:before="75" w:beforeAutospacing="0" w:after="75" w:afterAutospacing="0"/>
        <w:ind w:left="0" w:right="0" w:firstLine="0"/>
        <w:jc w:val="center"/>
      </w:pPr>
      <w:r>
        <w:rPr>
          <w:rStyle w:val="6"/>
          <w:rFonts w:hint="eastAsia" w:ascii="宋体" w:hAnsi="宋体" w:eastAsia="宋体" w:cs="宋体"/>
          <w:spacing w:val="0"/>
          <w:sz w:val="24"/>
          <w:szCs w:val="24"/>
        </w:rPr>
        <w:t>九、本项目的有关信息</w:t>
      </w:r>
    </w:p>
    <w:p>
      <w:pPr>
        <w:pStyle w:val="4"/>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18、本项目的有关信息，包括但不限于：招标公告、更正公告（若有）、招标文件、招标文件的澄清或修改（若有）、中标公告、终止公告（若有）、废标公告（若有）等都将在招标文件载明的指定媒体发布。</w:t>
      </w:r>
    </w:p>
    <w:p>
      <w:pPr>
        <w:pStyle w:val="4"/>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18.1指定媒体：详见招标文件第二章。</w:t>
      </w:r>
    </w:p>
    <w:p>
      <w:pPr>
        <w:pStyle w:val="4"/>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18.2本项目的潜在投标人或投标人应随时关注指定媒体，否则产生不利后果由其自行承担。</w:t>
      </w:r>
    </w:p>
    <w:p>
      <w:pPr>
        <w:pStyle w:val="4"/>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 </w:t>
      </w:r>
    </w:p>
    <w:p>
      <w:pPr>
        <w:pStyle w:val="4"/>
        <w:keepNext w:val="0"/>
        <w:keepLines w:val="0"/>
        <w:widowControl/>
        <w:suppressLineNumbers w:val="0"/>
        <w:spacing w:before="75" w:beforeAutospacing="0" w:after="75" w:afterAutospacing="0"/>
        <w:ind w:left="0" w:right="0" w:firstLine="0"/>
        <w:jc w:val="center"/>
      </w:pPr>
      <w:r>
        <w:rPr>
          <w:rStyle w:val="6"/>
          <w:rFonts w:hint="eastAsia" w:ascii="宋体" w:hAnsi="宋体" w:eastAsia="宋体" w:cs="宋体"/>
          <w:spacing w:val="0"/>
          <w:sz w:val="24"/>
          <w:szCs w:val="24"/>
        </w:rPr>
        <w:t>十、其他事项</w:t>
      </w:r>
    </w:p>
    <w:p>
      <w:pPr>
        <w:pStyle w:val="4"/>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19、其他事项：详见招标文件第二章。</w:t>
      </w:r>
    </w:p>
    <w:p>
      <w:pPr>
        <w:pStyle w:val="4"/>
        <w:keepNext w:val="0"/>
        <w:keepLines w:val="0"/>
        <w:widowControl/>
        <w:suppressLineNumbers w:val="0"/>
        <w:spacing w:before="75" w:beforeAutospacing="0" w:after="75" w:afterAutospacing="0"/>
        <w:ind w:left="0" w:right="0" w:firstLine="0"/>
        <w:jc w:val="center"/>
      </w:pPr>
      <w:r>
        <w:rPr>
          <w:spacing w:val="0"/>
          <w:sz w:val="24"/>
          <w:szCs w:val="24"/>
        </w:rPr>
        <w:t> </w:t>
      </w:r>
    </w:p>
    <w:p>
      <w:pPr>
        <w:pStyle w:val="4"/>
        <w:keepNext w:val="0"/>
        <w:keepLines w:val="0"/>
        <w:widowControl/>
        <w:suppressLineNumbers w:val="0"/>
        <w:spacing w:before="75" w:beforeAutospacing="0" w:after="75" w:afterAutospacing="0"/>
        <w:ind w:left="0" w:right="0" w:firstLine="0"/>
      </w:pPr>
      <w:r>
        <w:rPr>
          <w:spacing w:val="0"/>
          <w:sz w:val="24"/>
          <w:szCs w:val="24"/>
        </w:rPr>
        <w:t> </w:t>
      </w:r>
    </w:p>
    <w:p>
      <w:pPr>
        <w:pStyle w:val="4"/>
        <w:keepNext w:val="0"/>
        <w:keepLines w:val="0"/>
        <w:widowControl/>
        <w:suppressLineNumbers w:val="0"/>
        <w:spacing w:before="75" w:beforeAutospacing="0" w:after="240" w:afterAutospacing="0"/>
        <w:ind w:left="0" w:right="0" w:firstLine="0"/>
      </w:pPr>
      <w:r>
        <w:rPr>
          <w:rFonts w:hint="default" w:ascii="Calibri" w:hAnsi="Calibri" w:cs="Calibri"/>
          <w:spacing w:val="0"/>
          <w:sz w:val="24"/>
          <w:szCs w:val="24"/>
        </w:rPr>
        <w:t> </w:t>
      </w:r>
    </w:p>
    <w:p>
      <w:pPr>
        <w:pStyle w:val="4"/>
        <w:keepNext w:val="0"/>
        <w:keepLines w:val="0"/>
        <w:widowControl/>
        <w:suppressLineNumbers w:val="0"/>
        <w:spacing w:before="75" w:beforeAutospacing="0" w:after="75" w:afterAutospacing="0"/>
        <w:ind w:left="0" w:right="0" w:firstLine="0"/>
        <w:jc w:val="center"/>
      </w:pPr>
      <w:r>
        <w:rPr>
          <w:rStyle w:val="6"/>
          <w:rFonts w:hint="eastAsia" w:ascii="宋体" w:hAnsi="宋体" w:eastAsia="宋体" w:cs="宋体"/>
          <w:spacing w:val="0"/>
          <w:sz w:val="31"/>
          <w:szCs w:val="31"/>
        </w:rPr>
        <w:t>第四章   资格审查与评标</w:t>
      </w:r>
    </w:p>
    <w:p>
      <w:pPr>
        <w:pStyle w:val="4"/>
        <w:keepNext w:val="0"/>
        <w:keepLines w:val="0"/>
        <w:widowControl/>
        <w:suppressLineNumbers w:val="0"/>
        <w:spacing w:before="75" w:beforeAutospacing="0" w:after="75" w:afterAutospacing="0"/>
        <w:ind w:left="0" w:right="0" w:firstLine="0"/>
        <w:jc w:val="center"/>
      </w:pPr>
      <w:r>
        <w:rPr>
          <w:spacing w:val="0"/>
          <w:sz w:val="24"/>
          <w:szCs w:val="24"/>
        </w:rPr>
        <w:t> </w:t>
      </w:r>
    </w:p>
    <w:p>
      <w:pPr>
        <w:pStyle w:val="4"/>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 </w:t>
      </w:r>
    </w:p>
    <w:p>
      <w:pPr>
        <w:pStyle w:val="4"/>
        <w:keepNext w:val="0"/>
        <w:keepLines w:val="0"/>
        <w:widowControl/>
        <w:suppressLineNumbers w:val="0"/>
        <w:spacing w:before="75" w:beforeAutospacing="0" w:after="75" w:afterAutospacing="0"/>
        <w:ind w:left="0" w:right="0" w:firstLine="0"/>
        <w:jc w:val="center"/>
      </w:pPr>
      <w:r>
        <w:rPr>
          <w:rStyle w:val="6"/>
          <w:rFonts w:hint="eastAsia" w:ascii="宋体" w:hAnsi="宋体" w:eastAsia="宋体" w:cs="宋体"/>
          <w:spacing w:val="0"/>
          <w:sz w:val="24"/>
          <w:szCs w:val="24"/>
        </w:rPr>
        <w:t>一、资格审查</w:t>
      </w:r>
    </w:p>
    <w:p>
      <w:pPr>
        <w:pStyle w:val="4"/>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1、开标结束后，由</w:t>
      </w:r>
      <w:r>
        <w:rPr>
          <w:rFonts w:hint="eastAsia" w:ascii="宋体" w:hAnsi="宋体" w:eastAsia="宋体" w:cs="宋体"/>
          <w:spacing w:val="0"/>
          <w:sz w:val="24"/>
          <w:szCs w:val="24"/>
          <w:u w:val="single"/>
        </w:rPr>
        <w:t>福建省闽鸿招标有限公司</w:t>
      </w:r>
      <w:r>
        <w:rPr>
          <w:rFonts w:hint="eastAsia" w:ascii="宋体" w:hAnsi="宋体" w:eastAsia="宋体" w:cs="宋体"/>
          <w:spacing w:val="0"/>
          <w:sz w:val="24"/>
          <w:szCs w:val="24"/>
        </w:rPr>
        <w:t>负责资格审查小组的组建及资格审查工作的组织。</w:t>
      </w:r>
    </w:p>
    <w:p>
      <w:pPr>
        <w:pStyle w:val="4"/>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1.1资格审查小组由</w:t>
      </w:r>
      <w:r>
        <w:rPr>
          <w:rFonts w:hint="default" w:ascii="Calibri" w:hAnsi="Calibri" w:cs="Calibri"/>
          <w:spacing w:val="0"/>
          <w:sz w:val="24"/>
          <w:szCs w:val="24"/>
        </w:rPr>
        <w:t>3</w:t>
      </w:r>
      <w:r>
        <w:rPr>
          <w:rFonts w:hint="eastAsia" w:ascii="宋体" w:hAnsi="宋体" w:eastAsia="宋体" w:cs="宋体"/>
          <w:spacing w:val="0"/>
          <w:sz w:val="24"/>
          <w:szCs w:val="24"/>
        </w:rPr>
        <w:t>人组成，并负责具体审查事务，其中：由采购人派出的采购人代表至少</w:t>
      </w:r>
      <w:r>
        <w:rPr>
          <w:rFonts w:hint="eastAsia" w:ascii="宋体" w:hAnsi="宋体" w:eastAsia="宋体" w:cs="宋体"/>
          <w:spacing w:val="0"/>
          <w:sz w:val="24"/>
          <w:szCs w:val="24"/>
          <w:u w:val="single"/>
        </w:rPr>
        <w:t>1</w:t>
      </w:r>
      <w:r>
        <w:rPr>
          <w:rFonts w:hint="eastAsia" w:ascii="宋体" w:hAnsi="宋体" w:eastAsia="宋体" w:cs="宋体"/>
          <w:spacing w:val="0"/>
          <w:sz w:val="24"/>
          <w:szCs w:val="24"/>
        </w:rPr>
        <w:t>人，由</w:t>
      </w:r>
      <w:r>
        <w:rPr>
          <w:rFonts w:hint="eastAsia" w:ascii="宋体" w:hAnsi="宋体" w:eastAsia="宋体" w:cs="宋体"/>
          <w:spacing w:val="0"/>
          <w:sz w:val="24"/>
          <w:szCs w:val="24"/>
          <w:u w:val="single"/>
        </w:rPr>
        <w:t>福建省闽鸿招标有限公司</w:t>
      </w:r>
      <w:r>
        <w:rPr>
          <w:rFonts w:hint="eastAsia" w:ascii="宋体" w:hAnsi="宋体" w:eastAsia="宋体" w:cs="宋体"/>
          <w:spacing w:val="0"/>
          <w:sz w:val="24"/>
          <w:szCs w:val="24"/>
        </w:rPr>
        <w:t>派出的工作人员至少</w:t>
      </w:r>
      <w:r>
        <w:rPr>
          <w:rFonts w:hint="eastAsia" w:ascii="宋体" w:hAnsi="宋体" w:eastAsia="宋体" w:cs="宋体"/>
          <w:spacing w:val="0"/>
          <w:sz w:val="24"/>
          <w:szCs w:val="24"/>
          <w:u w:val="single"/>
        </w:rPr>
        <w:t>1</w:t>
      </w:r>
      <w:r>
        <w:rPr>
          <w:rFonts w:hint="eastAsia" w:ascii="宋体" w:hAnsi="宋体" w:eastAsia="宋体" w:cs="宋体"/>
          <w:spacing w:val="0"/>
          <w:sz w:val="24"/>
          <w:szCs w:val="24"/>
        </w:rPr>
        <w:t>人，其余</w:t>
      </w:r>
      <w:r>
        <w:rPr>
          <w:rFonts w:hint="eastAsia" w:ascii="宋体" w:hAnsi="宋体" w:eastAsia="宋体" w:cs="宋体"/>
          <w:spacing w:val="0"/>
          <w:sz w:val="24"/>
          <w:szCs w:val="24"/>
          <w:u w:val="single"/>
        </w:rPr>
        <w:t>1</w:t>
      </w:r>
      <w:r>
        <w:rPr>
          <w:rFonts w:hint="eastAsia" w:ascii="宋体" w:hAnsi="宋体" w:eastAsia="宋体" w:cs="宋体"/>
          <w:spacing w:val="0"/>
          <w:sz w:val="24"/>
          <w:szCs w:val="24"/>
        </w:rPr>
        <w:t>人可为采购人代表或</w:t>
      </w:r>
      <w:r>
        <w:rPr>
          <w:rFonts w:hint="eastAsia" w:ascii="宋体" w:hAnsi="宋体" w:eastAsia="宋体" w:cs="宋体"/>
          <w:spacing w:val="0"/>
          <w:sz w:val="24"/>
          <w:szCs w:val="24"/>
          <w:u w:val="single"/>
        </w:rPr>
        <w:t>福建省闽鸿招标有限公司</w:t>
      </w:r>
      <w:r>
        <w:rPr>
          <w:rFonts w:hint="eastAsia" w:ascii="宋体" w:hAnsi="宋体" w:eastAsia="宋体" w:cs="宋体"/>
          <w:spacing w:val="0"/>
          <w:sz w:val="24"/>
          <w:szCs w:val="24"/>
        </w:rPr>
        <w:t>的工作人员。</w:t>
      </w:r>
    </w:p>
    <w:p>
      <w:pPr>
        <w:pStyle w:val="4"/>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1.2资格审查的依据是招标文件和投标文件。</w:t>
      </w:r>
    </w:p>
    <w:p>
      <w:pPr>
        <w:pStyle w:val="4"/>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1.3资格审查的范围及内容：投标文件（资格及资信证明部分），具体如下：</w:t>
      </w:r>
    </w:p>
    <w:p>
      <w:pPr>
        <w:pStyle w:val="4"/>
        <w:keepNext w:val="0"/>
        <w:keepLines w:val="0"/>
        <w:widowControl/>
        <w:suppressLineNumbers w:val="0"/>
      </w:pPr>
      <w:r>
        <w:rPr>
          <w:rFonts w:hint="eastAsia" w:ascii="宋体" w:hAnsi="宋体" w:eastAsia="宋体" w:cs="宋体"/>
          <w:sz w:val="24"/>
          <w:szCs w:val="24"/>
        </w:rPr>
        <w:t>  （1）</w:t>
      </w:r>
      <w:r>
        <w:rPr>
          <w:rFonts w:hint="eastAsia" w:ascii="宋体" w:hAnsi="宋体" w:eastAsia="宋体" w:cs="宋体"/>
          <w:spacing w:val="0"/>
        </w:rPr>
        <w:t>“投标函”；</w:t>
      </w:r>
      <w:r>
        <w:rPr>
          <w:rFonts w:hint="eastAsia" w:ascii="宋体" w:hAnsi="宋体" w:eastAsia="宋体" w:cs="宋体"/>
          <w:spacing w:val="0"/>
        </w:rPr>
        <w:br w:type="textWrapping"/>
      </w:r>
      <w:r>
        <w:rPr>
          <w:rFonts w:hint="eastAsia" w:ascii="宋体" w:hAnsi="宋体" w:eastAsia="宋体" w:cs="宋体"/>
          <w:spacing w:val="0"/>
        </w:rPr>
        <w:t>  （2）“投标人的资格及资信证明文件”</w:t>
      </w:r>
      <w:r>
        <w:rPr>
          <w:rFonts w:hint="eastAsia" w:ascii="宋体" w:hAnsi="宋体" w:eastAsia="宋体" w:cs="宋体"/>
          <w:spacing w:val="0"/>
        </w:rPr>
        <w:br w:type="textWrapping"/>
      </w:r>
      <w:r>
        <w:rPr>
          <w:rFonts w:hint="eastAsia" w:ascii="宋体" w:hAnsi="宋体" w:eastAsia="宋体" w:cs="宋体"/>
          <w:spacing w:val="0"/>
        </w:rPr>
        <w:t>   </w:t>
      </w:r>
      <w:r>
        <w:rPr>
          <w:rFonts w:hint="eastAsia" w:ascii="宋体" w:hAnsi="宋体" w:eastAsia="宋体" w:cs="宋体"/>
        </w:rPr>
        <w:t>①</w:t>
      </w:r>
      <w:r>
        <w:rPr>
          <w:rFonts w:hint="eastAsia" w:ascii="宋体" w:hAnsi="宋体" w:eastAsia="宋体" w:cs="宋体"/>
          <w:spacing w:val="0"/>
        </w:rPr>
        <w:t>一般资格证明文件：</w:t>
      </w:r>
    </w:p>
    <w:tbl>
      <w:tblPr>
        <w:tblStyle w:val="9"/>
        <w:tblW w:w="8305" w:type="dxa"/>
        <w:tblCellSpacing w:w="0" w:type="dxa"/>
        <w:tblInd w:w="15"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
      <w:tblGrid>
        <w:gridCol w:w="3737"/>
        <w:gridCol w:w="4568"/>
      </w:tblGrid>
      <w:tr>
        <w:trPr>
          <w:tblHeader/>
          <w:tblCellSpacing w:w="0" w:type="dxa"/>
        </w:trPr>
        <w:tc>
          <w:tcPr>
            <w:tcW w:w="3737"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center"/>
              <w:rPr>
                <w:b/>
              </w:rPr>
            </w:pPr>
            <w:r>
              <w:rPr>
                <w:rFonts w:ascii="宋体" w:hAnsi="宋体" w:eastAsia="宋体" w:cs="宋体"/>
                <w:b/>
                <w:kern w:val="0"/>
                <w:sz w:val="24"/>
                <w:szCs w:val="24"/>
                <w:lang w:val="en-US" w:eastAsia="zh-CN" w:bidi="ar"/>
              </w:rPr>
              <w:t>明细</w:t>
            </w:r>
          </w:p>
        </w:tc>
        <w:tc>
          <w:tcPr>
            <w:tcW w:w="4568"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center"/>
              <w:rPr>
                <w:b/>
              </w:rPr>
            </w:pPr>
            <w:r>
              <w:rPr>
                <w:rFonts w:ascii="宋体" w:hAnsi="宋体" w:eastAsia="宋体" w:cs="宋体"/>
                <w:b/>
                <w:kern w:val="0"/>
                <w:sz w:val="24"/>
                <w:szCs w:val="24"/>
                <w:lang w:val="en-US" w:eastAsia="zh-CN" w:bidi="ar"/>
              </w:rPr>
              <w:t>描述</w:t>
            </w:r>
          </w:p>
        </w:tc>
      </w:tr>
      <w:tr>
        <w:trPr>
          <w:tblCellSpacing w:w="0" w:type="dxa"/>
        </w:trPr>
        <w:tc>
          <w:tcPr>
            <w:tcW w:w="3737"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单位负责人授权书（若有）</w:t>
            </w:r>
          </w:p>
        </w:tc>
        <w:tc>
          <w:tcPr>
            <w:tcW w:w="4568"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1、企业（银行、保险、石油石化、电力、电信等行业除外）、事业单位和社会团体法人的“单位负责人”指法定代表人，即与实际提交的“营业执照等证明文件”载明的一致。2、银行、保险、石油石化、电力、电信等行业：以法人身份参加投标的，“单位负责人”指法定代表人，即与实际提交的“营业执照等证明文件”载明的一致；以非法人身份参加投标的，“单位负责人”指代表单位行使职权的主要负责人，即与实际提交的“营业执照等证明文件”载明的一致。3、投标人（自然人除外）：若投标人代表为单位负责人授权的委托代理人，应提供本授权书；若投标人代表为单位负责人，应在此项下提交其身份证正反面复印件，可不提供本授权书。4、投标人为自然人的，可不填写本授权书。5、纸质投标文件正本中的本授权书（若有）应为原件。※投标人应按照招标文件第七章规定提供。</w:t>
            </w:r>
          </w:p>
        </w:tc>
      </w:tr>
      <w:tr>
        <w:trPr>
          <w:tblCellSpacing w:w="0" w:type="dxa"/>
        </w:trPr>
        <w:tc>
          <w:tcPr>
            <w:tcW w:w="3737"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营业执照等证明文件</w:t>
            </w:r>
          </w:p>
        </w:tc>
        <w:tc>
          <w:tcPr>
            <w:tcW w:w="4568"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1、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2、投标人提供的相应证明材料复印件均应符合：内容完整、清晰、整洁，并由投标人加盖其单位公章。※投标人应按照招标文件第七章规定提供。</w:t>
            </w:r>
          </w:p>
        </w:tc>
      </w:tr>
      <w:tr>
        <w:trPr>
          <w:tblCellSpacing w:w="0" w:type="dxa"/>
        </w:trPr>
        <w:tc>
          <w:tcPr>
            <w:tcW w:w="3737"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财务状况报告（财务报告、或资信证明、或投标担保函）</w:t>
            </w:r>
          </w:p>
        </w:tc>
        <w:tc>
          <w:tcPr>
            <w:tcW w:w="4568"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1、投标人提供的财务报告复印件（成立年限按照投标截止时间推算）应符合下列规定：1.1成立年限满1年及以上的投标人，提供经审计的上一年度的年度财务报告。1.2成立年限满半年但不足1年的投标人，提供该半年度中任一季度的季度财务报告或该半年度的半年度财务报告。※无法按照第1.1、1.2条规定提供财务报告复印件的投标人（包括但不限于：成立年限满1年及以上的投标人、成立年限满半年但不足1年的投标人、成立年限不足半年的投标人），应选择提供资信证明复印件或投标担保函复印件，其中：非自然人的投标人选择提供资信证明的，还应附上其开户（基本存款账户）许可证复印件。 2、“财政部门认可的政府采购专业担保机构”应符合《财政部关于开展政府采购信用担保试点工作方案》（财库[2012]124号）的规定。3、投标人提供的相应证明材料复印件均应符合：内容完整、清晰、整洁，并由投标人加盖其单位公章。※投标人应按照招标文件第七章规定提供。</w:t>
            </w:r>
          </w:p>
        </w:tc>
      </w:tr>
      <w:tr>
        <w:trPr>
          <w:tblCellSpacing w:w="0" w:type="dxa"/>
        </w:trPr>
        <w:tc>
          <w:tcPr>
            <w:tcW w:w="3737"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依法缴纳税收证明材料</w:t>
            </w:r>
          </w:p>
        </w:tc>
        <w:tc>
          <w:tcPr>
            <w:tcW w:w="4568"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1、投标人提供的税收凭据复印件应符合下列规定：1.1投标截止时间前（不含投标截止时间的当月）已依法缴纳税收的投标人，提供投标截止时间前六个月（不含投标截止时间的当月）中任一月份的税收凭据复印件。1.2投标截止时间的当月成立且已依法缴纳税收的投标人，提供投标截止时间当月的税收凭据复印件。1.3投标截止时间的当月成立但因税务机关原因导致其尚未依法缴纳税收的投标人，提供依法缴纳税收承诺书原件（格式自拟），该承诺书视同税收凭据。2、“依法缴纳税收证明材料”有欠缴记录的，视为未依法缴纳税收。3、投标人提供的相应证明材料复印件均应符合：内容完整、清晰、整洁，并由投标人加盖其单位公章。※投标人应按照招标文件第七章规定提供。</w:t>
            </w:r>
          </w:p>
        </w:tc>
      </w:tr>
      <w:tr>
        <w:trPr>
          <w:tblCellSpacing w:w="0" w:type="dxa"/>
        </w:trPr>
        <w:tc>
          <w:tcPr>
            <w:tcW w:w="3737"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依法缴纳社会保障资金证明材料</w:t>
            </w:r>
          </w:p>
        </w:tc>
        <w:tc>
          <w:tcPr>
            <w:tcW w:w="4568"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1、投标人提供的社会保险凭据复印件应符合下列规定：1.1投标截止时间前（不含投标截止时间的当月）已依法缴纳社会保障资金的投标人，提供投标截止时间前六个月（不含投标截止时间的当月）中任一月份的社会保险凭据复印件。1.2投标截止时间的当月成立且已依法缴纳社会保障资金的投标人，提供投标截止时间当月的社会保险凭据复印件。1.3投标截止时间的当月成立但因税务机关/社会保障资金管理机关原因导致其尚未依法缴纳社会保障资金的投标人，提供依法缴纳社会保障资金承诺书原件（格式自拟），该承诺书视同社会保险凭据。2、“依法缴纳社会保障资金证明材料”有欠缴记录的，视为未依法缴纳社会保障资金。3、投标人提供的相应证明材料复印件均应符合：内容完整、清晰、整洁，并由投标人加盖其单位公章。※投标人应按照招标文件第七章规定提供。</w:t>
            </w:r>
          </w:p>
        </w:tc>
      </w:tr>
      <w:tr>
        <w:trPr>
          <w:tblCellSpacing w:w="0" w:type="dxa"/>
        </w:trPr>
        <w:tc>
          <w:tcPr>
            <w:tcW w:w="3737"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具备履行合同所必需设备和专业技术能力的声明函（若有）</w:t>
            </w:r>
          </w:p>
        </w:tc>
        <w:tc>
          <w:tcPr>
            <w:tcW w:w="4568"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1、招标文件未要求投标人提供“具备履行合同所必需的设备和专业技术能力专项证明材料”的，投标人应提供本声明函。2、招标文件要求投标人提供“具备履行合同所必需的设备和专业技术能力专项证明材料”的，投标人可不提供本声明函。3、纸质投标文件正本中的本声明函（若有）应为原件。※投标人应按照招标文件第七章规定提供。</w:t>
            </w:r>
          </w:p>
        </w:tc>
      </w:tr>
      <w:tr>
        <w:trPr>
          <w:tblCellSpacing w:w="0" w:type="dxa"/>
        </w:trPr>
        <w:tc>
          <w:tcPr>
            <w:tcW w:w="3737"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参加采购活动前三年内在经营活动中没有重大违法记录书面声明</w:t>
            </w:r>
          </w:p>
        </w:tc>
        <w:tc>
          <w:tcPr>
            <w:tcW w:w="4568"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1、“重大违法记录”指投标人因违法经营受到刑事处罚或责令停产停业、吊销许可证或执照、较大数额罚款等行政处罚。2、无法提供有效期内检察机关行贿犯罪档案查询结果告知函的，也应对近三年无行贿犯罪记录进行声明。3、纸质投标文件正本中的本声明应为原件。※投标人应按照招标文件第七章规定提供。</w:t>
            </w:r>
          </w:p>
        </w:tc>
      </w:tr>
      <w:tr>
        <w:trPr>
          <w:tblCellSpacing w:w="0" w:type="dxa"/>
        </w:trPr>
        <w:tc>
          <w:tcPr>
            <w:tcW w:w="3737"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信用记录查询结果</w:t>
            </w:r>
          </w:p>
        </w:tc>
        <w:tc>
          <w:tcPr>
            <w:tcW w:w="4568"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投标人应在招标文件要求的截止时点前分别通过“信用中国”网站（www.creditchina.gov.cn）、中国政府采购网（www.ccgp.gov.cn）查询并打印相应的信用记录，投标人提供的查询结果应为其通过上述网站获取的信用信息查询结果原始页面的打印件（或截图）。※投标人应按照招标文件第七章规定提供。</w:t>
            </w:r>
          </w:p>
        </w:tc>
      </w:tr>
      <w:tr>
        <w:trPr>
          <w:tblCellSpacing w:w="0" w:type="dxa"/>
        </w:trPr>
        <w:tc>
          <w:tcPr>
            <w:tcW w:w="3737"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中小企业声明函（专门面向中小企业或小型、微型企业适用，若有）</w:t>
            </w:r>
          </w:p>
        </w:tc>
        <w:tc>
          <w:tcPr>
            <w:tcW w:w="4568"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1、投标人应认真对照《工业和信息化部、国家统计局、国家发展和改革委员会、财政部关于印发中小企业划型标准规定的通知》（工信部联企业[2011]300号）规定的划分标准，并按照《国家统计局关于印发统计上大中小微型企业划分办法的通知》（国统字[2011]75号）规定准确划分企业类型。2、投标人为监狱企业的，可不填写本声明函，根据其提供的由省级以上监狱管理局、戒毒管理局（含新疆生产建设兵团）出具的属于监狱企业的证明文件进行认定，监狱企业视同小型、微型企业。3、投标人为残疾人福利性单位的，可不填写本声明函，根据其提供的《残疾人福利性单位声明函》进行认定，残疾人福利性单位视同小型、微型企业。4、纸质投标文件正本中的本声明函（若有）应为原件。※投标人应按照招标文件第七章规定提供。</w:t>
            </w:r>
          </w:p>
        </w:tc>
      </w:tr>
      <w:tr>
        <w:trPr>
          <w:tblCellSpacing w:w="0" w:type="dxa"/>
        </w:trPr>
        <w:tc>
          <w:tcPr>
            <w:tcW w:w="3737"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联合体协议（若有）</w:t>
            </w:r>
          </w:p>
        </w:tc>
        <w:tc>
          <w:tcPr>
            <w:tcW w:w="4568"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1、招标文件接受联合体投标且投标人为联合体的，投标人应提供本协议；否则无须提供。2、本协议由委托代理人签字或盖章的，应按照招标文件第七章载明的格式提供“单位负责人授权书”。3、纸质投标文件正本中的本协议（若有）应为原件。※投标人应按照招标文件第七章规定提供。</w:t>
            </w:r>
          </w:p>
        </w:tc>
      </w:tr>
      <w:tr>
        <w:trPr>
          <w:tblCellSpacing w:w="0" w:type="dxa"/>
        </w:trPr>
        <w:tc>
          <w:tcPr>
            <w:tcW w:w="3737"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检察机关行贿犯罪档案查询结果告知函（若有）</w:t>
            </w:r>
          </w:p>
        </w:tc>
        <w:tc>
          <w:tcPr>
            <w:tcW w:w="4568"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1、未提供行贿犯罪档案查询结果或查询结果表明投标人有行贿犯罪记录的，投标无效。2、无法提供有效期内检察机关行贿犯罪档案查询结果告知函的，也应对近三年无行贿犯罪记录进行声明。3、告知函应在有效期内且内容完整、清晰、整洁，否则投标无效。4、有效期内的告知函复印件（含扫描件）及符合招标文件第七章规定的打印件（或截图），无论内容中是否注明“复印件无效”，均视同有效。5、无法获取有效期内检察机关行贿犯罪档案查询结果告知函的，应在a7《参加采购活动前三年内在经营活动中没有重大违法记录书面声明》中对近三年无行贿犯罪记录进行声明。※投标人应按照招标文件第七章规定提供。"</w:t>
            </w:r>
          </w:p>
        </w:tc>
      </w:tr>
    </w:tbl>
    <w:p>
      <w:pPr>
        <w:keepNext w:val="0"/>
        <w:keepLines w:val="0"/>
        <w:widowControl/>
        <w:suppressLineNumbers w:val="0"/>
        <w:jc w:val="left"/>
      </w:pPr>
      <w:r>
        <w:rPr>
          <w:rFonts w:ascii="宋体" w:hAnsi="宋体" w:eastAsia="宋体" w:cs="宋体"/>
          <w:kern w:val="0"/>
          <w:sz w:val="24"/>
          <w:szCs w:val="24"/>
          <w:lang w:val="en-US" w:eastAsia="zh-CN" w:bidi="ar"/>
        </w:rPr>
        <w:br w:type="textWrapping"/>
      </w:r>
      <w:r>
        <w:rPr>
          <w:rFonts w:hint="eastAsia" w:ascii="宋体" w:hAnsi="宋体" w:eastAsia="宋体" w:cs="宋体"/>
          <w:spacing w:val="0"/>
          <w:kern w:val="0"/>
          <w:sz w:val="24"/>
          <w:szCs w:val="24"/>
          <w:lang w:val="en-US" w:eastAsia="zh-CN" w:bidi="ar"/>
        </w:rPr>
        <w:t>   ②.其他资格证明文件：</w:t>
      </w:r>
    </w:p>
    <w:p>
      <w:pPr>
        <w:pStyle w:val="4"/>
        <w:keepNext w:val="0"/>
        <w:keepLines w:val="0"/>
        <w:widowControl/>
        <w:suppressLineNumbers w:val="0"/>
        <w:spacing w:before="75" w:beforeAutospacing="0" w:after="75" w:afterAutospacing="0"/>
        <w:ind w:left="0" w:right="0" w:firstLine="480"/>
      </w:pPr>
      <w:r>
        <w:rPr>
          <w:rStyle w:val="6"/>
          <w:spacing w:val="0"/>
          <w:sz w:val="24"/>
          <w:szCs w:val="24"/>
        </w:rPr>
        <w:t>包：1</w:t>
      </w:r>
      <w:r>
        <w:rPr>
          <w:spacing w:val="0"/>
          <w:sz w:val="24"/>
          <w:szCs w:val="24"/>
        </w:rPr>
        <w:t xml:space="preserve"> </w:t>
      </w:r>
    </w:p>
    <w:tbl>
      <w:tblPr>
        <w:tblStyle w:val="9"/>
        <w:tblW w:w="8305" w:type="dxa"/>
        <w:tblCellSpacing w:w="0" w:type="dxa"/>
        <w:tblInd w:w="15"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
      <w:tblGrid>
        <w:gridCol w:w="3737"/>
        <w:gridCol w:w="4568"/>
      </w:tblGrid>
      <w:tr>
        <w:trPr>
          <w:tblHeader/>
          <w:tblCellSpacing w:w="0" w:type="dxa"/>
        </w:trPr>
        <w:tc>
          <w:tcPr>
            <w:tcW w:w="3737"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center"/>
              <w:rPr>
                <w:b/>
              </w:rPr>
            </w:pPr>
            <w:r>
              <w:rPr>
                <w:rFonts w:ascii="宋体" w:hAnsi="宋体" w:eastAsia="宋体" w:cs="宋体"/>
                <w:b/>
                <w:kern w:val="0"/>
                <w:sz w:val="24"/>
                <w:szCs w:val="24"/>
                <w:lang w:val="en-US" w:eastAsia="zh-CN" w:bidi="ar"/>
              </w:rPr>
              <w:t>明细</w:t>
            </w:r>
          </w:p>
        </w:tc>
        <w:tc>
          <w:tcPr>
            <w:tcW w:w="4568"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center"/>
              <w:rPr>
                <w:b/>
              </w:rPr>
            </w:pPr>
            <w:r>
              <w:rPr>
                <w:rFonts w:ascii="宋体" w:hAnsi="宋体" w:eastAsia="宋体" w:cs="宋体"/>
                <w:b/>
                <w:kern w:val="0"/>
                <w:sz w:val="24"/>
                <w:szCs w:val="24"/>
                <w:lang w:val="en-US" w:eastAsia="zh-CN" w:bidi="ar"/>
              </w:rPr>
              <w:t>描述</w:t>
            </w:r>
          </w:p>
        </w:tc>
      </w:tr>
      <w:tr>
        <w:trPr>
          <w:tblCellSpacing w:w="0" w:type="dxa"/>
        </w:trPr>
        <w:tc>
          <w:tcPr>
            <w:tcW w:w="3737"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具备履行合同所必需设备和专业技术能力专项证明材料</w:t>
            </w:r>
          </w:p>
        </w:tc>
        <w:tc>
          <w:tcPr>
            <w:tcW w:w="4568"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①投标人提供办公场所的场地证明材料（属于自有产权的提供产权证复印件；非自有产权的提供场地租赁合同复印件，租赁期限不少于一年）。 ②提供负责本项目的主要技术人员的名单、联系方式，以及相关学历证书或职称证书或用工合同复印件</w:t>
            </w:r>
          </w:p>
        </w:tc>
      </w:tr>
      <w:tr>
        <w:trPr>
          <w:tblCellSpacing w:w="0" w:type="dxa"/>
        </w:trPr>
        <w:tc>
          <w:tcPr>
            <w:tcW w:w="3737"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所投产品国家若有强制性要求或认证的</w:t>
            </w:r>
          </w:p>
        </w:tc>
        <w:tc>
          <w:tcPr>
            <w:tcW w:w="4568"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投标人所投产品国家有强制性要求或认证的（如节能、3C认证等），必须提供规定的产品并提供相关的证明文件或证书复印件，其中属于财政部、国家发改委最新《节能产品政府采购清单》内产品的，需提供最新一期《节能产品政府采购清单》中产品所在页的复印件并标明投标产品所在位置，加盖投标人公章，作为证明材料，否则视为无效投标。</w:t>
            </w:r>
          </w:p>
        </w:tc>
      </w:tr>
    </w:tbl>
    <w:p>
      <w:pPr>
        <w:keepNext w:val="0"/>
        <w:keepLines w:val="0"/>
        <w:widowControl/>
        <w:suppressLineNumbers w:val="0"/>
        <w:jc w:val="left"/>
      </w:pPr>
      <w:r>
        <w:rPr>
          <w:rFonts w:ascii="宋体" w:hAnsi="宋体" w:eastAsia="宋体" w:cs="宋体"/>
          <w:kern w:val="0"/>
          <w:sz w:val="24"/>
          <w:szCs w:val="24"/>
          <w:lang w:val="en-US" w:eastAsia="zh-CN" w:bidi="ar"/>
        </w:rPr>
        <w:br w:type="textWrapping"/>
      </w:r>
      <w:r>
        <w:rPr>
          <w:rFonts w:hint="eastAsia" w:ascii="宋体" w:hAnsi="宋体" w:eastAsia="宋体" w:cs="宋体"/>
          <w:spacing w:val="0"/>
          <w:kern w:val="0"/>
          <w:sz w:val="24"/>
          <w:szCs w:val="24"/>
          <w:lang w:val="en-US" w:eastAsia="zh-CN" w:bidi="ar"/>
        </w:rPr>
        <w:t>  （3）投标保证金。</w:t>
      </w:r>
    </w:p>
    <w:p>
      <w:pPr>
        <w:pStyle w:val="4"/>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1.4有下列情形之一的，</w:t>
      </w:r>
      <w:r>
        <w:rPr>
          <w:rStyle w:val="6"/>
          <w:rFonts w:hint="eastAsia" w:ascii="宋体" w:hAnsi="宋体" w:eastAsia="宋体" w:cs="宋体"/>
          <w:spacing w:val="0"/>
          <w:sz w:val="24"/>
          <w:szCs w:val="24"/>
        </w:rPr>
        <w:t>资格审查不合格：</w:t>
      </w:r>
      <w:r>
        <w:rPr>
          <w:rStyle w:val="6"/>
          <w:rFonts w:hint="eastAsia" w:ascii="宋体" w:hAnsi="宋体" w:eastAsia="宋体" w:cs="宋体"/>
          <w:spacing w:val="0"/>
          <w:sz w:val="24"/>
          <w:szCs w:val="24"/>
        </w:rPr>
        <w:br w:type="textWrapping"/>
      </w:r>
      <w:r>
        <w:rPr>
          <w:rFonts w:hint="eastAsia" w:ascii="宋体" w:hAnsi="宋体" w:eastAsia="宋体" w:cs="宋体"/>
        </w:rPr>
        <w:t>  （1）一般情形：</w:t>
      </w:r>
    </w:p>
    <w:tbl>
      <w:tblPr>
        <w:tblStyle w:val="9"/>
        <w:tblW w:w="8306" w:type="dxa"/>
        <w:tblCellSpacing w:w="0" w:type="dxa"/>
        <w:tblInd w:w="15"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
      <w:tblGrid>
        <w:gridCol w:w="8306"/>
      </w:tblGrid>
      <w:tr>
        <w:trPr>
          <w:tblHeader/>
          <w:tblCellSpacing w:w="0" w:type="dxa"/>
        </w:trPr>
        <w:tc>
          <w:tcPr>
            <w:tcW w:w="8306"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center"/>
              <w:rPr>
                <w:b/>
              </w:rPr>
            </w:pPr>
            <w:r>
              <w:rPr>
                <w:rFonts w:ascii="宋体" w:hAnsi="宋体" w:eastAsia="宋体" w:cs="宋体"/>
                <w:b/>
                <w:kern w:val="0"/>
                <w:sz w:val="24"/>
                <w:szCs w:val="24"/>
                <w:lang w:val="en-US" w:eastAsia="zh-CN" w:bidi="ar"/>
              </w:rPr>
              <w:t>明细</w:t>
            </w:r>
          </w:p>
        </w:tc>
      </w:tr>
      <w:tr>
        <w:trPr>
          <w:tblCellSpacing w:w="0" w:type="dxa"/>
        </w:trPr>
        <w:tc>
          <w:tcPr>
            <w:tcW w:w="8306"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未按照招标文件规定提交投标函</w:t>
            </w:r>
          </w:p>
        </w:tc>
      </w:tr>
      <w:tr>
        <w:trPr>
          <w:tblCellSpacing w:w="0" w:type="dxa"/>
        </w:trPr>
        <w:tc>
          <w:tcPr>
            <w:tcW w:w="8306"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未按照招标文件规定提交投标人的资格及资信文件</w:t>
            </w:r>
          </w:p>
        </w:tc>
      </w:tr>
      <w:tr>
        <w:trPr>
          <w:tblCellSpacing w:w="0" w:type="dxa"/>
        </w:trPr>
        <w:tc>
          <w:tcPr>
            <w:tcW w:w="8306"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未按照招标文件规定提交投标保证金</w:t>
            </w:r>
          </w:p>
        </w:tc>
      </w:tr>
    </w:tbl>
    <w:p>
      <w:pPr>
        <w:keepNext w:val="0"/>
        <w:keepLines w:val="0"/>
        <w:widowControl/>
        <w:suppressLineNumbers w:val="0"/>
        <w:jc w:val="left"/>
      </w:pPr>
      <w:r>
        <w:rPr>
          <w:rFonts w:ascii="宋体" w:hAnsi="宋体" w:eastAsia="宋体" w:cs="宋体"/>
          <w:kern w:val="0"/>
          <w:sz w:val="24"/>
          <w:szCs w:val="24"/>
          <w:lang w:val="en-US" w:eastAsia="zh-CN" w:bidi="ar"/>
        </w:rPr>
        <w:br w:type="textWrapping"/>
      </w:r>
      <w:r>
        <w:rPr>
          <w:rFonts w:hint="eastAsia" w:ascii="宋体" w:hAnsi="宋体" w:eastAsia="宋体" w:cs="宋体"/>
          <w:kern w:val="0"/>
          <w:sz w:val="24"/>
          <w:szCs w:val="24"/>
          <w:lang w:val="en-US" w:eastAsia="zh-CN" w:bidi="ar"/>
        </w:rPr>
        <w:t>  （2）本项目规定的其他情形：</w:t>
      </w:r>
    </w:p>
    <w:p>
      <w:pPr>
        <w:pStyle w:val="4"/>
        <w:keepNext w:val="0"/>
        <w:keepLines w:val="0"/>
        <w:widowControl/>
        <w:suppressLineNumbers w:val="0"/>
        <w:ind w:left="0" w:firstLine="480"/>
      </w:pPr>
      <w:r>
        <w:rPr>
          <w:rStyle w:val="6"/>
        </w:rPr>
        <w:t>包：1</w:t>
      </w:r>
      <w:r>
        <w:t xml:space="preserve"> </w:t>
      </w:r>
    </w:p>
    <w:tbl>
      <w:tblPr>
        <w:tblStyle w:val="9"/>
        <w:tblW w:w="8306" w:type="dxa"/>
        <w:tblCellSpacing w:w="0" w:type="dxa"/>
        <w:tblInd w:w="15"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
      <w:tblGrid>
        <w:gridCol w:w="8306"/>
      </w:tblGrid>
      <w:tr>
        <w:trPr>
          <w:tblHeader/>
          <w:tblCellSpacing w:w="0" w:type="dxa"/>
        </w:trPr>
        <w:tc>
          <w:tcPr>
            <w:tcW w:w="8306"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center"/>
              <w:rPr>
                <w:b/>
              </w:rPr>
            </w:pPr>
            <w:r>
              <w:rPr>
                <w:rFonts w:ascii="宋体" w:hAnsi="宋体" w:eastAsia="宋体" w:cs="宋体"/>
                <w:b/>
                <w:kern w:val="0"/>
                <w:sz w:val="24"/>
                <w:szCs w:val="24"/>
                <w:lang w:val="en-US" w:eastAsia="zh-CN" w:bidi="ar"/>
              </w:rPr>
              <w:t>明细</w:t>
            </w:r>
          </w:p>
        </w:tc>
      </w:tr>
      <w:tr>
        <w:trPr>
          <w:tblCellSpacing w:w="0" w:type="dxa"/>
        </w:trPr>
        <w:tc>
          <w:tcPr>
            <w:tcW w:w="8306"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投标文件的资格部分中出现报价部分的全部或部分的投标报价信息（或组成资料）。</w:t>
            </w:r>
          </w:p>
        </w:tc>
      </w:tr>
    </w:tbl>
    <w:p>
      <w:pPr>
        <w:pStyle w:val="4"/>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1.5若本项目接受联合体投标且投标人为联合体，联合体中有同类资质的供应商按照联合体分工承担相同工作的，应先按照资质等级较低的供应商确定资质等级，再按照本章第</w:t>
      </w:r>
      <w:r>
        <w:rPr>
          <w:rFonts w:hint="default" w:ascii="Calibri" w:hAnsi="Calibri" w:cs="Calibri"/>
          <w:spacing w:val="0"/>
          <w:sz w:val="24"/>
          <w:szCs w:val="24"/>
        </w:rPr>
        <w:t>1.2</w:t>
      </w:r>
      <w:r>
        <w:rPr>
          <w:rFonts w:hint="eastAsia" w:ascii="宋体" w:hAnsi="宋体" w:eastAsia="宋体" w:cs="宋体"/>
          <w:spacing w:val="0"/>
          <w:sz w:val="24"/>
          <w:szCs w:val="24"/>
        </w:rPr>
        <w:t>、</w:t>
      </w:r>
      <w:r>
        <w:rPr>
          <w:rFonts w:hint="default" w:ascii="Calibri" w:hAnsi="Calibri" w:cs="Calibri"/>
          <w:spacing w:val="0"/>
          <w:sz w:val="24"/>
          <w:szCs w:val="24"/>
        </w:rPr>
        <w:t>1.3</w:t>
      </w:r>
      <w:r>
        <w:rPr>
          <w:rFonts w:hint="eastAsia" w:ascii="宋体" w:hAnsi="宋体" w:eastAsia="宋体" w:cs="宋体"/>
          <w:spacing w:val="0"/>
          <w:sz w:val="24"/>
          <w:szCs w:val="24"/>
        </w:rPr>
        <w:t>、</w:t>
      </w:r>
      <w:r>
        <w:rPr>
          <w:rFonts w:hint="default" w:ascii="Calibri" w:hAnsi="Calibri" w:cs="Calibri"/>
          <w:spacing w:val="0"/>
          <w:sz w:val="24"/>
          <w:szCs w:val="24"/>
        </w:rPr>
        <w:t>1.4</w:t>
      </w:r>
      <w:r>
        <w:rPr>
          <w:rFonts w:hint="eastAsia" w:ascii="宋体" w:hAnsi="宋体" w:eastAsia="宋体" w:cs="宋体"/>
          <w:spacing w:val="0"/>
          <w:sz w:val="24"/>
          <w:szCs w:val="24"/>
        </w:rPr>
        <w:t>条规定进行资格审查。</w:t>
      </w:r>
    </w:p>
    <w:p>
      <w:pPr>
        <w:pStyle w:val="4"/>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2、资格审查情况不得私自外泄，有关信息由</w:t>
      </w:r>
      <w:r>
        <w:rPr>
          <w:rFonts w:hint="eastAsia" w:ascii="宋体" w:hAnsi="宋体" w:eastAsia="宋体" w:cs="宋体"/>
          <w:spacing w:val="0"/>
          <w:sz w:val="24"/>
          <w:szCs w:val="24"/>
          <w:u w:val="single"/>
        </w:rPr>
        <w:t>福建省闽鸿招标有限公司</w:t>
      </w:r>
      <w:r>
        <w:rPr>
          <w:rFonts w:hint="eastAsia" w:ascii="宋体" w:hAnsi="宋体" w:eastAsia="宋体" w:cs="宋体"/>
          <w:spacing w:val="0"/>
          <w:sz w:val="24"/>
          <w:szCs w:val="24"/>
        </w:rPr>
        <w:t>统一对外发布。</w:t>
      </w:r>
    </w:p>
    <w:p>
      <w:pPr>
        <w:pStyle w:val="4"/>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3、资格审查合格的投标人不足三家的，不进行评标。同时，本次采购活动结束，</w:t>
      </w:r>
      <w:r>
        <w:rPr>
          <w:rFonts w:hint="eastAsia" w:ascii="宋体" w:hAnsi="宋体" w:eastAsia="宋体" w:cs="宋体"/>
          <w:spacing w:val="0"/>
          <w:sz w:val="24"/>
          <w:szCs w:val="24"/>
          <w:u w:val="single"/>
        </w:rPr>
        <w:t>福建省闽鸿招标有限公司</w:t>
      </w:r>
      <w:r>
        <w:rPr>
          <w:rFonts w:hint="eastAsia" w:ascii="宋体" w:hAnsi="宋体" w:eastAsia="宋体" w:cs="宋体"/>
          <w:spacing w:val="0"/>
          <w:sz w:val="24"/>
          <w:szCs w:val="24"/>
        </w:rPr>
        <w:t>将依法组织后续采购活动（包括但不限于：重新招标、采用其他方式采购等）。</w:t>
      </w:r>
    </w:p>
    <w:p>
      <w:pPr>
        <w:pStyle w:val="4"/>
        <w:keepNext w:val="0"/>
        <w:keepLines w:val="0"/>
        <w:widowControl/>
        <w:suppressLineNumbers w:val="0"/>
        <w:spacing w:before="75" w:beforeAutospacing="0" w:after="75" w:afterAutospacing="0"/>
        <w:ind w:left="0" w:right="0" w:firstLine="0"/>
      </w:pPr>
      <w:r>
        <w:rPr>
          <w:spacing w:val="0"/>
          <w:sz w:val="24"/>
          <w:szCs w:val="24"/>
        </w:rPr>
        <w:t> </w:t>
      </w:r>
    </w:p>
    <w:p>
      <w:pPr>
        <w:pStyle w:val="4"/>
        <w:keepNext w:val="0"/>
        <w:keepLines w:val="0"/>
        <w:widowControl/>
        <w:suppressLineNumbers w:val="0"/>
        <w:spacing w:before="75" w:beforeAutospacing="0" w:after="75" w:afterAutospacing="0"/>
        <w:ind w:left="0" w:right="0" w:firstLine="0"/>
        <w:jc w:val="center"/>
      </w:pPr>
      <w:r>
        <w:rPr>
          <w:rStyle w:val="6"/>
          <w:rFonts w:hint="eastAsia" w:ascii="宋体" w:hAnsi="宋体" w:eastAsia="宋体" w:cs="宋体"/>
          <w:spacing w:val="0"/>
          <w:sz w:val="24"/>
          <w:szCs w:val="24"/>
        </w:rPr>
        <w:t>二、评标</w:t>
      </w:r>
    </w:p>
    <w:p>
      <w:pPr>
        <w:pStyle w:val="4"/>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4、</w:t>
      </w:r>
      <w:r>
        <w:rPr>
          <w:rFonts w:hint="eastAsia" w:ascii="宋体" w:hAnsi="宋体" w:eastAsia="宋体" w:cs="宋体"/>
        </w:rPr>
        <w:t>资格审查结束后，由</w:t>
      </w:r>
      <w:r>
        <w:rPr>
          <w:rFonts w:hint="eastAsia" w:ascii="宋体" w:hAnsi="宋体" w:eastAsia="宋体" w:cs="宋体"/>
          <w:spacing w:val="0"/>
        </w:rPr>
        <w:t>福建省闽鸿招标有限公司负责评标委员会的组建及评标工作的组织。</w:t>
      </w:r>
    </w:p>
    <w:p>
      <w:pPr>
        <w:pStyle w:val="4"/>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5、评标委员会</w:t>
      </w:r>
    </w:p>
    <w:p>
      <w:pPr>
        <w:pStyle w:val="4"/>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5.1评标委员会由采购人代表和评标专家两部分共</w:t>
      </w:r>
      <w:r>
        <w:rPr>
          <w:rFonts w:hint="eastAsia" w:ascii="宋体" w:hAnsi="宋体" w:eastAsia="宋体" w:cs="宋体"/>
          <w:spacing w:val="0"/>
          <w:sz w:val="24"/>
          <w:szCs w:val="24"/>
          <w:u w:val="single"/>
        </w:rPr>
        <w:t>5</w:t>
      </w:r>
      <w:r>
        <w:rPr>
          <w:rFonts w:hint="eastAsia" w:ascii="宋体" w:hAnsi="宋体" w:eastAsia="宋体" w:cs="宋体"/>
          <w:spacing w:val="0"/>
          <w:sz w:val="24"/>
          <w:szCs w:val="24"/>
        </w:rPr>
        <w:t>人（以下简称“评委”）组成，其中：由采购人派出的采购人代表</w:t>
      </w:r>
      <w:r>
        <w:rPr>
          <w:rFonts w:hint="eastAsia" w:ascii="宋体" w:hAnsi="宋体" w:eastAsia="宋体" w:cs="宋体"/>
          <w:spacing w:val="0"/>
          <w:sz w:val="24"/>
          <w:szCs w:val="24"/>
          <w:u w:val="single"/>
        </w:rPr>
        <w:t>1</w:t>
      </w:r>
      <w:r>
        <w:rPr>
          <w:rFonts w:hint="eastAsia" w:ascii="宋体" w:hAnsi="宋体" w:eastAsia="宋体" w:cs="宋体"/>
          <w:spacing w:val="0"/>
          <w:sz w:val="24"/>
          <w:szCs w:val="24"/>
        </w:rPr>
        <w:t>人，由福建省政府采购评审专家库产生的评标专家</w:t>
      </w:r>
      <w:r>
        <w:rPr>
          <w:rFonts w:hint="eastAsia" w:ascii="宋体" w:hAnsi="宋体" w:eastAsia="宋体" w:cs="宋体"/>
          <w:spacing w:val="0"/>
          <w:sz w:val="24"/>
          <w:szCs w:val="24"/>
          <w:u w:val="single"/>
        </w:rPr>
        <w:t>4</w:t>
      </w:r>
      <w:r>
        <w:rPr>
          <w:rFonts w:hint="eastAsia" w:ascii="宋体" w:hAnsi="宋体" w:eastAsia="宋体" w:cs="宋体"/>
          <w:spacing w:val="0"/>
          <w:sz w:val="24"/>
          <w:szCs w:val="24"/>
        </w:rPr>
        <w:t>人。</w:t>
      </w:r>
    </w:p>
    <w:p>
      <w:pPr>
        <w:pStyle w:val="4"/>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5.2评标委员会负责具体评标事务，并按照下列原则依法独立履行有关职责：</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（1）评标应保护国家利益、社会公共利益和各方当事人合法权益，提高采购效益，保证项目质量。</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（2）评标应遵循公平、公正、科学、严谨和择优原则。</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（3）评标的依据是招标文件和投标文件。</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（4）应按照招标文件规定推荐中标候选人或确定中标人。</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（5）评标应遵守下列评标纪律：</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①评标情况不得私自外泄，有关信息由</w:t>
      </w:r>
      <w:r>
        <w:rPr>
          <w:rFonts w:hint="eastAsia" w:ascii="宋体" w:hAnsi="宋体" w:eastAsia="宋体" w:cs="宋体"/>
          <w:spacing w:val="0"/>
          <w:sz w:val="24"/>
          <w:szCs w:val="24"/>
          <w:u w:val="single"/>
        </w:rPr>
        <w:t>福建省闽鸿招标有限公司</w:t>
      </w:r>
      <w:r>
        <w:rPr>
          <w:rFonts w:hint="eastAsia" w:ascii="宋体" w:hAnsi="宋体" w:eastAsia="宋体" w:cs="宋体"/>
          <w:spacing w:val="0"/>
          <w:sz w:val="24"/>
          <w:szCs w:val="24"/>
        </w:rPr>
        <w:t>统一对外发布。</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②对</w:t>
      </w:r>
      <w:r>
        <w:rPr>
          <w:rFonts w:hint="eastAsia" w:ascii="宋体" w:hAnsi="宋体" w:eastAsia="宋体" w:cs="宋体"/>
          <w:spacing w:val="0"/>
          <w:sz w:val="24"/>
          <w:szCs w:val="24"/>
          <w:u w:val="single"/>
        </w:rPr>
        <w:t>福建省闽鸿招标有限公司</w:t>
      </w:r>
      <w:r>
        <w:rPr>
          <w:rFonts w:hint="eastAsia" w:ascii="宋体" w:hAnsi="宋体" w:eastAsia="宋体" w:cs="宋体"/>
          <w:spacing w:val="0"/>
          <w:sz w:val="24"/>
          <w:szCs w:val="24"/>
        </w:rPr>
        <w:t>或投标人提供的要求保密的资料，不得摘记翻印和外传。</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③不得收受投标人或有关人员的任何礼物，不得串联鼓动其他人袒护某投标人。若与投标人存在利害关系，则应主动声明并回避。</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④全体评委应按照招标文件规定进行评标，一切认定事项应查有实据且不得弄虚作假。</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⑤评标中应充分发扬民主，推荐中标候选人或确定中标人后要服从评标报告。</w:t>
      </w:r>
    </w:p>
    <w:p>
      <w:pPr>
        <w:pStyle w:val="4"/>
        <w:keepNext w:val="0"/>
        <w:keepLines w:val="0"/>
        <w:widowControl/>
        <w:suppressLineNumbers w:val="0"/>
        <w:spacing w:before="75" w:beforeAutospacing="0" w:after="75" w:afterAutospacing="0"/>
        <w:ind w:left="0" w:right="0" w:firstLine="480"/>
      </w:pPr>
      <w:r>
        <w:rPr>
          <w:rStyle w:val="6"/>
          <w:rFonts w:hint="eastAsia" w:ascii="宋体" w:hAnsi="宋体" w:eastAsia="宋体" w:cs="宋体"/>
          <w:spacing w:val="0"/>
          <w:sz w:val="24"/>
          <w:szCs w:val="24"/>
        </w:rPr>
        <w:t>※对违反评标纪律的评委，将取消其评委资格，对评标工作造成严重损失者将予以通报批评乃至追究法律责任。</w:t>
      </w:r>
    </w:p>
    <w:p>
      <w:pPr>
        <w:pStyle w:val="4"/>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6、评标程序</w:t>
      </w:r>
    </w:p>
    <w:p>
      <w:pPr>
        <w:pStyle w:val="4"/>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6.1评标前的准备工作</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（1）全体评委应认真审阅招标文件，了解评委应履行或遵守的职责、义务和评标纪律。</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（2）参加评标委员会的采购人代表可对本项目的背景和采购需求进行介绍，介绍材料应以书面形式提交（随采购文件一并存档），介绍内容不得含有歧视性、倾向性意见，不得超出招标文件所述范围。</w:t>
      </w:r>
    </w:p>
    <w:p>
      <w:pPr>
        <w:pStyle w:val="4"/>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6.2符合性审查</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（1）评标委员会依据招标文件的实质性要求，对通过资格审查的投标文件进行符合性审查，以确定其是否满足招标文件的实质性要求。</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（2）满足招标文件的实质性要求指投标文件对招标文件实质性要求的响应不存在重大偏差或保留。</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3）重大偏差或保留指影响到招标文件规定的合同范围、合同履行及影响关键质量和性能，或限制了采购人的权利，或反对、减少投标人的义务，而纠正这些重大偏差或保留将影响到其他提交实质性响应投标的投标人的公平竞争地位。</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4）评标委员会审查判断投标文件是否满足招标文件的实质性要求仅基于投标文件本身而不寻求其他的外部证据。未满足招标文件实质性要求的投标文件将被评标委员会否决（即符合性审查不合格），被否决的投标文件不能通过补充、修改（澄清、说明或补正）等方式重新成为满足招标文件实质性要求的投标文件。</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（5）评标委员会对所有投标人都执行相同的程序和标准。</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（6）有下列情形之一的，</w:t>
      </w:r>
      <w:r>
        <w:rPr>
          <w:rStyle w:val="6"/>
          <w:rFonts w:hint="eastAsia" w:ascii="宋体" w:hAnsi="宋体" w:eastAsia="宋体" w:cs="宋体"/>
          <w:spacing w:val="0"/>
          <w:sz w:val="24"/>
          <w:szCs w:val="24"/>
        </w:rPr>
        <w:t>符合性审查不合格：</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①一般情形：</w:t>
      </w:r>
    </w:p>
    <w:tbl>
      <w:tblPr>
        <w:tblStyle w:val="9"/>
        <w:tblW w:w="8306" w:type="dxa"/>
        <w:tblCellSpacing w:w="0" w:type="dxa"/>
        <w:tblInd w:w="15"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
      <w:tblGrid>
        <w:gridCol w:w="8306"/>
      </w:tblGrid>
      <w:tr>
        <w:trPr>
          <w:tblHeader/>
          <w:tblCellSpacing w:w="0" w:type="dxa"/>
        </w:trPr>
        <w:tc>
          <w:tcPr>
            <w:tcW w:w="8306"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center"/>
              <w:rPr>
                <w:b/>
              </w:rPr>
            </w:pPr>
            <w:r>
              <w:rPr>
                <w:rFonts w:ascii="宋体" w:hAnsi="宋体" w:eastAsia="宋体" w:cs="宋体"/>
                <w:b/>
                <w:kern w:val="0"/>
                <w:sz w:val="24"/>
                <w:szCs w:val="24"/>
                <w:lang w:val="en-US" w:eastAsia="zh-CN" w:bidi="ar"/>
              </w:rPr>
              <w:t>明细</w:t>
            </w:r>
          </w:p>
        </w:tc>
      </w:tr>
      <w:tr>
        <w:trPr>
          <w:tblCellSpacing w:w="0" w:type="dxa"/>
        </w:trPr>
        <w:tc>
          <w:tcPr>
            <w:tcW w:w="8306"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违反招标文件中载明“投标无效”条款的规定；</w:t>
            </w:r>
          </w:p>
        </w:tc>
      </w:tr>
      <w:tr>
        <w:trPr>
          <w:tblCellSpacing w:w="0" w:type="dxa"/>
        </w:trPr>
        <w:tc>
          <w:tcPr>
            <w:tcW w:w="8306"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属于招标文件第三章第10.12条规定的投标无效情形；</w:t>
            </w:r>
          </w:p>
        </w:tc>
      </w:tr>
      <w:tr>
        <w:trPr>
          <w:tblCellSpacing w:w="0" w:type="dxa"/>
        </w:trPr>
        <w:tc>
          <w:tcPr>
            <w:tcW w:w="8306"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投标文件对招标文件实质性要求的响应存在重大偏离或保留。</w:t>
            </w:r>
          </w:p>
        </w:tc>
      </w:tr>
    </w:tbl>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②本项目规定的其他情形：</w:t>
      </w:r>
      <w:r>
        <w:rPr>
          <w:rFonts w:hint="eastAsia" w:ascii="宋体" w:hAnsi="宋体" w:eastAsia="宋体" w:cs="宋体"/>
          <w:spacing w:val="0"/>
          <w:sz w:val="24"/>
          <w:szCs w:val="24"/>
        </w:rPr>
        <w:br w:type="textWrapping"/>
      </w:r>
      <w:r>
        <w:rPr>
          <w:rStyle w:val="6"/>
          <w:rFonts w:hint="eastAsia" w:ascii="宋体" w:hAnsi="宋体" w:eastAsia="宋体" w:cs="宋体"/>
          <w:spacing w:val="0"/>
          <w:sz w:val="24"/>
          <w:szCs w:val="24"/>
        </w:rPr>
        <w:t>包：1</w:t>
      </w:r>
      <w:r>
        <w:rPr>
          <w:rFonts w:hint="eastAsia" w:ascii="宋体" w:hAnsi="宋体" w:eastAsia="宋体" w:cs="宋体"/>
          <w:spacing w:val="0"/>
          <w:sz w:val="24"/>
          <w:szCs w:val="24"/>
        </w:rPr>
        <w:t xml:space="preserve"> </w:t>
      </w:r>
    </w:p>
    <w:tbl>
      <w:tblPr>
        <w:tblStyle w:val="9"/>
        <w:tblW w:w="8306" w:type="dxa"/>
        <w:tblCellSpacing w:w="0" w:type="dxa"/>
        <w:tblInd w:w="15"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
      <w:tblGrid>
        <w:gridCol w:w="8306"/>
      </w:tblGrid>
      <w:tr>
        <w:trPr>
          <w:tblHeader/>
          <w:tblCellSpacing w:w="0" w:type="dxa"/>
        </w:trPr>
        <w:tc>
          <w:tcPr>
            <w:tcW w:w="8306"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center"/>
              <w:rPr>
                <w:b/>
              </w:rPr>
            </w:pPr>
            <w:r>
              <w:rPr>
                <w:rFonts w:ascii="宋体" w:hAnsi="宋体" w:eastAsia="宋体" w:cs="宋体"/>
                <w:b/>
                <w:kern w:val="0"/>
                <w:sz w:val="24"/>
                <w:szCs w:val="24"/>
                <w:lang w:val="en-US" w:eastAsia="zh-CN" w:bidi="ar"/>
              </w:rPr>
              <w:t>明细</w:t>
            </w:r>
          </w:p>
        </w:tc>
      </w:tr>
      <w:tr>
        <w:trPr>
          <w:tblCellSpacing w:w="0" w:type="dxa"/>
        </w:trPr>
        <w:tc>
          <w:tcPr>
            <w:tcW w:w="8306"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(1)投标文件未按照本须知的规定进行密封、标记的(2)投标人未按规定对投标进行分项报价(3)投标人的交货地点、交货时间、质保期不符合招标文件要求，或不接受招标文件规定的合同款支付方式.</w:t>
            </w:r>
          </w:p>
        </w:tc>
      </w:tr>
    </w:tbl>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6.3澄清有关问题</w:t>
      </w:r>
    </w:p>
    <w:p>
      <w:pPr>
        <w:pStyle w:val="4"/>
        <w:keepNext w:val="0"/>
        <w:keepLines w:val="0"/>
        <w:widowControl/>
        <w:suppressLineNumbers w:val="0"/>
        <w:spacing w:before="75" w:beforeAutospacing="0" w:after="75" w:afterAutospacing="0"/>
        <w:ind w:left="0" w:right="0" w:firstLine="420"/>
      </w:pPr>
      <w:r>
        <w:rPr>
          <w:rFonts w:hint="eastAsia" w:ascii="宋体" w:hAnsi="宋体" w:eastAsia="宋体" w:cs="宋体"/>
          <w:spacing w:val="0"/>
          <w:sz w:val="24"/>
          <w:szCs w:val="24"/>
        </w:rPr>
        <w:t>（1）对通过符合性审查的投标文件中含义不明确、同类问题表述不一致或有明显文字和计算错误的内容，评标委员会将以书面形式要求投标人作出必要的澄清、说明或补正。</w:t>
      </w:r>
    </w:p>
    <w:p>
      <w:pPr>
        <w:pStyle w:val="4"/>
        <w:keepNext w:val="0"/>
        <w:keepLines w:val="0"/>
        <w:widowControl/>
        <w:suppressLineNumbers w:val="0"/>
        <w:spacing w:before="75" w:beforeAutospacing="0" w:after="75" w:afterAutospacing="0"/>
        <w:ind w:left="0" w:right="0" w:firstLine="420"/>
      </w:pPr>
      <w:r>
        <w:rPr>
          <w:rFonts w:hint="eastAsia" w:ascii="宋体" w:hAnsi="宋体" w:eastAsia="宋体" w:cs="宋体"/>
          <w:spacing w:val="0"/>
          <w:sz w:val="24"/>
          <w:szCs w:val="24"/>
        </w:rPr>
        <w:t>（2）投标人的澄清、说明或补正应由投标人代表在评标委员会规定的时间内（一般在半个小时左右，具体要求将根据实际情况在澄清通知中约定）以书面形式向评标委员会提交，前述澄清、说明或补正不得超出投标文件的范围或改变投标文件的实质性内容。若投标人未按照前述规定向评标委员会提交书面澄清、说明或补正，则评标委员会将按照不利于投标人的内容进行认定。</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（3）投标文件报价出现前后不一致的，除招标文件另有规定外，按照下列规定修正：</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①开标一览表内容与投标文件中相应内容不一致的，以开标一览表为准；</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②大写金额和小写金额不一致的，以大写金额为准；</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③单价金额小数点或百分比有明显错位的，以开标一览表的总价为准，并修改单价；</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④总价金额与按照单价汇总金额不一致的，以单价金额计算结果为准。</w:t>
      </w:r>
    </w:p>
    <w:p>
      <w:pPr>
        <w:pStyle w:val="4"/>
        <w:keepNext w:val="0"/>
        <w:keepLines w:val="0"/>
        <w:widowControl/>
        <w:suppressLineNumbers w:val="0"/>
        <w:spacing w:before="75" w:beforeAutospacing="0" w:after="75" w:afterAutospacing="0"/>
        <w:ind w:left="0" w:right="0" w:firstLine="480"/>
      </w:pPr>
      <w:r>
        <w:rPr>
          <w:rStyle w:val="6"/>
          <w:rFonts w:hint="eastAsia" w:ascii="宋体" w:hAnsi="宋体" w:eastAsia="宋体" w:cs="宋体"/>
          <w:spacing w:val="0"/>
          <w:sz w:val="24"/>
          <w:szCs w:val="24"/>
        </w:rPr>
        <w:t>※同时出现两种以上不一致的，按照前款规定的顺序修正。修正后的报价应按照本章第</w:t>
      </w:r>
      <w:r>
        <w:rPr>
          <w:rStyle w:val="6"/>
          <w:rFonts w:hint="default" w:ascii="Calibri" w:hAnsi="Calibri" w:cs="Calibri"/>
          <w:spacing w:val="0"/>
          <w:sz w:val="24"/>
          <w:szCs w:val="24"/>
        </w:rPr>
        <w:t>6.3</w:t>
      </w:r>
      <w:r>
        <w:rPr>
          <w:rStyle w:val="6"/>
          <w:rFonts w:hint="eastAsia" w:ascii="宋体" w:hAnsi="宋体" w:eastAsia="宋体" w:cs="宋体"/>
          <w:spacing w:val="0"/>
          <w:sz w:val="24"/>
          <w:szCs w:val="24"/>
        </w:rPr>
        <w:t>条第（</w:t>
      </w:r>
      <w:r>
        <w:rPr>
          <w:rStyle w:val="6"/>
          <w:rFonts w:hint="default" w:ascii="Calibri" w:hAnsi="Calibri" w:cs="Calibri"/>
          <w:spacing w:val="0"/>
          <w:sz w:val="24"/>
          <w:szCs w:val="24"/>
        </w:rPr>
        <w:t>1</w:t>
      </w:r>
      <w:r>
        <w:rPr>
          <w:rStyle w:val="6"/>
          <w:rFonts w:hint="eastAsia" w:ascii="宋体" w:hAnsi="宋体" w:eastAsia="宋体" w:cs="宋体"/>
          <w:spacing w:val="0"/>
          <w:sz w:val="24"/>
          <w:szCs w:val="24"/>
        </w:rPr>
        <w:t>）、（</w:t>
      </w:r>
      <w:r>
        <w:rPr>
          <w:rStyle w:val="6"/>
          <w:rFonts w:hint="default" w:ascii="Calibri" w:hAnsi="Calibri" w:cs="Calibri"/>
          <w:spacing w:val="0"/>
          <w:sz w:val="24"/>
          <w:szCs w:val="24"/>
        </w:rPr>
        <w:t>2</w:t>
      </w:r>
      <w:r>
        <w:rPr>
          <w:rStyle w:val="6"/>
          <w:rFonts w:hint="eastAsia" w:ascii="宋体" w:hAnsi="宋体" w:eastAsia="宋体" w:cs="宋体"/>
          <w:spacing w:val="0"/>
          <w:sz w:val="24"/>
          <w:szCs w:val="24"/>
        </w:rPr>
        <w:t>）款规定经投标人确认后产生约束力，投标人不确认的，其投标无效。</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（4）关于细微偏差</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①细微偏差指投标文件实质性响应招标文件要求，但在个别地方存在漏项或提供了不完整的技术信息和数据等情况，并且补正这些遗漏或不完整不会对其他投标人造成不公平的结果。细微偏差不影响投标文件的有效性。</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②评标委员会将以书面形式要求存在细微偏差的投标人在评标委员会规定的时间内予以补正。若无法补正，则评标委员会将按照不利于投标人的内容进行认定。</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（5）关于投标描述（即投标文件中描述的内容）</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①投标描述前后不一致且不涉及证明材料的：按照本章第</w:t>
      </w:r>
      <w:r>
        <w:rPr>
          <w:rFonts w:hint="default" w:ascii="Calibri" w:hAnsi="Calibri" w:cs="Calibri"/>
          <w:spacing w:val="0"/>
          <w:sz w:val="24"/>
          <w:szCs w:val="24"/>
        </w:rPr>
        <w:t>6.3</w:t>
      </w:r>
      <w:r>
        <w:rPr>
          <w:rFonts w:hint="eastAsia" w:ascii="宋体" w:hAnsi="宋体" w:eastAsia="宋体" w:cs="宋体"/>
          <w:spacing w:val="0"/>
          <w:sz w:val="24"/>
          <w:szCs w:val="24"/>
        </w:rPr>
        <w:t>条第（</w:t>
      </w:r>
      <w:r>
        <w:rPr>
          <w:rFonts w:hint="default" w:ascii="Calibri" w:hAnsi="Calibri" w:cs="Calibri"/>
          <w:spacing w:val="0"/>
          <w:sz w:val="24"/>
          <w:szCs w:val="24"/>
        </w:rPr>
        <w:t>1</w:t>
      </w:r>
      <w:r>
        <w:rPr>
          <w:rFonts w:hint="eastAsia" w:ascii="宋体" w:hAnsi="宋体" w:eastAsia="宋体" w:cs="宋体"/>
          <w:spacing w:val="0"/>
          <w:sz w:val="24"/>
          <w:szCs w:val="24"/>
        </w:rPr>
        <w:t>）、（</w:t>
      </w:r>
      <w:r>
        <w:rPr>
          <w:rFonts w:hint="default" w:ascii="Calibri" w:hAnsi="Calibri" w:cs="Calibri"/>
          <w:spacing w:val="0"/>
          <w:sz w:val="24"/>
          <w:szCs w:val="24"/>
        </w:rPr>
        <w:t>2</w:t>
      </w:r>
      <w:r>
        <w:rPr>
          <w:rFonts w:hint="eastAsia" w:ascii="宋体" w:hAnsi="宋体" w:eastAsia="宋体" w:cs="宋体"/>
          <w:spacing w:val="0"/>
          <w:sz w:val="24"/>
          <w:szCs w:val="24"/>
        </w:rPr>
        <w:t>）款规定执行。</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②投标描述与证明材料不一致或多份证明材料之间不一致的：</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a.评标委员会将要求投标人进行书面澄清，并按照不利于投标人的内容进行评标。</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b.投标人按照要求进行澄清的，采购人以澄清内容为准进行验收；投标人未按照要求进行澄清的，采购人以投标描述或证明材料中有利于采购人的内容进行验收。投标人应对证明材料的真实性、有效性承担责任。</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③若中标人的投标描述存在前后不一致、与证明材料不一致或多份证明材料之间不一致情形之一但在评标中未能发现，则采购人将以投标描述或证明材料中有利于采购人的内容进行验收，中标人应自行承担由此产生的风险及费用。</w:t>
      </w:r>
    </w:p>
    <w:p>
      <w:pPr>
        <w:pStyle w:val="4"/>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6.4比较与评价</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（1）按照本章第</w:t>
      </w:r>
      <w:r>
        <w:rPr>
          <w:rFonts w:hint="default" w:ascii="Calibri" w:hAnsi="Calibri" w:cs="Calibri"/>
          <w:spacing w:val="0"/>
          <w:sz w:val="24"/>
          <w:szCs w:val="24"/>
        </w:rPr>
        <w:t>7</w:t>
      </w:r>
      <w:r>
        <w:rPr>
          <w:rFonts w:hint="eastAsia" w:ascii="宋体" w:hAnsi="宋体" w:eastAsia="宋体" w:cs="宋体"/>
          <w:spacing w:val="0"/>
          <w:sz w:val="24"/>
          <w:szCs w:val="24"/>
        </w:rPr>
        <w:t>条载明的评标方法和标准，对符合性审查合格的投标文件进行比较与评价。</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（2）关于相同品牌产品</w:t>
      </w:r>
      <w:r>
        <w:rPr>
          <w:rStyle w:val="6"/>
          <w:rFonts w:hint="eastAsia" w:ascii="宋体" w:hAnsi="宋体" w:eastAsia="宋体" w:cs="宋体"/>
          <w:spacing w:val="0"/>
          <w:sz w:val="24"/>
          <w:szCs w:val="24"/>
        </w:rPr>
        <w:t>（政府采购服务类项目不适用本条款规定）</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①采用最低评标价法的，提供相同品牌产品的不同投标人参加同一合同项下投标的，以其中通过资格审查、符合性审查且报价最低的参加评标；报价相同的，由评标委员会按照下列方式确定一个参加评标的投标人：</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a.招标文件规定的方式：</w:t>
      </w:r>
      <w:r>
        <w:rPr>
          <w:spacing w:val="0"/>
          <w:sz w:val="24"/>
          <w:szCs w:val="24"/>
          <w:u w:val="single"/>
        </w:rPr>
        <w:t>无</w:t>
      </w:r>
      <w:r>
        <w:rPr>
          <w:rFonts w:hint="eastAsia" w:ascii="宋体" w:hAnsi="宋体" w:eastAsia="宋体" w:cs="宋体"/>
          <w:spacing w:val="0"/>
          <w:sz w:val="24"/>
          <w:szCs w:val="24"/>
        </w:rPr>
        <w:t>。</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b.招标文件未规定的，采取随机抽取方式确定，其他</w:t>
      </w:r>
      <w:r>
        <w:rPr>
          <w:rStyle w:val="6"/>
          <w:rFonts w:hint="eastAsia" w:ascii="宋体" w:hAnsi="宋体" w:eastAsia="宋体" w:cs="宋体"/>
          <w:spacing w:val="0"/>
          <w:sz w:val="24"/>
          <w:szCs w:val="24"/>
        </w:rPr>
        <w:t>投标无效。</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②采用综合评分法的，提供相同品牌产品且通过资格审查、符合性审查的不同投标人参加同一合同项下投标的，按一家投标人计算，评审后得分最高的同品牌投标人作为中标候选人推荐；评审得分相同的，由评标委员会按照下列方式确定一个投标人作为中标候选人推荐：</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a.招标文件规定的方式：</w:t>
      </w:r>
      <w:r>
        <w:rPr>
          <w:spacing w:val="0"/>
          <w:sz w:val="24"/>
          <w:szCs w:val="24"/>
          <w:u w:val="single"/>
        </w:rPr>
        <w:t>无</w:t>
      </w:r>
      <w:r>
        <w:rPr>
          <w:rFonts w:hint="eastAsia" w:ascii="宋体" w:hAnsi="宋体" w:eastAsia="宋体" w:cs="宋体"/>
          <w:spacing w:val="0"/>
          <w:sz w:val="24"/>
          <w:szCs w:val="24"/>
        </w:rPr>
        <w:t>。</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b.招标文件未规定的，采取随机抽取方式确定，其他同品牌投标人不作为中标候选人。</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③非单一产品采购项目，多家投标人提供的核心产品品牌相同的，按照本章第</w:t>
      </w:r>
      <w:r>
        <w:rPr>
          <w:rFonts w:hint="default" w:ascii="Calibri" w:hAnsi="Calibri" w:cs="Calibri"/>
          <w:spacing w:val="0"/>
          <w:sz w:val="24"/>
          <w:szCs w:val="24"/>
        </w:rPr>
        <w:t>6.4</w:t>
      </w:r>
      <w:r>
        <w:rPr>
          <w:rFonts w:hint="eastAsia" w:ascii="宋体" w:hAnsi="宋体" w:eastAsia="宋体" w:cs="宋体"/>
          <w:spacing w:val="0"/>
          <w:sz w:val="24"/>
          <w:szCs w:val="24"/>
        </w:rPr>
        <w:t>条第（</w:t>
      </w:r>
      <w:r>
        <w:rPr>
          <w:rFonts w:hint="default" w:ascii="Calibri" w:hAnsi="Calibri" w:cs="Calibri"/>
          <w:spacing w:val="0"/>
          <w:sz w:val="24"/>
          <w:szCs w:val="24"/>
        </w:rPr>
        <w:t>2</w:t>
      </w:r>
      <w:r>
        <w:rPr>
          <w:rFonts w:hint="eastAsia" w:ascii="宋体" w:hAnsi="宋体" w:eastAsia="宋体" w:cs="宋体"/>
          <w:spacing w:val="0"/>
          <w:sz w:val="24"/>
          <w:szCs w:val="24"/>
        </w:rPr>
        <w:t>）款第①、②规定处理。</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（3）漏（缺）项</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①招标文件中要求列入报价的费用（含配置、功能），漏（缺）项的报价视为已经包括在投标总价中。</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②对多报项及赠送项的价格评标时不予核减，全部进入评标价评议。</w:t>
      </w:r>
    </w:p>
    <w:p>
      <w:pPr>
        <w:pStyle w:val="4"/>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6.5推荐中标候选人：详见本章第</w:t>
      </w:r>
      <w:r>
        <w:rPr>
          <w:rFonts w:hint="default" w:ascii="Calibri" w:hAnsi="Calibri" w:cs="Calibri"/>
          <w:spacing w:val="0"/>
          <w:sz w:val="24"/>
          <w:szCs w:val="24"/>
        </w:rPr>
        <w:t>7.2</w:t>
      </w:r>
      <w:r>
        <w:rPr>
          <w:rFonts w:hint="eastAsia" w:ascii="宋体" w:hAnsi="宋体" w:eastAsia="宋体" w:cs="宋体"/>
          <w:spacing w:val="0"/>
          <w:sz w:val="24"/>
          <w:szCs w:val="24"/>
        </w:rPr>
        <w:t>条规定。</w:t>
      </w:r>
    </w:p>
    <w:p>
      <w:pPr>
        <w:pStyle w:val="4"/>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6.6编写评标报告</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（1）评标报告由评标委员会负责编写。</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（2）评标报告应包括下列内容：</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①招标公告刊登的媒体名称、开标日期和地点；</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②投标人名单和评标委员会成员名单；</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③评标方法和标准；</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④开标记录和评标情况及说明，包括无效投标人名单及原因；</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⑤评标结果，包括中标候选人名单或确定的中标人；</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⑥其他需要说明的情况，包括但不限于：评标过程中投标人的澄清、说明或补正，评委更换等。</w:t>
      </w:r>
    </w:p>
    <w:p>
      <w:pPr>
        <w:pStyle w:val="4"/>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6.7评标委员会认为投标人的报价明显低于其他通过符合性审查投标人的报价，有可能影响产品质量或不能诚信履约的，应要求其在评标现场合理的时间内提供书面说明，必要时还应要求其一并提交有关证明材料；投标人不能证明其报价合理性的，评标委员会应将其作为</w:t>
      </w:r>
      <w:r>
        <w:rPr>
          <w:rStyle w:val="6"/>
          <w:rFonts w:hint="eastAsia" w:ascii="宋体" w:hAnsi="宋体" w:eastAsia="宋体" w:cs="宋体"/>
          <w:spacing w:val="0"/>
          <w:sz w:val="24"/>
          <w:szCs w:val="24"/>
        </w:rPr>
        <w:t>投标无效</w:t>
      </w:r>
      <w:r>
        <w:rPr>
          <w:rFonts w:hint="eastAsia" w:ascii="宋体" w:hAnsi="宋体" w:eastAsia="宋体" w:cs="宋体"/>
          <w:spacing w:val="0"/>
          <w:sz w:val="24"/>
          <w:szCs w:val="24"/>
        </w:rPr>
        <w:t>处理。</w:t>
      </w:r>
    </w:p>
    <w:p>
      <w:pPr>
        <w:pStyle w:val="4"/>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6.8评委对需要共同认定的事项存在争议的，应按照少数服从多数的原则进行认定。</w:t>
      </w:r>
      <w:r>
        <w:rPr>
          <w:rStyle w:val="6"/>
          <w:rFonts w:hint="eastAsia" w:ascii="宋体" w:hAnsi="宋体" w:eastAsia="宋体" w:cs="宋体"/>
          <w:spacing w:val="0"/>
          <w:sz w:val="24"/>
          <w:szCs w:val="24"/>
        </w:rPr>
        <w:t>持不同意见的评委应在评标报告上签署不同意见及理由，否则视为同意评标报告。</w:t>
      </w:r>
    </w:p>
    <w:p>
      <w:pPr>
        <w:pStyle w:val="4"/>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6.9在评标过程中发现投标人有下列情形之一的，评标委员会应认定其</w:t>
      </w:r>
      <w:r>
        <w:rPr>
          <w:rStyle w:val="6"/>
          <w:rFonts w:hint="eastAsia" w:ascii="宋体" w:hAnsi="宋体" w:eastAsia="宋体" w:cs="宋体"/>
          <w:spacing w:val="0"/>
          <w:sz w:val="24"/>
          <w:szCs w:val="24"/>
        </w:rPr>
        <w:t>投标无效</w:t>
      </w:r>
      <w:r>
        <w:rPr>
          <w:rFonts w:hint="eastAsia" w:ascii="宋体" w:hAnsi="宋体" w:eastAsia="宋体" w:cs="宋体"/>
          <w:spacing w:val="0"/>
          <w:sz w:val="24"/>
          <w:szCs w:val="24"/>
        </w:rPr>
        <w:t>，并书面报告本项目监督管理部门：</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（1）恶意串通（包括但不限于招标文件第三章第</w:t>
      </w:r>
      <w:r>
        <w:rPr>
          <w:rFonts w:hint="default" w:ascii="Calibri" w:hAnsi="Calibri" w:cs="Calibri"/>
          <w:spacing w:val="0"/>
          <w:sz w:val="24"/>
          <w:szCs w:val="24"/>
        </w:rPr>
        <w:t>9.7</w:t>
      </w:r>
      <w:r>
        <w:rPr>
          <w:rFonts w:hint="eastAsia" w:ascii="宋体" w:hAnsi="宋体" w:eastAsia="宋体" w:cs="宋体"/>
          <w:spacing w:val="0"/>
          <w:sz w:val="24"/>
          <w:szCs w:val="24"/>
        </w:rPr>
        <w:t>条规定情形）；</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（2）妨碍其他投标人的竞争行为；</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（3）损害采购人或其他投标人的合法权益。</w:t>
      </w:r>
    </w:p>
    <w:p>
      <w:pPr>
        <w:pStyle w:val="4"/>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6.10评标过程中，有下列情形之一的，应予废标：</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（1）符合性审查合格的投标人不足三家的；</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（2）有关法律、法规和规章规定废标的情形。</w:t>
      </w:r>
    </w:p>
    <w:p>
      <w:pPr>
        <w:pStyle w:val="4"/>
        <w:keepNext w:val="0"/>
        <w:keepLines w:val="0"/>
        <w:widowControl/>
        <w:suppressLineNumbers w:val="0"/>
        <w:spacing w:before="75" w:beforeAutospacing="0" w:after="75" w:afterAutospacing="0"/>
        <w:ind w:left="0" w:right="0" w:firstLine="480"/>
      </w:pPr>
      <w:r>
        <w:rPr>
          <w:rStyle w:val="6"/>
          <w:rFonts w:hint="eastAsia" w:ascii="宋体" w:hAnsi="宋体" w:eastAsia="宋体" w:cs="宋体"/>
          <w:spacing w:val="0"/>
          <w:sz w:val="24"/>
          <w:szCs w:val="24"/>
        </w:rPr>
        <w:t>※若废标，则本次采购活动结束，</w:t>
      </w:r>
      <w:r>
        <w:rPr>
          <w:rFonts w:hint="eastAsia" w:ascii="宋体" w:hAnsi="宋体" w:eastAsia="宋体" w:cs="宋体"/>
          <w:spacing w:val="0"/>
          <w:sz w:val="24"/>
          <w:szCs w:val="24"/>
          <w:u w:val="single"/>
        </w:rPr>
        <w:t>福建省闽鸿招标有限公司</w:t>
      </w:r>
      <w:r>
        <w:rPr>
          <w:rStyle w:val="6"/>
          <w:rFonts w:hint="eastAsia" w:ascii="宋体" w:hAnsi="宋体" w:eastAsia="宋体" w:cs="宋体"/>
          <w:spacing w:val="0"/>
          <w:sz w:val="24"/>
          <w:szCs w:val="24"/>
        </w:rPr>
        <w:t>将依法组织后续采购活动（包括但不限于：重新招标、采用其他方式采购等）。</w:t>
      </w:r>
    </w:p>
    <w:p>
      <w:pPr>
        <w:pStyle w:val="4"/>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7、评标方法和标准</w:t>
      </w:r>
    </w:p>
    <w:p>
      <w:pPr>
        <w:pStyle w:val="4"/>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7.1评标方法：</w:t>
      </w:r>
      <w:r>
        <w:rPr>
          <w:spacing w:val="0"/>
          <w:sz w:val="24"/>
          <w:szCs w:val="24"/>
        </w:rPr>
        <w:t xml:space="preserve"> 合同包1采用综合评分法。</w:t>
      </w:r>
    </w:p>
    <w:p>
      <w:pPr>
        <w:pStyle w:val="4"/>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7.2评标标准</w:t>
      </w:r>
    </w:p>
    <w:p>
      <w:pPr>
        <w:pStyle w:val="4"/>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 </w:t>
      </w:r>
    </w:p>
    <w:p>
      <w:pPr>
        <w:pStyle w:val="4"/>
        <w:keepNext w:val="0"/>
        <w:keepLines w:val="0"/>
        <w:widowControl/>
        <w:suppressLineNumbers w:val="0"/>
        <w:shd w:val="clear" w:fill="FFFFFF"/>
        <w:spacing w:before="0" w:beforeAutospacing="0" w:after="150" w:afterAutospacing="0"/>
        <w:rPr>
          <w:rFonts w:hint="eastAsia" w:ascii="微软雅黑" w:hAnsi="微软雅黑" w:eastAsia="微软雅黑" w:cs="微软雅黑"/>
          <w:color w:val="393939"/>
          <w:sz w:val="19"/>
          <w:szCs w:val="19"/>
        </w:rPr>
      </w:pPr>
      <w:r>
        <w:rPr>
          <w:rStyle w:val="6"/>
          <w:rFonts w:hint="eastAsia" w:ascii="宋体" w:hAnsi="宋体" w:eastAsia="宋体" w:cs="宋体"/>
          <w:color w:val="393939"/>
          <w:sz w:val="24"/>
          <w:szCs w:val="24"/>
          <w:shd w:val="clear" w:fill="FFFFFF"/>
        </w:rPr>
        <w:t>合同包1采用综合评分法</w:t>
      </w:r>
      <w:r>
        <w:rPr>
          <w:rFonts w:hint="eastAsia" w:ascii="宋体" w:hAnsi="宋体" w:eastAsia="宋体" w:cs="宋体"/>
          <w:color w:val="393939"/>
          <w:sz w:val="24"/>
          <w:szCs w:val="24"/>
          <w:shd w:val="clear" w:fill="FFFFFF"/>
        </w:rPr>
        <w:t>：</w:t>
      </w:r>
      <w:r>
        <w:rPr>
          <w:rFonts w:hint="eastAsia" w:ascii="微软雅黑" w:hAnsi="微软雅黑" w:eastAsia="微软雅黑" w:cs="微软雅黑"/>
          <w:color w:val="393939"/>
          <w:sz w:val="19"/>
          <w:szCs w:val="19"/>
          <w:shd w:val="clear" w:fill="FFFFFF"/>
        </w:rPr>
        <w:t xml:space="preserve"> </w:t>
      </w:r>
    </w:p>
    <w:p>
      <w:pPr>
        <w:pStyle w:val="4"/>
        <w:keepNext w:val="0"/>
        <w:keepLines w:val="0"/>
        <w:widowControl/>
        <w:suppressLineNumbers w:val="0"/>
        <w:ind w:left="0" w:firstLine="480"/>
      </w:pPr>
      <w:r>
        <w:rPr>
          <w:rFonts w:hint="eastAsia" w:ascii="宋体" w:hAnsi="宋体" w:eastAsia="宋体" w:cs="宋体"/>
          <w:sz w:val="24"/>
          <w:szCs w:val="24"/>
        </w:rPr>
        <w:t>（1）投标文件满足招标文件全部实质性要求，且按照评审因素的量化指标评审得分（即评标总得分）最高的投标人为中标候选人。</w:t>
      </w:r>
      <w:r>
        <w:t xml:space="preserve"> </w:t>
      </w:r>
    </w:p>
    <w:p>
      <w:pPr>
        <w:pStyle w:val="4"/>
        <w:keepNext w:val="0"/>
        <w:keepLines w:val="0"/>
        <w:widowControl/>
        <w:suppressLineNumbers w:val="0"/>
        <w:ind w:left="0" w:firstLine="480"/>
      </w:pPr>
      <w:r>
        <w:rPr>
          <w:rFonts w:hint="eastAsia" w:ascii="宋体" w:hAnsi="宋体" w:eastAsia="宋体" w:cs="宋体"/>
          <w:sz w:val="24"/>
          <w:szCs w:val="24"/>
        </w:rPr>
        <w:t>（2）每个投标人的评标总得分</w:t>
      </w:r>
      <w:r>
        <w:rPr>
          <w:rFonts w:hint="default" w:ascii="Calibri" w:hAnsi="Calibri" w:eastAsia="宋体" w:cs="Calibri"/>
          <w:sz w:val="24"/>
          <w:szCs w:val="24"/>
        </w:rPr>
        <w:t>FA</w:t>
      </w:r>
      <w:r>
        <w:rPr>
          <w:rFonts w:hint="eastAsia" w:ascii="宋体" w:hAnsi="宋体" w:eastAsia="宋体" w:cs="宋体"/>
          <w:sz w:val="24"/>
          <w:szCs w:val="24"/>
        </w:rPr>
        <w:t>＝</w:t>
      </w:r>
      <w:r>
        <w:rPr>
          <w:rFonts w:hint="default" w:ascii="Calibri" w:hAnsi="Calibri" w:eastAsia="宋体" w:cs="Calibri"/>
          <w:sz w:val="24"/>
          <w:szCs w:val="24"/>
        </w:rPr>
        <w:t>F1</w:t>
      </w:r>
      <w:r>
        <w:rPr>
          <w:rFonts w:hint="eastAsia" w:ascii="宋体" w:hAnsi="宋体" w:eastAsia="宋体" w:cs="宋体"/>
          <w:sz w:val="24"/>
          <w:szCs w:val="24"/>
        </w:rPr>
        <w:t>×</w:t>
      </w:r>
      <w:r>
        <w:rPr>
          <w:rFonts w:hint="default" w:ascii="Calibri" w:hAnsi="Calibri" w:eastAsia="宋体" w:cs="Calibri"/>
          <w:sz w:val="24"/>
          <w:szCs w:val="24"/>
        </w:rPr>
        <w:t>A1</w:t>
      </w:r>
      <w:r>
        <w:rPr>
          <w:rFonts w:hint="eastAsia" w:ascii="宋体" w:hAnsi="宋体" w:eastAsia="宋体" w:cs="宋体"/>
          <w:sz w:val="24"/>
          <w:szCs w:val="24"/>
        </w:rPr>
        <w:t>＋</w:t>
      </w:r>
      <w:r>
        <w:rPr>
          <w:rFonts w:hint="default" w:ascii="Calibri" w:hAnsi="Calibri" w:eastAsia="宋体" w:cs="Calibri"/>
          <w:sz w:val="24"/>
          <w:szCs w:val="24"/>
        </w:rPr>
        <w:t>F2</w:t>
      </w:r>
      <w:r>
        <w:rPr>
          <w:rFonts w:hint="eastAsia" w:ascii="宋体" w:hAnsi="宋体" w:eastAsia="宋体" w:cs="宋体"/>
          <w:sz w:val="24"/>
          <w:szCs w:val="24"/>
        </w:rPr>
        <w:t>×</w:t>
      </w:r>
      <w:r>
        <w:rPr>
          <w:rFonts w:hint="default" w:ascii="Calibri" w:hAnsi="Calibri" w:eastAsia="宋体" w:cs="Calibri"/>
          <w:sz w:val="24"/>
          <w:szCs w:val="24"/>
        </w:rPr>
        <w:t>A2</w:t>
      </w:r>
      <w:r>
        <w:rPr>
          <w:rFonts w:hint="eastAsia" w:ascii="宋体" w:hAnsi="宋体" w:eastAsia="宋体" w:cs="宋体"/>
          <w:sz w:val="24"/>
          <w:szCs w:val="24"/>
        </w:rPr>
        <w:t>＋</w:t>
      </w:r>
      <w:r>
        <w:rPr>
          <w:rFonts w:hint="default" w:ascii="Calibri" w:hAnsi="Calibri" w:eastAsia="宋体" w:cs="Calibri"/>
          <w:sz w:val="24"/>
          <w:szCs w:val="24"/>
        </w:rPr>
        <w:t>F3</w:t>
      </w:r>
      <w:r>
        <w:rPr>
          <w:rFonts w:hint="eastAsia" w:ascii="宋体" w:hAnsi="宋体" w:eastAsia="宋体" w:cs="宋体"/>
          <w:sz w:val="24"/>
          <w:szCs w:val="24"/>
        </w:rPr>
        <w:t>×</w:t>
      </w:r>
      <w:r>
        <w:rPr>
          <w:rFonts w:hint="default" w:ascii="Calibri" w:hAnsi="Calibri" w:eastAsia="宋体" w:cs="Calibri"/>
          <w:sz w:val="24"/>
          <w:szCs w:val="24"/>
        </w:rPr>
        <w:t>A3</w:t>
      </w:r>
      <w:r>
        <w:rPr>
          <w:rFonts w:hint="eastAsia" w:ascii="宋体" w:hAnsi="宋体" w:eastAsia="宋体" w:cs="宋体"/>
          <w:sz w:val="24"/>
          <w:szCs w:val="24"/>
        </w:rPr>
        <w:t>＋</w:t>
      </w:r>
      <w:r>
        <w:rPr>
          <w:rFonts w:hint="default" w:ascii="Calibri" w:hAnsi="Calibri" w:eastAsia="宋体" w:cs="Calibri"/>
          <w:sz w:val="24"/>
          <w:szCs w:val="24"/>
        </w:rPr>
        <w:t>F4</w:t>
      </w:r>
      <w:r>
        <w:rPr>
          <w:rFonts w:hint="eastAsia" w:ascii="宋体" w:hAnsi="宋体" w:eastAsia="宋体" w:cs="宋体"/>
          <w:sz w:val="24"/>
          <w:szCs w:val="24"/>
        </w:rPr>
        <w:t>×</w:t>
      </w:r>
      <w:r>
        <w:rPr>
          <w:rFonts w:hint="default" w:ascii="Calibri" w:hAnsi="Calibri" w:eastAsia="宋体" w:cs="Calibri"/>
          <w:sz w:val="24"/>
          <w:szCs w:val="24"/>
        </w:rPr>
        <w:t>A4</w:t>
      </w:r>
      <w:r>
        <w:rPr>
          <w:rFonts w:hint="eastAsia" w:ascii="宋体" w:hAnsi="宋体" w:eastAsia="宋体" w:cs="宋体"/>
          <w:sz w:val="24"/>
          <w:szCs w:val="24"/>
        </w:rPr>
        <w:t>（若有），其中：</w:t>
      </w:r>
      <w:r>
        <w:rPr>
          <w:rFonts w:hint="default" w:ascii="Calibri" w:hAnsi="Calibri" w:eastAsia="宋体" w:cs="Calibri"/>
          <w:sz w:val="24"/>
          <w:szCs w:val="24"/>
        </w:rPr>
        <w:t>F1</w:t>
      </w:r>
      <w:r>
        <w:rPr>
          <w:rFonts w:hint="eastAsia" w:ascii="宋体" w:hAnsi="宋体" w:eastAsia="宋体" w:cs="宋体"/>
          <w:sz w:val="24"/>
          <w:szCs w:val="24"/>
        </w:rPr>
        <w:t>指价格项评审因素得分、</w:t>
      </w:r>
      <w:r>
        <w:rPr>
          <w:rFonts w:hint="default" w:ascii="Calibri" w:hAnsi="Calibri" w:eastAsia="宋体" w:cs="Calibri"/>
          <w:sz w:val="24"/>
          <w:szCs w:val="24"/>
        </w:rPr>
        <w:t>F2</w:t>
      </w:r>
      <w:r>
        <w:rPr>
          <w:rFonts w:hint="eastAsia" w:ascii="宋体" w:hAnsi="宋体" w:eastAsia="宋体" w:cs="宋体"/>
          <w:sz w:val="24"/>
          <w:szCs w:val="24"/>
        </w:rPr>
        <w:t>指技术项评审因素得分、</w:t>
      </w:r>
      <w:r>
        <w:rPr>
          <w:rFonts w:hint="default" w:ascii="Calibri" w:hAnsi="Calibri" w:eastAsia="宋体" w:cs="Calibri"/>
          <w:sz w:val="24"/>
          <w:szCs w:val="24"/>
        </w:rPr>
        <w:t>F3</w:t>
      </w:r>
      <w:r>
        <w:rPr>
          <w:rFonts w:hint="eastAsia" w:ascii="宋体" w:hAnsi="宋体" w:eastAsia="宋体" w:cs="宋体"/>
          <w:sz w:val="24"/>
          <w:szCs w:val="24"/>
        </w:rPr>
        <w:t>指商务项评审因素得分，</w:t>
      </w:r>
      <w:r>
        <w:rPr>
          <w:rFonts w:hint="default" w:ascii="Calibri" w:hAnsi="Calibri" w:eastAsia="宋体" w:cs="Calibri"/>
          <w:sz w:val="24"/>
          <w:szCs w:val="24"/>
        </w:rPr>
        <w:t>A1</w:t>
      </w:r>
      <w:r>
        <w:rPr>
          <w:rFonts w:hint="eastAsia" w:ascii="宋体" w:hAnsi="宋体" w:eastAsia="宋体" w:cs="宋体"/>
          <w:sz w:val="24"/>
          <w:szCs w:val="24"/>
        </w:rPr>
        <w:t>指价格项评审因素所占的权重、</w:t>
      </w:r>
      <w:r>
        <w:rPr>
          <w:rFonts w:hint="default" w:ascii="Calibri" w:hAnsi="Calibri" w:eastAsia="宋体" w:cs="Calibri"/>
          <w:sz w:val="24"/>
          <w:szCs w:val="24"/>
        </w:rPr>
        <w:t>A2</w:t>
      </w:r>
      <w:r>
        <w:rPr>
          <w:rFonts w:hint="eastAsia" w:ascii="宋体" w:hAnsi="宋体" w:eastAsia="宋体" w:cs="宋体"/>
          <w:sz w:val="24"/>
          <w:szCs w:val="24"/>
        </w:rPr>
        <w:t>指技术项评审因素所占的权重、</w:t>
      </w:r>
      <w:r>
        <w:rPr>
          <w:rFonts w:hint="default" w:ascii="Calibri" w:hAnsi="Calibri" w:eastAsia="宋体" w:cs="Calibri"/>
          <w:sz w:val="24"/>
          <w:szCs w:val="24"/>
        </w:rPr>
        <w:t>A3</w:t>
      </w:r>
      <w:r>
        <w:rPr>
          <w:rFonts w:hint="eastAsia" w:ascii="宋体" w:hAnsi="宋体" w:eastAsia="宋体" w:cs="宋体"/>
          <w:sz w:val="24"/>
          <w:szCs w:val="24"/>
        </w:rPr>
        <w:t>指商务项评审因素所占的权重，</w:t>
      </w:r>
      <w:r>
        <w:rPr>
          <w:rFonts w:hint="default" w:ascii="Calibri" w:hAnsi="Calibri" w:eastAsia="宋体" w:cs="Calibri"/>
          <w:sz w:val="24"/>
          <w:szCs w:val="24"/>
        </w:rPr>
        <w:t>A1+A2+A3=1</w:t>
      </w:r>
      <w:r>
        <w:rPr>
          <w:rFonts w:hint="eastAsia" w:ascii="宋体" w:hAnsi="宋体" w:eastAsia="宋体" w:cs="宋体"/>
          <w:sz w:val="24"/>
          <w:szCs w:val="24"/>
        </w:rPr>
        <w:t>、</w:t>
      </w:r>
      <w:r>
        <w:rPr>
          <w:rFonts w:hint="default" w:ascii="Calibri" w:hAnsi="Calibri" w:eastAsia="宋体" w:cs="Calibri"/>
          <w:sz w:val="24"/>
          <w:szCs w:val="24"/>
        </w:rPr>
        <w:t>F1</w:t>
      </w:r>
      <w:r>
        <w:rPr>
          <w:rFonts w:hint="eastAsia" w:ascii="宋体" w:hAnsi="宋体" w:eastAsia="宋体" w:cs="宋体"/>
          <w:sz w:val="24"/>
          <w:szCs w:val="24"/>
        </w:rPr>
        <w:t>×</w:t>
      </w:r>
      <w:r>
        <w:rPr>
          <w:rFonts w:hint="default" w:ascii="Calibri" w:hAnsi="Calibri" w:eastAsia="宋体" w:cs="Calibri"/>
          <w:sz w:val="24"/>
          <w:szCs w:val="24"/>
        </w:rPr>
        <w:t>A1</w:t>
      </w:r>
      <w:r>
        <w:rPr>
          <w:rFonts w:hint="eastAsia" w:ascii="宋体" w:hAnsi="宋体" w:eastAsia="宋体" w:cs="宋体"/>
          <w:sz w:val="24"/>
          <w:szCs w:val="24"/>
        </w:rPr>
        <w:t>＋</w:t>
      </w:r>
      <w:r>
        <w:rPr>
          <w:rFonts w:hint="default" w:ascii="Calibri" w:hAnsi="Calibri" w:eastAsia="宋体" w:cs="Calibri"/>
          <w:sz w:val="24"/>
          <w:szCs w:val="24"/>
        </w:rPr>
        <w:t>F2</w:t>
      </w:r>
      <w:r>
        <w:rPr>
          <w:rFonts w:hint="eastAsia" w:ascii="宋体" w:hAnsi="宋体" w:eastAsia="宋体" w:cs="宋体"/>
          <w:sz w:val="24"/>
          <w:szCs w:val="24"/>
        </w:rPr>
        <w:t>×</w:t>
      </w:r>
      <w:r>
        <w:rPr>
          <w:rFonts w:hint="default" w:ascii="Calibri" w:hAnsi="Calibri" w:eastAsia="宋体" w:cs="Calibri"/>
          <w:sz w:val="24"/>
          <w:szCs w:val="24"/>
        </w:rPr>
        <w:t>A2</w:t>
      </w:r>
      <w:r>
        <w:rPr>
          <w:rFonts w:hint="eastAsia" w:ascii="宋体" w:hAnsi="宋体" w:eastAsia="宋体" w:cs="宋体"/>
          <w:sz w:val="24"/>
          <w:szCs w:val="24"/>
        </w:rPr>
        <w:t>＋</w:t>
      </w:r>
      <w:r>
        <w:rPr>
          <w:rFonts w:hint="default" w:ascii="Calibri" w:hAnsi="Calibri" w:eastAsia="宋体" w:cs="Calibri"/>
          <w:sz w:val="24"/>
          <w:szCs w:val="24"/>
        </w:rPr>
        <w:t>F3</w:t>
      </w:r>
      <w:r>
        <w:rPr>
          <w:rFonts w:hint="eastAsia" w:ascii="宋体" w:hAnsi="宋体" w:eastAsia="宋体" w:cs="宋体"/>
          <w:sz w:val="24"/>
          <w:szCs w:val="24"/>
        </w:rPr>
        <w:t>×</w:t>
      </w:r>
      <w:r>
        <w:rPr>
          <w:rFonts w:hint="default" w:ascii="Calibri" w:hAnsi="Calibri" w:eastAsia="宋体" w:cs="Calibri"/>
          <w:sz w:val="24"/>
          <w:szCs w:val="24"/>
        </w:rPr>
        <w:t>A3=100</w:t>
      </w:r>
      <w:r>
        <w:rPr>
          <w:rFonts w:hint="eastAsia" w:ascii="宋体" w:hAnsi="宋体" w:eastAsia="宋体" w:cs="宋体"/>
          <w:sz w:val="24"/>
          <w:szCs w:val="24"/>
        </w:rPr>
        <w:t>分（满分时），</w:t>
      </w:r>
      <w:r>
        <w:rPr>
          <w:rFonts w:hint="default" w:ascii="Calibri" w:hAnsi="Calibri" w:eastAsia="宋体" w:cs="Calibri"/>
          <w:sz w:val="24"/>
          <w:szCs w:val="24"/>
        </w:rPr>
        <w:t>F4</w:t>
      </w:r>
      <w:r>
        <w:rPr>
          <w:rFonts w:hint="eastAsia" w:ascii="宋体" w:hAnsi="宋体" w:eastAsia="宋体" w:cs="宋体"/>
          <w:sz w:val="24"/>
          <w:szCs w:val="24"/>
        </w:rPr>
        <w:t>×</w:t>
      </w:r>
      <w:r>
        <w:rPr>
          <w:rFonts w:hint="default" w:ascii="Calibri" w:hAnsi="Calibri" w:eastAsia="宋体" w:cs="Calibri"/>
          <w:sz w:val="24"/>
          <w:szCs w:val="24"/>
        </w:rPr>
        <w:t>A4</w:t>
      </w:r>
      <w:r>
        <w:rPr>
          <w:rFonts w:hint="eastAsia" w:ascii="宋体" w:hAnsi="宋体" w:eastAsia="宋体" w:cs="宋体"/>
          <w:sz w:val="24"/>
          <w:szCs w:val="24"/>
        </w:rPr>
        <w:t>为加分项（即优先类节能产品、环境标志产品在采购活动中可享有的加分优惠）。</w:t>
      </w:r>
      <w:r>
        <w:t xml:space="preserve"> </w:t>
      </w:r>
    </w:p>
    <w:p>
      <w:pPr>
        <w:pStyle w:val="4"/>
        <w:keepNext w:val="0"/>
        <w:keepLines w:val="0"/>
        <w:widowControl/>
        <w:suppressLineNumbers w:val="0"/>
        <w:ind w:left="0" w:firstLine="480"/>
      </w:pPr>
      <w:r>
        <w:rPr>
          <w:rFonts w:hint="eastAsia" w:ascii="宋体" w:hAnsi="宋体" w:eastAsia="宋体" w:cs="宋体"/>
          <w:sz w:val="24"/>
          <w:szCs w:val="24"/>
        </w:rPr>
        <w:t>（3）各项评审因素的设置如下：</w:t>
      </w:r>
      <w:r>
        <w:t xml:space="preserve"> </w:t>
      </w:r>
    </w:p>
    <w:p>
      <w:pPr>
        <w:pStyle w:val="4"/>
        <w:keepNext w:val="0"/>
        <w:keepLines w:val="0"/>
        <w:widowControl/>
        <w:suppressLineNumbers w:val="0"/>
        <w:ind w:left="0" w:firstLine="480"/>
      </w:pPr>
      <w:r>
        <w:rPr>
          <w:rFonts w:hint="eastAsia" w:ascii="宋体" w:hAnsi="宋体" w:eastAsia="宋体" w:cs="宋体"/>
          <w:sz w:val="24"/>
          <w:szCs w:val="24"/>
        </w:rPr>
        <w:t>①价格项（</w:t>
      </w:r>
      <w:r>
        <w:rPr>
          <w:rFonts w:hint="default" w:ascii="Calibri" w:hAnsi="Calibri" w:eastAsia="宋体" w:cs="Calibri"/>
          <w:sz w:val="24"/>
          <w:szCs w:val="24"/>
        </w:rPr>
        <w:t>F1</w:t>
      </w:r>
      <w:r>
        <w:rPr>
          <w:rFonts w:hint="eastAsia" w:ascii="宋体" w:hAnsi="宋体" w:eastAsia="宋体" w:cs="宋体"/>
          <w:sz w:val="24"/>
          <w:szCs w:val="24"/>
        </w:rPr>
        <w:t>×</w:t>
      </w:r>
      <w:r>
        <w:rPr>
          <w:rFonts w:hint="default" w:ascii="Calibri" w:hAnsi="Calibri" w:eastAsia="宋体" w:cs="Calibri"/>
          <w:sz w:val="24"/>
          <w:szCs w:val="24"/>
        </w:rPr>
        <w:t>A1</w:t>
      </w:r>
      <w:r>
        <w:rPr>
          <w:rFonts w:hint="eastAsia" w:ascii="宋体" w:hAnsi="宋体" w:eastAsia="宋体" w:cs="宋体"/>
          <w:sz w:val="24"/>
          <w:szCs w:val="24"/>
        </w:rPr>
        <w:t>）满分为</w:t>
      </w:r>
      <w:r>
        <w:rPr>
          <w:rFonts w:hint="eastAsia" w:ascii="宋体" w:hAnsi="宋体" w:eastAsia="宋体" w:cs="宋体"/>
          <w:sz w:val="24"/>
          <w:szCs w:val="24"/>
          <w:u w:val="single"/>
        </w:rPr>
        <w:t>30</w:t>
      </w:r>
      <w:r>
        <w:rPr>
          <w:rFonts w:hint="eastAsia" w:ascii="宋体" w:hAnsi="宋体" w:eastAsia="宋体" w:cs="宋体"/>
          <w:sz w:val="24"/>
          <w:szCs w:val="24"/>
        </w:rPr>
        <w:t>分。</w:t>
      </w:r>
    </w:p>
    <w:p>
      <w:pPr>
        <w:pStyle w:val="4"/>
        <w:keepNext w:val="0"/>
        <w:keepLines w:val="0"/>
        <w:widowControl/>
        <w:suppressLineNumbers w:val="0"/>
        <w:ind w:left="0" w:firstLine="480"/>
      </w:pPr>
      <w:r>
        <w:rPr>
          <w:rFonts w:hint="eastAsia" w:ascii="宋体" w:hAnsi="宋体" w:eastAsia="宋体" w:cs="宋体"/>
          <w:sz w:val="24"/>
          <w:szCs w:val="24"/>
        </w:rPr>
        <w:t>a.价格分采用低价优先法计算，即满足招标文件要求且投标价格最低的投标报价为评标基准价，其价格分为满分。其他投标人的价格分统一按照下列公式计算：投标报价得分</w:t>
      </w:r>
      <w:r>
        <w:rPr>
          <w:rFonts w:hint="default" w:ascii="Calibri" w:hAnsi="Calibri" w:eastAsia="宋体" w:cs="Calibri"/>
          <w:sz w:val="24"/>
          <w:szCs w:val="24"/>
        </w:rPr>
        <w:t>=</w:t>
      </w:r>
      <w:r>
        <w:rPr>
          <w:rFonts w:hint="eastAsia" w:ascii="宋体" w:hAnsi="宋体" w:eastAsia="宋体" w:cs="宋体"/>
          <w:sz w:val="24"/>
          <w:szCs w:val="24"/>
        </w:rPr>
        <w:t>（评标基准价／投标报价）×</w:t>
      </w:r>
      <w:r>
        <w:rPr>
          <w:rFonts w:hint="default" w:ascii="Calibri" w:hAnsi="Calibri" w:eastAsia="宋体" w:cs="Calibri"/>
          <w:sz w:val="24"/>
          <w:szCs w:val="24"/>
        </w:rPr>
        <w:t>100</w:t>
      </w:r>
      <w:r>
        <w:rPr>
          <w:rFonts w:hint="eastAsia" w:ascii="宋体" w:hAnsi="宋体" w:eastAsia="宋体" w:cs="宋体"/>
          <w:sz w:val="24"/>
          <w:szCs w:val="24"/>
        </w:rPr>
        <w:t>。因落实政府采购政策需进行价格扣除的，以扣除后的价格计算评标基准价和投标报价。</w:t>
      </w:r>
      <w:r>
        <w:t xml:space="preserve"> </w:t>
      </w:r>
    </w:p>
    <w:p>
      <w:pPr>
        <w:pStyle w:val="4"/>
        <w:keepNext w:val="0"/>
        <w:keepLines w:val="0"/>
        <w:widowControl/>
        <w:suppressLineNumbers w:val="0"/>
        <w:ind w:left="0" w:firstLine="480"/>
      </w:pPr>
      <w:r>
        <w:rPr>
          <w:rFonts w:hint="default" w:ascii="Calibri" w:hAnsi="Calibri" w:cs="Calibri"/>
          <w:sz w:val="24"/>
          <w:szCs w:val="24"/>
        </w:rPr>
        <w:t>b.</w:t>
      </w:r>
      <w:r>
        <w:rPr>
          <w:rFonts w:hint="eastAsia" w:ascii="宋体" w:hAnsi="宋体" w:eastAsia="宋体" w:cs="宋体"/>
          <w:sz w:val="24"/>
          <w:szCs w:val="24"/>
        </w:rPr>
        <w:t>价格扣除的规则如下：</w:t>
      </w:r>
    </w:p>
    <w:tbl>
      <w:tblPr>
        <w:tblStyle w:val="9"/>
        <w:tblW w:w="8306" w:type="dxa"/>
        <w:tblCellSpacing w:w="0" w:type="dxa"/>
        <w:tblInd w:w="15"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
      <w:tblGrid>
        <w:gridCol w:w="833"/>
        <w:gridCol w:w="7473"/>
      </w:tblGrid>
      <w:tr>
        <w:trPr>
          <w:tblHeader/>
          <w:tblCellSpacing w:w="0" w:type="dxa"/>
        </w:trPr>
        <w:tc>
          <w:tcPr>
            <w:tcW w:w="833"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评标项目</w:t>
            </w:r>
          </w:p>
        </w:tc>
        <w:tc>
          <w:tcPr>
            <w:tcW w:w="7473"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评标方法</w:t>
            </w:r>
          </w:p>
        </w:tc>
      </w:tr>
      <w:tr>
        <w:trPr>
          <w:tblCellSpacing w:w="0" w:type="dxa"/>
        </w:trPr>
        <w:tc>
          <w:tcPr>
            <w:tcW w:w="833"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小型、微型企业，监狱企业，残疾人</w:t>
            </w:r>
          </w:p>
        </w:tc>
        <w:tc>
          <w:tcPr>
            <w:tcW w:w="7473"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Style w:val="6"/>
                <w:rFonts w:ascii="宋体" w:hAnsi="宋体" w:eastAsia="宋体" w:cs="宋体"/>
                <w:kern w:val="0"/>
                <w:sz w:val="24"/>
                <w:szCs w:val="24"/>
                <w:lang w:val="en-US" w:eastAsia="zh-CN" w:bidi="ar"/>
              </w:rPr>
              <w:t>根据财政部、工信部印发的《政府采购促进中小企业发展暂行办法》（财库【2011】181号）文件精神，对于非专门面向中小企业的项目，对小型和微型企业产品的价格给予 6% 的扣除，用扣除后的价格参与价格分的评审。（即所投品目号产品属于小型和微型企业产品的，按其品目号的合计投标价格的6%进行扣除，若所提供的属于小型和微型企业产品仅是构成投标产品的部件、组件或零件的，则该投标产品不享受该政策）。 1、享受价格扣除的投标人应当同时符合以下条件：①、符合《中小企业划分标准》中小、微企业的标准（工信部联企业〔2011〕300号）； ②、提供本企业制造的货物、承担的工程或者服务，或者提供其他中小企业制造的货物。 2、联合体是否享受该扶持政策的规定：（拒绝联合体投标的项目不适用于此款规定）。①、联合体各方均为小型、微型企业的，联合体视同为小型、微型企业享受规定的扶持政策。 ②、大中型企业和其他自然人、法人或者其他组织与小型、微型企业组成联合体共同参加非专门面向中小企业的政府采购活动的，其联合协议中约定小型、微型企业的协议合同金额占到联合体协议合同总金额30%以上的，可给予联合体2%的价格扣除。 3、下述情形，不享受中小企业优惠政策：①、投标产品为进口产品的；②、组成联合体的大中型企业和其他自然人、法人或者其他组织，与小型、微型企业之间存在投资关系的；③、小型、微型企业将获得政府采购合同分包或转包给大型、中型企业，中型企业分包或转包给大型企业的；④、中型企业不享受该项优惠政策。小型、微型企业提供中型企业制造的货物的，视同为中型企业。⑤、投标产品为使用大型企业注册商标的货物的。 4、投标人应提供下述证明材料：未提供或提供的证明材料不符合规定的不予价格扣除。(1)、《中小企业声明函》；(2)、投标人应按招标文件格式要求制作“小型、微型企业产品统计表”，否则不予价格扣除。5、根据财库【2014】68号文《关于政府采购支持监狱企业发展有关问题的通知》的规定，在政府采购活动中，监狱企业视同小型、微型企业，享受预留份额、评审中价格扣除等政府采购促进中小企业发展的政府采购政策。监狱企业参加政府采购活动时，应当提供由省级以上监狱管理局、戒毒管理局(含新疆生产建设兵团)出具的属于监狱企业的证明文件，并按招标文件格式要求制作“小型、微型企业产品统计表”，否则不予价格扣除。 6、根据财库〔2017〕141号文《关于促进残疾人就业政府采购政策的通知》的规定，在政府采购活动中，残疾人福利性单位视同小型、微型企业，享受预留份额、评审中价格扣除等促进中小企业发展的政府采购政策。残疾人福利性单位参加政府采购活动时，应当提供财库〔2017〕141号文规定格式的《残疾人福利性单位声明函》。残疾人福利性单位属于小型、微型企业的，不重复享受政策。</w:t>
            </w:r>
          </w:p>
        </w:tc>
      </w:tr>
    </w:tbl>
    <w:p>
      <w:pPr>
        <w:pStyle w:val="4"/>
        <w:keepNext w:val="0"/>
        <w:keepLines w:val="0"/>
        <w:widowControl/>
        <w:suppressLineNumbers w:val="0"/>
        <w:ind w:left="0" w:firstLine="480"/>
      </w:pPr>
      <w:r>
        <w:rPr>
          <w:rFonts w:hint="eastAsia" w:ascii="宋体" w:hAnsi="宋体" w:eastAsia="宋体" w:cs="宋体"/>
          <w:sz w:val="24"/>
          <w:szCs w:val="24"/>
        </w:rPr>
        <w:t>②技术项（</w:t>
      </w:r>
      <w:r>
        <w:rPr>
          <w:rFonts w:hint="default" w:ascii="Calibri" w:hAnsi="Calibri" w:eastAsia="宋体" w:cs="Calibri"/>
          <w:sz w:val="24"/>
          <w:szCs w:val="24"/>
        </w:rPr>
        <w:t>F2</w:t>
      </w:r>
      <w:r>
        <w:rPr>
          <w:rFonts w:hint="eastAsia" w:ascii="宋体" w:hAnsi="宋体" w:eastAsia="宋体" w:cs="宋体"/>
          <w:sz w:val="24"/>
          <w:szCs w:val="24"/>
        </w:rPr>
        <w:t>×</w:t>
      </w:r>
      <w:r>
        <w:rPr>
          <w:rFonts w:hint="default" w:ascii="Calibri" w:hAnsi="Calibri" w:eastAsia="宋体" w:cs="Calibri"/>
          <w:sz w:val="24"/>
          <w:szCs w:val="24"/>
        </w:rPr>
        <w:t>A2</w:t>
      </w:r>
      <w:r>
        <w:rPr>
          <w:rFonts w:hint="eastAsia" w:ascii="宋体" w:hAnsi="宋体" w:eastAsia="宋体" w:cs="宋体"/>
          <w:sz w:val="24"/>
          <w:szCs w:val="24"/>
        </w:rPr>
        <w:t>）满分为</w:t>
      </w:r>
      <w:r>
        <w:rPr>
          <w:rFonts w:hint="eastAsia" w:ascii="宋体" w:hAnsi="宋体" w:eastAsia="宋体" w:cs="宋体"/>
          <w:sz w:val="24"/>
          <w:szCs w:val="24"/>
          <w:u w:val="single"/>
        </w:rPr>
        <w:t>55</w:t>
      </w:r>
      <w:r>
        <w:rPr>
          <w:rFonts w:hint="eastAsia" w:ascii="宋体" w:hAnsi="宋体" w:eastAsia="宋体" w:cs="宋体"/>
          <w:sz w:val="24"/>
          <w:szCs w:val="24"/>
        </w:rPr>
        <w:t>分。</w:t>
      </w:r>
    </w:p>
    <w:tbl>
      <w:tblPr>
        <w:tblStyle w:val="9"/>
        <w:tblW w:w="8305" w:type="dxa"/>
        <w:tblCellSpacing w:w="0" w:type="dxa"/>
        <w:tblInd w:w="15"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
      <w:tblGrid>
        <w:gridCol w:w="660"/>
        <w:gridCol w:w="344"/>
        <w:gridCol w:w="7301"/>
      </w:tblGrid>
      <w:tr>
        <w:trPr>
          <w:tblHeader/>
          <w:tblCellSpacing w:w="0" w:type="dxa"/>
        </w:trPr>
        <w:tc>
          <w:tcPr>
            <w:tcW w:w="660"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评标项目</w:t>
            </w:r>
          </w:p>
        </w:tc>
        <w:tc>
          <w:tcPr>
            <w:tcW w:w="344"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评标分值</w:t>
            </w:r>
          </w:p>
        </w:tc>
        <w:tc>
          <w:tcPr>
            <w:tcW w:w="7301"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评标方法描述</w:t>
            </w:r>
          </w:p>
        </w:tc>
      </w:tr>
      <w:tr>
        <w:trPr>
          <w:tblCellSpacing w:w="0" w:type="dxa"/>
        </w:trPr>
        <w:tc>
          <w:tcPr>
            <w:tcW w:w="660"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总体设计方案</w:t>
            </w:r>
          </w:p>
        </w:tc>
        <w:tc>
          <w:tcPr>
            <w:tcW w:w="344"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3</w:t>
            </w:r>
          </w:p>
        </w:tc>
        <w:tc>
          <w:tcPr>
            <w:tcW w:w="7301"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投标人须充分理解采购人需求，提供总体设计方案：方案完整、科学、合理、针对性强，技术路线可行，标准体系完整规范的得3分，方案存在部分不足的得2分，较差得1分，未提供不得分</w:t>
            </w:r>
          </w:p>
        </w:tc>
      </w:tr>
      <w:tr>
        <w:trPr>
          <w:tblCellSpacing w:w="0" w:type="dxa"/>
        </w:trPr>
        <w:tc>
          <w:tcPr>
            <w:tcW w:w="660"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智能化大厅系统迁移</w:t>
            </w:r>
          </w:p>
        </w:tc>
        <w:tc>
          <w:tcPr>
            <w:tcW w:w="344"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3</w:t>
            </w:r>
          </w:p>
        </w:tc>
        <w:tc>
          <w:tcPr>
            <w:tcW w:w="7301"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根据投标人提供的智能化大厅系统迁移方案，全部满足招标文件技术要求的得3分，有不满足或负偏离的每项扣1分，扣完为止。投标人须按照招标文件所列软件系统功能要求提供软件系统建设方案，并且跟原有系统和市级行政审批相关系统要无缝衔接（且需承诺对接费用由投标供应商自行解决）。</w:t>
            </w:r>
          </w:p>
        </w:tc>
      </w:tr>
      <w:tr>
        <w:trPr>
          <w:tblCellSpacing w:w="0" w:type="dxa"/>
        </w:trPr>
        <w:tc>
          <w:tcPr>
            <w:tcW w:w="660"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智能化大厅应用软件系统迁移详细方案</w:t>
            </w:r>
          </w:p>
        </w:tc>
        <w:tc>
          <w:tcPr>
            <w:tcW w:w="344"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3</w:t>
            </w:r>
          </w:p>
        </w:tc>
        <w:tc>
          <w:tcPr>
            <w:tcW w:w="7301"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根据投标人提供的软件系统详细设计方案,内容丰富完善,方案图文并茂，系统对接关系清晰明了，得3分，功能设计详细合理，得2分，方案存在不足的得1分，未提供得0分</w:t>
            </w:r>
          </w:p>
        </w:tc>
      </w:tr>
      <w:tr>
        <w:trPr>
          <w:tblCellSpacing w:w="0" w:type="dxa"/>
        </w:trPr>
        <w:tc>
          <w:tcPr>
            <w:tcW w:w="660"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智能化应用软件系统接口方案</w:t>
            </w:r>
          </w:p>
        </w:tc>
        <w:tc>
          <w:tcPr>
            <w:tcW w:w="344"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3</w:t>
            </w:r>
          </w:p>
        </w:tc>
        <w:tc>
          <w:tcPr>
            <w:tcW w:w="7301"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因新建行政服务大厅需接入行政服务中心大厅智能化系统，根据投标人提供的接口方案（包括对接及标准接口封装方案）进行评价（需提供与行政服务中心审批系统、并联审批系统，政务清单管理平台对接相关接口方案），系统详细设计方案,内容丰富完善,方案图文并茂，（且需承诺对接费用由投标供应商自行解决）。得3分，功能设计详细合理，得2分，方案存在不足的得1分，未提供得0分。</w:t>
            </w:r>
          </w:p>
        </w:tc>
      </w:tr>
      <w:tr>
        <w:trPr>
          <w:tblCellSpacing w:w="0" w:type="dxa"/>
        </w:trPr>
        <w:tc>
          <w:tcPr>
            <w:tcW w:w="660"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大厅管理系统平台演示</w:t>
            </w:r>
          </w:p>
        </w:tc>
        <w:tc>
          <w:tcPr>
            <w:tcW w:w="344"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3</w:t>
            </w:r>
          </w:p>
        </w:tc>
        <w:tc>
          <w:tcPr>
            <w:tcW w:w="7301"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大厅管理系统包含服务部门管理：人员入驻管理、部门入驻联动管理、人员信息管理、窗口房间管理、事项接入管理、智能终端管理、评价内容管理、排队评价设置、通知管理；2、评价数据管理、统计分析；3、大厅效能管理：荣誉评优、窗口综合考评、统计分析；4、无缝衔接至市网上办事大厅及自助终端的排队预约。（且需承诺对接费用由投标供应商自行解决） 评分标准：现场方案讲解中系统分析、阐述符合招标文件要求，且能提供基本原型演示的得1分；现场方案讲解中系统分析、阐述符合招标文件要求，并能够现场演示主体功能符合招标需求系统的得2分；现场方案讲解中系统分析、阐述优于招标文件要求，能够现场演示主体功能优于招标需求系统的得3分；其余不得分</w:t>
            </w:r>
          </w:p>
        </w:tc>
      </w:tr>
      <w:tr>
        <w:trPr>
          <w:tblCellSpacing w:w="0" w:type="dxa"/>
        </w:trPr>
        <w:tc>
          <w:tcPr>
            <w:tcW w:w="660"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排队叫号系统系统演示</w:t>
            </w:r>
          </w:p>
        </w:tc>
        <w:tc>
          <w:tcPr>
            <w:tcW w:w="344"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3</w:t>
            </w:r>
          </w:p>
        </w:tc>
        <w:tc>
          <w:tcPr>
            <w:tcW w:w="7301"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排队叫号系统：取号机可以按部门、事项分类进行取号；叫号时可以显示叫号信息；叫号坐席支持呼叫、特呼、重呼、废弃、暂停/服务、截屏应用；排队叫号实现市级行政服务中心预约数据无缝衔接，实现预约排队的优先规则。（且需承诺对接费用由投标供应商自行解决）评分标准：现场方案讲解中系统分析、阐述符合招标文件要求，且能提供基本原型演示的得1分；现场方案讲解中系统分析、阐述符合招标文件要求，并能够现场演示主体功能符合招标需求系统的得2分；现场方案讲解中系统分析、阐述优于招标文件要求，并能够现场演示主体功能优于招标需求系统的得3分，其余不得分</w:t>
            </w:r>
          </w:p>
        </w:tc>
      </w:tr>
      <w:tr>
        <w:trPr>
          <w:tblCellSpacing w:w="0" w:type="dxa"/>
        </w:trPr>
        <w:tc>
          <w:tcPr>
            <w:tcW w:w="660"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评价系统系统演示</w:t>
            </w:r>
          </w:p>
        </w:tc>
        <w:tc>
          <w:tcPr>
            <w:tcW w:w="344"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3</w:t>
            </w:r>
          </w:p>
        </w:tc>
        <w:tc>
          <w:tcPr>
            <w:tcW w:w="7301"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服务评价系统：评价器上显示人员的基本信息和办理信息，服务结束可以将评价信息推送至评价器进行评价。评分标准：现场方案讲解中系统分析、阐述符合招标文件要求，且能提供基本原型演示的得1分；现场方案讲解中系统分析、阐述符合招标文件要求，并能够现场演示主体功能符合招标需求系统的得2分；现场方案讲解中系统分析、阐述优于招标文件要求，能够现场演示主体功能优于招标需求系统的得3分； 其余不得分</w:t>
            </w:r>
          </w:p>
        </w:tc>
      </w:tr>
      <w:tr>
        <w:trPr>
          <w:tblCellSpacing w:w="0" w:type="dxa"/>
        </w:trPr>
        <w:tc>
          <w:tcPr>
            <w:tcW w:w="660"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投标人投标文件技术参数与招标文件</w:t>
            </w:r>
          </w:p>
        </w:tc>
        <w:tc>
          <w:tcPr>
            <w:tcW w:w="344"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34</w:t>
            </w:r>
          </w:p>
        </w:tc>
        <w:tc>
          <w:tcPr>
            <w:tcW w:w="7301"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投标人投标文件技术参数与招标文件参数功能要求的响应情况：“★”条款每负偏离或不满足1项扣2分，非“★”条款每负偏离或不满足1项扣1分，扣完为止。投标人须按照招标文件所列的所有技术要求如实地填写逐条响应并提供所要求证明材料；因编排错乱或响应不完整而导致的不利评审由投标人自行承担</w:t>
            </w:r>
          </w:p>
        </w:tc>
      </w:tr>
    </w:tbl>
    <w:p>
      <w:pPr>
        <w:pStyle w:val="4"/>
        <w:keepNext w:val="0"/>
        <w:keepLines w:val="0"/>
        <w:widowControl/>
        <w:suppressLineNumbers w:val="0"/>
        <w:ind w:left="0" w:firstLine="480"/>
      </w:pPr>
      <w:r>
        <w:rPr>
          <w:rFonts w:hint="eastAsia" w:ascii="宋体" w:hAnsi="宋体" w:eastAsia="宋体" w:cs="宋体"/>
          <w:sz w:val="24"/>
          <w:szCs w:val="24"/>
        </w:rPr>
        <w:t>③商务项（</w:t>
      </w:r>
      <w:r>
        <w:rPr>
          <w:rFonts w:hint="default" w:ascii="Calibri" w:hAnsi="Calibri" w:eastAsia="宋体" w:cs="Calibri"/>
          <w:sz w:val="24"/>
          <w:szCs w:val="24"/>
        </w:rPr>
        <w:t>F3</w:t>
      </w:r>
      <w:r>
        <w:rPr>
          <w:rFonts w:hint="eastAsia" w:ascii="宋体" w:hAnsi="宋体" w:eastAsia="宋体" w:cs="宋体"/>
          <w:sz w:val="24"/>
          <w:szCs w:val="24"/>
        </w:rPr>
        <w:t>×</w:t>
      </w:r>
      <w:r>
        <w:rPr>
          <w:rFonts w:hint="default" w:ascii="Calibri" w:hAnsi="Calibri" w:eastAsia="宋体" w:cs="Calibri"/>
          <w:sz w:val="24"/>
          <w:szCs w:val="24"/>
        </w:rPr>
        <w:t>A3</w:t>
      </w:r>
      <w:r>
        <w:rPr>
          <w:rFonts w:hint="eastAsia" w:ascii="宋体" w:hAnsi="宋体" w:eastAsia="宋体" w:cs="宋体"/>
          <w:sz w:val="24"/>
          <w:szCs w:val="24"/>
        </w:rPr>
        <w:t>）满分为</w:t>
      </w:r>
      <w:r>
        <w:rPr>
          <w:rFonts w:hint="eastAsia" w:ascii="宋体" w:hAnsi="宋体" w:eastAsia="宋体" w:cs="宋体"/>
          <w:sz w:val="24"/>
          <w:szCs w:val="24"/>
          <w:u w:val="single"/>
        </w:rPr>
        <w:t>15</w:t>
      </w:r>
      <w:r>
        <w:rPr>
          <w:rFonts w:hint="eastAsia" w:ascii="宋体" w:hAnsi="宋体" w:eastAsia="宋体" w:cs="宋体"/>
          <w:sz w:val="24"/>
          <w:szCs w:val="24"/>
        </w:rPr>
        <w:t>分。</w:t>
      </w:r>
    </w:p>
    <w:tbl>
      <w:tblPr>
        <w:tblStyle w:val="9"/>
        <w:tblW w:w="8305" w:type="dxa"/>
        <w:tblCellSpacing w:w="0" w:type="dxa"/>
        <w:tblInd w:w="0" w:type="dxa"/>
        <w:shd w:val="clear" w:color="auto" w:fill="auto"/>
        <w:tblLayout w:type="fixed"/>
        <w:tblCellMar>
          <w:top w:w="0" w:type="dxa"/>
          <w:left w:w="0" w:type="dxa"/>
          <w:bottom w:w="0" w:type="dxa"/>
          <w:right w:w="0" w:type="dxa"/>
        </w:tblCellMar>
      </w:tblPr>
      <w:tblGrid>
        <w:gridCol w:w="590"/>
        <w:gridCol w:w="358"/>
        <w:gridCol w:w="7357"/>
      </w:tblGrid>
      <w:tr>
        <w:trPr>
          <w:tblHeader/>
          <w:tblCellSpacing w:w="0" w:type="dxa"/>
        </w:trPr>
        <w:tc>
          <w:tcPr>
            <w:tcW w:w="590" w:type="dxa"/>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评标项目</w:t>
            </w:r>
          </w:p>
        </w:tc>
        <w:tc>
          <w:tcPr>
            <w:tcW w:w="358" w:type="dxa"/>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评标分值</w:t>
            </w:r>
          </w:p>
        </w:tc>
        <w:tc>
          <w:tcPr>
            <w:tcW w:w="7357" w:type="dxa"/>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评标方法描述</w:t>
            </w:r>
          </w:p>
        </w:tc>
      </w:tr>
      <w:tr>
        <w:trPr>
          <w:tblCellSpacing w:w="0" w:type="dxa"/>
        </w:trPr>
        <w:tc>
          <w:tcPr>
            <w:tcW w:w="590" w:type="dxa"/>
            <w:vMerge w:val="restart"/>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投标人资质</w:t>
            </w:r>
          </w:p>
        </w:tc>
        <w:tc>
          <w:tcPr>
            <w:tcW w:w="358" w:type="dxa"/>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1</w:t>
            </w:r>
          </w:p>
        </w:tc>
        <w:tc>
          <w:tcPr>
            <w:tcW w:w="7357" w:type="dxa"/>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投标人具有信息安全等级保护安全建设服务机构能力评估合格证书得1分，否则不得分。（须提供有效期内的证书复印件并加盖投标人公章）</w:t>
            </w:r>
          </w:p>
        </w:tc>
      </w:tr>
      <w:tr>
        <w:trPr>
          <w:tblCellSpacing w:w="0" w:type="dxa"/>
        </w:trPr>
        <w:tc>
          <w:tcPr>
            <w:tcW w:w="590" w:type="dxa"/>
            <w:vMerge w:val="continue"/>
            <w:shd w:val="clear" w:color="auto" w:fill="auto"/>
            <w:vAlign w:val="center"/>
          </w:tcPr>
          <w:p>
            <w:pPr>
              <w:rPr>
                <w:rFonts w:hint="eastAsia" w:ascii="宋体"/>
                <w:sz w:val="24"/>
                <w:szCs w:val="24"/>
              </w:rPr>
            </w:pPr>
          </w:p>
        </w:tc>
        <w:tc>
          <w:tcPr>
            <w:tcW w:w="358" w:type="dxa"/>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1</w:t>
            </w:r>
          </w:p>
        </w:tc>
        <w:tc>
          <w:tcPr>
            <w:tcW w:w="7357" w:type="dxa"/>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投标人具有ISO20000（信息技术服务管理体系认证）证书得1分，否则不得分。（须提供有效期内的证书复印件并加盖投标人公章）</w:t>
            </w:r>
          </w:p>
        </w:tc>
      </w:tr>
      <w:tr>
        <w:trPr>
          <w:tblCellSpacing w:w="0" w:type="dxa"/>
        </w:trPr>
        <w:tc>
          <w:tcPr>
            <w:tcW w:w="590" w:type="dxa"/>
            <w:vMerge w:val="continue"/>
            <w:shd w:val="clear" w:color="auto" w:fill="auto"/>
            <w:vAlign w:val="center"/>
          </w:tcPr>
          <w:p>
            <w:pPr>
              <w:rPr>
                <w:rFonts w:hint="eastAsia" w:ascii="宋体"/>
                <w:sz w:val="24"/>
                <w:szCs w:val="24"/>
              </w:rPr>
            </w:pPr>
          </w:p>
        </w:tc>
        <w:tc>
          <w:tcPr>
            <w:tcW w:w="358" w:type="dxa"/>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1</w:t>
            </w:r>
          </w:p>
        </w:tc>
        <w:tc>
          <w:tcPr>
            <w:tcW w:w="7357" w:type="dxa"/>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投标人具有工业和信息化部或原信息产业部或中国电子信息行业联合会颁发的有效的信息系统集成及服务一级资质证书的得1分，二级或三级得0.5分，否则不得分。</w:t>
            </w:r>
          </w:p>
        </w:tc>
      </w:tr>
      <w:tr>
        <w:trPr>
          <w:tblCellSpacing w:w="0" w:type="dxa"/>
        </w:trPr>
        <w:tc>
          <w:tcPr>
            <w:tcW w:w="590" w:type="dxa"/>
            <w:vMerge w:val="continue"/>
            <w:shd w:val="clear" w:color="auto" w:fill="auto"/>
            <w:vAlign w:val="center"/>
          </w:tcPr>
          <w:p>
            <w:pPr>
              <w:rPr>
                <w:rFonts w:hint="eastAsia" w:ascii="宋体"/>
                <w:sz w:val="24"/>
                <w:szCs w:val="24"/>
              </w:rPr>
            </w:pPr>
          </w:p>
        </w:tc>
        <w:tc>
          <w:tcPr>
            <w:tcW w:w="358" w:type="dxa"/>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1</w:t>
            </w:r>
          </w:p>
        </w:tc>
        <w:tc>
          <w:tcPr>
            <w:tcW w:w="7357" w:type="dxa"/>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投标人具有ITSS 信息技术服务运行维护标准符合性认证证书的得1分，否则不得分。（须提供有效期内的证书复印件并加盖投标人公章）</w:t>
            </w:r>
          </w:p>
        </w:tc>
      </w:tr>
      <w:tr>
        <w:trPr>
          <w:tblCellSpacing w:w="0" w:type="dxa"/>
        </w:trPr>
        <w:tc>
          <w:tcPr>
            <w:tcW w:w="590" w:type="dxa"/>
            <w:vMerge w:val="continue"/>
            <w:shd w:val="clear" w:color="auto" w:fill="auto"/>
            <w:vAlign w:val="center"/>
          </w:tcPr>
          <w:p>
            <w:pPr>
              <w:rPr>
                <w:rFonts w:hint="eastAsia" w:ascii="宋体"/>
                <w:sz w:val="24"/>
                <w:szCs w:val="24"/>
              </w:rPr>
            </w:pPr>
          </w:p>
        </w:tc>
        <w:tc>
          <w:tcPr>
            <w:tcW w:w="358" w:type="dxa"/>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1</w:t>
            </w:r>
          </w:p>
        </w:tc>
        <w:tc>
          <w:tcPr>
            <w:tcW w:w="7357" w:type="dxa"/>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投标人具有ISO27001（信息安全管理体系认证证书）证书得1分，否则不得分。（须提供证书复印件并加盖投标人公章）</w:t>
            </w:r>
          </w:p>
        </w:tc>
      </w:tr>
      <w:tr>
        <w:trPr>
          <w:tblCellSpacing w:w="0" w:type="dxa"/>
        </w:trPr>
        <w:tc>
          <w:tcPr>
            <w:tcW w:w="590" w:type="dxa"/>
            <w:vMerge w:val="continue"/>
            <w:shd w:val="clear" w:color="auto" w:fill="auto"/>
            <w:vAlign w:val="center"/>
          </w:tcPr>
          <w:p>
            <w:pPr>
              <w:rPr>
                <w:rFonts w:hint="eastAsia" w:ascii="宋体"/>
                <w:sz w:val="24"/>
                <w:szCs w:val="24"/>
              </w:rPr>
            </w:pPr>
          </w:p>
        </w:tc>
        <w:tc>
          <w:tcPr>
            <w:tcW w:w="358" w:type="dxa"/>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1</w:t>
            </w:r>
          </w:p>
        </w:tc>
        <w:tc>
          <w:tcPr>
            <w:tcW w:w="7357" w:type="dxa"/>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投标人具有有效的CMMI(国际软件能力成熟度模型集成)认证5级证书的得1分，4级或3级的得0.5分，否则不得分。（须提供证书复印件并加盖投标供人公章）</w:t>
            </w:r>
          </w:p>
        </w:tc>
      </w:tr>
      <w:tr>
        <w:trPr>
          <w:tblCellSpacing w:w="0" w:type="dxa"/>
        </w:trPr>
        <w:tc>
          <w:tcPr>
            <w:tcW w:w="590" w:type="dxa"/>
            <w:vMerge w:val="continue"/>
            <w:shd w:val="clear" w:color="auto" w:fill="auto"/>
            <w:vAlign w:val="center"/>
          </w:tcPr>
          <w:p>
            <w:pPr>
              <w:rPr>
                <w:rFonts w:hint="eastAsia" w:ascii="宋体"/>
                <w:sz w:val="24"/>
                <w:szCs w:val="24"/>
              </w:rPr>
            </w:pPr>
          </w:p>
        </w:tc>
        <w:tc>
          <w:tcPr>
            <w:tcW w:w="358" w:type="dxa"/>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1</w:t>
            </w:r>
          </w:p>
        </w:tc>
        <w:tc>
          <w:tcPr>
            <w:tcW w:w="7357" w:type="dxa"/>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投标人具有ISO9001（质量管理体系认证证书）证书得1分，否则不得分。（须提供证书复印件并加盖投标人公章）</w:t>
            </w:r>
          </w:p>
        </w:tc>
      </w:tr>
      <w:tr>
        <w:trPr>
          <w:tblCellSpacing w:w="0" w:type="dxa"/>
        </w:trPr>
        <w:tc>
          <w:tcPr>
            <w:tcW w:w="590" w:type="dxa"/>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拟安排的项目团队成员</w:t>
            </w:r>
          </w:p>
        </w:tc>
        <w:tc>
          <w:tcPr>
            <w:tcW w:w="358" w:type="dxa"/>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2</w:t>
            </w:r>
          </w:p>
        </w:tc>
        <w:tc>
          <w:tcPr>
            <w:tcW w:w="7357" w:type="dxa"/>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项目团队成员具有高级项目经理证书、软件设计师、PMP、OCP、信息安全等级保护安全建设专业技术人员证书、CCNP六类人员,得2分，（须提供相关证书复印件）,提供不齐全或未提供的不得分。</w:t>
            </w:r>
          </w:p>
        </w:tc>
      </w:tr>
      <w:tr>
        <w:trPr>
          <w:tblCellSpacing w:w="0" w:type="dxa"/>
        </w:trPr>
        <w:tc>
          <w:tcPr>
            <w:tcW w:w="590" w:type="dxa"/>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业绩</w:t>
            </w:r>
          </w:p>
        </w:tc>
        <w:tc>
          <w:tcPr>
            <w:tcW w:w="358" w:type="dxa"/>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3</w:t>
            </w:r>
          </w:p>
        </w:tc>
        <w:tc>
          <w:tcPr>
            <w:tcW w:w="7357" w:type="dxa"/>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根据投标人近三年所完成的与本次招标同类型（500万以上）的项目的业绩情况进行打分，每提供1份得1分，满分3分。 【投标人须提供该业绩项目的中标公告（提供相关网站中标公告的下载网页并注明网址）、中标通知书复印件、采购合同文本复印件，以及能够证明该业绩项目已经采购人验收报告的相关等证明文件复印件，并罗列业绩清单，所有材料缺一不可，否则不得分。】</w:t>
            </w:r>
          </w:p>
        </w:tc>
      </w:tr>
      <w:tr>
        <w:trPr>
          <w:tblCellSpacing w:w="0" w:type="dxa"/>
        </w:trPr>
        <w:tc>
          <w:tcPr>
            <w:tcW w:w="590" w:type="dxa"/>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售后服务</w:t>
            </w:r>
          </w:p>
        </w:tc>
        <w:tc>
          <w:tcPr>
            <w:tcW w:w="358" w:type="dxa"/>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2</w:t>
            </w:r>
          </w:p>
        </w:tc>
        <w:tc>
          <w:tcPr>
            <w:tcW w:w="7357" w:type="dxa"/>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根据各投标人的售后服务方案进行评分，包括具体的售后服务内容、故障响应时间、响应方式、质保期时间、维保服务的相应配合等方面，由评委在0～2分之间进行评分。</w:t>
            </w:r>
          </w:p>
        </w:tc>
      </w:tr>
      <w:tr>
        <w:trPr>
          <w:tblCellSpacing w:w="0" w:type="dxa"/>
        </w:trPr>
        <w:tc>
          <w:tcPr>
            <w:tcW w:w="590" w:type="dxa"/>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本地化服务</w:t>
            </w:r>
          </w:p>
        </w:tc>
        <w:tc>
          <w:tcPr>
            <w:tcW w:w="358" w:type="dxa"/>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1</w:t>
            </w:r>
          </w:p>
        </w:tc>
        <w:tc>
          <w:tcPr>
            <w:tcW w:w="7357" w:type="dxa"/>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投标人在福州市注册登记或设立分支机构（以营业执照登记或事业单位法人证书为准）的得1分。注册时间需要在2018年8月前，须提供相关证书复印件（原件备查），否则不得分</w:t>
            </w:r>
          </w:p>
        </w:tc>
      </w:tr>
    </w:tbl>
    <w:p>
      <w:pPr>
        <w:pStyle w:val="4"/>
        <w:keepNext w:val="0"/>
        <w:keepLines w:val="0"/>
        <w:widowControl/>
        <w:suppressLineNumbers w:val="0"/>
        <w:ind w:left="0" w:firstLine="480"/>
      </w:pPr>
      <w:r>
        <w:rPr>
          <w:rFonts w:hint="eastAsia" w:ascii="宋体" w:hAnsi="宋体" w:eastAsia="宋体" w:cs="宋体"/>
          <w:sz w:val="24"/>
          <w:szCs w:val="24"/>
        </w:rPr>
        <w:t>④加分项（</w:t>
      </w:r>
      <w:r>
        <w:rPr>
          <w:rFonts w:hint="default" w:ascii="Calibri" w:hAnsi="Calibri" w:eastAsia="宋体" w:cs="Calibri"/>
          <w:sz w:val="24"/>
          <w:szCs w:val="24"/>
        </w:rPr>
        <w:t>F4</w:t>
      </w:r>
      <w:r>
        <w:rPr>
          <w:rFonts w:hint="eastAsia" w:ascii="宋体" w:hAnsi="宋体" w:eastAsia="宋体" w:cs="宋体"/>
          <w:sz w:val="24"/>
          <w:szCs w:val="24"/>
        </w:rPr>
        <w:t>×</w:t>
      </w:r>
      <w:r>
        <w:rPr>
          <w:rFonts w:hint="default" w:ascii="Calibri" w:hAnsi="Calibri" w:eastAsia="宋体" w:cs="Calibri"/>
          <w:sz w:val="24"/>
          <w:szCs w:val="24"/>
        </w:rPr>
        <w:t>A4</w:t>
      </w:r>
      <w:r>
        <w:rPr>
          <w:rFonts w:hint="eastAsia" w:ascii="宋体" w:hAnsi="宋体" w:eastAsia="宋体" w:cs="宋体"/>
          <w:sz w:val="24"/>
          <w:szCs w:val="24"/>
        </w:rPr>
        <w:t>）</w:t>
      </w:r>
    </w:p>
    <w:p>
      <w:pPr>
        <w:pStyle w:val="4"/>
        <w:keepNext w:val="0"/>
        <w:keepLines w:val="0"/>
        <w:widowControl/>
        <w:suppressLineNumbers w:val="0"/>
        <w:ind w:left="0" w:firstLine="480"/>
      </w:pPr>
      <w:r>
        <w:rPr>
          <w:rFonts w:hint="eastAsia" w:ascii="宋体" w:hAnsi="宋体" w:eastAsia="宋体" w:cs="宋体"/>
          <w:sz w:val="24"/>
          <w:szCs w:val="24"/>
        </w:rPr>
        <w:t>a.优先类节能产品、环境标志产品：</w:t>
      </w:r>
    </w:p>
    <w:p>
      <w:pPr>
        <w:pStyle w:val="4"/>
        <w:keepNext w:val="0"/>
        <w:keepLines w:val="0"/>
        <w:widowControl/>
        <w:suppressLineNumbers w:val="0"/>
        <w:ind w:left="0" w:firstLine="480"/>
      </w:pPr>
      <w:r>
        <w:rPr>
          <w:rFonts w:hint="eastAsia" w:ascii="宋体" w:hAnsi="宋体" w:eastAsia="宋体" w:cs="宋体"/>
          <w:sz w:val="24"/>
          <w:szCs w:val="24"/>
        </w:rPr>
        <w:t>a1若同一合同包内节能、环境标志产品报价总金额低于该合同包报价总金额</w:t>
      </w:r>
      <w:r>
        <w:rPr>
          <w:rFonts w:hint="default" w:ascii="Calibri" w:hAnsi="Calibri" w:eastAsia="宋体" w:cs="Calibri"/>
          <w:sz w:val="24"/>
          <w:szCs w:val="24"/>
        </w:rPr>
        <w:t>20%</w:t>
      </w:r>
      <w:r>
        <w:rPr>
          <w:rFonts w:hint="eastAsia" w:ascii="宋体" w:hAnsi="宋体" w:eastAsia="宋体" w:cs="宋体"/>
          <w:sz w:val="24"/>
          <w:szCs w:val="24"/>
        </w:rPr>
        <w:t>（含</w:t>
      </w:r>
      <w:r>
        <w:rPr>
          <w:rFonts w:hint="default" w:ascii="Calibri" w:hAnsi="Calibri" w:eastAsia="宋体" w:cs="Calibri"/>
          <w:sz w:val="24"/>
          <w:szCs w:val="24"/>
        </w:rPr>
        <w:t>20%</w:t>
      </w:r>
      <w:r>
        <w:rPr>
          <w:rFonts w:hint="eastAsia" w:ascii="宋体" w:hAnsi="宋体" w:eastAsia="宋体" w:cs="宋体"/>
          <w:sz w:val="24"/>
          <w:szCs w:val="24"/>
        </w:rPr>
        <w:t>）以下，将分别给予节能、环境标志产品价格项（</w:t>
      </w:r>
      <w:r>
        <w:rPr>
          <w:rFonts w:hint="default" w:ascii="Calibri" w:hAnsi="Calibri" w:eastAsia="宋体" w:cs="Calibri"/>
          <w:sz w:val="24"/>
          <w:szCs w:val="24"/>
        </w:rPr>
        <w:t>F1</w:t>
      </w:r>
      <w:r>
        <w:rPr>
          <w:rFonts w:hint="eastAsia" w:ascii="宋体" w:hAnsi="宋体" w:eastAsia="宋体" w:cs="宋体"/>
          <w:sz w:val="24"/>
          <w:szCs w:val="24"/>
        </w:rPr>
        <w:t>×</w:t>
      </w:r>
      <w:r>
        <w:rPr>
          <w:rFonts w:hint="default" w:ascii="Calibri" w:hAnsi="Calibri" w:eastAsia="宋体" w:cs="Calibri"/>
          <w:sz w:val="24"/>
          <w:szCs w:val="24"/>
        </w:rPr>
        <w:t>A1</w:t>
      </w:r>
      <w:r>
        <w:rPr>
          <w:rFonts w:hint="eastAsia" w:ascii="宋体" w:hAnsi="宋体" w:eastAsia="宋体" w:cs="宋体"/>
          <w:sz w:val="24"/>
          <w:szCs w:val="24"/>
        </w:rPr>
        <w:t>，按照满分计）和技术项（</w:t>
      </w:r>
      <w:r>
        <w:rPr>
          <w:rFonts w:hint="default" w:ascii="Calibri" w:hAnsi="Calibri" w:eastAsia="宋体" w:cs="Calibri"/>
          <w:sz w:val="24"/>
          <w:szCs w:val="24"/>
        </w:rPr>
        <w:t>F2</w:t>
      </w:r>
      <w:r>
        <w:rPr>
          <w:rFonts w:hint="eastAsia" w:ascii="宋体" w:hAnsi="宋体" w:eastAsia="宋体" w:cs="宋体"/>
          <w:sz w:val="24"/>
          <w:szCs w:val="24"/>
        </w:rPr>
        <w:t>×</w:t>
      </w:r>
      <w:r>
        <w:rPr>
          <w:rFonts w:hint="default" w:ascii="Calibri" w:hAnsi="Calibri" w:eastAsia="宋体" w:cs="Calibri"/>
          <w:sz w:val="24"/>
          <w:szCs w:val="24"/>
        </w:rPr>
        <w:t>A2</w:t>
      </w:r>
      <w:r>
        <w:rPr>
          <w:rFonts w:hint="eastAsia" w:ascii="宋体" w:hAnsi="宋体" w:eastAsia="宋体" w:cs="宋体"/>
          <w:sz w:val="24"/>
          <w:szCs w:val="24"/>
        </w:rPr>
        <w:t>，按照满分计）</w:t>
      </w:r>
      <w:r>
        <w:rPr>
          <w:rFonts w:hint="default" w:ascii="Calibri" w:hAnsi="Calibri" w:eastAsia="宋体" w:cs="Calibri"/>
          <w:sz w:val="24"/>
          <w:szCs w:val="24"/>
        </w:rPr>
        <w:t>4%</w:t>
      </w:r>
      <w:r>
        <w:rPr>
          <w:rFonts w:hint="eastAsia" w:ascii="宋体" w:hAnsi="宋体" w:eastAsia="宋体" w:cs="宋体"/>
          <w:sz w:val="24"/>
          <w:szCs w:val="24"/>
        </w:rPr>
        <w:t>的加分；若同一合同包内节能、环境标志产品报价总金额占该合同包报价总金额</w:t>
      </w:r>
      <w:r>
        <w:rPr>
          <w:rFonts w:hint="default" w:ascii="Calibri" w:hAnsi="Calibri" w:eastAsia="宋体" w:cs="Calibri"/>
          <w:sz w:val="24"/>
          <w:szCs w:val="24"/>
        </w:rPr>
        <w:t>20%-50%</w:t>
      </w:r>
      <w:r>
        <w:rPr>
          <w:rFonts w:hint="eastAsia" w:ascii="宋体" w:hAnsi="宋体" w:eastAsia="宋体" w:cs="宋体"/>
          <w:sz w:val="24"/>
          <w:szCs w:val="24"/>
        </w:rPr>
        <w:t>（含</w:t>
      </w:r>
      <w:r>
        <w:rPr>
          <w:rFonts w:hint="default" w:ascii="Calibri" w:hAnsi="Calibri" w:eastAsia="宋体" w:cs="Calibri"/>
          <w:sz w:val="24"/>
          <w:szCs w:val="24"/>
        </w:rPr>
        <w:t>50%</w:t>
      </w:r>
      <w:r>
        <w:rPr>
          <w:rFonts w:hint="eastAsia" w:ascii="宋体" w:hAnsi="宋体" w:eastAsia="宋体" w:cs="宋体"/>
          <w:sz w:val="24"/>
          <w:szCs w:val="24"/>
        </w:rPr>
        <w:t>），将分别给予节能、环境标志产品价格项（</w:t>
      </w:r>
      <w:r>
        <w:rPr>
          <w:rFonts w:hint="default" w:ascii="Calibri" w:hAnsi="Calibri" w:eastAsia="宋体" w:cs="Calibri"/>
          <w:sz w:val="24"/>
          <w:szCs w:val="24"/>
        </w:rPr>
        <w:t>F1</w:t>
      </w:r>
      <w:r>
        <w:rPr>
          <w:rFonts w:hint="eastAsia" w:ascii="宋体" w:hAnsi="宋体" w:eastAsia="宋体" w:cs="宋体"/>
          <w:sz w:val="24"/>
          <w:szCs w:val="24"/>
        </w:rPr>
        <w:t>×</w:t>
      </w:r>
      <w:r>
        <w:rPr>
          <w:rFonts w:hint="default" w:ascii="Calibri" w:hAnsi="Calibri" w:eastAsia="宋体" w:cs="Calibri"/>
          <w:sz w:val="24"/>
          <w:szCs w:val="24"/>
        </w:rPr>
        <w:t>A1</w:t>
      </w:r>
      <w:r>
        <w:rPr>
          <w:rFonts w:hint="eastAsia" w:ascii="宋体" w:hAnsi="宋体" w:eastAsia="宋体" w:cs="宋体"/>
          <w:sz w:val="24"/>
          <w:szCs w:val="24"/>
        </w:rPr>
        <w:t>，按照满分计）和技术项（</w:t>
      </w:r>
      <w:r>
        <w:rPr>
          <w:rFonts w:hint="default" w:ascii="Calibri" w:hAnsi="Calibri" w:eastAsia="宋体" w:cs="Calibri"/>
          <w:sz w:val="24"/>
          <w:szCs w:val="24"/>
        </w:rPr>
        <w:t>F2</w:t>
      </w:r>
      <w:r>
        <w:rPr>
          <w:rFonts w:hint="eastAsia" w:ascii="宋体" w:hAnsi="宋体" w:eastAsia="宋体" w:cs="宋体"/>
          <w:sz w:val="24"/>
          <w:szCs w:val="24"/>
        </w:rPr>
        <w:t>×</w:t>
      </w:r>
      <w:r>
        <w:rPr>
          <w:rFonts w:hint="default" w:ascii="Calibri" w:hAnsi="Calibri" w:eastAsia="宋体" w:cs="Calibri"/>
          <w:sz w:val="24"/>
          <w:szCs w:val="24"/>
        </w:rPr>
        <w:t>A2</w:t>
      </w:r>
      <w:r>
        <w:rPr>
          <w:rFonts w:hint="eastAsia" w:ascii="宋体" w:hAnsi="宋体" w:eastAsia="宋体" w:cs="宋体"/>
          <w:sz w:val="24"/>
          <w:szCs w:val="24"/>
        </w:rPr>
        <w:t>，按照满分计）</w:t>
      </w:r>
      <w:r>
        <w:rPr>
          <w:rFonts w:hint="default" w:ascii="Calibri" w:hAnsi="Calibri" w:eastAsia="宋体" w:cs="Calibri"/>
          <w:sz w:val="24"/>
          <w:szCs w:val="24"/>
        </w:rPr>
        <w:t>6%</w:t>
      </w:r>
      <w:r>
        <w:rPr>
          <w:rFonts w:hint="eastAsia" w:ascii="宋体" w:hAnsi="宋体" w:eastAsia="宋体" w:cs="宋体"/>
          <w:sz w:val="24"/>
          <w:szCs w:val="24"/>
        </w:rPr>
        <w:t>的加分；若同一合同包内节能、环境标志产品报价总金额占该合同包报价总金额</w:t>
      </w:r>
      <w:r>
        <w:rPr>
          <w:rFonts w:hint="default" w:ascii="Calibri" w:hAnsi="Calibri" w:eastAsia="宋体" w:cs="Calibri"/>
          <w:sz w:val="24"/>
          <w:szCs w:val="24"/>
        </w:rPr>
        <w:t>50%</w:t>
      </w:r>
      <w:r>
        <w:rPr>
          <w:rFonts w:hint="eastAsia" w:ascii="宋体" w:hAnsi="宋体" w:eastAsia="宋体" w:cs="宋体"/>
          <w:sz w:val="24"/>
          <w:szCs w:val="24"/>
        </w:rPr>
        <w:t>以上的，将分别给予节能、环境标志产品价格项（</w:t>
      </w:r>
      <w:r>
        <w:rPr>
          <w:rFonts w:hint="default" w:ascii="Calibri" w:hAnsi="Calibri" w:eastAsia="宋体" w:cs="Calibri"/>
          <w:sz w:val="24"/>
          <w:szCs w:val="24"/>
        </w:rPr>
        <w:t>F1</w:t>
      </w:r>
      <w:r>
        <w:rPr>
          <w:rFonts w:hint="eastAsia" w:ascii="宋体" w:hAnsi="宋体" w:eastAsia="宋体" w:cs="宋体"/>
          <w:sz w:val="24"/>
          <w:szCs w:val="24"/>
        </w:rPr>
        <w:t>×</w:t>
      </w:r>
      <w:r>
        <w:rPr>
          <w:rFonts w:hint="default" w:ascii="Calibri" w:hAnsi="Calibri" w:eastAsia="宋体" w:cs="Calibri"/>
          <w:sz w:val="24"/>
          <w:szCs w:val="24"/>
        </w:rPr>
        <w:t>A1</w:t>
      </w:r>
      <w:r>
        <w:rPr>
          <w:rFonts w:hint="eastAsia" w:ascii="宋体" w:hAnsi="宋体" w:eastAsia="宋体" w:cs="宋体"/>
          <w:sz w:val="24"/>
          <w:szCs w:val="24"/>
        </w:rPr>
        <w:t>，按照满分计）和技术项（</w:t>
      </w:r>
      <w:r>
        <w:rPr>
          <w:rFonts w:hint="default" w:ascii="Calibri" w:hAnsi="Calibri" w:eastAsia="宋体" w:cs="Calibri"/>
          <w:sz w:val="24"/>
          <w:szCs w:val="24"/>
        </w:rPr>
        <w:t>F2</w:t>
      </w:r>
      <w:r>
        <w:rPr>
          <w:rFonts w:hint="eastAsia" w:ascii="宋体" w:hAnsi="宋体" w:eastAsia="宋体" w:cs="宋体"/>
          <w:sz w:val="24"/>
          <w:szCs w:val="24"/>
        </w:rPr>
        <w:t>×</w:t>
      </w:r>
      <w:r>
        <w:rPr>
          <w:rFonts w:hint="default" w:ascii="Calibri" w:hAnsi="Calibri" w:eastAsia="宋体" w:cs="Calibri"/>
          <w:sz w:val="24"/>
          <w:szCs w:val="24"/>
        </w:rPr>
        <w:t>A2</w:t>
      </w:r>
      <w:r>
        <w:rPr>
          <w:rFonts w:hint="eastAsia" w:ascii="宋体" w:hAnsi="宋体" w:eastAsia="宋体" w:cs="宋体"/>
          <w:sz w:val="24"/>
          <w:szCs w:val="24"/>
        </w:rPr>
        <w:t>，按照满分计）</w:t>
      </w:r>
      <w:r>
        <w:rPr>
          <w:rFonts w:hint="default" w:ascii="Calibri" w:hAnsi="Calibri" w:eastAsia="宋体" w:cs="Calibri"/>
          <w:sz w:val="24"/>
          <w:szCs w:val="24"/>
        </w:rPr>
        <w:t>8%</w:t>
      </w:r>
      <w:r>
        <w:rPr>
          <w:rFonts w:hint="eastAsia" w:ascii="宋体" w:hAnsi="宋体" w:eastAsia="宋体" w:cs="宋体"/>
          <w:sz w:val="24"/>
          <w:szCs w:val="24"/>
        </w:rPr>
        <w:t>的加分。</w:t>
      </w:r>
    </w:p>
    <w:p>
      <w:pPr>
        <w:pStyle w:val="4"/>
        <w:keepNext w:val="0"/>
        <w:keepLines w:val="0"/>
        <w:widowControl/>
        <w:suppressLineNumbers w:val="0"/>
        <w:ind w:left="0" w:firstLine="480"/>
      </w:pPr>
      <w:r>
        <w:rPr>
          <w:rFonts w:hint="eastAsia" w:ascii="宋体" w:hAnsi="宋体" w:eastAsia="宋体" w:cs="宋体"/>
          <w:sz w:val="24"/>
          <w:szCs w:val="24"/>
        </w:rPr>
        <w:t>a2若节能、环境标志产品仅是构成投标产品的部件、组件或零件，则该投标产品不享受鼓励优惠政策。同一品目中各认证证书不重复计算加分。强制类节能产品不享受加分。</w:t>
      </w:r>
      <w:r>
        <w:t xml:space="preserve"> </w:t>
      </w:r>
    </w:p>
    <w:tbl>
      <w:tblPr>
        <w:tblStyle w:val="9"/>
        <w:tblW w:w="8305" w:type="dxa"/>
        <w:tblCellSpacing w:w="0" w:type="dxa"/>
        <w:tblInd w:w="0" w:type="dxa"/>
        <w:shd w:val="clear" w:color="auto" w:fill="auto"/>
        <w:tblLayout w:type="fixed"/>
        <w:tblCellMar>
          <w:top w:w="0" w:type="dxa"/>
          <w:left w:w="0" w:type="dxa"/>
          <w:bottom w:w="0" w:type="dxa"/>
          <w:right w:w="0" w:type="dxa"/>
        </w:tblCellMar>
      </w:tblPr>
      <w:tblGrid>
        <w:gridCol w:w="753"/>
        <w:gridCol w:w="418"/>
        <w:gridCol w:w="7134"/>
      </w:tblGrid>
      <w:tr>
        <w:trPr>
          <w:tblHeader/>
          <w:tblCellSpacing w:w="0" w:type="dxa"/>
        </w:trPr>
        <w:tc>
          <w:tcPr>
            <w:tcW w:w="753" w:type="dxa"/>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评标项目</w:t>
            </w:r>
          </w:p>
        </w:tc>
        <w:tc>
          <w:tcPr>
            <w:tcW w:w="418" w:type="dxa"/>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评标分值</w:t>
            </w:r>
          </w:p>
        </w:tc>
        <w:tc>
          <w:tcPr>
            <w:tcW w:w="7134" w:type="dxa"/>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评标方法描述</w:t>
            </w:r>
          </w:p>
        </w:tc>
      </w:tr>
      <w:tr>
        <w:trPr>
          <w:tblCellSpacing w:w="0" w:type="dxa"/>
        </w:trPr>
        <w:tc>
          <w:tcPr>
            <w:tcW w:w="753" w:type="dxa"/>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关于节能、减排、环境标志产品</w:t>
            </w:r>
          </w:p>
        </w:tc>
        <w:tc>
          <w:tcPr>
            <w:tcW w:w="418" w:type="dxa"/>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6.8</w:t>
            </w:r>
          </w:p>
        </w:tc>
        <w:tc>
          <w:tcPr>
            <w:tcW w:w="7134" w:type="dxa"/>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1）根据《国务院办公厅关于建立政府强制采购节能产品制度的通知》（国办发[2007]51号）和财政部、发展改革委发布的《节能产品政府采购实施意见》（财库[2004]185号）以及《财政部、发展改革委关于调整节能产品政府采购清单的通知》（财库[2015]43号）规定，本次采购货物中属政府强制采购节能产品的，投标人所投产品必须是本项目招标公告发布时有效的或是最新一期的《节能产品政府采购清单》内产品，否则投标无效。若属于《节能产品政府采购清单》内非政府强制采购节能产品的，在同等条件下，优先采购清单中的产品。（2）投标产品若同一合同包内的节能、减排、环境标志产品报价总金额低于本合同包报价总金额20%（含20%）的，将分别给予节能、减排、环境标志产品价格评标项和技术评标项标准总分值4%的加分；若同一合同包内的节能、减排、环境标志产品报价总金额占本合同包报价总金额20%-50%（含50%）的，将给予节能、减排、环境标志产品价格评标项和技术评标项标准总分值6%的加分；若同一合同包内的节能、减排、环境标志产品报价总金额占本合同包报价总金额50%以上的，将给予节能、减排、环境标志产品价格评标项和技术评标项标准总分值8%的加分。（3）投标产品属于节能、减排、环境标志清单内产品的，可享受相关的鼓励优惠政策；若节能、减排、环境标志清单内的产品仅是构成投标产品的部件、组件或零件的，则该投标产品不享受鼓励优惠政策。（4）投标人所投产品为以上（1）至（2）点清单目录内产品的，应于投标文件中分项报价并提供相关证明材料，且加盖投标人公章</w:t>
            </w:r>
          </w:p>
        </w:tc>
      </w:tr>
    </w:tbl>
    <w:p>
      <w:pPr>
        <w:pStyle w:val="4"/>
        <w:keepNext w:val="0"/>
        <w:keepLines w:val="0"/>
        <w:widowControl/>
        <w:suppressLineNumbers w:val="0"/>
        <w:ind w:left="0" w:firstLine="480"/>
      </w:pPr>
      <w:r>
        <w:rPr>
          <w:rFonts w:hint="eastAsia" w:ascii="宋体" w:hAnsi="宋体" w:eastAsia="宋体" w:cs="宋体"/>
          <w:sz w:val="24"/>
          <w:szCs w:val="24"/>
        </w:rPr>
        <w:t>（4）中标候选人排列规则顺序如下：</w:t>
      </w:r>
      <w:r>
        <w:t xml:space="preserve"> </w:t>
      </w:r>
    </w:p>
    <w:p>
      <w:pPr>
        <w:pStyle w:val="4"/>
        <w:keepNext w:val="0"/>
        <w:keepLines w:val="0"/>
        <w:widowControl/>
        <w:suppressLineNumbers w:val="0"/>
        <w:ind w:left="0" w:firstLine="480"/>
      </w:pPr>
      <w:r>
        <w:rPr>
          <w:rFonts w:hint="eastAsia" w:ascii="宋体" w:hAnsi="宋体" w:eastAsia="宋体" w:cs="宋体"/>
          <w:sz w:val="24"/>
          <w:szCs w:val="24"/>
        </w:rPr>
        <w:t>a.按照评标总得分（</w:t>
      </w:r>
      <w:r>
        <w:rPr>
          <w:rFonts w:hint="default" w:ascii="Calibri" w:hAnsi="Calibri" w:eastAsia="宋体" w:cs="Calibri"/>
          <w:sz w:val="24"/>
          <w:szCs w:val="24"/>
        </w:rPr>
        <w:t>FA</w:t>
      </w:r>
      <w:r>
        <w:rPr>
          <w:rFonts w:hint="eastAsia" w:ascii="宋体" w:hAnsi="宋体" w:eastAsia="宋体" w:cs="宋体"/>
          <w:sz w:val="24"/>
          <w:szCs w:val="24"/>
        </w:rPr>
        <w:t>）由高到低顺序排列。</w:t>
      </w:r>
    </w:p>
    <w:p>
      <w:pPr>
        <w:pStyle w:val="4"/>
        <w:keepNext w:val="0"/>
        <w:keepLines w:val="0"/>
        <w:widowControl/>
        <w:suppressLineNumbers w:val="0"/>
        <w:ind w:left="0" w:firstLine="480"/>
      </w:pPr>
      <w:r>
        <w:rPr>
          <w:rFonts w:hint="eastAsia" w:ascii="宋体" w:hAnsi="宋体" w:eastAsia="宋体" w:cs="宋体"/>
          <w:sz w:val="24"/>
          <w:szCs w:val="24"/>
        </w:rPr>
        <w:t>b.评标总得分（</w:t>
      </w:r>
      <w:r>
        <w:rPr>
          <w:rFonts w:hint="default" w:ascii="Calibri" w:hAnsi="Calibri" w:eastAsia="宋体" w:cs="Calibri"/>
          <w:sz w:val="24"/>
          <w:szCs w:val="24"/>
        </w:rPr>
        <w:t>FA</w:t>
      </w:r>
      <w:r>
        <w:rPr>
          <w:rFonts w:hint="eastAsia" w:ascii="宋体" w:hAnsi="宋体" w:eastAsia="宋体" w:cs="宋体"/>
          <w:sz w:val="24"/>
          <w:szCs w:val="24"/>
        </w:rPr>
        <w:t>）相同的，按照评标价（即价格扣除后的投标报价）由低到高顺序排列。</w:t>
      </w:r>
      <w:r>
        <w:t xml:space="preserve"> </w:t>
      </w:r>
    </w:p>
    <w:p>
      <w:pPr>
        <w:pStyle w:val="4"/>
        <w:keepNext w:val="0"/>
        <w:keepLines w:val="0"/>
        <w:widowControl/>
        <w:suppressLineNumbers w:val="0"/>
        <w:ind w:left="0" w:firstLine="480"/>
      </w:pPr>
      <w:r>
        <w:rPr>
          <w:rFonts w:hint="eastAsia" w:ascii="宋体" w:hAnsi="宋体" w:eastAsia="宋体" w:cs="宋体"/>
          <w:sz w:val="24"/>
          <w:szCs w:val="24"/>
        </w:rPr>
        <w:t>c.评标总得分（</w:t>
      </w:r>
      <w:r>
        <w:rPr>
          <w:rFonts w:hint="default" w:ascii="Calibri" w:hAnsi="Calibri" w:eastAsia="宋体" w:cs="Calibri"/>
          <w:sz w:val="24"/>
          <w:szCs w:val="24"/>
        </w:rPr>
        <w:t>FA</w:t>
      </w:r>
      <w:r>
        <w:rPr>
          <w:rFonts w:hint="eastAsia" w:ascii="宋体" w:hAnsi="宋体" w:eastAsia="宋体" w:cs="宋体"/>
          <w:sz w:val="24"/>
          <w:szCs w:val="24"/>
        </w:rPr>
        <w:t>）且评标价（即价格扣除后的投标报价）相同的并列。</w:t>
      </w:r>
      <w:r>
        <w:t xml:space="preserve"> </w:t>
      </w:r>
    </w:p>
    <w:p>
      <w:pPr>
        <w:pStyle w:val="4"/>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8、其他规定</w:t>
      </w:r>
    </w:p>
    <w:p>
      <w:pPr>
        <w:pStyle w:val="4"/>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8.1评标应全程保密且不得透露给任一投标人或与评标工作无关的人员。</w:t>
      </w:r>
    </w:p>
    <w:p>
      <w:pPr>
        <w:pStyle w:val="4"/>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8.2评标将进行全程实时录音录像，录音录像资料随采购文件一并存档。</w:t>
      </w:r>
    </w:p>
    <w:p>
      <w:pPr>
        <w:pStyle w:val="4"/>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8.3若投标人有任何试图干扰具体评标事务，影响评标委员会独立履行职责的行为，其投标无效且不予退还投标保证金。情节严重的，由财政部门列入不良行为记录。</w:t>
      </w:r>
    </w:p>
    <w:p>
      <w:pPr>
        <w:pStyle w:val="4"/>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8.4其他：</w:t>
      </w:r>
      <w:r>
        <w:rPr>
          <w:spacing w:val="0"/>
          <w:sz w:val="24"/>
          <w:szCs w:val="24"/>
        </w:rPr>
        <w:t>无</w:t>
      </w:r>
    </w:p>
    <w:p>
      <w:pPr>
        <w:pStyle w:val="4"/>
        <w:keepNext w:val="0"/>
        <w:keepLines w:val="0"/>
        <w:widowControl/>
        <w:suppressLineNumbers w:val="0"/>
        <w:spacing w:before="75" w:beforeAutospacing="0" w:after="75" w:afterAutospacing="0"/>
        <w:ind w:left="0" w:right="0" w:firstLine="0"/>
        <w:jc w:val="center"/>
      </w:pPr>
      <w:r>
        <w:rPr>
          <w:spacing w:val="0"/>
          <w:sz w:val="24"/>
          <w:szCs w:val="24"/>
        </w:rPr>
        <w:t> </w:t>
      </w:r>
    </w:p>
    <w:p>
      <w:pPr>
        <w:pStyle w:val="4"/>
        <w:keepNext w:val="0"/>
        <w:keepLines w:val="0"/>
        <w:widowControl/>
        <w:suppressLineNumbers w:val="0"/>
        <w:spacing w:before="75" w:beforeAutospacing="0" w:after="75" w:afterAutospacing="0"/>
        <w:ind w:left="0" w:right="0" w:firstLine="0"/>
        <w:jc w:val="center"/>
      </w:pPr>
      <w:r>
        <w:rPr>
          <w:rFonts w:hint="eastAsia" w:ascii="宋体" w:hAnsi="宋体" w:eastAsia="宋体" w:cs="宋体"/>
          <w:spacing w:val="0"/>
          <w:sz w:val="24"/>
          <w:szCs w:val="24"/>
        </w:rPr>
        <w:t> </w:t>
      </w:r>
    </w:p>
    <w:p>
      <w:pPr>
        <w:pStyle w:val="4"/>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 </w:t>
      </w:r>
    </w:p>
    <w:p>
      <w:pPr>
        <w:pStyle w:val="4"/>
        <w:keepNext w:val="0"/>
        <w:keepLines w:val="0"/>
        <w:widowControl/>
        <w:suppressLineNumbers w:val="0"/>
        <w:spacing w:before="75" w:beforeAutospacing="0" w:after="75" w:afterAutospacing="0"/>
        <w:ind w:left="0" w:right="0" w:firstLine="0"/>
        <w:jc w:val="center"/>
      </w:pPr>
      <w:r>
        <w:rPr>
          <w:rStyle w:val="6"/>
          <w:rFonts w:hint="eastAsia" w:ascii="宋体" w:hAnsi="宋体" w:eastAsia="宋体" w:cs="宋体"/>
          <w:spacing w:val="0"/>
          <w:sz w:val="31"/>
          <w:szCs w:val="31"/>
        </w:rPr>
        <w:t>第五章</w:t>
      </w:r>
      <w:r>
        <w:rPr>
          <w:rStyle w:val="6"/>
          <w:spacing w:val="0"/>
          <w:sz w:val="31"/>
          <w:szCs w:val="31"/>
        </w:rPr>
        <w:t>   </w:t>
      </w:r>
      <w:r>
        <w:rPr>
          <w:rStyle w:val="6"/>
          <w:rFonts w:hint="eastAsia" w:ascii="宋体" w:hAnsi="宋体" w:eastAsia="宋体" w:cs="宋体"/>
          <w:spacing w:val="0"/>
          <w:sz w:val="31"/>
          <w:szCs w:val="31"/>
        </w:rPr>
        <w:t>招标内容及要求</w:t>
      </w:r>
    </w:p>
    <w:p>
      <w:pPr>
        <w:pStyle w:val="4"/>
        <w:keepNext w:val="0"/>
        <w:keepLines w:val="0"/>
        <w:widowControl/>
        <w:suppressLineNumbers w:val="0"/>
        <w:spacing w:before="75" w:beforeAutospacing="0" w:after="75" w:afterAutospacing="0"/>
        <w:ind w:left="0" w:right="0" w:firstLine="0"/>
      </w:pPr>
      <w:r>
        <w:rPr>
          <w:spacing w:val="0"/>
          <w:sz w:val="24"/>
          <w:szCs w:val="24"/>
        </w:rPr>
        <w:t>一、项目概况（采购标的）</w:t>
      </w:r>
    </w:p>
    <w:p>
      <w:pPr>
        <w:pStyle w:val="4"/>
        <w:keepNext w:val="0"/>
        <w:keepLines w:val="0"/>
        <w:widowControl/>
        <w:suppressLineNumbers w:val="0"/>
        <w:spacing w:before="210" w:beforeAutospacing="0" w:after="240" w:afterAutospacing="0"/>
        <w:ind w:left="0" w:right="0" w:firstLine="480"/>
      </w:pPr>
      <w:r>
        <w:rPr>
          <w:rFonts w:hint="eastAsia" w:ascii="宋体" w:hAnsi="宋体" w:eastAsia="宋体" w:cs="宋体"/>
          <w:sz w:val="24"/>
          <w:szCs w:val="24"/>
        </w:rPr>
        <w:t>高新区行政服务中心智能化项目基于政务服务一体化平台建设，平台总体逻辑架构。平台设 计遵循相关行业标准及国家、地区政策要求，建设包含网络资源、计算资源、存储资源的数据中心基础软硬件环境，对接省 市 级政务信息数据资源。本项目基于福州市服务一体化平台的接入，配合本地智能化服务大厅建设，实现行政服务中心一体化、一站式的服务功能。</w:t>
      </w:r>
      <w:r>
        <w:rPr>
          <w:rStyle w:val="6"/>
          <w:rFonts w:hint="eastAsia" w:ascii="宋体" w:hAnsi="宋体" w:eastAsia="宋体" w:cs="宋体"/>
          <w:b/>
          <w:sz w:val="24"/>
          <w:szCs w:val="24"/>
        </w:rPr>
        <w:t xml:space="preserve">  </w:t>
      </w:r>
    </w:p>
    <w:tbl>
      <w:tblPr>
        <w:tblStyle w:val="9"/>
        <w:tblW w:w="9432" w:type="dxa"/>
        <w:tblCellSpacing w:w="15"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15" w:type="dxa"/>
          <w:left w:w="15" w:type="dxa"/>
          <w:bottom w:w="15" w:type="dxa"/>
          <w:right w:w="15" w:type="dxa"/>
        </w:tblCellMar>
      </w:tblPr>
      <w:tblGrid>
        <w:gridCol w:w="959"/>
        <w:gridCol w:w="950"/>
        <w:gridCol w:w="3901"/>
        <w:gridCol w:w="587"/>
        <w:gridCol w:w="1433"/>
        <w:gridCol w:w="1602"/>
      </w:tblGrid>
      <w:tr>
        <w:trPr>
          <w:trHeight w:val="945" w:hRule="atLeast"/>
          <w:tblCellSpacing w:w="15" w:type="dxa"/>
        </w:trPr>
        <w:tc>
          <w:tcPr>
            <w:tcW w:w="914" w:type="dxa"/>
            <w:tcBorders>
              <w:top w:val="single" w:color="auto" w:sz="6" w:space="0"/>
              <w:left w:val="single" w:color="auto" w:sz="6" w:space="0"/>
              <w:bottom w:val="single" w:color="auto" w:sz="6" w:space="0"/>
              <w:right w:val="single" w:color="auto" w:sz="6" w:space="0"/>
            </w:tcBorders>
            <w:shd w:val="clear" w:color="auto" w:fill="FFFFFF"/>
            <w:tcMar>
              <w:top w:w="0" w:type="dxa"/>
              <w:left w:w="0" w:type="dxa"/>
              <w:bottom w:w="0" w:type="dxa"/>
              <w:right w:w="0" w:type="dxa"/>
            </w:tcMar>
            <w:vAlign w:val="center"/>
          </w:tcPr>
          <w:p>
            <w:pPr>
              <w:pStyle w:val="4"/>
              <w:keepNext w:val="0"/>
              <w:keepLines w:val="0"/>
              <w:widowControl/>
              <w:suppressLineNumbers w:val="0"/>
              <w:jc w:val="center"/>
            </w:pPr>
            <w:r>
              <w:rPr>
                <w:rFonts w:hint="eastAsia" w:ascii="宋体" w:hAnsi="宋体" w:eastAsia="宋体" w:cs="宋体"/>
                <w:sz w:val="28"/>
                <w:szCs w:val="28"/>
              </w:rPr>
              <w:t>合同包</w:t>
            </w:r>
          </w:p>
        </w:tc>
        <w:tc>
          <w:tcPr>
            <w:tcW w:w="920" w:type="dxa"/>
            <w:tcBorders>
              <w:top w:val="single" w:color="auto" w:sz="6" w:space="0"/>
              <w:left w:val="nil"/>
              <w:bottom w:val="single" w:color="auto" w:sz="6" w:space="0"/>
              <w:right w:val="single" w:color="auto" w:sz="6" w:space="0"/>
            </w:tcBorders>
            <w:shd w:val="clear" w:color="auto" w:fill="FFFFFF"/>
            <w:tcMar>
              <w:top w:w="0" w:type="dxa"/>
              <w:left w:w="0" w:type="dxa"/>
              <w:bottom w:w="0" w:type="dxa"/>
              <w:right w:w="0" w:type="dxa"/>
            </w:tcMar>
            <w:vAlign w:val="center"/>
          </w:tcPr>
          <w:p>
            <w:pPr>
              <w:pStyle w:val="4"/>
              <w:keepNext w:val="0"/>
              <w:keepLines w:val="0"/>
              <w:widowControl/>
              <w:suppressLineNumbers w:val="0"/>
              <w:jc w:val="center"/>
            </w:pPr>
            <w:r>
              <w:rPr>
                <w:rFonts w:hint="eastAsia" w:ascii="宋体" w:hAnsi="宋体" w:eastAsia="宋体" w:cs="宋体"/>
                <w:sz w:val="28"/>
                <w:szCs w:val="28"/>
              </w:rPr>
              <w:t>品目号</w:t>
            </w:r>
          </w:p>
        </w:tc>
        <w:tc>
          <w:tcPr>
            <w:tcW w:w="3871" w:type="dxa"/>
            <w:tcBorders>
              <w:top w:val="single" w:color="auto" w:sz="6" w:space="0"/>
              <w:left w:val="nil"/>
              <w:bottom w:val="single" w:color="auto" w:sz="6" w:space="0"/>
              <w:right w:val="single" w:color="auto" w:sz="6" w:space="0"/>
            </w:tcBorders>
            <w:shd w:val="clear" w:color="auto" w:fill="FFFFFF"/>
            <w:tcMar>
              <w:top w:w="0" w:type="dxa"/>
              <w:left w:w="0" w:type="dxa"/>
              <w:bottom w:w="0" w:type="dxa"/>
              <w:right w:w="0" w:type="dxa"/>
            </w:tcMar>
            <w:vAlign w:val="center"/>
          </w:tcPr>
          <w:p>
            <w:pPr>
              <w:pStyle w:val="4"/>
              <w:keepNext w:val="0"/>
              <w:keepLines w:val="0"/>
              <w:widowControl/>
              <w:suppressLineNumbers w:val="0"/>
              <w:jc w:val="center"/>
            </w:pPr>
            <w:r>
              <w:rPr>
                <w:rFonts w:hint="eastAsia" w:ascii="宋体" w:hAnsi="宋体" w:eastAsia="宋体" w:cs="宋体"/>
                <w:sz w:val="28"/>
                <w:szCs w:val="28"/>
              </w:rPr>
              <w:t>采购标的</w:t>
            </w:r>
          </w:p>
        </w:tc>
        <w:tc>
          <w:tcPr>
            <w:tcW w:w="557" w:type="dxa"/>
            <w:tcBorders>
              <w:top w:val="single" w:color="auto" w:sz="6" w:space="0"/>
              <w:left w:val="nil"/>
              <w:bottom w:val="single" w:color="auto" w:sz="6" w:space="0"/>
              <w:right w:val="single" w:color="auto" w:sz="6" w:space="0"/>
            </w:tcBorders>
            <w:shd w:val="clear" w:color="auto" w:fill="FFFFFF"/>
            <w:tcMar>
              <w:top w:w="0" w:type="dxa"/>
              <w:left w:w="0" w:type="dxa"/>
              <w:bottom w:w="0" w:type="dxa"/>
              <w:right w:w="0" w:type="dxa"/>
            </w:tcMar>
            <w:vAlign w:val="center"/>
          </w:tcPr>
          <w:p>
            <w:pPr>
              <w:pStyle w:val="4"/>
              <w:keepNext w:val="0"/>
              <w:keepLines w:val="0"/>
              <w:widowControl/>
              <w:suppressLineNumbers w:val="0"/>
              <w:jc w:val="center"/>
            </w:pPr>
            <w:r>
              <w:rPr>
                <w:rFonts w:hint="eastAsia" w:ascii="宋体" w:hAnsi="宋体" w:eastAsia="宋体" w:cs="宋体"/>
                <w:sz w:val="28"/>
                <w:szCs w:val="28"/>
              </w:rPr>
              <w:t>数量</w:t>
            </w:r>
          </w:p>
        </w:tc>
        <w:tc>
          <w:tcPr>
            <w:tcW w:w="1403" w:type="dxa"/>
            <w:tcBorders>
              <w:top w:val="single" w:color="auto" w:sz="6" w:space="0"/>
              <w:left w:val="nil"/>
              <w:bottom w:val="single" w:color="auto" w:sz="6" w:space="0"/>
              <w:right w:val="single" w:color="auto" w:sz="6" w:space="0"/>
            </w:tcBorders>
            <w:shd w:val="clear" w:color="auto" w:fill="FFFFFF"/>
            <w:tcMar>
              <w:top w:w="0" w:type="dxa"/>
              <w:left w:w="0" w:type="dxa"/>
              <w:bottom w:w="0" w:type="dxa"/>
              <w:right w:w="0" w:type="dxa"/>
            </w:tcMar>
            <w:vAlign w:val="center"/>
          </w:tcPr>
          <w:p>
            <w:pPr>
              <w:pStyle w:val="4"/>
              <w:keepNext w:val="0"/>
              <w:keepLines w:val="0"/>
              <w:widowControl/>
              <w:suppressLineNumbers w:val="0"/>
              <w:jc w:val="center"/>
            </w:pPr>
            <w:r>
              <w:rPr>
                <w:rFonts w:hint="eastAsia" w:ascii="宋体" w:hAnsi="宋体" w:eastAsia="宋体" w:cs="宋体"/>
                <w:sz w:val="28"/>
                <w:szCs w:val="28"/>
              </w:rPr>
              <w:t>品目号预算（元）</w:t>
            </w:r>
          </w:p>
        </w:tc>
        <w:tc>
          <w:tcPr>
            <w:tcW w:w="1557" w:type="dxa"/>
            <w:tcBorders>
              <w:top w:val="single" w:color="auto" w:sz="6" w:space="0"/>
              <w:left w:val="nil"/>
              <w:bottom w:val="single" w:color="auto" w:sz="6" w:space="0"/>
              <w:right w:val="single" w:color="auto" w:sz="6" w:space="0"/>
            </w:tcBorders>
            <w:shd w:val="clear" w:color="auto" w:fill="FFFFFF"/>
            <w:tcMar>
              <w:top w:w="0" w:type="dxa"/>
              <w:left w:w="0" w:type="dxa"/>
              <w:bottom w:w="0" w:type="dxa"/>
              <w:right w:w="0" w:type="dxa"/>
            </w:tcMar>
            <w:vAlign w:val="center"/>
          </w:tcPr>
          <w:p>
            <w:pPr>
              <w:pStyle w:val="4"/>
              <w:keepNext w:val="0"/>
              <w:keepLines w:val="0"/>
              <w:widowControl/>
              <w:suppressLineNumbers w:val="0"/>
              <w:jc w:val="center"/>
            </w:pPr>
            <w:r>
              <w:rPr>
                <w:rFonts w:hint="eastAsia" w:ascii="宋体" w:hAnsi="宋体" w:eastAsia="宋体" w:cs="宋体"/>
                <w:sz w:val="28"/>
                <w:szCs w:val="28"/>
              </w:rPr>
              <w:t>合同包预算（元）</w:t>
            </w:r>
          </w:p>
        </w:tc>
      </w:tr>
      <w:tr>
        <w:trPr>
          <w:trHeight w:val="795" w:hRule="atLeast"/>
          <w:tblCellSpacing w:w="15" w:type="dxa"/>
        </w:trPr>
        <w:tc>
          <w:tcPr>
            <w:tcW w:w="914" w:type="dxa"/>
            <w:vMerge w:val="restart"/>
            <w:tcBorders>
              <w:top w:val="nil"/>
              <w:left w:val="single" w:color="auto" w:sz="6" w:space="0"/>
              <w:bottom w:val="single" w:color="auto" w:sz="6" w:space="0"/>
              <w:right w:val="single" w:color="auto" w:sz="6" w:space="0"/>
            </w:tcBorders>
            <w:shd w:val="clear" w:color="auto" w:fill="FFFFFF"/>
            <w:tcMar>
              <w:top w:w="0" w:type="dxa"/>
              <w:left w:w="0" w:type="dxa"/>
              <w:bottom w:w="0" w:type="dxa"/>
              <w:right w:w="0" w:type="dxa"/>
            </w:tcMar>
            <w:vAlign w:val="center"/>
          </w:tcPr>
          <w:p>
            <w:pPr>
              <w:pStyle w:val="4"/>
              <w:keepNext w:val="0"/>
              <w:keepLines w:val="0"/>
              <w:widowControl/>
              <w:suppressLineNumbers w:val="0"/>
              <w:jc w:val="center"/>
            </w:pPr>
            <w:r>
              <w:rPr>
                <w:rFonts w:hint="eastAsia" w:ascii="宋体" w:hAnsi="宋体" w:eastAsia="宋体" w:cs="宋体"/>
                <w:sz w:val="28"/>
                <w:szCs w:val="28"/>
              </w:rPr>
              <w:t>1</w:t>
            </w:r>
          </w:p>
        </w:tc>
        <w:tc>
          <w:tcPr>
            <w:tcW w:w="920" w:type="dxa"/>
            <w:vMerge w:val="restart"/>
            <w:tcBorders>
              <w:top w:val="nil"/>
              <w:left w:val="nil"/>
              <w:bottom w:val="single" w:color="auto" w:sz="6" w:space="0"/>
              <w:right w:val="single" w:color="auto" w:sz="6" w:space="0"/>
            </w:tcBorders>
            <w:shd w:val="clear" w:color="auto" w:fill="FFFFFF"/>
            <w:tcMar>
              <w:top w:w="0" w:type="dxa"/>
              <w:left w:w="0" w:type="dxa"/>
              <w:bottom w:w="0" w:type="dxa"/>
              <w:right w:w="0" w:type="dxa"/>
            </w:tcMar>
            <w:vAlign w:val="center"/>
          </w:tcPr>
          <w:p>
            <w:pPr>
              <w:pStyle w:val="4"/>
              <w:keepNext w:val="0"/>
              <w:keepLines w:val="0"/>
              <w:widowControl/>
              <w:suppressLineNumbers w:val="0"/>
              <w:jc w:val="center"/>
            </w:pPr>
            <w:r>
              <w:rPr>
                <w:rFonts w:hint="eastAsia" w:ascii="宋体" w:hAnsi="宋体" w:eastAsia="宋体" w:cs="宋体"/>
                <w:sz w:val="28"/>
                <w:szCs w:val="28"/>
              </w:rPr>
              <w:t>1-1</w:t>
            </w:r>
          </w:p>
        </w:tc>
        <w:tc>
          <w:tcPr>
            <w:tcW w:w="3871" w:type="dxa"/>
            <w:tcBorders>
              <w:top w:val="nil"/>
              <w:left w:val="nil"/>
              <w:bottom w:val="single" w:color="auto" w:sz="6" w:space="0"/>
              <w:right w:val="single" w:color="auto" w:sz="6" w:space="0"/>
            </w:tcBorders>
            <w:shd w:val="clear" w:color="auto" w:fill="FFFFFF"/>
            <w:tcMar>
              <w:top w:w="0" w:type="dxa"/>
              <w:left w:w="0" w:type="dxa"/>
              <w:bottom w:w="0" w:type="dxa"/>
              <w:right w:w="0" w:type="dxa"/>
            </w:tcMar>
            <w:vAlign w:val="center"/>
          </w:tcPr>
          <w:p>
            <w:pPr>
              <w:pStyle w:val="4"/>
              <w:keepNext w:val="0"/>
              <w:keepLines w:val="0"/>
              <w:widowControl/>
              <w:suppressLineNumbers w:val="0"/>
              <w:spacing w:line="273" w:lineRule="auto"/>
              <w:jc w:val="center"/>
            </w:pPr>
            <w:r>
              <w:rPr>
                <w:rFonts w:hint="eastAsia" w:ascii="宋体" w:hAnsi="宋体" w:eastAsia="宋体" w:cs="宋体"/>
                <w:sz w:val="28"/>
                <w:szCs w:val="28"/>
              </w:rPr>
              <w:t>智能化行政服务大厅系统迁移</w:t>
            </w:r>
          </w:p>
        </w:tc>
        <w:tc>
          <w:tcPr>
            <w:tcW w:w="557" w:type="dxa"/>
            <w:tcBorders>
              <w:top w:val="nil"/>
              <w:left w:val="nil"/>
              <w:bottom w:val="single" w:color="auto" w:sz="6" w:space="0"/>
              <w:right w:val="single" w:color="auto" w:sz="6" w:space="0"/>
            </w:tcBorders>
            <w:shd w:val="clear" w:color="auto" w:fill="FFFFFF"/>
            <w:tcMar>
              <w:top w:w="0" w:type="dxa"/>
              <w:left w:w="0" w:type="dxa"/>
              <w:bottom w:w="0" w:type="dxa"/>
              <w:right w:w="0" w:type="dxa"/>
            </w:tcMar>
            <w:vAlign w:val="center"/>
          </w:tcPr>
          <w:p>
            <w:pPr>
              <w:pStyle w:val="4"/>
              <w:keepNext w:val="0"/>
              <w:keepLines w:val="0"/>
              <w:widowControl/>
              <w:suppressLineNumbers w:val="0"/>
              <w:jc w:val="center"/>
            </w:pPr>
            <w:r>
              <w:rPr>
                <w:rFonts w:hint="eastAsia" w:ascii="宋体" w:hAnsi="宋体" w:eastAsia="宋体" w:cs="宋体"/>
                <w:sz w:val="28"/>
                <w:szCs w:val="28"/>
              </w:rPr>
              <w:t>1批</w:t>
            </w:r>
          </w:p>
        </w:tc>
        <w:tc>
          <w:tcPr>
            <w:tcW w:w="1403" w:type="dxa"/>
            <w:vMerge w:val="restart"/>
            <w:tcBorders>
              <w:top w:val="nil"/>
              <w:left w:val="nil"/>
              <w:bottom w:val="single" w:color="auto" w:sz="6" w:space="0"/>
              <w:right w:val="single" w:color="auto" w:sz="6" w:space="0"/>
            </w:tcBorders>
            <w:shd w:val="clear" w:color="auto" w:fill="FFFFFF"/>
            <w:tcMar>
              <w:top w:w="0" w:type="dxa"/>
              <w:left w:w="0" w:type="dxa"/>
              <w:bottom w:w="0" w:type="dxa"/>
              <w:right w:w="0" w:type="dxa"/>
            </w:tcMar>
            <w:vAlign w:val="center"/>
          </w:tcPr>
          <w:p>
            <w:pPr>
              <w:pStyle w:val="4"/>
              <w:keepNext w:val="0"/>
              <w:keepLines w:val="0"/>
              <w:widowControl/>
              <w:suppressLineNumbers w:val="0"/>
              <w:jc w:val="center"/>
            </w:pPr>
            <w:r>
              <w:rPr>
                <w:rFonts w:hint="eastAsia" w:ascii="宋体" w:hAnsi="宋体" w:eastAsia="宋体" w:cs="宋体"/>
                <w:sz w:val="28"/>
                <w:szCs w:val="28"/>
              </w:rPr>
              <w:t>1,960,700</w:t>
            </w:r>
          </w:p>
        </w:tc>
        <w:tc>
          <w:tcPr>
            <w:tcW w:w="1557" w:type="dxa"/>
            <w:vMerge w:val="restart"/>
            <w:tcBorders>
              <w:top w:val="nil"/>
              <w:left w:val="nil"/>
              <w:bottom w:val="single" w:color="auto" w:sz="6" w:space="0"/>
              <w:right w:val="single" w:color="auto" w:sz="6" w:space="0"/>
            </w:tcBorders>
            <w:shd w:val="clear" w:color="auto" w:fill="FFFFFF"/>
            <w:tcMar>
              <w:top w:w="0" w:type="dxa"/>
              <w:left w:w="0" w:type="dxa"/>
              <w:bottom w:w="0" w:type="dxa"/>
              <w:right w:w="0" w:type="dxa"/>
            </w:tcMar>
            <w:vAlign w:val="center"/>
          </w:tcPr>
          <w:p>
            <w:pPr>
              <w:pStyle w:val="4"/>
              <w:keepNext w:val="0"/>
              <w:keepLines w:val="0"/>
              <w:widowControl/>
              <w:suppressLineNumbers w:val="0"/>
              <w:jc w:val="center"/>
            </w:pPr>
            <w:r>
              <w:rPr>
                <w:rFonts w:hint="eastAsia" w:ascii="宋体" w:hAnsi="宋体" w:eastAsia="宋体" w:cs="宋体"/>
                <w:sz w:val="28"/>
                <w:szCs w:val="28"/>
              </w:rPr>
              <w:t>5,253,000</w:t>
            </w:r>
          </w:p>
        </w:tc>
      </w:tr>
      <w:tr>
        <w:trPr>
          <w:trHeight w:val="720" w:hRule="atLeast"/>
          <w:tblCellSpacing w:w="15" w:type="dxa"/>
        </w:trPr>
        <w:tc>
          <w:tcPr>
            <w:tcW w:w="914" w:type="dxa"/>
            <w:vMerge w:val="continue"/>
            <w:tcBorders>
              <w:top w:val="nil"/>
              <w:left w:val="single" w:color="auto" w:sz="6" w:space="0"/>
              <w:bottom w:val="single" w:color="auto" w:sz="6" w:space="0"/>
              <w:right w:val="single" w:color="auto" w:sz="6" w:space="0"/>
            </w:tcBorders>
            <w:shd w:val="clear" w:color="auto" w:fill="FFFFFF"/>
            <w:tcMar>
              <w:top w:w="0" w:type="dxa"/>
              <w:left w:w="0" w:type="dxa"/>
              <w:bottom w:w="0" w:type="dxa"/>
              <w:right w:w="0" w:type="dxa"/>
            </w:tcMar>
            <w:vAlign w:val="center"/>
          </w:tcPr>
          <w:p>
            <w:pPr>
              <w:rPr>
                <w:rFonts w:hint="eastAsia" w:ascii="宋体"/>
                <w:sz w:val="24"/>
                <w:szCs w:val="24"/>
              </w:rPr>
            </w:pPr>
          </w:p>
        </w:tc>
        <w:tc>
          <w:tcPr>
            <w:tcW w:w="920" w:type="dxa"/>
            <w:vMerge w:val="continue"/>
            <w:tcBorders>
              <w:top w:val="nil"/>
              <w:left w:val="nil"/>
              <w:bottom w:val="single" w:color="auto" w:sz="6" w:space="0"/>
              <w:right w:val="single" w:color="auto" w:sz="6" w:space="0"/>
            </w:tcBorders>
            <w:shd w:val="clear" w:color="auto" w:fill="FFFFFF"/>
            <w:tcMar>
              <w:top w:w="0" w:type="dxa"/>
              <w:left w:w="0" w:type="dxa"/>
              <w:bottom w:w="0" w:type="dxa"/>
              <w:right w:w="0" w:type="dxa"/>
            </w:tcMar>
            <w:vAlign w:val="center"/>
          </w:tcPr>
          <w:p>
            <w:pPr>
              <w:rPr>
                <w:rFonts w:hint="eastAsia" w:ascii="宋体"/>
                <w:sz w:val="24"/>
                <w:szCs w:val="24"/>
              </w:rPr>
            </w:pPr>
          </w:p>
        </w:tc>
        <w:tc>
          <w:tcPr>
            <w:tcW w:w="3871" w:type="dxa"/>
            <w:tcBorders>
              <w:top w:val="nil"/>
              <w:left w:val="nil"/>
              <w:bottom w:val="single" w:color="auto" w:sz="6" w:space="0"/>
              <w:right w:val="single" w:color="auto" w:sz="6" w:space="0"/>
            </w:tcBorders>
            <w:shd w:val="clear" w:color="auto" w:fill="FFFFFF"/>
            <w:tcMar>
              <w:top w:w="0" w:type="dxa"/>
              <w:left w:w="0" w:type="dxa"/>
              <w:bottom w:w="0" w:type="dxa"/>
              <w:right w:w="0" w:type="dxa"/>
            </w:tcMar>
            <w:vAlign w:val="center"/>
          </w:tcPr>
          <w:p>
            <w:pPr>
              <w:pStyle w:val="4"/>
              <w:keepNext w:val="0"/>
              <w:keepLines w:val="0"/>
              <w:widowControl/>
              <w:suppressLineNumbers w:val="0"/>
              <w:spacing w:line="273" w:lineRule="auto"/>
              <w:jc w:val="center"/>
            </w:pPr>
            <w:r>
              <w:rPr>
                <w:rFonts w:hint="eastAsia" w:ascii="宋体" w:hAnsi="宋体" w:eastAsia="宋体" w:cs="宋体"/>
                <w:sz w:val="28"/>
                <w:szCs w:val="28"/>
              </w:rPr>
              <w:t>智能化行政服务大厅系统</w:t>
            </w:r>
          </w:p>
        </w:tc>
        <w:tc>
          <w:tcPr>
            <w:tcW w:w="557" w:type="dxa"/>
            <w:tcBorders>
              <w:top w:val="nil"/>
              <w:left w:val="nil"/>
              <w:bottom w:val="single" w:color="auto" w:sz="6" w:space="0"/>
              <w:right w:val="single" w:color="auto" w:sz="6" w:space="0"/>
            </w:tcBorders>
            <w:shd w:val="clear" w:color="auto" w:fill="FFFFFF"/>
            <w:tcMar>
              <w:top w:w="0" w:type="dxa"/>
              <w:left w:w="0" w:type="dxa"/>
              <w:bottom w:w="0" w:type="dxa"/>
              <w:right w:w="0" w:type="dxa"/>
            </w:tcMar>
            <w:vAlign w:val="center"/>
          </w:tcPr>
          <w:p>
            <w:pPr>
              <w:pStyle w:val="4"/>
              <w:keepNext w:val="0"/>
              <w:keepLines w:val="0"/>
              <w:widowControl/>
              <w:suppressLineNumbers w:val="0"/>
              <w:jc w:val="center"/>
            </w:pPr>
            <w:r>
              <w:rPr>
                <w:rFonts w:hint="eastAsia" w:ascii="宋体" w:hAnsi="宋体" w:eastAsia="宋体" w:cs="宋体"/>
                <w:sz w:val="28"/>
                <w:szCs w:val="28"/>
              </w:rPr>
              <w:t>1批</w:t>
            </w:r>
          </w:p>
        </w:tc>
        <w:tc>
          <w:tcPr>
            <w:tcW w:w="1403" w:type="dxa"/>
            <w:vMerge w:val="continue"/>
            <w:tcBorders>
              <w:top w:val="nil"/>
              <w:left w:val="nil"/>
              <w:bottom w:val="single" w:color="auto" w:sz="6" w:space="0"/>
              <w:right w:val="single" w:color="auto" w:sz="6" w:space="0"/>
            </w:tcBorders>
            <w:shd w:val="clear" w:color="auto" w:fill="FFFFFF"/>
            <w:tcMar>
              <w:top w:w="0" w:type="dxa"/>
              <w:left w:w="0" w:type="dxa"/>
              <w:bottom w:w="0" w:type="dxa"/>
              <w:right w:w="0" w:type="dxa"/>
            </w:tcMar>
            <w:vAlign w:val="center"/>
          </w:tcPr>
          <w:p>
            <w:pPr>
              <w:rPr>
                <w:rFonts w:hint="eastAsia" w:ascii="宋体"/>
                <w:sz w:val="24"/>
                <w:szCs w:val="24"/>
              </w:rPr>
            </w:pPr>
          </w:p>
        </w:tc>
        <w:tc>
          <w:tcPr>
            <w:tcW w:w="1557" w:type="dxa"/>
            <w:vMerge w:val="continue"/>
            <w:tcBorders>
              <w:top w:val="nil"/>
              <w:left w:val="nil"/>
              <w:bottom w:val="single" w:color="auto" w:sz="6" w:space="0"/>
              <w:right w:val="single" w:color="auto" w:sz="6" w:space="0"/>
            </w:tcBorders>
            <w:shd w:val="clear" w:color="auto" w:fill="FFFFFF"/>
            <w:tcMar>
              <w:top w:w="0" w:type="dxa"/>
              <w:left w:w="0" w:type="dxa"/>
              <w:bottom w:w="0" w:type="dxa"/>
              <w:right w:w="0" w:type="dxa"/>
            </w:tcMar>
            <w:vAlign w:val="center"/>
          </w:tcPr>
          <w:p>
            <w:pPr>
              <w:rPr>
                <w:rFonts w:hint="eastAsia" w:ascii="宋体"/>
                <w:sz w:val="24"/>
                <w:szCs w:val="24"/>
              </w:rPr>
            </w:pPr>
          </w:p>
        </w:tc>
      </w:tr>
      <w:tr>
        <w:trPr>
          <w:trHeight w:val="90" w:hRule="atLeast"/>
          <w:tblCellSpacing w:w="15" w:type="dxa"/>
        </w:trPr>
        <w:tc>
          <w:tcPr>
            <w:tcW w:w="914" w:type="dxa"/>
            <w:vMerge w:val="continue"/>
            <w:tcBorders>
              <w:top w:val="nil"/>
              <w:left w:val="single" w:color="auto" w:sz="6" w:space="0"/>
              <w:bottom w:val="single" w:color="auto" w:sz="6" w:space="0"/>
              <w:right w:val="single" w:color="auto" w:sz="6" w:space="0"/>
            </w:tcBorders>
            <w:shd w:val="clear" w:color="auto" w:fill="FFFFFF"/>
            <w:tcMar>
              <w:top w:w="0" w:type="dxa"/>
              <w:left w:w="0" w:type="dxa"/>
              <w:bottom w:w="0" w:type="dxa"/>
              <w:right w:w="0" w:type="dxa"/>
            </w:tcMar>
            <w:vAlign w:val="center"/>
          </w:tcPr>
          <w:p>
            <w:pPr>
              <w:rPr>
                <w:rFonts w:hint="eastAsia" w:ascii="宋体"/>
                <w:sz w:val="24"/>
                <w:szCs w:val="24"/>
              </w:rPr>
            </w:pPr>
          </w:p>
        </w:tc>
        <w:tc>
          <w:tcPr>
            <w:tcW w:w="920" w:type="dxa"/>
            <w:vMerge w:val="continue"/>
            <w:tcBorders>
              <w:top w:val="nil"/>
              <w:left w:val="nil"/>
              <w:bottom w:val="single" w:color="auto" w:sz="6" w:space="0"/>
              <w:right w:val="single" w:color="auto" w:sz="6" w:space="0"/>
            </w:tcBorders>
            <w:shd w:val="clear" w:color="auto" w:fill="FFFFFF"/>
            <w:tcMar>
              <w:top w:w="0" w:type="dxa"/>
              <w:left w:w="0" w:type="dxa"/>
              <w:bottom w:w="0" w:type="dxa"/>
              <w:right w:w="0" w:type="dxa"/>
            </w:tcMar>
            <w:vAlign w:val="center"/>
          </w:tcPr>
          <w:p>
            <w:pPr>
              <w:rPr>
                <w:rFonts w:hint="eastAsia" w:ascii="宋体"/>
                <w:sz w:val="24"/>
                <w:szCs w:val="24"/>
              </w:rPr>
            </w:pPr>
          </w:p>
        </w:tc>
        <w:tc>
          <w:tcPr>
            <w:tcW w:w="3871" w:type="dxa"/>
            <w:tcBorders>
              <w:top w:val="nil"/>
              <w:left w:val="nil"/>
              <w:bottom w:val="single" w:color="auto" w:sz="6" w:space="0"/>
              <w:right w:val="single" w:color="auto" w:sz="6" w:space="0"/>
            </w:tcBorders>
            <w:shd w:val="clear" w:color="auto" w:fill="FFFFFF"/>
            <w:tcMar>
              <w:top w:w="0" w:type="dxa"/>
              <w:left w:w="0" w:type="dxa"/>
              <w:bottom w:w="0" w:type="dxa"/>
              <w:right w:w="0" w:type="dxa"/>
            </w:tcMar>
            <w:vAlign w:val="center"/>
          </w:tcPr>
          <w:p>
            <w:pPr>
              <w:pStyle w:val="4"/>
              <w:keepNext w:val="0"/>
              <w:keepLines w:val="0"/>
              <w:widowControl/>
              <w:suppressLineNumbers w:val="0"/>
              <w:spacing w:line="273" w:lineRule="auto"/>
              <w:jc w:val="center"/>
            </w:pPr>
            <w:r>
              <w:rPr>
                <w:rFonts w:hint="eastAsia" w:ascii="宋体" w:hAnsi="宋体" w:eastAsia="宋体" w:cs="宋体"/>
                <w:sz w:val="28"/>
                <w:szCs w:val="28"/>
              </w:rPr>
              <w:t>计算机网络系统</w:t>
            </w:r>
          </w:p>
        </w:tc>
        <w:tc>
          <w:tcPr>
            <w:tcW w:w="557" w:type="dxa"/>
            <w:tcBorders>
              <w:top w:val="nil"/>
              <w:left w:val="nil"/>
              <w:bottom w:val="single" w:color="auto" w:sz="6" w:space="0"/>
              <w:right w:val="single" w:color="auto" w:sz="6" w:space="0"/>
            </w:tcBorders>
            <w:shd w:val="clear" w:color="auto" w:fill="FFFFFF"/>
            <w:tcMar>
              <w:top w:w="0" w:type="dxa"/>
              <w:left w:w="0" w:type="dxa"/>
              <w:bottom w:w="0" w:type="dxa"/>
              <w:right w:w="0" w:type="dxa"/>
            </w:tcMar>
            <w:vAlign w:val="center"/>
          </w:tcPr>
          <w:p>
            <w:pPr>
              <w:pStyle w:val="4"/>
              <w:keepNext w:val="0"/>
              <w:keepLines w:val="0"/>
              <w:widowControl/>
              <w:suppressLineNumbers w:val="0"/>
              <w:jc w:val="center"/>
            </w:pPr>
            <w:r>
              <w:rPr>
                <w:rFonts w:hint="eastAsia" w:ascii="宋体" w:hAnsi="宋体" w:eastAsia="宋体" w:cs="宋体"/>
                <w:sz w:val="28"/>
                <w:szCs w:val="28"/>
              </w:rPr>
              <w:t>1批</w:t>
            </w:r>
          </w:p>
        </w:tc>
        <w:tc>
          <w:tcPr>
            <w:tcW w:w="1403" w:type="dxa"/>
            <w:vMerge w:val="continue"/>
            <w:tcBorders>
              <w:top w:val="nil"/>
              <w:left w:val="nil"/>
              <w:bottom w:val="single" w:color="auto" w:sz="6" w:space="0"/>
              <w:right w:val="single" w:color="auto" w:sz="6" w:space="0"/>
            </w:tcBorders>
            <w:shd w:val="clear" w:color="auto" w:fill="FFFFFF"/>
            <w:tcMar>
              <w:top w:w="0" w:type="dxa"/>
              <w:left w:w="0" w:type="dxa"/>
              <w:bottom w:w="0" w:type="dxa"/>
              <w:right w:w="0" w:type="dxa"/>
            </w:tcMar>
            <w:vAlign w:val="center"/>
          </w:tcPr>
          <w:p>
            <w:pPr>
              <w:rPr>
                <w:rFonts w:hint="eastAsia" w:ascii="宋体"/>
                <w:sz w:val="24"/>
                <w:szCs w:val="24"/>
              </w:rPr>
            </w:pPr>
          </w:p>
        </w:tc>
        <w:tc>
          <w:tcPr>
            <w:tcW w:w="1557" w:type="dxa"/>
            <w:vMerge w:val="continue"/>
            <w:tcBorders>
              <w:top w:val="nil"/>
              <w:left w:val="nil"/>
              <w:bottom w:val="single" w:color="auto" w:sz="6" w:space="0"/>
              <w:right w:val="single" w:color="auto" w:sz="6" w:space="0"/>
            </w:tcBorders>
            <w:shd w:val="clear" w:color="auto" w:fill="FFFFFF"/>
            <w:tcMar>
              <w:top w:w="0" w:type="dxa"/>
              <w:left w:w="0" w:type="dxa"/>
              <w:bottom w:w="0" w:type="dxa"/>
              <w:right w:w="0" w:type="dxa"/>
            </w:tcMar>
            <w:vAlign w:val="center"/>
          </w:tcPr>
          <w:p>
            <w:pPr>
              <w:rPr>
                <w:rFonts w:hint="eastAsia" w:ascii="宋体"/>
                <w:sz w:val="24"/>
                <w:szCs w:val="24"/>
              </w:rPr>
            </w:pPr>
          </w:p>
        </w:tc>
      </w:tr>
      <w:tr>
        <w:trPr>
          <w:trHeight w:val="780" w:hRule="atLeast"/>
          <w:tblCellSpacing w:w="15" w:type="dxa"/>
        </w:trPr>
        <w:tc>
          <w:tcPr>
            <w:tcW w:w="914" w:type="dxa"/>
            <w:vMerge w:val="continue"/>
            <w:tcBorders>
              <w:top w:val="nil"/>
              <w:left w:val="single" w:color="auto" w:sz="6" w:space="0"/>
              <w:bottom w:val="single" w:color="auto" w:sz="6" w:space="0"/>
              <w:right w:val="single" w:color="auto" w:sz="6" w:space="0"/>
            </w:tcBorders>
            <w:shd w:val="clear" w:color="auto" w:fill="FFFFFF"/>
            <w:tcMar>
              <w:top w:w="0" w:type="dxa"/>
              <w:left w:w="0" w:type="dxa"/>
              <w:bottom w:w="0" w:type="dxa"/>
              <w:right w:w="0" w:type="dxa"/>
            </w:tcMar>
            <w:vAlign w:val="center"/>
          </w:tcPr>
          <w:p>
            <w:pPr>
              <w:rPr>
                <w:rFonts w:hint="eastAsia" w:ascii="宋体"/>
                <w:sz w:val="24"/>
                <w:szCs w:val="24"/>
              </w:rPr>
            </w:pPr>
          </w:p>
        </w:tc>
        <w:tc>
          <w:tcPr>
            <w:tcW w:w="920" w:type="dxa"/>
            <w:vMerge w:val="restart"/>
            <w:tcBorders>
              <w:top w:val="nil"/>
              <w:left w:val="nil"/>
              <w:bottom w:val="single" w:color="auto" w:sz="6" w:space="0"/>
              <w:right w:val="single" w:color="auto" w:sz="6" w:space="0"/>
            </w:tcBorders>
            <w:shd w:val="clear" w:color="auto" w:fill="FFFFFF"/>
            <w:tcMar>
              <w:top w:w="0" w:type="dxa"/>
              <w:left w:w="0" w:type="dxa"/>
              <w:bottom w:w="0" w:type="dxa"/>
              <w:right w:w="0" w:type="dxa"/>
            </w:tcMar>
            <w:vAlign w:val="center"/>
          </w:tcPr>
          <w:p>
            <w:pPr>
              <w:pStyle w:val="4"/>
              <w:keepNext w:val="0"/>
              <w:keepLines w:val="0"/>
              <w:widowControl/>
              <w:suppressLineNumbers w:val="0"/>
              <w:jc w:val="center"/>
            </w:pPr>
            <w:r>
              <w:rPr>
                <w:rFonts w:hint="eastAsia" w:ascii="宋体" w:hAnsi="宋体" w:eastAsia="宋体" w:cs="宋体"/>
                <w:sz w:val="28"/>
                <w:szCs w:val="28"/>
              </w:rPr>
              <w:t>1-2</w:t>
            </w:r>
          </w:p>
        </w:tc>
        <w:tc>
          <w:tcPr>
            <w:tcW w:w="3871" w:type="dxa"/>
            <w:tcBorders>
              <w:top w:val="nil"/>
              <w:left w:val="nil"/>
              <w:bottom w:val="single" w:color="auto" w:sz="6" w:space="0"/>
              <w:right w:val="single" w:color="auto" w:sz="6" w:space="0"/>
            </w:tcBorders>
            <w:shd w:val="clear" w:color="auto" w:fill="FFFFFF"/>
            <w:tcMar>
              <w:top w:w="0" w:type="dxa"/>
              <w:left w:w="0" w:type="dxa"/>
              <w:bottom w:w="0" w:type="dxa"/>
              <w:right w:w="0" w:type="dxa"/>
            </w:tcMar>
            <w:vAlign w:val="center"/>
          </w:tcPr>
          <w:p>
            <w:pPr>
              <w:pStyle w:val="4"/>
              <w:keepNext w:val="0"/>
              <w:keepLines w:val="0"/>
              <w:widowControl/>
              <w:suppressLineNumbers w:val="0"/>
              <w:spacing w:line="273" w:lineRule="auto"/>
              <w:jc w:val="center"/>
            </w:pPr>
            <w:r>
              <w:rPr>
                <w:rFonts w:hint="eastAsia" w:ascii="宋体" w:hAnsi="宋体" w:eastAsia="宋体" w:cs="宋体"/>
                <w:sz w:val="28"/>
                <w:szCs w:val="28"/>
              </w:rPr>
              <w:t>多媒体会议系统</w:t>
            </w:r>
          </w:p>
        </w:tc>
        <w:tc>
          <w:tcPr>
            <w:tcW w:w="557" w:type="dxa"/>
            <w:tcBorders>
              <w:top w:val="nil"/>
              <w:left w:val="nil"/>
              <w:bottom w:val="single" w:color="auto" w:sz="6" w:space="0"/>
              <w:right w:val="single" w:color="auto" w:sz="6" w:space="0"/>
            </w:tcBorders>
            <w:shd w:val="clear" w:color="auto" w:fill="FFFFFF"/>
            <w:tcMar>
              <w:top w:w="0" w:type="dxa"/>
              <w:left w:w="0" w:type="dxa"/>
              <w:bottom w:w="0" w:type="dxa"/>
              <w:right w:w="0" w:type="dxa"/>
            </w:tcMar>
            <w:vAlign w:val="center"/>
          </w:tcPr>
          <w:p>
            <w:pPr>
              <w:pStyle w:val="4"/>
              <w:keepNext w:val="0"/>
              <w:keepLines w:val="0"/>
              <w:widowControl/>
              <w:suppressLineNumbers w:val="0"/>
              <w:jc w:val="center"/>
            </w:pPr>
            <w:r>
              <w:rPr>
                <w:rFonts w:hint="eastAsia" w:ascii="宋体" w:hAnsi="宋体" w:eastAsia="宋体" w:cs="宋体"/>
                <w:sz w:val="28"/>
                <w:szCs w:val="28"/>
              </w:rPr>
              <w:t>1批</w:t>
            </w:r>
          </w:p>
        </w:tc>
        <w:tc>
          <w:tcPr>
            <w:tcW w:w="1403" w:type="dxa"/>
            <w:vMerge w:val="restart"/>
            <w:tcBorders>
              <w:top w:val="nil"/>
              <w:left w:val="nil"/>
              <w:bottom w:val="single" w:color="auto" w:sz="6" w:space="0"/>
              <w:right w:val="single" w:color="auto" w:sz="6" w:space="0"/>
            </w:tcBorders>
            <w:shd w:val="clear" w:color="auto" w:fill="FFFFFF"/>
            <w:tcMar>
              <w:top w:w="0" w:type="dxa"/>
              <w:left w:w="0" w:type="dxa"/>
              <w:bottom w:w="0" w:type="dxa"/>
              <w:right w:w="0" w:type="dxa"/>
            </w:tcMar>
            <w:vAlign w:val="center"/>
          </w:tcPr>
          <w:p>
            <w:pPr>
              <w:pStyle w:val="4"/>
              <w:keepNext w:val="0"/>
              <w:keepLines w:val="0"/>
              <w:widowControl/>
              <w:suppressLineNumbers w:val="0"/>
              <w:jc w:val="center"/>
            </w:pPr>
            <w:r>
              <w:rPr>
                <w:rFonts w:hint="eastAsia" w:ascii="宋体" w:hAnsi="宋体" w:eastAsia="宋体" w:cs="宋体"/>
                <w:sz w:val="28"/>
                <w:szCs w:val="28"/>
              </w:rPr>
              <w:t>3,189,300</w:t>
            </w:r>
          </w:p>
        </w:tc>
        <w:tc>
          <w:tcPr>
            <w:tcW w:w="1557" w:type="dxa"/>
            <w:vMerge w:val="continue"/>
            <w:tcBorders>
              <w:top w:val="nil"/>
              <w:left w:val="nil"/>
              <w:bottom w:val="single" w:color="auto" w:sz="6" w:space="0"/>
              <w:right w:val="single" w:color="auto" w:sz="6" w:space="0"/>
            </w:tcBorders>
            <w:shd w:val="clear" w:color="auto" w:fill="FFFFFF"/>
            <w:tcMar>
              <w:top w:w="0" w:type="dxa"/>
              <w:left w:w="0" w:type="dxa"/>
              <w:bottom w:w="0" w:type="dxa"/>
              <w:right w:w="0" w:type="dxa"/>
            </w:tcMar>
            <w:vAlign w:val="center"/>
          </w:tcPr>
          <w:p>
            <w:pPr>
              <w:rPr>
                <w:rFonts w:hint="eastAsia" w:ascii="宋体"/>
                <w:sz w:val="24"/>
                <w:szCs w:val="24"/>
              </w:rPr>
            </w:pPr>
          </w:p>
        </w:tc>
      </w:tr>
      <w:tr>
        <w:trPr>
          <w:trHeight w:val="900" w:hRule="atLeast"/>
          <w:tblCellSpacing w:w="15" w:type="dxa"/>
        </w:trPr>
        <w:tc>
          <w:tcPr>
            <w:tcW w:w="914" w:type="dxa"/>
            <w:vMerge w:val="continue"/>
            <w:tcBorders>
              <w:top w:val="nil"/>
              <w:left w:val="single" w:color="auto" w:sz="6" w:space="0"/>
              <w:bottom w:val="single" w:color="auto" w:sz="6" w:space="0"/>
              <w:right w:val="single" w:color="auto" w:sz="6" w:space="0"/>
            </w:tcBorders>
            <w:shd w:val="clear" w:color="auto" w:fill="FFFFFF"/>
            <w:tcMar>
              <w:top w:w="0" w:type="dxa"/>
              <w:left w:w="0" w:type="dxa"/>
              <w:bottom w:w="0" w:type="dxa"/>
              <w:right w:w="0" w:type="dxa"/>
            </w:tcMar>
            <w:vAlign w:val="center"/>
          </w:tcPr>
          <w:p>
            <w:pPr>
              <w:rPr>
                <w:rFonts w:hint="eastAsia" w:ascii="宋体"/>
                <w:sz w:val="24"/>
                <w:szCs w:val="24"/>
              </w:rPr>
            </w:pPr>
          </w:p>
        </w:tc>
        <w:tc>
          <w:tcPr>
            <w:tcW w:w="920" w:type="dxa"/>
            <w:vMerge w:val="continue"/>
            <w:tcBorders>
              <w:top w:val="nil"/>
              <w:left w:val="nil"/>
              <w:bottom w:val="single" w:color="auto" w:sz="6" w:space="0"/>
              <w:right w:val="single" w:color="auto" w:sz="6" w:space="0"/>
            </w:tcBorders>
            <w:shd w:val="clear" w:color="auto" w:fill="FFFFFF"/>
            <w:tcMar>
              <w:top w:w="0" w:type="dxa"/>
              <w:left w:w="0" w:type="dxa"/>
              <w:bottom w:w="0" w:type="dxa"/>
              <w:right w:w="0" w:type="dxa"/>
            </w:tcMar>
            <w:vAlign w:val="center"/>
          </w:tcPr>
          <w:p>
            <w:pPr>
              <w:rPr>
                <w:rFonts w:hint="eastAsia" w:ascii="宋体"/>
                <w:sz w:val="24"/>
                <w:szCs w:val="24"/>
              </w:rPr>
            </w:pPr>
          </w:p>
        </w:tc>
        <w:tc>
          <w:tcPr>
            <w:tcW w:w="3871" w:type="dxa"/>
            <w:tcBorders>
              <w:top w:val="nil"/>
              <w:left w:val="nil"/>
              <w:bottom w:val="single" w:color="auto" w:sz="6" w:space="0"/>
              <w:right w:val="single" w:color="auto" w:sz="6" w:space="0"/>
            </w:tcBorders>
            <w:shd w:val="clear" w:color="auto" w:fill="FFFFFF"/>
            <w:tcMar>
              <w:top w:w="0" w:type="dxa"/>
              <w:left w:w="0" w:type="dxa"/>
              <w:bottom w:w="0" w:type="dxa"/>
              <w:right w:w="0" w:type="dxa"/>
            </w:tcMar>
            <w:vAlign w:val="center"/>
          </w:tcPr>
          <w:p>
            <w:pPr>
              <w:pStyle w:val="4"/>
              <w:keepNext w:val="0"/>
              <w:keepLines w:val="0"/>
              <w:widowControl/>
              <w:suppressLineNumbers w:val="0"/>
              <w:spacing w:line="273" w:lineRule="auto"/>
              <w:jc w:val="center"/>
            </w:pPr>
            <w:r>
              <w:rPr>
                <w:rFonts w:hint="eastAsia" w:ascii="宋体" w:hAnsi="宋体" w:eastAsia="宋体" w:cs="宋体"/>
                <w:sz w:val="28"/>
                <w:szCs w:val="28"/>
              </w:rPr>
              <w:t>公共资源交易中心监控系统</w:t>
            </w:r>
          </w:p>
        </w:tc>
        <w:tc>
          <w:tcPr>
            <w:tcW w:w="557" w:type="dxa"/>
            <w:tcBorders>
              <w:top w:val="nil"/>
              <w:left w:val="nil"/>
              <w:bottom w:val="single" w:color="auto" w:sz="6" w:space="0"/>
              <w:right w:val="single" w:color="auto" w:sz="6" w:space="0"/>
            </w:tcBorders>
            <w:shd w:val="clear" w:color="auto" w:fill="FFFFFF"/>
            <w:tcMar>
              <w:top w:w="0" w:type="dxa"/>
              <w:left w:w="0" w:type="dxa"/>
              <w:bottom w:w="0" w:type="dxa"/>
              <w:right w:w="0" w:type="dxa"/>
            </w:tcMar>
            <w:vAlign w:val="center"/>
          </w:tcPr>
          <w:p>
            <w:pPr>
              <w:pStyle w:val="4"/>
              <w:keepNext w:val="0"/>
              <w:keepLines w:val="0"/>
              <w:widowControl/>
              <w:suppressLineNumbers w:val="0"/>
              <w:jc w:val="center"/>
            </w:pPr>
            <w:r>
              <w:rPr>
                <w:rFonts w:hint="eastAsia" w:ascii="宋体" w:hAnsi="宋体" w:eastAsia="宋体" w:cs="宋体"/>
                <w:sz w:val="28"/>
                <w:szCs w:val="28"/>
              </w:rPr>
              <w:t>1批</w:t>
            </w:r>
          </w:p>
        </w:tc>
        <w:tc>
          <w:tcPr>
            <w:tcW w:w="1403" w:type="dxa"/>
            <w:vMerge w:val="continue"/>
            <w:tcBorders>
              <w:top w:val="nil"/>
              <w:left w:val="nil"/>
              <w:bottom w:val="single" w:color="auto" w:sz="6" w:space="0"/>
              <w:right w:val="single" w:color="auto" w:sz="6" w:space="0"/>
            </w:tcBorders>
            <w:shd w:val="clear" w:color="auto" w:fill="FFFFFF"/>
            <w:tcMar>
              <w:top w:w="0" w:type="dxa"/>
              <w:left w:w="0" w:type="dxa"/>
              <w:bottom w:w="0" w:type="dxa"/>
              <w:right w:w="0" w:type="dxa"/>
            </w:tcMar>
            <w:vAlign w:val="center"/>
          </w:tcPr>
          <w:p>
            <w:pPr>
              <w:rPr>
                <w:rFonts w:hint="eastAsia" w:ascii="宋体"/>
                <w:sz w:val="24"/>
                <w:szCs w:val="24"/>
              </w:rPr>
            </w:pPr>
          </w:p>
        </w:tc>
        <w:tc>
          <w:tcPr>
            <w:tcW w:w="1557" w:type="dxa"/>
            <w:vMerge w:val="continue"/>
            <w:tcBorders>
              <w:top w:val="nil"/>
              <w:left w:val="nil"/>
              <w:bottom w:val="single" w:color="auto" w:sz="6" w:space="0"/>
              <w:right w:val="single" w:color="auto" w:sz="6" w:space="0"/>
            </w:tcBorders>
            <w:shd w:val="clear" w:color="auto" w:fill="FFFFFF"/>
            <w:tcMar>
              <w:top w:w="0" w:type="dxa"/>
              <w:left w:w="0" w:type="dxa"/>
              <w:bottom w:w="0" w:type="dxa"/>
              <w:right w:w="0" w:type="dxa"/>
            </w:tcMar>
            <w:vAlign w:val="center"/>
          </w:tcPr>
          <w:p>
            <w:pPr>
              <w:rPr>
                <w:rFonts w:hint="eastAsia" w:ascii="宋体"/>
                <w:sz w:val="24"/>
                <w:szCs w:val="24"/>
              </w:rPr>
            </w:pPr>
          </w:p>
        </w:tc>
      </w:tr>
      <w:tr>
        <w:trPr>
          <w:trHeight w:val="960" w:hRule="atLeast"/>
          <w:tblCellSpacing w:w="15" w:type="dxa"/>
        </w:trPr>
        <w:tc>
          <w:tcPr>
            <w:tcW w:w="914" w:type="dxa"/>
            <w:vMerge w:val="continue"/>
            <w:tcBorders>
              <w:top w:val="nil"/>
              <w:left w:val="single" w:color="auto" w:sz="6" w:space="0"/>
              <w:bottom w:val="single" w:color="auto" w:sz="6" w:space="0"/>
              <w:right w:val="single" w:color="auto" w:sz="6" w:space="0"/>
            </w:tcBorders>
            <w:shd w:val="clear" w:color="auto" w:fill="FFFFFF"/>
            <w:tcMar>
              <w:top w:w="0" w:type="dxa"/>
              <w:left w:w="0" w:type="dxa"/>
              <w:bottom w:w="0" w:type="dxa"/>
              <w:right w:w="0" w:type="dxa"/>
            </w:tcMar>
            <w:vAlign w:val="center"/>
          </w:tcPr>
          <w:p>
            <w:pPr>
              <w:rPr>
                <w:rFonts w:hint="eastAsia" w:ascii="宋体"/>
                <w:sz w:val="24"/>
                <w:szCs w:val="24"/>
              </w:rPr>
            </w:pPr>
          </w:p>
        </w:tc>
        <w:tc>
          <w:tcPr>
            <w:tcW w:w="920" w:type="dxa"/>
            <w:vMerge w:val="continue"/>
            <w:tcBorders>
              <w:top w:val="nil"/>
              <w:left w:val="nil"/>
              <w:bottom w:val="single" w:color="auto" w:sz="6" w:space="0"/>
              <w:right w:val="single" w:color="auto" w:sz="6" w:space="0"/>
            </w:tcBorders>
            <w:shd w:val="clear" w:color="auto" w:fill="FFFFFF"/>
            <w:tcMar>
              <w:top w:w="0" w:type="dxa"/>
              <w:left w:w="0" w:type="dxa"/>
              <w:bottom w:w="0" w:type="dxa"/>
              <w:right w:w="0" w:type="dxa"/>
            </w:tcMar>
            <w:vAlign w:val="center"/>
          </w:tcPr>
          <w:p>
            <w:pPr>
              <w:rPr>
                <w:rFonts w:hint="eastAsia" w:ascii="宋体"/>
                <w:sz w:val="24"/>
                <w:szCs w:val="24"/>
              </w:rPr>
            </w:pPr>
          </w:p>
        </w:tc>
        <w:tc>
          <w:tcPr>
            <w:tcW w:w="3871" w:type="dxa"/>
            <w:tcBorders>
              <w:top w:val="nil"/>
              <w:left w:val="nil"/>
              <w:bottom w:val="single" w:color="auto" w:sz="6" w:space="0"/>
              <w:right w:val="single" w:color="auto" w:sz="6" w:space="0"/>
            </w:tcBorders>
            <w:shd w:val="clear" w:color="auto" w:fill="FFFFFF"/>
            <w:tcMar>
              <w:top w:w="0" w:type="dxa"/>
              <w:left w:w="0" w:type="dxa"/>
              <w:bottom w:w="0" w:type="dxa"/>
              <w:right w:w="0" w:type="dxa"/>
            </w:tcMar>
            <w:vAlign w:val="center"/>
          </w:tcPr>
          <w:p>
            <w:pPr>
              <w:pStyle w:val="4"/>
              <w:keepNext w:val="0"/>
              <w:keepLines w:val="0"/>
              <w:widowControl/>
              <w:suppressLineNumbers w:val="0"/>
              <w:spacing w:line="273" w:lineRule="auto"/>
              <w:jc w:val="center"/>
            </w:pPr>
            <w:r>
              <w:rPr>
                <w:rFonts w:hint="eastAsia" w:ascii="宋体" w:hAnsi="宋体" w:eastAsia="宋体" w:cs="宋体"/>
                <w:b w:val="0"/>
                <w:sz w:val="28"/>
                <w:szCs w:val="28"/>
              </w:rPr>
              <w:t>公共资源交易中心门禁系统</w:t>
            </w:r>
          </w:p>
        </w:tc>
        <w:tc>
          <w:tcPr>
            <w:tcW w:w="557" w:type="dxa"/>
            <w:tcBorders>
              <w:top w:val="nil"/>
              <w:left w:val="nil"/>
              <w:bottom w:val="single" w:color="auto" w:sz="6" w:space="0"/>
              <w:right w:val="single" w:color="auto" w:sz="6" w:space="0"/>
            </w:tcBorders>
            <w:shd w:val="clear" w:color="auto" w:fill="FFFFFF"/>
            <w:tcMar>
              <w:top w:w="0" w:type="dxa"/>
              <w:left w:w="0" w:type="dxa"/>
              <w:bottom w:w="0" w:type="dxa"/>
              <w:right w:w="0" w:type="dxa"/>
            </w:tcMar>
            <w:vAlign w:val="center"/>
          </w:tcPr>
          <w:p>
            <w:pPr>
              <w:pStyle w:val="4"/>
              <w:keepNext w:val="0"/>
              <w:keepLines w:val="0"/>
              <w:widowControl/>
              <w:suppressLineNumbers w:val="0"/>
              <w:jc w:val="center"/>
            </w:pPr>
            <w:r>
              <w:rPr>
                <w:rFonts w:hint="eastAsia" w:ascii="宋体" w:hAnsi="宋体" w:eastAsia="宋体" w:cs="宋体"/>
                <w:sz w:val="28"/>
                <w:szCs w:val="28"/>
              </w:rPr>
              <w:t>1批</w:t>
            </w:r>
          </w:p>
        </w:tc>
        <w:tc>
          <w:tcPr>
            <w:tcW w:w="1403" w:type="dxa"/>
            <w:vMerge w:val="continue"/>
            <w:tcBorders>
              <w:top w:val="nil"/>
              <w:left w:val="nil"/>
              <w:bottom w:val="single" w:color="auto" w:sz="6" w:space="0"/>
              <w:right w:val="single" w:color="auto" w:sz="6" w:space="0"/>
            </w:tcBorders>
            <w:shd w:val="clear" w:color="auto" w:fill="FFFFFF"/>
            <w:tcMar>
              <w:top w:w="0" w:type="dxa"/>
              <w:left w:w="0" w:type="dxa"/>
              <w:bottom w:w="0" w:type="dxa"/>
              <w:right w:w="0" w:type="dxa"/>
            </w:tcMar>
            <w:vAlign w:val="center"/>
          </w:tcPr>
          <w:p>
            <w:pPr>
              <w:rPr>
                <w:rFonts w:hint="eastAsia" w:ascii="宋体"/>
                <w:sz w:val="24"/>
                <w:szCs w:val="24"/>
              </w:rPr>
            </w:pPr>
          </w:p>
        </w:tc>
        <w:tc>
          <w:tcPr>
            <w:tcW w:w="1557" w:type="dxa"/>
            <w:vMerge w:val="continue"/>
            <w:tcBorders>
              <w:top w:val="nil"/>
              <w:left w:val="nil"/>
              <w:bottom w:val="single" w:color="auto" w:sz="6" w:space="0"/>
              <w:right w:val="single" w:color="auto" w:sz="6" w:space="0"/>
            </w:tcBorders>
            <w:shd w:val="clear" w:color="auto" w:fill="FFFFFF"/>
            <w:tcMar>
              <w:top w:w="0" w:type="dxa"/>
              <w:left w:w="0" w:type="dxa"/>
              <w:bottom w:w="0" w:type="dxa"/>
              <w:right w:w="0" w:type="dxa"/>
            </w:tcMar>
            <w:vAlign w:val="center"/>
          </w:tcPr>
          <w:p>
            <w:pPr>
              <w:rPr>
                <w:rFonts w:hint="eastAsia" w:ascii="宋体"/>
                <w:sz w:val="24"/>
                <w:szCs w:val="24"/>
              </w:rPr>
            </w:pPr>
          </w:p>
        </w:tc>
      </w:tr>
      <w:tr>
        <w:trPr>
          <w:trHeight w:val="555" w:hRule="atLeast"/>
          <w:tblCellSpacing w:w="15" w:type="dxa"/>
        </w:trPr>
        <w:tc>
          <w:tcPr>
            <w:tcW w:w="914" w:type="dxa"/>
            <w:vMerge w:val="continue"/>
            <w:tcBorders>
              <w:top w:val="nil"/>
              <w:left w:val="single" w:color="auto" w:sz="6" w:space="0"/>
              <w:bottom w:val="single" w:color="auto" w:sz="6" w:space="0"/>
              <w:right w:val="single" w:color="auto" w:sz="6" w:space="0"/>
            </w:tcBorders>
            <w:shd w:val="clear" w:color="auto" w:fill="FFFFFF"/>
            <w:tcMar>
              <w:top w:w="0" w:type="dxa"/>
              <w:left w:w="0" w:type="dxa"/>
              <w:bottom w:w="0" w:type="dxa"/>
              <w:right w:w="0" w:type="dxa"/>
            </w:tcMar>
            <w:vAlign w:val="center"/>
          </w:tcPr>
          <w:p>
            <w:pPr>
              <w:rPr>
                <w:rFonts w:hint="eastAsia" w:ascii="宋体"/>
                <w:sz w:val="24"/>
                <w:szCs w:val="24"/>
              </w:rPr>
            </w:pPr>
          </w:p>
        </w:tc>
        <w:tc>
          <w:tcPr>
            <w:tcW w:w="920" w:type="dxa"/>
            <w:vMerge w:val="continue"/>
            <w:tcBorders>
              <w:top w:val="nil"/>
              <w:left w:val="nil"/>
              <w:bottom w:val="single" w:color="auto" w:sz="6" w:space="0"/>
              <w:right w:val="single" w:color="auto" w:sz="6" w:space="0"/>
            </w:tcBorders>
            <w:shd w:val="clear" w:color="auto" w:fill="FFFFFF"/>
            <w:tcMar>
              <w:top w:w="0" w:type="dxa"/>
              <w:left w:w="0" w:type="dxa"/>
              <w:bottom w:w="0" w:type="dxa"/>
              <w:right w:w="0" w:type="dxa"/>
            </w:tcMar>
            <w:vAlign w:val="center"/>
          </w:tcPr>
          <w:p>
            <w:pPr>
              <w:rPr>
                <w:rFonts w:hint="eastAsia" w:ascii="宋体"/>
                <w:sz w:val="24"/>
                <w:szCs w:val="24"/>
              </w:rPr>
            </w:pPr>
          </w:p>
        </w:tc>
        <w:tc>
          <w:tcPr>
            <w:tcW w:w="3871" w:type="dxa"/>
            <w:tcBorders>
              <w:top w:val="nil"/>
              <w:left w:val="nil"/>
              <w:bottom w:val="single" w:color="auto" w:sz="6" w:space="0"/>
              <w:right w:val="single" w:color="auto" w:sz="6" w:space="0"/>
            </w:tcBorders>
            <w:shd w:val="clear" w:color="auto" w:fill="FFFFFF"/>
            <w:tcMar>
              <w:top w:w="0" w:type="dxa"/>
              <w:left w:w="0" w:type="dxa"/>
              <w:bottom w:w="0" w:type="dxa"/>
              <w:right w:w="0" w:type="dxa"/>
            </w:tcMar>
            <w:vAlign w:val="center"/>
          </w:tcPr>
          <w:p>
            <w:pPr>
              <w:pStyle w:val="4"/>
              <w:keepNext w:val="0"/>
              <w:keepLines w:val="0"/>
              <w:widowControl/>
              <w:suppressLineNumbers w:val="0"/>
              <w:spacing w:line="273" w:lineRule="auto"/>
              <w:jc w:val="center"/>
            </w:pPr>
            <w:r>
              <w:rPr>
                <w:rFonts w:hint="eastAsia" w:ascii="宋体" w:hAnsi="宋体" w:eastAsia="宋体" w:cs="宋体"/>
                <w:b w:val="0"/>
                <w:sz w:val="28"/>
                <w:szCs w:val="28"/>
              </w:rPr>
              <w:t>机房管理系统</w:t>
            </w:r>
          </w:p>
        </w:tc>
        <w:tc>
          <w:tcPr>
            <w:tcW w:w="557" w:type="dxa"/>
            <w:tcBorders>
              <w:top w:val="nil"/>
              <w:left w:val="nil"/>
              <w:bottom w:val="single" w:color="auto" w:sz="6" w:space="0"/>
              <w:right w:val="single" w:color="auto" w:sz="6" w:space="0"/>
            </w:tcBorders>
            <w:shd w:val="clear" w:color="auto" w:fill="FFFFFF"/>
            <w:tcMar>
              <w:top w:w="0" w:type="dxa"/>
              <w:left w:w="0" w:type="dxa"/>
              <w:bottom w:w="0" w:type="dxa"/>
              <w:right w:w="0" w:type="dxa"/>
            </w:tcMar>
            <w:vAlign w:val="center"/>
          </w:tcPr>
          <w:p>
            <w:pPr>
              <w:pStyle w:val="4"/>
              <w:keepNext w:val="0"/>
              <w:keepLines w:val="0"/>
              <w:widowControl/>
              <w:suppressLineNumbers w:val="0"/>
              <w:jc w:val="center"/>
            </w:pPr>
            <w:r>
              <w:rPr>
                <w:rFonts w:hint="eastAsia" w:ascii="宋体" w:hAnsi="宋体" w:eastAsia="宋体" w:cs="宋体"/>
                <w:sz w:val="28"/>
                <w:szCs w:val="28"/>
              </w:rPr>
              <w:t>1批</w:t>
            </w:r>
          </w:p>
        </w:tc>
        <w:tc>
          <w:tcPr>
            <w:tcW w:w="1403" w:type="dxa"/>
            <w:vMerge w:val="continue"/>
            <w:tcBorders>
              <w:top w:val="nil"/>
              <w:left w:val="nil"/>
              <w:bottom w:val="single" w:color="auto" w:sz="6" w:space="0"/>
              <w:right w:val="single" w:color="auto" w:sz="6" w:space="0"/>
            </w:tcBorders>
            <w:shd w:val="clear" w:color="auto" w:fill="FFFFFF"/>
            <w:tcMar>
              <w:top w:w="0" w:type="dxa"/>
              <w:left w:w="0" w:type="dxa"/>
              <w:bottom w:w="0" w:type="dxa"/>
              <w:right w:w="0" w:type="dxa"/>
            </w:tcMar>
            <w:vAlign w:val="center"/>
          </w:tcPr>
          <w:p>
            <w:pPr>
              <w:rPr>
                <w:rFonts w:hint="eastAsia" w:ascii="宋体"/>
                <w:sz w:val="24"/>
                <w:szCs w:val="24"/>
              </w:rPr>
            </w:pPr>
          </w:p>
        </w:tc>
        <w:tc>
          <w:tcPr>
            <w:tcW w:w="1557" w:type="dxa"/>
            <w:vMerge w:val="continue"/>
            <w:tcBorders>
              <w:top w:val="nil"/>
              <w:left w:val="nil"/>
              <w:bottom w:val="single" w:color="auto" w:sz="6" w:space="0"/>
              <w:right w:val="single" w:color="auto" w:sz="6" w:space="0"/>
            </w:tcBorders>
            <w:shd w:val="clear" w:color="auto" w:fill="FFFFFF"/>
            <w:tcMar>
              <w:top w:w="0" w:type="dxa"/>
              <w:left w:w="0" w:type="dxa"/>
              <w:bottom w:w="0" w:type="dxa"/>
              <w:right w:w="0" w:type="dxa"/>
            </w:tcMar>
            <w:vAlign w:val="center"/>
          </w:tcPr>
          <w:p>
            <w:pPr>
              <w:rPr>
                <w:rFonts w:hint="eastAsia" w:ascii="宋体"/>
                <w:sz w:val="24"/>
                <w:szCs w:val="24"/>
              </w:rPr>
            </w:pPr>
          </w:p>
        </w:tc>
      </w:tr>
      <w:tr>
        <w:trPr>
          <w:trHeight w:val="675" w:hRule="atLeast"/>
          <w:tblCellSpacing w:w="15" w:type="dxa"/>
        </w:trPr>
        <w:tc>
          <w:tcPr>
            <w:tcW w:w="914" w:type="dxa"/>
            <w:tcBorders>
              <w:top w:val="nil"/>
              <w:left w:val="single" w:color="auto" w:sz="6" w:space="0"/>
              <w:bottom w:val="single" w:color="auto" w:sz="6" w:space="0"/>
              <w:right w:val="single" w:color="auto" w:sz="6" w:space="0"/>
            </w:tcBorders>
            <w:shd w:val="clear" w:color="auto" w:fill="FFFFFF"/>
            <w:tcMar>
              <w:top w:w="0" w:type="dxa"/>
              <w:left w:w="0" w:type="dxa"/>
              <w:bottom w:w="0" w:type="dxa"/>
              <w:right w:w="0" w:type="dxa"/>
            </w:tcMar>
            <w:vAlign w:val="center"/>
          </w:tcPr>
          <w:p>
            <w:pPr>
              <w:keepNext w:val="0"/>
              <w:keepLines w:val="0"/>
              <w:widowControl/>
              <w:suppressLineNumbers w:val="0"/>
              <w:jc w:val="left"/>
            </w:pPr>
          </w:p>
        </w:tc>
        <w:tc>
          <w:tcPr>
            <w:tcW w:w="920" w:type="dxa"/>
            <w:tcBorders>
              <w:top w:val="nil"/>
              <w:left w:val="nil"/>
              <w:bottom w:val="single" w:color="auto" w:sz="6" w:space="0"/>
              <w:right w:val="single" w:color="auto" w:sz="6" w:space="0"/>
            </w:tcBorders>
            <w:shd w:val="clear" w:color="auto" w:fill="FFFFFF"/>
            <w:tcMar>
              <w:top w:w="0" w:type="dxa"/>
              <w:left w:w="0" w:type="dxa"/>
              <w:bottom w:w="0" w:type="dxa"/>
              <w:right w:w="0" w:type="dxa"/>
            </w:tcMar>
            <w:vAlign w:val="center"/>
          </w:tcPr>
          <w:p>
            <w:pPr>
              <w:pStyle w:val="4"/>
              <w:keepNext w:val="0"/>
              <w:keepLines w:val="0"/>
              <w:widowControl/>
              <w:suppressLineNumbers w:val="0"/>
              <w:jc w:val="center"/>
            </w:pPr>
            <w:r>
              <w:rPr>
                <w:rFonts w:hint="eastAsia" w:ascii="宋体" w:hAnsi="宋体" w:eastAsia="宋体" w:cs="宋体"/>
                <w:sz w:val="24"/>
                <w:szCs w:val="24"/>
              </w:rPr>
              <w:t>1-3</w:t>
            </w:r>
          </w:p>
        </w:tc>
        <w:tc>
          <w:tcPr>
            <w:tcW w:w="3871" w:type="dxa"/>
            <w:tcBorders>
              <w:top w:val="nil"/>
              <w:left w:val="nil"/>
              <w:bottom w:val="single" w:color="auto" w:sz="6" w:space="0"/>
              <w:right w:val="single" w:color="auto" w:sz="6" w:space="0"/>
            </w:tcBorders>
            <w:shd w:val="clear" w:color="auto" w:fill="FFFFFF"/>
            <w:tcMar>
              <w:top w:w="0" w:type="dxa"/>
              <w:left w:w="0" w:type="dxa"/>
              <w:bottom w:w="0" w:type="dxa"/>
              <w:right w:w="0" w:type="dxa"/>
            </w:tcMar>
            <w:vAlign w:val="center"/>
          </w:tcPr>
          <w:p>
            <w:pPr>
              <w:pStyle w:val="4"/>
              <w:keepNext w:val="0"/>
              <w:keepLines w:val="0"/>
              <w:widowControl/>
              <w:suppressLineNumbers w:val="0"/>
              <w:spacing w:line="273" w:lineRule="auto"/>
              <w:jc w:val="center"/>
            </w:pPr>
            <w:r>
              <w:rPr>
                <w:rFonts w:hint="eastAsia" w:ascii="宋体" w:hAnsi="宋体" w:eastAsia="宋体" w:cs="宋体"/>
                <w:b w:val="0"/>
                <w:sz w:val="28"/>
                <w:szCs w:val="28"/>
              </w:rPr>
              <w:t>专业技能培训服务</w:t>
            </w:r>
          </w:p>
        </w:tc>
        <w:tc>
          <w:tcPr>
            <w:tcW w:w="557" w:type="dxa"/>
            <w:tcBorders>
              <w:top w:val="nil"/>
              <w:left w:val="nil"/>
              <w:bottom w:val="single" w:color="auto" w:sz="6" w:space="0"/>
              <w:right w:val="single" w:color="auto" w:sz="6" w:space="0"/>
            </w:tcBorders>
            <w:shd w:val="clear" w:color="auto" w:fill="FFFFFF"/>
            <w:tcMar>
              <w:top w:w="0" w:type="dxa"/>
              <w:left w:w="0" w:type="dxa"/>
              <w:bottom w:w="0" w:type="dxa"/>
              <w:right w:w="0" w:type="dxa"/>
            </w:tcMar>
            <w:vAlign w:val="center"/>
          </w:tcPr>
          <w:p>
            <w:pPr>
              <w:pStyle w:val="4"/>
              <w:keepNext w:val="0"/>
              <w:keepLines w:val="0"/>
              <w:widowControl/>
              <w:suppressLineNumbers w:val="0"/>
              <w:jc w:val="center"/>
            </w:pPr>
            <w:r>
              <w:rPr>
                <w:rFonts w:hint="eastAsia" w:ascii="宋体" w:hAnsi="宋体" w:eastAsia="宋体" w:cs="宋体"/>
                <w:sz w:val="28"/>
                <w:szCs w:val="28"/>
              </w:rPr>
              <w:t>1批</w:t>
            </w:r>
          </w:p>
        </w:tc>
        <w:tc>
          <w:tcPr>
            <w:tcW w:w="1403" w:type="dxa"/>
            <w:tcBorders>
              <w:top w:val="nil"/>
              <w:left w:val="nil"/>
              <w:bottom w:val="single" w:color="auto" w:sz="6" w:space="0"/>
              <w:right w:val="single" w:color="auto" w:sz="6" w:space="0"/>
            </w:tcBorders>
            <w:shd w:val="clear" w:color="auto" w:fill="FFFFFF"/>
            <w:tcMar>
              <w:top w:w="0" w:type="dxa"/>
              <w:left w:w="0" w:type="dxa"/>
              <w:bottom w:w="0" w:type="dxa"/>
              <w:right w:w="0" w:type="dxa"/>
            </w:tcMar>
            <w:vAlign w:val="center"/>
          </w:tcPr>
          <w:p>
            <w:pPr>
              <w:pStyle w:val="4"/>
              <w:keepNext w:val="0"/>
              <w:keepLines w:val="0"/>
              <w:widowControl/>
              <w:suppressLineNumbers w:val="0"/>
              <w:jc w:val="center"/>
            </w:pPr>
            <w:r>
              <w:rPr>
                <w:rFonts w:hint="eastAsia" w:ascii="宋体" w:hAnsi="宋体" w:eastAsia="宋体" w:cs="宋体"/>
                <w:sz w:val="24"/>
                <w:szCs w:val="24"/>
              </w:rPr>
              <w:t>103，000</w:t>
            </w:r>
          </w:p>
        </w:tc>
        <w:tc>
          <w:tcPr>
            <w:tcW w:w="1557" w:type="dxa"/>
            <w:vMerge w:val="continue"/>
            <w:tcBorders>
              <w:top w:val="nil"/>
              <w:left w:val="nil"/>
              <w:bottom w:val="single" w:color="auto" w:sz="6" w:space="0"/>
              <w:right w:val="single" w:color="auto" w:sz="6" w:space="0"/>
            </w:tcBorders>
            <w:shd w:val="clear" w:color="auto" w:fill="FFFFFF"/>
            <w:tcMar>
              <w:top w:w="0" w:type="dxa"/>
              <w:left w:w="0" w:type="dxa"/>
              <w:bottom w:w="0" w:type="dxa"/>
              <w:right w:w="0" w:type="dxa"/>
            </w:tcMar>
            <w:vAlign w:val="center"/>
          </w:tcPr>
          <w:p>
            <w:pPr>
              <w:rPr>
                <w:rFonts w:hint="eastAsia" w:ascii="宋体"/>
                <w:sz w:val="24"/>
                <w:szCs w:val="24"/>
              </w:rPr>
            </w:pPr>
          </w:p>
        </w:tc>
      </w:tr>
    </w:tbl>
    <w:p>
      <w:pPr>
        <w:pStyle w:val="4"/>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二、技术和服务要求</w:t>
      </w:r>
      <w:r>
        <w:rPr>
          <w:rStyle w:val="6"/>
          <w:rFonts w:hint="eastAsia" w:ascii="宋体" w:hAnsi="宋体" w:eastAsia="宋体" w:cs="宋体"/>
          <w:spacing w:val="0"/>
          <w:sz w:val="24"/>
          <w:szCs w:val="24"/>
        </w:rPr>
        <w:t>（以“★”标示的内容为不允许负偏离的实质性要求）</w:t>
      </w:r>
    </w:p>
    <w:p>
      <w:pPr>
        <w:pStyle w:val="4"/>
        <w:keepNext w:val="0"/>
        <w:keepLines w:val="0"/>
        <w:widowControl/>
        <w:suppressLineNumbers w:val="0"/>
        <w:jc w:val="left"/>
      </w:pPr>
      <w:r>
        <w:rPr>
          <w:rFonts w:hint="eastAsia" w:ascii="宋体" w:hAnsi="宋体" w:eastAsia="宋体" w:cs="宋体"/>
          <w:sz w:val="21"/>
          <w:szCs w:val="21"/>
        </w:rPr>
        <w:t>品目号1-1</w:t>
      </w:r>
    </w:p>
    <w:tbl>
      <w:tblPr>
        <w:tblStyle w:val="9"/>
        <w:tblW w:w="9210" w:type="dxa"/>
        <w:tblCellSpacing w:w="15"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15" w:type="dxa"/>
          <w:left w:w="15" w:type="dxa"/>
          <w:bottom w:w="15" w:type="dxa"/>
          <w:right w:w="15" w:type="dxa"/>
        </w:tblCellMar>
      </w:tblPr>
      <w:tblGrid>
        <w:gridCol w:w="111"/>
        <w:gridCol w:w="982"/>
        <w:gridCol w:w="1117"/>
        <w:gridCol w:w="559"/>
        <w:gridCol w:w="497"/>
        <w:gridCol w:w="5065"/>
        <w:gridCol w:w="879"/>
      </w:tblGrid>
      <w:tr>
        <w:trPr>
          <w:trHeight w:val="690" w:hRule="atLeast"/>
          <w:tblCellSpacing w:w="15" w:type="dxa"/>
        </w:trPr>
        <w:tc>
          <w:tcPr>
            <w:tcW w:w="9150" w:type="dxa"/>
            <w:gridSpan w:val="7"/>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top"/>
          </w:tcPr>
          <w:p>
            <w:pPr>
              <w:pStyle w:val="4"/>
              <w:keepNext w:val="0"/>
              <w:keepLines w:val="0"/>
              <w:widowControl/>
              <w:suppressLineNumbers w:val="0"/>
              <w:spacing w:line="255" w:lineRule="atLeast"/>
            </w:pPr>
            <w:r>
              <w:rPr>
                <w:rStyle w:val="6"/>
                <w:rFonts w:hint="eastAsia" w:ascii="宋体" w:hAnsi="宋体" w:eastAsia="宋体" w:cs="宋体"/>
                <w:b/>
              </w:rPr>
              <w:t>系统迁移</w:t>
            </w:r>
          </w:p>
        </w:tc>
      </w:tr>
      <w:tr>
        <w:trPr>
          <w:trHeight w:val="435" w:hRule="atLeast"/>
          <w:tblCellSpacing w:w="15" w:type="dxa"/>
        </w:trPr>
        <w:tc>
          <w:tcPr>
            <w:tcW w:w="1048" w:type="dxa"/>
            <w:gridSpan w:val="2"/>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255" w:lineRule="atLeast"/>
              <w:jc w:val="center"/>
            </w:pPr>
            <w:r>
              <w:rPr>
                <w:rStyle w:val="6"/>
                <w:rFonts w:hint="eastAsia" w:ascii="宋体" w:hAnsi="宋体" w:eastAsia="宋体" w:cs="宋体"/>
                <w:b/>
              </w:rPr>
              <w:t>品目号</w:t>
            </w:r>
          </w:p>
        </w:tc>
        <w:tc>
          <w:tcPr>
            <w:tcW w:w="1087"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255" w:lineRule="atLeast"/>
              <w:jc w:val="center"/>
            </w:pPr>
            <w:r>
              <w:rPr>
                <w:rStyle w:val="6"/>
                <w:rFonts w:hint="eastAsia" w:ascii="宋体" w:hAnsi="宋体" w:eastAsia="宋体" w:cs="宋体"/>
                <w:b/>
              </w:rPr>
              <w:t>设备名 称</w:t>
            </w:r>
          </w:p>
        </w:tc>
        <w:tc>
          <w:tcPr>
            <w:tcW w:w="529"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255" w:lineRule="atLeast"/>
              <w:jc w:val="center"/>
            </w:pPr>
            <w:r>
              <w:rPr>
                <w:rStyle w:val="6"/>
                <w:rFonts w:hint="eastAsia" w:ascii="宋体" w:hAnsi="宋体" w:eastAsia="宋体" w:cs="宋体"/>
                <w:b/>
              </w:rPr>
              <w:t>单位</w:t>
            </w:r>
          </w:p>
        </w:tc>
        <w:tc>
          <w:tcPr>
            <w:tcW w:w="467"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255" w:lineRule="atLeast"/>
              <w:jc w:val="center"/>
            </w:pPr>
            <w:r>
              <w:rPr>
                <w:rStyle w:val="6"/>
                <w:rFonts w:hint="eastAsia" w:ascii="宋体" w:hAnsi="宋体" w:eastAsia="宋体" w:cs="宋体"/>
                <w:b/>
              </w:rPr>
              <w:t>数量</w:t>
            </w:r>
          </w:p>
        </w:tc>
        <w:tc>
          <w:tcPr>
            <w:tcW w:w="503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255" w:lineRule="atLeast"/>
              <w:jc w:val="center"/>
            </w:pPr>
            <w:r>
              <w:rPr>
                <w:rStyle w:val="6"/>
                <w:rFonts w:hint="eastAsia" w:ascii="宋体" w:hAnsi="宋体" w:eastAsia="宋体" w:cs="宋体"/>
                <w:b/>
              </w:rPr>
              <w:t>技术参数（迁移、调试内容）</w:t>
            </w:r>
          </w:p>
        </w:tc>
        <w:tc>
          <w:tcPr>
            <w:tcW w:w="834"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255" w:lineRule="atLeast"/>
              <w:jc w:val="center"/>
            </w:pPr>
            <w:r>
              <w:rPr>
                <w:rStyle w:val="6"/>
                <w:rFonts w:hint="eastAsia" w:ascii="宋体" w:hAnsi="宋体" w:eastAsia="宋体" w:cs="宋体"/>
                <w:b/>
              </w:rPr>
              <w:t>备注</w:t>
            </w:r>
          </w:p>
        </w:tc>
      </w:tr>
      <w:tr>
        <w:trPr>
          <w:trHeight w:val="1875" w:hRule="atLeast"/>
          <w:tblCellSpacing w:w="15" w:type="dxa"/>
        </w:trPr>
        <w:tc>
          <w:tcPr>
            <w:tcW w:w="1048" w:type="dxa"/>
            <w:gridSpan w:val="2"/>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255" w:lineRule="atLeast"/>
              <w:jc w:val="center"/>
            </w:pPr>
            <w:r>
              <w:rPr>
                <w:rStyle w:val="6"/>
                <w:rFonts w:hint="eastAsia" w:ascii="宋体" w:hAnsi="宋体" w:eastAsia="宋体" w:cs="宋体"/>
                <w:b/>
              </w:rPr>
              <w:t>1-1-1</w:t>
            </w:r>
          </w:p>
        </w:tc>
        <w:tc>
          <w:tcPr>
            <w:tcW w:w="1087"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255" w:lineRule="atLeast"/>
            </w:pPr>
            <w:r>
              <w:rPr>
                <w:rFonts w:hint="eastAsia" w:ascii="宋体" w:hAnsi="宋体" w:eastAsia="宋体" w:cs="宋体"/>
                <w:sz w:val="24"/>
                <w:szCs w:val="24"/>
              </w:rPr>
              <w:t>大厅管理系统部署调试迁移（基础信息的梳理配置）</w:t>
            </w:r>
          </w:p>
        </w:tc>
        <w:tc>
          <w:tcPr>
            <w:tcW w:w="529"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255" w:lineRule="atLeast"/>
              <w:jc w:val="center"/>
            </w:pPr>
            <w:r>
              <w:rPr>
                <w:rFonts w:hint="eastAsia" w:ascii="宋体" w:hAnsi="宋体" w:eastAsia="宋体" w:cs="宋体"/>
                <w:sz w:val="24"/>
                <w:szCs w:val="24"/>
              </w:rPr>
              <w:t>套</w:t>
            </w:r>
          </w:p>
        </w:tc>
        <w:tc>
          <w:tcPr>
            <w:tcW w:w="467"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255" w:lineRule="atLeast"/>
              <w:jc w:val="center"/>
            </w:pPr>
            <w:r>
              <w:rPr>
                <w:rFonts w:hint="eastAsia" w:ascii="宋体" w:hAnsi="宋体" w:eastAsia="宋体" w:cs="宋体"/>
                <w:sz w:val="24"/>
                <w:szCs w:val="24"/>
              </w:rPr>
              <w:t>1</w:t>
            </w:r>
          </w:p>
        </w:tc>
        <w:tc>
          <w:tcPr>
            <w:tcW w:w="503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255" w:lineRule="atLeast"/>
            </w:pPr>
            <w:r>
              <w:rPr>
                <w:rFonts w:hint="eastAsia" w:ascii="宋体" w:hAnsi="宋体" w:eastAsia="宋体" w:cs="宋体"/>
                <w:sz w:val="24"/>
                <w:szCs w:val="24"/>
              </w:rPr>
              <w:t>1、服务部门管理：人员入驻管理、部门入驻联动管理、人员信息管理、窗口房间管理、事项接入管理、智能终端管理、评价内容管理、排队评价设置、通知管理、2、评价数据管理、统计分析</w:t>
            </w:r>
          </w:p>
          <w:p>
            <w:pPr>
              <w:pStyle w:val="4"/>
              <w:keepNext w:val="0"/>
              <w:keepLines w:val="0"/>
              <w:widowControl/>
              <w:suppressLineNumbers w:val="0"/>
              <w:spacing w:line="255" w:lineRule="atLeast"/>
            </w:pPr>
            <w:r>
              <w:rPr>
                <w:rFonts w:hint="eastAsia" w:ascii="宋体" w:hAnsi="宋体" w:eastAsia="宋体" w:cs="宋体"/>
                <w:sz w:val="24"/>
                <w:szCs w:val="24"/>
              </w:rPr>
              <w:t>3、大厅效能管理：荣誉评优、窗口综合考评、统计分析</w:t>
            </w:r>
          </w:p>
          <w:p>
            <w:pPr>
              <w:pStyle w:val="4"/>
              <w:keepNext w:val="0"/>
              <w:keepLines w:val="0"/>
              <w:widowControl/>
              <w:suppressLineNumbers w:val="0"/>
            </w:pPr>
            <w:r>
              <w:rPr>
                <w:rFonts w:hint="eastAsia" w:ascii="宋体" w:hAnsi="宋体" w:eastAsia="宋体" w:cs="宋体"/>
                <w:color w:val="000000"/>
                <w:sz w:val="21"/>
                <w:szCs w:val="21"/>
              </w:rPr>
              <w:t>4、无缝衔接至市   级行政服务中心大厅智能化 市网上办事大厅及自助终端的排队预约</w:t>
            </w:r>
          </w:p>
          <w:p>
            <w:pPr>
              <w:pStyle w:val="4"/>
              <w:keepNext w:val="0"/>
              <w:keepLines w:val="0"/>
              <w:widowControl/>
              <w:suppressLineNumbers w:val="0"/>
              <w:spacing w:line="255" w:lineRule="atLeast"/>
            </w:pPr>
            <w:r>
              <w:rPr>
                <w:rFonts w:hint="default" w:ascii="Calibri" w:hAnsi="Calibri" w:cs="Calibri"/>
                <w:sz w:val="24"/>
                <w:szCs w:val="24"/>
              </w:rPr>
              <w:t> </w:t>
            </w:r>
          </w:p>
        </w:tc>
        <w:tc>
          <w:tcPr>
            <w:tcW w:w="834"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tc>
      </w:tr>
      <w:tr>
        <w:trPr>
          <w:trHeight w:val="1770" w:hRule="atLeast"/>
          <w:tblCellSpacing w:w="15" w:type="dxa"/>
        </w:trPr>
        <w:tc>
          <w:tcPr>
            <w:tcW w:w="1048" w:type="dxa"/>
            <w:gridSpan w:val="2"/>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255" w:lineRule="atLeast"/>
              <w:jc w:val="center"/>
            </w:pPr>
            <w:r>
              <w:rPr>
                <w:rStyle w:val="6"/>
                <w:rFonts w:hint="eastAsia" w:ascii="宋体" w:hAnsi="宋体" w:eastAsia="宋体" w:cs="宋体"/>
                <w:b/>
              </w:rPr>
              <w:t>1-1-2</w:t>
            </w:r>
          </w:p>
        </w:tc>
        <w:tc>
          <w:tcPr>
            <w:tcW w:w="1087"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255" w:lineRule="atLeast"/>
            </w:pPr>
            <w:r>
              <w:rPr>
                <w:rFonts w:hint="eastAsia" w:ascii="宋体" w:hAnsi="宋体" w:eastAsia="宋体" w:cs="宋体"/>
                <w:sz w:val="24"/>
                <w:szCs w:val="24"/>
              </w:rPr>
              <w:t>排队叫号系统部署调试迁移（基础信息的梳理配置）</w:t>
            </w:r>
          </w:p>
        </w:tc>
        <w:tc>
          <w:tcPr>
            <w:tcW w:w="529"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255" w:lineRule="atLeast"/>
              <w:jc w:val="center"/>
            </w:pPr>
            <w:r>
              <w:rPr>
                <w:rFonts w:hint="eastAsia" w:ascii="宋体" w:hAnsi="宋体" w:eastAsia="宋体" w:cs="宋体"/>
                <w:sz w:val="24"/>
                <w:szCs w:val="24"/>
              </w:rPr>
              <w:t>套</w:t>
            </w:r>
          </w:p>
        </w:tc>
        <w:tc>
          <w:tcPr>
            <w:tcW w:w="467"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255" w:lineRule="atLeast"/>
            </w:pPr>
            <w:r>
              <w:rPr>
                <w:rFonts w:hint="eastAsia" w:ascii="宋体" w:hAnsi="宋体" w:eastAsia="宋体" w:cs="宋体"/>
                <w:sz w:val="24"/>
                <w:szCs w:val="24"/>
              </w:rPr>
              <w:t>1</w:t>
            </w:r>
          </w:p>
        </w:tc>
        <w:tc>
          <w:tcPr>
            <w:tcW w:w="503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255" w:lineRule="atLeast"/>
            </w:pPr>
            <w:r>
              <w:rPr>
                <w:rFonts w:hint="eastAsia" w:ascii="宋体" w:hAnsi="宋体" w:eastAsia="宋体" w:cs="宋体"/>
                <w:sz w:val="24"/>
                <w:szCs w:val="24"/>
              </w:rPr>
              <w:t>1、预约取号：预约入口、按时间段预约、预约数量的限制、窗口人员叫号</w:t>
            </w:r>
          </w:p>
          <w:p>
            <w:pPr>
              <w:pStyle w:val="4"/>
              <w:keepNext w:val="0"/>
              <w:keepLines w:val="0"/>
              <w:widowControl/>
              <w:suppressLineNumbers w:val="0"/>
              <w:spacing w:line="255" w:lineRule="atLeast"/>
            </w:pPr>
            <w:r>
              <w:rPr>
                <w:rFonts w:hint="eastAsia" w:ascii="宋体" w:hAnsi="宋体" w:eastAsia="宋体" w:cs="宋体"/>
                <w:sz w:val="24"/>
                <w:szCs w:val="24"/>
              </w:rPr>
              <w:t>2、排队取号（排队叫号实现跟福州政务服务一体化平台预约数据无缝衔接，实现预约排队的优先规则）</w:t>
            </w:r>
          </w:p>
          <w:p>
            <w:pPr>
              <w:pStyle w:val="4"/>
              <w:keepNext w:val="0"/>
              <w:keepLines w:val="0"/>
              <w:widowControl/>
              <w:suppressLineNumbers w:val="0"/>
              <w:spacing w:line="255" w:lineRule="atLeast"/>
            </w:pPr>
            <w:r>
              <w:rPr>
                <w:rFonts w:hint="eastAsia" w:ascii="宋体" w:hAnsi="宋体" w:eastAsia="宋体" w:cs="宋体"/>
                <w:sz w:val="24"/>
                <w:szCs w:val="24"/>
              </w:rPr>
              <w:t>3、虚拟叫号终端（叫号坐席支持呼叫、特呼、重呼、废弃、暂停/服务、截屏应用）</w:t>
            </w:r>
          </w:p>
          <w:p>
            <w:pPr>
              <w:pStyle w:val="4"/>
              <w:keepNext w:val="0"/>
              <w:keepLines w:val="0"/>
              <w:widowControl/>
              <w:suppressLineNumbers w:val="0"/>
            </w:pPr>
            <w:r>
              <w:rPr>
                <w:rFonts w:hint="eastAsia" w:ascii="宋体" w:hAnsi="宋体" w:eastAsia="宋体" w:cs="宋体"/>
                <w:color w:val="000000"/>
                <w:sz w:val="21"/>
                <w:szCs w:val="21"/>
              </w:rPr>
              <w:t>★</w:t>
            </w:r>
            <w:r>
              <w:rPr>
                <w:rFonts w:hint="default" w:ascii="Calibri" w:hAnsi="Calibri" w:cs="Calibri"/>
                <w:color w:val="000000"/>
                <w:sz w:val="21"/>
                <w:szCs w:val="21"/>
              </w:rPr>
              <w:t>4</w:t>
            </w:r>
            <w:r>
              <w:rPr>
                <w:rFonts w:hint="eastAsia" w:ascii="宋体" w:hAnsi="宋体" w:eastAsia="宋体" w:cs="宋体"/>
                <w:color w:val="000000"/>
                <w:sz w:val="21"/>
                <w:szCs w:val="21"/>
              </w:rPr>
              <w:t>投标人具有面向多种国产</w:t>
            </w:r>
            <w:r>
              <w:rPr>
                <w:rFonts w:hint="default" w:ascii="Calibri" w:hAnsi="Calibri" w:cs="Calibri"/>
                <w:color w:val="000000"/>
                <w:sz w:val="21"/>
                <w:szCs w:val="21"/>
              </w:rPr>
              <w:t>CPU</w:t>
            </w:r>
            <w:r>
              <w:rPr>
                <w:rFonts w:hint="eastAsia" w:ascii="宋体" w:hAnsi="宋体" w:eastAsia="宋体" w:cs="宋体"/>
                <w:color w:val="000000"/>
                <w:sz w:val="21"/>
                <w:szCs w:val="21"/>
              </w:rPr>
              <w:t>、</w:t>
            </w:r>
            <w:r>
              <w:rPr>
                <w:rFonts w:hint="default" w:ascii="Calibri" w:hAnsi="Calibri" w:cs="Calibri"/>
                <w:color w:val="000000"/>
                <w:sz w:val="21"/>
                <w:szCs w:val="21"/>
              </w:rPr>
              <w:t>OS</w:t>
            </w:r>
            <w:r>
              <w:rPr>
                <w:rFonts w:hint="eastAsia" w:ascii="宋体" w:hAnsi="宋体" w:eastAsia="宋体" w:cs="宋体"/>
                <w:color w:val="000000"/>
                <w:sz w:val="21"/>
                <w:szCs w:val="21"/>
              </w:rPr>
              <w:t>、数据库和中间件的运维监控管理系统计算机软件著作权登记证书，必须提供有效证书复印材料并加盖投标人公章</w:t>
            </w:r>
          </w:p>
          <w:p>
            <w:pPr>
              <w:pStyle w:val="4"/>
              <w:keepNext w:val="0"/>
              <w:keepLines w:val="0"/>
              <w:widowControl/>
              <w:suppressLineNumbers w:val="0"/>
              <w:spacing w:line="255" w:lineRule="atLeast"/>
            </w:pPr>
            <w:r>
              <w:rPr>
                <w:rFonts w:hint="default" w:ascii="Calibri" w:hAnsi="Calibri" w:cs="Calibri"/>
                <w:sz w:val="24"/>
                <w:szCs w:val="24"/>
              </w:rPr>
              <w:t> </w:t>
            </w:r>
          </w:p>
        </w:tc>
        <w:tc>
          <w:tcPr>
            <w:tcW w:w="834"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tc>
      </w:tr>
      <w:tr>
        <w:trPr>
          <w:trHeight w:val="1485" w:hRule="atLeast"/>
          <w:tblCellSpacing w:w="15" w:type="dxa"/>
        </w:trPr>
        <w:tc>
          <w:tcPr>
            <w:tcW w:w="1048" w:type="dxa"/>
            <w:gridSpan w:val="2"/>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255" w:lineRule="atLeast"/>
              <w:jc w:val="center"/>
            </w:pPr>
            <w:r>
              <w:rPr>
                <w:rStyle w:val="6"/>
                <w:rFonts w:hint="eastAsia" w:ascii="宋体" w:hAnsi="宋体" w:eastAsia="宋体" w:cs="宋体"/>
                <w:b/>
              </w:rPr>
              <w:t>1-1-3</w:t>
            </w:r>
          </w:p>
        </w:tc>
        <w:tc>
          <w:tcPr>
            <w:tcW w:w="1087"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255" w:lineRule="atLeast"/>
            </w:pPr>
            <w:r>
              <w:rPr>
                <w:rFonts w:hint="eastAsia" w:ascii="宋体" w:hAnsi="宋体" w:eastAsia="宋体" w:cs="宋体"/>
                <w:sz w:val="24"/>
                <w:szCs w:val="24"/>
              </w:rPr>
              <w:t>查询机系统部署调试迁移（基础信息的梳理配置）</w:t>
            </w:r>
          </w:p>
        </w:tc>
        <w:tc>
          <w:tcPr>
            <w:tcW w:w="529"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255" w:lineRule="atLeast"/>
              <w:jc w:val="center"/>
            </w:pPr>
            <w:r>
              <w:rPr>
                <w:rFonts w:hint="eastAsia" w:ascii="宋体" w:hAnsi="宋体" w:eastAsia="宋体" w:cs="宋体"/>
                <w:sz w:val="24"/>
                <w:szCs w:val="24"/>
              </w:rPr>
              <w:t>套</w:t>
            </w:r>
          </w:p>
        </w:tc>
        <w:tc>
          <w:tcPr>
            <w:tcW w:w="467"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255" w:lineRule="atLeast"/>
              <w:jc w:val="center"/>
            </w:pPr>
            <w:r>
              <w:rPr>
                <w:rFonts w:hint="eastAsia" w:ascii="宋体" w:hAnsi="宋体" w:eastAsia="宋体" w:cs="宋体"/>
                <w:sz w:val="24"/>
                <w:szCs w:val="24"/>
              </w:rPr>
              <w:t>1</w:t>
            </w:r>
          </w:p>
        </w:tc>
        <w:tc>
          <w:tcPr>
            <w:tcW w:w="503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255" w:lineRule="atLeast"/>
            </w:pPr>
            <w:r>
              <w:rPr>
                <w:rFonts w:hint="eastAsia" w:ascii="宋体" w:hAnsi="宋体" w:eastAsia="宋体" w:cs="宋体"/>
                <w:sz w:val="24"/>
                <w:szCs w:val="24"/>
              </w:rPr>
              <w:t>将高新区行政服务中心自助申报、查询、预约、办事指南导引、自助打印等一系列功能服务于一身的自助服务终端系统。公众可以直接在触摸屏上查询各审批事项的相关信息，并且触摸屏可以将审批结果反馈给企业和公众。实现与行政服务中心的审批系统和并联审批系统对接。</w:t>
            </w:r>
          </w:p>
        </w:tc>
        <w:tc>
          <w:tcPr>
            <w:tcW w:w="834"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tc>
      </w:tr>
      <w:tr>
        <w:trPr>
          <w:trHeight w:val="1320" w:hRule="atLeast"/>
          <w:tblCellSpacing w:w="15" w:type="dxa"/>
        </w:trPr>
        <w:tc>
          <w:tcPr>
            <w:tcW w:w="1048" w:type="dxa"/>
            <w:gridSpan w:val="2"/>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255" w:lineRule="atLeast"/>
              <w:jc w:val="center"/>
            </w:pPr>
            <w:r>
              <w:rPr>
                <w:rStyle w:val="6"/>
                <w:rFonts w:hint="eastAsia" w:ascii="宋体" w:hAnsi="宋体" w:eastAsia="宋体" w:cs="宋体"/>
                <w:b/>
              </w:rPr>
              <w:t>1-1-4</w:t>
            </w:r>
          </w:p>
        </w:tc>
        <w:tc>
          <w:tcPr>
            <w:tcW w:w="1087"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255" w:lineRule="atLeast"/>
            </w:pPr>
            <w:r>
              <w:rPr>
                <w:rFonts w:hint="eastAsia" w:ascii="宋体" w:hAnsi="宋体" w:eastAsia="宋体" w:cs="宋体"/>
                <w:sz w:val="24"/>
                <w:szCs w:val="24"/>
              </w:rPr>
              <w:t>评价系统部署调试迁移（基础信息的梳理配置）</w:t>
            </w:r>
          </w:p>
        </w:tc>
        <w:tc>
          <w:tcPr>
            <w:tcW w:w="529"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255" w:lineRule="atLeast"/>
              <w:jc w:val="center"/>
            </w:pPr>
            <w:r>
              <w:rPr>
                <w:rFonts w:hint="eastAsia" w:ascii="宋体" w:hAnsi="宋体" w:eastAsia="宋体" w:cs="宋体"/>
                <w:sz w:val="24"/>
                <w:szCs w:val="24"/>
              </w:rPr>
              <w:t>套</w:t>
            </w:r>
          </w:p>
        </w:tc>
        <w:tc>
          <w:tcPr>
            <w:tcW w:w="467"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255" w:lineRule="atLeast"/>
              <w:jc w:val="center"/>
            </w:pPr>
            <w:r>
              <w:rPr>
                <w:rFonts w:hint="eastAsia" w:ascii="宋体" w:hAnsi="宋体" w:eastAsia="宋体" w:cs="宋体"/>
                <w:sz w:val="24"/>
                <w:szCs w:val="24"/>
              </w:rPr>
              <w:t>1</w:t>
            </w:r>
          </w:p>
        </w:tc>
        <w:tc>
          <w:tcPr>
            <w:tcW w:w="503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255" w:lineRule="atLeast"/>
              <w:ind w:left="0"/>
            </w:pPr>
            <w:r>
              <w:rPr>
                <w:rFonts w:hint="eastAsia" w:ascii="宋体" w:hAnsi="宋体" w:eastAsia="宋体" w:cs="宋体"/>
                <w:sz w:val="21"/>
                <w:szCs w:val="21"/>
              </w:rPr>
              <w:t>评价终端事项显示、工作人员显示、终端评价展示、数据缓存和重传、自动更新机制、客户端与其它系统接口、客户端与服务器端通信、设备连接方式设   计</w:t>
            </w:r>
          </w:p>
          <w:p>
            <w:pPr>
              <w:pStyle w:val="4"/>
              <w:keepNext w:val="0"/>
              <w:keepLines w:val="0"/>
              <w:widowControl/>
              <w:suppressLineNumbers w:val="0"/>
              <w:spacing w:before="210" w:beforeAutospacing="0" w:after="210" w:afterAutospacing="0" w:line="255" w:lineRule="atLeast"/>
              <w:ind w:left="0" w:right="0"/>
            </w:pPr>
            <w:r>
              <w:rPr>
                <w:rFonts w:hint="eastAsia" w:ascii="宋体" w:hAnsi="宋体" w:eastAsia="宋体" w:cs="宋体"/>
                <w:color w:val="000000"/>
                <w:sz w:val="24"/>
                <w:szCs w:val="24"/>
              </w:rPr>
              <w:t>★投标人具有面向多种国产</w:t>
            </w:r>
            <w:r>
              <w:rPr>
                <w:rFonts w:hint="default" w:ascii="Calibri" w:hAnsi="Calibri" w:cs="Calibri"/>
                <w:color w:val="000000"/>
                <w:sz w:val="24"/>
                <w:szCs w:val="24"/>
              </w:rPr>
              <w:t>CPU</w:t>
            </w:r>
            <w:r>
              <w:rPr>
                <w:rFonts w:hint="eastAsia" w:ascii="宋体" w:hAnsi="宋体" w:eastAsia="宋体" w:cs="宋体"/>
                <w:color w:val="000000"/>
                <w:sz w:val="24"/>
                <w:szCs w:val="24"/>
              </w:rPr>
              <w:t>、</w:t>
            </w:r>
            <w:r>
              <w:rPr>
                <w:rFonts w:hint="default" w:ascii="Calibri" w:hAnsi="Calibri" w:cs="Calibri"/>
                <w:color w:val="000000"/>
                <w:sz w:val="24"/>
                <w:szCs w:val="24"/>
              </w:rPr>
              <w:t>OS</w:t>
            </w:r>
            <w:r>
              <w:rPr>
                <w:rFonts w:hint="eastAsia" w:ascii="宋体" w:hAnsi="宋体" w:eastAsia="宋体" w:cs="宋体"/>
                <w:color w:val="000000"/>
                <w:sz w:val="24"/>
                <w:szCs w:val="24"/>
              </w:rPr>
              <w:t>的评价器能用插件软件计算机软件著作权登记证书，必须提供有效证书复印材料并加盖投标人公章</w:t>
            </w:r>
          </w:p>
        </w:tc>
        <w:tc>
          <w:tcPr>
            <w:tcW w:w="834"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tc>
      </w:tr>
      <w:tr>
        <w:trPr>
          <w:trHeight w:val="1425" w:hRule="atLeast"/>
          <w:tblCellSpacing w:w="15" w:type="dxa"/>
        </w:trPr>
        <w:tc>
          <w:tcPr>
            <w:tcW w:w="1048" w:type="dxa"/>
            <w:gridSpan w:val="2"/>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255" w:lineRule="atLeast"/>
              <w:jc w:val="center"/>
            </w:pPr>
            <w:r>
              <w:rPr>
                <w:rStyle w:val="6"/>
                <w:rFonts w:hint="eastAsia" w:ascii="宋体" w:hAnsi="宋体" w:eastAsia="宋体" w:cs="宋体"/>
                <w:b/>
              </w:rPr>
              <w:t>1-1-5</w:t>
            </w:r>
          </w:p>
        </w:tc>
        <w:tc>
          <w:tcPr>
            <w:tcW w:w="1087"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255" w:lineRule="atLeast"/>
            </w:pPr>
            <w:r>
              <w:rPr>
                <w:rFonts w:hint="eastAsia" w:ascii="宋体" w:hAnsi="宋体" w:eastAsia="宋体" w:cs="宋体"/>
                <w:sz w:val="24"/>
                <w:szCs w:val="24"/>
              </w:rPr>
              <w:t>TV叫号显示系统部署调试迁移（基础信息的梳理配置）</w:t>
            </w:r>
          </w:p>
        </w:tc>
        <w:tc>
          <w:tcPr>
            <w:tcW w:w="529"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255" w:lineRule="atLeast"/>
              <w:jc w:val="center"/>
            </w:pPr>
            <w:r>
              <w:rPr>
                <w:rFonts w:hint="eastAsia" w:ascii="宋体" w:hAnsi="宋体" w:eastAsia="宋体" w:cs="宋体"/>
                <w:sz w:val="24"/>
                <w:szCs w:val="24"/>
              </w:rPr>
              <w:t>套</w:t>
            </w:r>
          </w:p>
        </w:tc>
        <w:tc>
          <w:tcPr>
            <w:tcW w:w="467"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255" w:lineRule="atLeast"/>
              <w:jc w:val="center"/>
            </w:pPr>
            <w:r>
              <w:rPr>
                <w:rFonts w:hint="eastAsia" w:ascii="宋体" w:hAnsi="宋体" w:eastAsia="宋体" w:cs="宋体"/>
                <w:sz w:val="24"/>
                <w:szCs w:val="24"/>
              </w:rPr>
              <w:t>1</w:t>
            </w:r>
          </w:p>
        </w:tc>
        <w:tc>
          <w:tcPr>
            <w:tcW w:w="503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255" w:lineRule="atLeast"/>
            </w:pPr>
            <w:r>
              <w:rPr>
                <w:rFonts w:hint="eastAsia" w:ascii="宋体" w:hAnsi="宋体" w:eastAsia="宋体" w:cs="宋体"/>
                <w:sz w:val="24"/>
                <w:szCs w:val="24"/>
              </w:rPr>
              <w:t>显示指 定区域的叫号信息，可根据需要自定义显示内容（包括：字体样式、大小、颜色、显示分辨率等），方便群众查看叫号信息，避免过号，提升中心服务效果。</w:t>
            </w:r>
          </w:p>
          <w:p>
            <w:pPr>
              <w:pStyle w:val="4"/>
              <w:keepNext w:val="0"/>
              <w:keepLines w:val="0"/>
              <w:widowControl/>
              <w:suppressLineNumbers w:val="0"/>
              <w:spacing w:line="255" w:lineRule="atLeast"/>
            </w:pPr>
            <w:r>
              <w:rPr>
                <w:rFonts w:hint="eastAsia" w:ascii="宋体" w:hAnsi="宋体" w:eastAsia="宋体" w:cs="宋体"/>
                <w:sz w:val="24"/>
                <w:szCs w:val="24"/>
              </w:rPr>
              <w:t> </w:t>
            </w:r>
          </w:p>
        </w:tc>
        <w:tc>
          <w:tcPr>
            <w:tcW w:w="834"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tc>
      </w:tr>
      <w:tr>
        <w:trPr>
          <w:trHeight w:val="1335" w:hRule="atLeast"/>
          <w:tblCellSpacing w:w="15" w:type="dxa"/>
        </w:trPr>
        <w:tc>
          <w:tcPr>
            <w:tcW w:w="1048" w:type="dxa"/>
            <w:gridSpan w:val="2"/>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255" w:lineRule="atLeast"/>
              <w:jc w:val="center"/>
            </w:pPr>
            <w:r>
              <w:rPr>
                <w:rStyle w:val="6"/>
                <w:rFonts w:hint="eastAsia" w:ascii="宋体" w:hAnsi="宋体" w:eastAsia="宋体" w:cs="宋体"/>
                <w:b/>
              </w:rPr>
              <w:t>1-1-6</w:t>
            </w:r>
          </w:p>
        </w:tc>
        <w:tc>
          <w:tcPr>
            <w:tcW w:w="1087"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255" w:lineRule="atLeast"/>
            </w:pPr>
            <w:r>
              <w:rPr>
                <w:rFonts w:hint="eastAsia" w:ascii="宋体" w:hAnsi="宋体" w:eastAsia="宋体" w:cs="宋体"/>
                <w:sz w:val="24"/>
                <w:szCs w:val="24"/>
              </w:rPr>
              <w:t>LED显示屏系统部署调试迁移（包含和LED屏控制卡的对接）</w:t>
            </w:r>
          </w:p>
        </w:tc>
        <w:tc>
          <w:tcPr>
            <w:tcW w:w="529"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255" w:lineRule="atLeast"/>
              <w:jc w:val="center"/>
            </w:pPr>
            <w:r>
              <w:rPr>
                <w:rFonts w:hint="eastAsia" w:ascii="宋体" w:hAnsi="宋体" w:eastAsia="宋体" w:cs="宋体"/>
                <w:sz w:val="24"/>
                <w:szCs w:val="24"/>
              </w:rPr>
              <w:t>套</w:t>
            </w:r>
          </w:p>
        </w:tc>
        <w:tc>
          <w:tcPr>
            <w:tcW w:w="467"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255" w:lineRule="atLeast"/>
              <w:jc w:val="center"/>
            </w:pPr>
            <w:r>
              <w:rPr>
                <w:rFonts w:hint="eastAsia" w:ascii="宋体" w:hAnsi="宋体" w:eastAsia="宋体" w:cs="宋体"/>
                <w:sz w:val="24"/>
                <w:szCs w:val="24"/>
              </w:rPr>
              <w:t>1</w:t>
            </w:r>
          </w:p>
        </w:tc>
        <w:tc>
          <w:tcPr>
            <w:tcW w:w="503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255" w:lineRule="atLeast"/>
            </w:pPr>
            <w:r>
              <w:rPr>
                <w:rFonts w:hint="eastAsia" w:ascii="宋体" w:hAnsi="宋体" w:eastAsia="宋体" w:cs="宋体"/>
                <w:sz w:val="24"/>
                <w:szCs w:val="24"/>
              </w:rPr>
              <w:t>需要与新的LED显示屏进行数据接口开发</w:t>
            </w:r>
          </w:p>
        </w:tc>
        <w:tc>
          <w:tcPr>
            <w:tcW w:w="834"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tc>
      </w:tr>
      <w:tr>
        <w:trPr>
          <w:trHeight w:val="600" w:hRule="atLeast"/>
          <w:tblCellSpacing w:w="15" w:type="dxa"/>
        </w:trPr>
        <w:tc>
          <w:tcPr>
            <w:tcW w:w="9150" w:type="dxa"/>
            <w:gridSpan w:val="7"/>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255" w:lineRule="atLeast"/>
              <w:jc w:val="left"/>
            </w:pPr>
            <w:r>
              <w:rPr>
                <w:rStyle w:val="6"/>
                <w:rFonts w:hint="eastAsia" w:ascii="宋体" w:hAnsi="宋体" w:eastAsia="宋体" w:cs="宋体"/>
                <w:b/>
              </w:rPr>
              <w:t>智能化大厅</w:t>
            </w:r>
          </w:p>
        </w:tc>
      </w:tr>
      <w:tr>
        <w:trPr>
          <w:trHeight w:val="435" w:hRule="atLeast"/>
          <w:tblCellSpacing w:w="15" w:type="dxa"/>
        </w:trPr>
        <w:tc>
          <w:tcPr>
            <w:tcW w:w="66" w:type="dxa"/>
            <w:tcBorders>
              <w:top w:val="nil"/>
              <w:left w:val="single" w:color="auto" w:sz="6" w:space="0"/>
              <w:bottom w:val="single" w:color="auto" w:sz="6" w:space="0"/>
              <w:right w:val="single" w:color="auto" w:sz="6" w:space="0"/>
            </w:tcBorders>
            <w:shd w:val="clear" w:color="auto" w:fill="FFFFFF"/>
            <w:tcMar>
              <w:top w:w="0" w:type="dxa"/>
              <w:left w:w="0" w:type="dxa"/>
              <w:bottom w:w="0" w:type="dxa"/>
              <w:right w:w="0" w:type="dxa"/>
            </w:tcMar>
            <w:vAlign w:val="center"/>
          </w:tcPr>
          <w:p>
            <w:pPr>
              <w:keepNext w:val="0"/>
              <w:keepLines w:val="0"/>
              <w:widowControl/>
              <w:suppressLineNumbers w:val="0"/>
              <w:jc w:val="left"/>
            </w:pPr>
          </w:p>
        </w:tc>
        <w:tc>
          <w:tcPr>
            <w:tcW w:w="95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255" w:lineRule="atLeast"/>
              <w:jc w:val="center"/>
            </w:pPr>
            <w:r>
              <w:rPr>
                <w:rStyle w:val="6"/>
                <w:rFonts w:hint="eastAsia" w:ascii="宋体" w:hAnsi="宋体" w:eastAsia="宋体" w:cs="宋体"/>
                <w:b/>
              </w:rPr>
              <w:t>品目号</w:t>
            </w:r>
          </w:p>
        </w:tc>
        <w:tc>
          <w:tcPr>
            <w:tcW w:w="1087"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255" w:lineRule="atLeast"/>
              <w:jc w:val="center"/>
            </w:pPr>
            <w:r>
              <w:rPr>
                <w:rStyle w:val="6"/>
                <w:rFonts w:hint="eastAsia" w:ascii="宋体" w:hAnsi="宋体" w:eastAsia="宋体" w:cs="宋体"/>
                <w:b/>
              </w:rPr>
              <w:t>设备名 称</w:t>
            </w:r>
          </w:p>
        </w:tc>
        <w:tc>
          <w:tcPr>
            <w:tcW w:w="529"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255" w:lineRule="atLeast"/>
              <w:jc w:val="center"/>
            </w:pPr>
            <w:r>
              <w:rPr>
                <w:rStyle w:val="6"/>
                <w:rFonts w:hint="eastAsia" w:ascii="宋体" w:hAnsi="宋体" w:eastAsia="宋体" w:cs="宋体"/>
                <w:b/>
              </w:rPr>
              <w:t>单位</w:t>
            </w:r>
          </w:p>
        </w:tc>
        <w:tc>
          <w:tcPr>
            <w:tcW w:w="467"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255" w:lineRule="atLeast"/>
              <w:jc w:val="center"/>
            </w:pPr>
            <w:r>
              <w:rPr>
                <w:rStyle w:val="6"/>
                <w:rFonts w:hint="eastAsia" w:ascii="宋体" w:hAnsi="宋体" w:eastAsia="宋体" w:cs="宋体"/>
                <w:b/>
              </w:rPr>
              <w:t>数量</w:t>
            </w:r>
          </w:p>
        </w:tc>
        <w:tc>
          <w:tcPr>
            <w:tcW w:w="503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255" w:lineRule="atLeast"/>
              <w:jc w:val="center"/>
            </w:pPr>
            <w:r>
              <w:rPr>
                <w:rStyle w:val="6"/>
                <w:rFonts w:hint="eastAsia" w:ascii="宋体" w:hAnsi="宋体" w:eastAsia="宋体" w:cs="宋体"/>
                <w:b/>
              </w:rPr>
              <w:t>技术参数</w:t>
            </w:r>
          </w:p>
        </w:tc>
        <w:tc>
          <w:tcPr>
            <w:tcW w:w="834"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255" w:lineRule="atLeast"/>
              <w:jc w:val="center"/>
            </w:pPr>
            <w:r>
              <w:rPr>
                <w:rStyle w:val="6"/>
                <w:rFonts w:hint="eastAsia" w:ascii="宋体" w:hAnsi="宋体" w:eastAsia="宋体" w:cs="宋体"/>
                <w:b/>
              </w:rPr>
              <w:t>备注</w:t>
            </w:r>
          </w:p>
        </w:tc>
      </w:tr>
      <w:tr>
        <w:trPr>
          <w:trHeight w:val="2730" w:hRule="atLeast"/>
          <w:tblCellSpacing w:w="15" w:type="dxa"/>
        </w:trPr>
        <w:tc>
          <w:tcPr>
            <w:tcW w:w="66" w:type="dxa"/>
            <w:tcBorders>
              <w:top w:val="nil"/>
              <w:left w:val="single" w:color="auto" w:sz="6" w:space="0"/>
              <w:bottom w:val="single" w:color="auto" w:sz="6" w:space="0"/>
              <w:right w:val="single" w:color="auto" w:sz="6" w:space="0"/>
            </w:tcBorders>
            <w:shd w:val="clear" w:color="auto" w:fill="FFFFFF"/>
            <w:tcMar>
              <w:top w:w="0" w:type="dxa"/>
              <w:left w:w="0" w:type="dxa"/>
              <w:bottom w:w="0" w:type="dxa"/>
              <w:right w:w="0" w:type="dxa"/>
            </w:tcMar>
            <w:vAlign w:val="center"/>
          </w:tcPr>
          <w:p>
            <w:pPr>
              <w:keepNext w:val="0"/>
              <w:keepLines w:val="0"/>
              <w:widowControl/>
              <w:suppressLineNumbers w:val="0"/>
              <w:jc w:val="left"/>
            </w:pPr>
          </w:p>
        </w:tc>
        <w:tc>
          <w:tcPr>
            <w:tcW w:w="95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255" w:lineRule="atLeast"/>
              <w:jc w:val="center"/>
            </w:pPr>
            <w:r>
              <w:rPr>
                <w:rStyle w:val="6"/>
                <w:rFonts w:hint="eastAsia" w:ascii="宋体" w:hAnsi="宋体" w:eastAsia="宋体" w:cs="宋体"/>
                <w:b/>
              </w:rPr>
              <w:t>1-1-7</w:t>
            </w:r>
          </w:p>
        </w:tc>
        <w:tc>
          <w:tcPr>
            <w:tcW w:w="1087"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255" w:lineRule="atLeast"/>
            </w:pPr>
            <w:r>
              <w:rPr>
                <w:rFonts w:hint="eastAsia" w:ascii="宋体" w:hAnsi="宋体" w:eastAsia="宋体" w:cs="宋体"/>
                <w:sz w:val="24"/>
                <w:szCs w:val="24"/>
              </w:rPr>
              <w:t>排队叫号显示屏</w:t>
            </w:r>
          </w:p>
        </w:tc>
        <w:tc>
          <w:tcPr>
            <w:tcW w:w="529"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255" w:lineRule="atLeast"/>
              <w:jc w:val="center"/>
            </w:pPr>
            <w:r>
              <w:rPr>
                <w:rFonts w:hint="eastAsia" w:ascii="宋体" w:hAnsi="宋体" w:eastAsia="宋体" w:cs="宋体"/>
                <w:sz w:val="24"/>
                <w:szCs w:val="24"/>
              </w:rPr>
              <w:t>米</w:t>
            </w:r>
          </w:p>
        </w:tc>
        <w:tc>
          <w:tcPr>
            <w:tcW w:w="467"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255" w:lineRule="atLeast"/>
              <w:jc w:val="center"/>
            </w:pPr>
            <w:r>
              <w:rPr>
                <w:rFonts w:hint="eastAsia" w:ascii="宋体" w:hAnsi="宋体" w:eastAsia="宋体" w:cs="宋体"/>
                <w:sz w:val="24"/>
                <w:szCs w:val="24"/>
              </w:rPr>
              <w:t>72</w:t>
            </w:r>
          </w:p>
        </w:tc>
        <w:tc>
          <w:tcPr>
            <w:tcW w:w="503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255" w:lineRule="atLeast"/>
            </w:pPr>
            <w:r>
              <w:rPr>
                <w:rFonts w:hint="eastAsia" w:ascii="宋体" w:hAnsi="宋体" w:eastAsia="宋体" w:cs="宋体"/>
                <w:sz w:val="24"/>
                <w:szCs w:val="24"/>
              </w:rPr>
              <w:t>单基色，带无线接收卡；连体屏嵌入式安装设  计，框体由装修公司设  计施工，不含边框屏体高度304mm，总长度：按客户要求量身定做，3.75单基色，，支持无线通讯，每个窗口可显示16个汉字的24点阵或者32点阵的大字体3、LED电源：5V40A，无线通讯，支持第一行显示窗口号和业务名 称，第二行显示排队信息，支持闪烁、滚动显示，支持16点阵、24点阵、32点阵任意字体显示，内置无线接收器和控制卡，不带纽扣电池，支持无限量刷写数据不黑屏，采用无线通讯方式设置初始上电信息，支持断电保存初始信息</w:t>
            </w:r>
          </w:p>
        </w:tc>
        <w:tc>
          <w:tcPr>
            <w:tcW w:w="834"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tc>
      </w:tr>
      <w:tr>
        <w:trPr>
          <w:trHeight w:val="1425" w:hRule="atLeast"/>
          <w:tblCellSpacing w:w="15" w:type="dxa"/>
        </w:trPr>
        <w:tc>
          <w:tcPr>
            <w:tcW w:w="66" w:type="dxa"/>
            <w:tcBorders>
              <w:top w:val="nil"/>
              <w:left w:val="single" w:color="auto" w:sz="6" w:space="0"/>
              <w:bottom w:val="single" w:color="auto" w:sz="6" w:space="0"/>
              <w:right w:val="single" w:color="auto" w:sz="6" w:space="0"/>
            </w:tcBorders>
            <w:shd w:val="clear" w:color="auto" w:fill="FFFFFF"/>
            <w:tcMar>
              <w:top w:w="0" w:type="dxa"/>
              <w:left w:w="0" w:type="dxa"/>
              <w:bottom w:w="0" w:type="dxa"/>
              <w:right w:w="0" w:type="dxa"/>
            </w:tcMar>
            <w:vAlign w:val="center"/>
          </w:tcPr>
          <w:p>
            <w:pPr>
              <w:keepNext w:val="0"/>
              <w:keepLines w:val="0"/>
              <w:widowControl/>
              <w:suppressLineNumbers w:val="0"/>
              <w:jc w:val="left"/>
            </w:pPr>
          </w:p>
        </w:tc>
        <w:tc>
          <w:tcPr>
            <w:tcW w:w="95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255" w:lineRule="atLeast"/>
              <w:jc w:val="center"/>
            </w:pPr>
            <w:r>
              <w:rPr>
                <w:rStyle w:val="6"/>
                <w:rFonts w:hint="eastAsia" w:ascii="宋体" w:hAnsi="宋体" w:eastAsia="宋体" w:cs="宋体"/>
                <w:b/>
              </w:rPr>
              <w:t>1-1-8</w:t>
            </w:r>
          </w:p>
        </w:tc>
        <w:tc>
          <w:tcPr>
            <w:tcW w:w="1087"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255" w:lineRule="atLeast"/>
            </w:pPr>
            <w:r>
              <w:rPr>
                <w:rFonts w:hint="eastAsia" w:ascii="宋体" w:hAnsi="宋体" w:eastAsia="宋体" w:cs="宋体"/>
                <w:sz w:val="24"/>
                <w:szCs w:val="24"/>
              </w:rPr>
              <w:t>平板电脑</w:t>
            </w:r>
          </w:p>
        </w:tc>
        <w:tc>
          <w:tcPr>
            <w:tcW w:w="529"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255" w:lineRule="atLeast"/>
              <w:jc w:val="center"/>
            </w:pPr>
            <w:r>
              <w:rPr>
                <w:rFonts w:hint="eastAsia" w:ascii="宋体" w:hAnsi="宋体" w:eastAsia="宋体" w:cs="宋体"/>
                <w:sz w:val="24"/>
                <w:szCs w:val="24"/>
              </w:rPr>
              <w:t>台</w:t>
            </w:r>
          </w:p>
        </w:tc>
        <w:tc>
          <w:tcPr>
            <w:tcW w:w="467"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255" w:lineRule="atLeast"/>
              <w:jc w:val="center"/>
            </w:pPr>
            <w:r>
              <w:rPr>
                <w:rFonts w:hint="eastAsia" w:ascii="宋体" w:hAnsi="宋体" w:eastAsia="宋体" w:cs="宋体"/>
                <w:sz w:val="24"/>
                <w:szCs w:val="24"/>
              </w:rPr>
              <w:t>30</w:t>
            </w:r>
          </w:p>
        </w:tc>
        <w:tc>
          <w:tcPr>
            <w:tcW w:w="503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255" w:lineRule="atLeast"/>
            </w:pPr>
            <w:r>
              <w:rPr>
                <w:rFonts w:hint="eastAsia" w:ascii="宋体" w:hAnsi="宋体" w:eastAsia="宋体" w:cs="宋体"/>
                <w:sz w:val="24"/>
                <w:szCs w:val="24"/>
              </w:rPr>
              <w:t>屏幕尺寸：≥10.1寸；显示屏类型：TFT   LCD；屏幕比例：16：10；像素：1280×800；点距：0.1695mm×0.1695；亮度：200cd/平方；颜色16.7M色；对比度：800：1；可视角度：170；响应时间：TR14毫秒；手写笔类型：无线无源笔； 笔尖：笔尖可更换</w:t>
            </w:r>
          </w:p>
        </w:tc>
        <w:tc>
          <w:tcPr>
            <w:tcW w:w="834"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tc>
      </w:tr>
      <w:tr>
        <w:trPr>
          <w:trHeight w:val="345" w:hRule="atLeast"/>
          <w:tblCellSpacing w:w="15" w:type="dxa"/>
        </w:trPr>
        <w:tc>
          <w:tcPr>
            <w:tcW w:w="66" w:type="dxa"/>
            <w:tcBorders>
              <w:top w:val="nil"/>
              <w:left w:val="single" w:color="auto" w:sz="6" w:space="0"/>
              <w:bottom w:val="single" w:color="auto" w:sz="6" w:space="0"/>
              <w:right w:val="single" w:color="auto" w:sz="6" w:space="0"/>
            </w:tcBorders>
            <w:shd w:val="clear" w:color="auto" w:fill="FFFFFF"/>
            <w:tcMar>
              <w:top w:w="0" w:type="dxa"/>
              <w:left w:w="0" w:type="dxa"/>
              <w:bottom w:w="0" w:type="dxa"/>
              <w:right w:w="0" w:type="dxa"/>
            </w:tcMar>
            <w:vAlign w:val="center"/>
          </w:tcPr>
          <w:p>
            <w:pPr>
              <w:keepNext w:val="0"/>
              <w:keepLines w:val="0"/>
              <w:widowControl/>
              <w:suppressLineNumbers w:val="0"/>
              <w:jc w:val="left"/>
            </w:pPr>
          </w:p>
        </w:tc>
        <w:tc>
          <w:tcPr>
            <w:tcW w:w="95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255" w:lineRule="atLeast"/>
              <w:jc w:val="center"/>
            </w:pPr>
            <w:r>
              <w:rPr>
                <w:rStyle w:val="6"/>
                <w:rFonts w:hint="eastAsia" w:ascii="宋体" w:hAnsi="宋体" w:eastAsia="宋体" w:cs="宋体"/>
                <w:b/>
              </w:rPr>
              <w:t>1-1-9</w:t>
            </w:r>
          </w:p>
        </w:tc>
        <w:tc>
          <w:tcPr>
            <w:tcW w:w="1087"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255" w:lineRule="atLeast"/>
            </w:pPr>
            <w:r>
              <w:rPr>
                <w:rFonts w:hint="eastAsia" w:ascii="宋体" w:hAnsi="宋体" w:eastAsia="宋体" w:cs="宋体"/>
                <w:sz w:val="24"/>
                <w:szCs w:val="24"/>
              </w:rPr>
              <w:t>液晶电视</w:t>
            </w:r>
          </w:p>
        </w:tc>
        <w:tc>
          <w:tcPr>
            <w:tcW w:w="529"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255" w:lineRule="atLeast"/>
              <w:jc w:val="center"/>
            </w:pPr>
            <w:r>
              <w:rPr>
                <w:rFonts w:hint="eastAsia" w:ascii="宋体" w:hAnsi="宋体" w:eastAsia="宋体" w:cs="宋体"/>
                <w:sz w:val="24"/>
                <w:szCs w:val="24"/>
              </w:rPr>
              <w:t>台</w:t>
            </w:r>
          </w:p>
        </w:tc>
        <w:tc>
          <w:tcPr>
            <w:tcW w:w="467"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255" w:lineRule="atLeast"/>
              <w:jc w:val="center"/>
            </w:pPr>
            <w:r>
              <w:rPr>
                <w:rFonts w:hint="eastAsia" w:ascii="宋体" w:hAnsi="宋体" w:eastAsia="宋体" w:cs="宋体"/>
                <w:sz w:val="24"/>
                <w:szCs w:val="24"/>
              </w:rPr>
              <w:t>2</w:t>
            </w:r>
          </w:p>
        </w:tc>
        <w:tc>
          <w:tcPr>
            <w:tcW w:w="503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255" w:lineRule="atLeast"/>
            </w:pPr>
            <w:r>
              <w:rPr>
                <w:rFonts w:hint="eastAsia" w:ascii="宋体" w:hAnsi="宋体" w:eastAsia="宋体" w:cs="宋体"/>
                <w:sz w:val="24"/>
                <w:szCs w:val="24"/>
              </w:rPr>
              <w:t>42寸液晶电视，含排队叫号无线模块</w:t>
            </w:r>
          </w:p>
        </w:tc>
        <w:tc>
          <w:tcPr>
            <w:tcW w:w="834"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tc>
      </w:tr>
      <w:tr>
        <w:trPr>
          <w:trHeight w:val="5805" w:hRule="atLeast"/>
          <w:tblCellSpacing w:w="15" w:type="dxa"/>
        </w:trPr>
        <w:tc>
          <w:tcPr>
            <w:tcW w:w="66" w:type="dxa"/>
            <w:tcBorders>
              <w:top w:val="nil"/>
              <w:left w:val="single" w:color="auto" w:sz="6" w:space="0"/>
              <w:bottom w:val="single" w:color="auto" w:sz="6" w:space="0"/>
              <w:right w:val="single" w:color="auto" w:sz="6" w:space="0"/>
            </w:tcBorders>
            <w:shd w:val="clear" w:color="auto" w:fill="FFFFFF"/>
            <w:tcMar>
              <w:top w:w="0" w:type="dxa"/>
              <w:left w:w="0" w:type="dxa"/>
              <w:bottom w:w="0" w:type="dxa"/>
              <w:right w:w="0" w:type="dxa"/>
            </w:tcMar>
            <w:vAlign w:val="center"/>
          </w:tcPr>
          <w:p>
            <w:pPr>
              <w:keepNext w:val="0"/>
              <w:keepLines w:val="0"/>
              <w:widowControl/>
              <w:suppressLineNumbers w:val="0"/>
              <w:jc w:val="left"/>
            </w:pPr>
          </w:p>
        </w:tc>
        <w:tc>
          <w:tcPr>
            <w:tcW w:w="95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255" w:lineRule="atLeast"/>
              <w:jc w:val="center"/>
            </w:pPr>
            <w:r>
              <w:rPr>
                <w:rStyle w:val="6"/>
                <w:rFonts w:hint="eastAsia" w:ascii="宋体" w:hAnsi="宋体" w:eastAsia="宋体" w:cs="宋体"/>
                <w:b/>
              </w:rPr>
              <w:t>1-1-10</w:t>
            </w:r>
          </w:p>
        </w:tc>
        <w:tc>
          <w:tcPr>
            <w:tcW w:w="1087"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255" w:lineRule="atLeast"/>
            </w:pPr>
            <w:r>
              <w:rPr>
                <w:rFonts w:hint="eastAsia" w:ascii="宋体" w:hAnsi="宋体" w:eastAsia="宋体" w:cs="宋体"/>
                <w:sz w:val="24"/>
                <w:szCs w:val="24"/>
              </w:rPr>
              <w:t>排队叫号机</w:t>
            </w:r>
          </w:p>
        </w:tc>
        <w:tc>
          <w:tcPr>
            <w:tcW w:w="529"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255" w:lineRule="atLeast"/>
              <w:jc w:val="center"/>
            </w:pPr>
            <w:r>
              <w:rPr>
                <w:rFonts w:hint="eastAsia" w:ascii="宋体" w:hAnsi="宋体" w:eastAsia="宋体" w:cs="宋体"/>
                <w:sz w:val="24"/>
                <w:szCs w:val="24"/>
              </w:rPr>
              <w:t>台</w:t>
            </w:r>
          </w:p>
        </w:tc>
        <w:tc>
          <w:tcPr>
            <w:tcW w:w="467"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255" w:lineRule="atLeast"/>
              <w:jc w:val="center"/>
            </w:pPr>
            <w:r>
              <w:rPr>
                <w:rFonts w:hint="eastAsia" w:ascii="宋体" w:hAnsi="宋体" w:eastAsia="宋体" w:cs="宋体"/>
                <w:sz w:val="24"/>
                <w:szCs w:val="24"/>
              </w:rPr>
              <w:t>1</w:t>
            </w:r>
          </w:p>
        </w:tc>
        <w:tc>
          <w:tcPr>
            <w:tcW w:w="503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255" w:lineRule="atLeast"/>
            </w:pPr>
            <w:r>
              <w:rPr>
                <w:rFonts w:hint="eastAsia" w:ascii="宋体" w:hAnsi="宋体" w:eastAsia="宋体" w:cs="宋体"/>
                <w:sz w:val="24"/>
                <w:szCs w:val="24"/>
              </w:rPr>
              <w:t>落地式排队叫号机，需与软件平台对接。机 柜:一体化纯钢制表面汽车金属烤漆横屏机柜，</w:t>
            </w:r>
          </w:p>
          <w:p>
            <w:pPr>
              <w:pStyle w:val="4"/>
              <w:keepNext w:val="0"/>
              <w:keepLines w:val="0"/>
              <w:widowControl/>
              <w:suppressLineNumbers w:val="0"/>
              <w:spacing w:line="255" w:lineRule="atLeast"/>
            </w:pPr>
            <w:r>
              <w:rPr>
                <w:rFonts w:hint="eastAsia" w:ascii="宋体" w:hAnsi="宋体" w:eastAsia="宋体" w:cs="宋体"/>
                <w:sz w:val="24"/>
                <w:szCs w:val="24"/>
              </w:rPr>
              <w:t xml:space="preserve">显示器：55英寸液晶显示器最佳分辨率：1920×1080 对比度：500：1 亮度：350cd/m2 响应时间：6ms </w:t>
            </w:r>
          </w:p>
          <w:p>
            <w:pPr>
              <w:pStyle w:val="4"/>
              <w:keepNext w:val="0"/>
              <w:keepLines w:val="0"/>
              <w:widowControl/>
              <w:suppressLineNumbers w:val="0"/>
              <w:spacing w:line="255" w:lineRule="atLeast"/>
            </w:pPr>
            <w:r>
              <w:rPr>
                <w:rFonts w:hint="eastAsia" w:ascii="宋体" w:hAnsi="宋体" w:eastAsia="宋体" w:cs="宋体"/>
                <w:sz w:val="24"/>
                <w:szCs w:val="24"/>
              </w:rPr>
              <w:t>触摸屏55英寸SHTOUCH红外式多点触摸屏，分辨率4096×4096，</w:t>
            </w:r>
          </w:p>
          <w:p>
            <w:pPr>
              <w:pStyle w:val="4"/>
              <w:keepNext w:val="0"/>
              <w:keepLines w:val="0"/>
              <w:widowControl/>
              <w:suppressLineNumbers w:val="0"/>
              <w:spacing w:line="255" w:lineRule="atLeast"/>
            </w:pPr>
            <w:r>
              <w:rPr>
                <w:rFonts w:hint="eastAsia" w:ascii="宋体" w:hAnsi="宋体" w:eastAsia="宋体" w:cs="宋体"/>
                <w:sz w:val="24"/>
                <w:szCs w:val="24"/>
              </w:rPr>
              <w:t>使用寿命：单点触摸寿命5千万次以上防尘、防油污、抗干扰、抗暴</w:t>
            </w:r>
          </w:p>
          <w:p>
            <w:pPr>
              <w:pStyle w:val="4"/>
              <w:keepNext w:val="0"/>
              <w:keepLines w:val="0"/>
              <w:widowControl/>
              <w:suppressLineNumbers w:val="0"/>
              <w:spacing w:line="255" w:lineRule="atLeast"/>
            </w:pPr>
            <w:r>
              <w:rPr>
                <w:rFonts w:hint="eastAsia" w:ascii="宋体" w:hAnsi="宋体" w:eastAsia="宋体" w:cs="宋体"/>
                <w:sz w:val="24"/>
                <w:szCs w:val="24"/>
              </w:rPr>
              <w:t>主机：低功耗工控主板/≥120G固态硬盘/≥4G内存/集成声卡显卡网卡</w:t>
            </w:r>
          </w:p>
          <w:p>
            <w:pPr>
              <w:pStyle w:val="4"/>
              <w:keepNext w:val="0"/>
              <w:keepLines w:val="0"/>
              <w:widowControl/>
              <w:suppressLineNumbers w:val="0"/>
              <w:spacing w:line="255" w:lineRule="atLeast"/>
            </w:pPr>
            <w:r>
              <w:rPr>
                <w:rFonts w:hint="eastAsia" w:ascii="宋体" w:hAnsi="宋体" w:eastAsia="宋体" w:cs="宋体"/>
                <w:sz w:val="24"/>
                <w:szCs w:val="24"/>
              </w:rPr>
              <w:t>热敏打印机：高速热敏打印机、自动切纸、打印速度：》150mm/s；打印宽度：80 mm；打印寿命：100Km或10年；切纸：1,000,000次</w:t>
            </w:r>
          </w:p>
          <w:p>
            <w:pPr>
              <w:pStyle w:val="4"/>
              <w:keepNext w:val="0"/>
              <w:keepLines w:val="0"/>
              <w:widowControl/>
              <w:suppressLineNumbers w:val="0"/>
              <w:spacing w:line="255" w:lineRule="atLeast"/>
            </w:pPr>
            <w:r>
              <w:rPr>
                <w:rFonts w:hint="eastAsia" w:ascii="宋体" w:hAnsi="宋体" w:eastAsia="宋体" w:cs="宋体"/>
                <w:sz w:val="24"/>
                <w:szCs w:val="24"/>
              </w:rPr>
              <w:t>二维码扫描器，高精度识别手机微信预约取号二维码。</w:t>
            </w:r>
          </w:p>
          <w:p>
            <w:pPr>
              <w:pStyle w:val="4"/>
              <w:keepNext w:val="0"/>
              <w:keepLines w:val="0"/>
              <w:widowControl/>
              <w:suppressLineNumbers w:val="0"/>
              <w:spacing w:line="255" w:lineRule="atLeast"/>
            </w:pPr>
            <w:r>
              <w:rPr>
                <w:rFonts w:hint="eastAsia" w:ascii="宋体" w:hAnsi="宋体" w:eastAsia="宋体" w:cs="宋体"/>
                <w:sz w:val="24"/>
                <w:szCs w:val="24"/>
              </w:rPr>
              <w:t>内置二代证阅读器，须符合公安部《GA450-2013台式居民身份证阅读器通用技术要求》通讯接口：USB，阅读距离：不小于   5cm。，读卡时间：≤1秒。天线谐振频率：13.56MHz。天线能量输出：天线表面磁场强度（Hmax）≤7.5A/m rms。天线表面法线方向 5cm处电磁场强度（Hmin）≥1.5A/m  rms。比特率：106Kbit/s（fc/128）。调制方式：ASK调制。调制系数：8%～14%。编码方式：NRZ-L。需与网络定制版软件无缝对接。设备需与软件无缝对接。</w:t>
            </w:r>
          </w:p>
        </w:tc>
        <w:tc>
          <w:tcPr>
            <w:tcW w:w="834"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tc>
      </w:tr>
      <w:tr>
        <w:trPr>
          <w:trHeight w:val="345" w:hRule="atLeast"/>
          <w:tblCellSpacing w:w="15" w:type="dxa"/>
        </w:trPr>
        <w:tc>
          <w:tcPr>
            <w:tcW w:w="66" w:type="dxa"/>
            <w:tcBorders>
              <w:top w:val="nil"/>
              <w:left w:val="single" w:color="auto" w:sz="6" w:space="0"/>
              <w:bottom w:val="single" w:color="auto" w:sz="6" w:space="0"/>
              <w:right w:val="single" w:color="auto" w:sz="6" w:space="0"/>
            </w:tcBorders>
            <w:shd w:val="clear" w:color="auto" w:fill="FFFFFF"/>
            <w:tcMar>
              <w:top w:w="0" w:type="dxa"/>
              <w:left w:w="0" w:type="dxa"/>
              <w:bottom w:w="0" w:type="dxa"/>
              <w:right w:w="0" w:type="dxa"/>
            </w:tcMar>
            <w:vAlign w:val="center"/>
          </w:tcPr>
          <w:p>
            <w:pPr>
              <w:keepNext w:val="0"/>
              <w:keepLines w:val="0"/>
              <w:widowControl/>
              <w:suppressLineNumbers w:val="0"/>
              <w:jc w:val="left"/>
            </w:pPr>
          </w:p>
        </w:tc>
        <w:tc>
          <w:tcPr>
            <w:tcW w:w="95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255" w:lineRule="atLeast"/>
              <w:jc w:val="center"/>
            </w:pPr>
            <w:r>
              <w:rPr>
                <w:rStyle w:val="6"/>
                <w:rFonts w:hint="eastAsia" w:ascii="宋体" w:hAnsi="宋体" w:eastAsia="宋体" w:cs="宋体"/>
                <w:b/>
              </w:rPr>
              <w:t>1-1-11</w:t>
            </w:r>
          </w:p>
        </w:tc>
        <w:tc>
          <w:tcPr>
            <w:tcW w:w="1087"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255" w:lineRule="atLeast"/>
            </w:pPr>
            <w:r>
              <w:rPr>
                <w:rFonts w:hint="eastAsia" w:ascii="宋体" w:hAnsi="宋体" w:eastAsia="宋体" w:cs="宋体"/>
                <w:sz w:val="24"/>
                <w:szCs w:val="24"/>
              </w:rPr>
              <w:t>发送卡</w:t>
            </w:r>
          </w:p>
        </w:tc>
        <w:tc>
          <w:tcPr>
            <w:tcW w:w="529"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255" w:lineRule="atLeast"/>
              <w:jc w:val="center"/>
            </w:pPr>
            <w:r>
              <w:rPr>
                <w:rFonts w:hint="eastAsia" w:ascii="宋体" w:hAnsi="宋体" w:eastAsia="宋体" w:cs="宋体"/>
                <w:sz w:val="24"/>
                <w:szCs w:val="24"/>
              </w:rPr>
              <w:t>张</w:t>
            </w:r>
          </w:p>
        </w:tc>
        <w:tc>
          <w:tcPr>
            <w:tcW w:w="467"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255" w:lineRule="atLeast"/>
              <w:jc w:val="center"/>
            </w:pPr>
            <w:r>
              <w:rPr>
                <w:rFonts w:hint="eastAsia" w:ascii="宋体" w:hAnsi="宋体" w:eastAsia="宋体" w:cs="宋体"/>
                <w:sz w:val="24"/>
                <w:szCs w:val="24"/>
              </w:rPr>
              <w:t>2</w:t>
            </w:r>
          </w:p>
        </w:tc>
        <w:tc>
          <w:tcPr>
            <w:tcW w:w="503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255" w:lineRule="atLeast"/>
            </w:pPr>
            <w:r>
              <w:rPr>
                <w:rFonts w:hint="eastAsia" w:ascii="宋体" w:hAnsi="宋体" w:eastAsia="宋体" w:cs="宋体"/>
                <w:sz w:val="24"/>
                <w:szCs w:val="24"/>
              </w:rPr>
              <w:t>发送图片、文字等信息</w:t>
            </w:r>
          </w:p>
        </w:tc>
        <w:tc>
          <w:tcPr>
            <w:tcW w:w="834"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tc>
      </w:tr>
      <w:tr>
        <w:trPr>
          <w:trHeight w:val="345" w:hRule="atLeast"/>
          <w:tblCellSpacing w:w="15" w:type="dxa"/>
        </w:trPr>
        <w:tc>
          <w:tcPr>
            <w:tcW w:w="66" w:type="dxa"/>
            <w:tcBorders>
              <w:top w:val="nil"/>
              <w:left w:val="single" w:color="auto" w:sz="6" w:space="0"/>
              <w:bottom w:val="single" w:color="auto" w:sz="6" w:space="0"/>
              <w:right w:val="single" w:color="auto" w:sz="6" w:space="0"/>
            </w:tcBorders>
            <w:shd w:val="clear" w:color="auto" w:fill="FFFFFF"/>
            <w:tcMar>
              <w:top w:w="0" w:type="dxa"/>
              <w:left w:w="0" w:type="dxa"/>
              <w:bottom w:w="0" w:type="dxa"/>
              <w:right w:w="0" w:type="dxa"/>
            </w:tcMar>
            <w:vAlign w:val="center"/>
          </w:tcPr>
          <w:p>
            <w:pPr>
              <w:keepNext w:val="0"/>
              <w:keepLines w:val="0"/>
              <w:widowControl/>
              <w:suppressLineNumbers w:val="0"/>
              <w:jc w:val="left"/>
            </w:pPr>
          </w:p>
        </w:tc>
        <w:tc>
          <w:tcPr>
            <w:tcW w:w="95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255" w:lineRule="atLeast"/>
              <w:jc w:val="center"/>
            </w:pPr>
            <w:r>
              <w:rPr>
                <w:rStyle w:val="6"/>
                <w:rFonts w:hint="eastAsia" w:ascii="宋体" w:hAnsi="宋体" w:eastAsia="宋体" w:cs="宋体"/>
                <w:b/>
              </w:rPr>
              <w:t>1-1-12</w:t>
            </w:r>
          </w:p>
        </w:tc>
        <w:tc>
          <w:tcPr>
            <w:tcW w:w="1087"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255" w:lineRule="atLeast"/>
            </w:pPr>
            <w:r>
              <w:rPr>
                <w:rFonts w:hint="eastAsia" w:ascii="宋体" w:hAnsi="宋体" w:eastAsia="宋体" w:cs="宋体"/>
                <w:sz w:val="24"/>
                <w:szCs w:val="24"/>
              </w:rPr>
              <w:t>管理电脑</w:t>
            </w:r>
          </w:p>
        </w:tc>
        <w:tc>
          <w:tcPr>
            <w:tcW w:w="529"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255" w:lineRule="atLeast"/>
              <w:jc w:val="center"/>
            </w:pPr>
            <w:r>
              <w:rPr>
                <w:rFonts w:hint="eastAsia" w:ascii="宋体" w:hAnsi="宋体" w:eastAsia="宋体" w:cs="宋体"/>
                <w:sz w:val="24"/>
                <w:szCs w:val="24"/>
              </w:rPr>
              <w:t>台</w:t>
            </w:r>
          </w:p>
        </w:tc>
        <w:tc>
          <w:tcPr>
            <w:tcW w:w="467"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255" w:lineRule="atLeast"/>
              <w:jc w:val="center"/>
            </w:pPr>
            <w:r>
              <w:rPr>
                <w:rFonts w:hint="eastAsia" w:ascii="宋体" w:hAnsi="宋体" w:eastAsia="宋体" w:cs="宋体"/>
                <w:sz w:val="24"/>
                <w:szCs w:val="24"/>
              </w:rPr>
              <w:t>1</w:t>
            </w:r>
          </w:p>
        </w:tc>
        <w:tc>
          <w:tcPr>
            <w:tcW w:w="503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255" w:lineRule="atLeast"/>
            </w:pPr>
            <w:r>
              <w:rPr>
                <w:rFonts w:hint="eastAsia" w:ascii="宋体" w:hAnsi="宋体" w:eastAsia="宋体" w:cs="宋体"/>
                <w:sz w:val="24"/>
                <w:szCs w:val="24"/>
              </w:rPr>
              <w:t>CPU≥I5,内存≥4G，显存≥1G,硬盘≥500G</w:t>
            </w:r>
          </w:p>
        </w:tc>
        <w:tc>
          <w:tcPr>
            <w:tcW w:w="834"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tc>
      </w:tr>
      <w:tr>
        <w:trPr>
          <w:trHeight w:val="570" w:hRule="atLeast"/>
          <w:tblCellSpacing w:w="15" w:type="dxa"/>
        </w:trPr>
        <w:tc>
          <w:tcPr>
            <w:tcW w:w="66" w:type="dxa"/>
            <w:tcBorders>
              <w:top w:val="nil"/>
              <w:left w:val="single" w:color="auto" w:sz="6" w:space="0"/>
              <w:bottom w:val="single" w:color="auto" w:sz="6" w:space="0"/>
              <w:right w:val="single" w:color="auto" w:sz="6" w:space="0"/>
            </w:tcBorders>
            <w:shd w:val="clear" w:color="auto" w:fill="FFFFFF"/>
            <w:tcMar>
              <w:top w:w="0" w:type="dxa"/>
              <w:left w:w="0" w:type="dxa"/>
              <w:bottom w:w="0" w:type="dxa"/>
              <w:right w:w="0" w:type="dxa"/>
            </w:tcMar>
            <w:vAlign w:val="center"/>
          </w:tcPr>
          <w:p>
            <w:pPr>
              <w:keepNext w:val="0"/>
              <w:keepLines w:val="0"/>
              <w:widowControl/>
              <w:suppressLineNumbers w:val="0"/>
              <w:jc w:val="left"/>
            </w:pPr>
          </w:p>
        </w:tc>
        <w:tc>
          <w:tcPr>
            <w:tcW w:w="9054" w:type="dxa"/>
            <w:gridSpan w:val="6"/>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255" w:lineRule="atLeast"/>
              <w:jc w:val="left"/>
            </w:pPr>
            <w:r>
              <w:rPr>
                <w:rStyle w:val="6"/>
                <w:rFonts w:hint="eastAsia" w:ascii="宋体" w:hAnsi="宋体" w:eastAsia="宋体" w:cs="宋体"/>
                <w:b/>
              </w:rPr>
              <w:t>计算机网络系统</w:t>
            </w:r>
          </w:p>
        </w:tc>
      </w:tr>
      <w:tr>
        <w:trPr>
          <w:trHeight w:val="435" w:hRule="atLeast"/>
          <w:tblCellSpacing w:w="15" w:type="dxa"/>
        </w:trPr>
        <w:tc>
          <w:tcPr>
            <w:tcW w:w="66" w:type="dxa"/>
            <w:tcBorders>
              <w:top w:val="nil"/>
              <w:left w:val="single" w:color="auto" w:sz="6" w:space="0"/>
              <w:bottom w:val="single" w:color="auto" w:sz="6" w:space="0"/>
              <w:right w:val="single" w:color="auto" w:sz="6" w:space="0"/>
            </w:tcBorders>
            <w:shd w:val="clear" w:color="auto" w:fill="FFFFFF"/>
            <w:tcMar>
              <w:top w:w="0" w:type="dxa"/>
              <w:left w:w="0" w:type="dxa"/>
              <w:bottom w:w="0" w:type="dxa"/>
              <w:right w:w="0" w:type="dxa"/>
            </w:tcMar>
            <w:vAlign w:val="center"/>
          </w:tcPr>
          <w:p>
            <w:pPr>
              <w:keepNext w:val="0"/>
              <w:keepLines w:val="0"/>
              <w:widowControl/>
              <w:suppressLineNumbers w:val="0"/>
              <w:jc w:val="left"/>
            </w:pPr>
          </w:p>
        </w:tc>
        <w:tc>
          <w:tcPr>
            <w:tcW w:w="95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255" w:lineRule="atLeast"/>
              <w:jc w:val="center"/>
            </w:pPr>
            <w:r>
              <w:rPr>
                <w:rStyle w:val="6"/>
                <w:rFonts w:hint="eastAsia" w:ascii="宋体" w:hAnsi="宋体" w:eastAsia="宋体" w:cs="宋体"/>
                <w:b/>
              </w:rPr>
              <w:t>品目号</w:t>
            </w:r>
          </w:p>
        </w:tc>
        <w:tc>
          <w:tcPr>
            <w:tcW w:w="1087"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255" w:lineRule="atLeast"/>
              <w:jc w:val="center"/>
            </w:pPr>
            <w:r>
              <w:rPr>
                <w:rStyle w:val="6"/>
                <w:rFonts w:hint="eastAsia" w:ascii="宋体" w:hAnsi="宋体" w:eastAsia="宋体" w:cs="宋体"/>
                <w:b/>
              </w:rPr>
              <w:t>设备名 称</w:t>
            </w:r>
          </w:p>
        </w:tc>
        <w:tc>
          <w:tcPr>
            <w:tcW w:w="529"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255" w:lineRule="atLeast"/>
              <w:jc w:val="center"/>
            </w:pPr>
            <w:r>
              <w:rPr>
                <w:rStyle w:val="6"/>
                <w:rFonts w:hint="eastAsia" w:ascii="宋体" w:hAnsi="宋体" w:eastAsia="宋体" w:cs="宋体"/>
                <w:b/>
              </w:rPr>
              <w:t>单位</w:t>
            </w:r>
          </w:p>
        </w:tc>
        <w:tc>
          <w:tcPr>
            <w:tcW w:w="467"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255" w:lineRule="atLeast"/>
              <w:jc w:val="center"/>
            </w:pPr>
            <w:r>
              <w:rPr>
                <w:rStyle w:val="6"/>
                <w:rFonts w:hint="eastAsia" w:ascii="宋体" w:hAnsi="宋体" w:eastAsia="宋体" w:cs="宋体"/>
                <w:b/>
              </w:rPr>
              <w:t>数量</w:t>
            </w:r>
          </w:p>
        </w:tc>
        <w:tc>
          <w:tcPr>
            <w:tcW w:w="503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255" w:lineRule="atLeast"/>
              <w:jc w:val="center"/>
            </w:pPr>
            <w:r>
              <w:rPr>
                <w:rStyle w:val="6"/>
                <w:rFonts w:hint="eastAsia" w:ascii="宋体" w:hAnsi="宋体" w:eastAsia="宋体" w:cs="宋体"/>
                <w:b/>
              </w:rPr>
              <w:t>技术参数</w:t>
            </w:r>
          </w:p>
        </w:tc>
        <w:tc>
          <w:tcPr>
            <w:tcW w:w="834"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255" w:lineRule="atLeast"/>
              <w:jc w:val="center"/>
            </w:pPr>
            <w:r>
              <w:rPr>
                <w:rStyle w:val="6"/>
                <w:rFonts w:hint="eastAsia" w:ascii="宋体" w:hAnsi="宋体" w:eastAsia="宋体" w:cs="宋体"/>
                <w:b/>
              </w:rPr>
              <w:t>备注</w:t>
            </w:r>
          </w:p>
        </w:tc>
      </w:tr>
      <w:tr>
        <w:trPr>
          <w:trHeight w:val="8775" w:hRule="atLeast"/>
          <w:tblCellSpacing w:w="15" w:type="dxa"/>
        </w:trPr>
        <w:tc>
          <w:tcPr>
            <w:tcW w:w="66" w:type="dxa"/>
            <w:tcBorders>
              <w:top w:val="nil"/>
              <w:left w:val="single" w:color="auto" w:sz="6" w:space="0"/>
              <w:bottom w:val="single" w:color="auto" w:sz="6" w:space="0"/>
              <w:right w:val="single" w:color="auto" w:sz="6" w:space="0"/>
            </w:tcBorders>
            <w:shd w:val="clear" w:color="auto" w:fill="FFFFFF"/>
            <w:tcMar>
              <w:top w:w="0" w:type="dxa"/>
              <w:left w:w="0" w:type="dxa"/>
              <w:bottom w:w="0" w:type="dxa"/>
              <w:right w:w="0" w:type="dxa"/>
            </w:tcMar>
            <w:vAlign w:val="center"/>
          </w:tcPr>
          <w:p>
            <w:pPr>
              <w:keepNext w:val="0"/>
              <w:keepLines w:val="0"/>
              <w:widowControl/>
              <w:suppressLineNumbers w:val="0"/>
              <w:jc w:val="left"/>
            </w:pPr>
          </w:p>
        </w:tc>
        <w:tc>
          <w:tcPr>
            <w:tcW w:w="95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255" w:lineRule="atLeast"/>
              <w:jc w:val="center"/>
            </w:pPr>
            <w:r>
              <w:rPr>
                <w:rStyle w:val="6"/>
                <w:rFonts w:hint="eastAsia" w:ascii="宋体" w:hAnsi="宋体" w:eastAsia="宋体" w:cs="宋体"/>
                <w:b/>
              </w:rPr>
              <w:t>1-1-13</w:t>
            </w:r>
          </w:p>
        </w:tc>
        <w:tc>
          <w:tcPr>
            <w:tcW w:w="1087"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255" w:lineRule="atLeast"/>
            </w:pPr>
            <w:r>
              <w:rPr>
                <w:rFonts w:hint="eastAsia" w:ascii="宋体" w:hAnsi="宋体" w:eastAsia="宋体" w:cs="宋体"/>
                <w:sz w:val="24"/>
                <w:szCs w:val="24"/>
              </w:rPr>
              <w:t>24口千兆交换机</w:t>
            </w:r>
          </w:p>
        </w:tc>
        <w:tc>
          <w:tcPr>
            <w:tcW w:w="529"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255" w:lineRule="atLeast"/>
              <w:jc w:val="center"/>
            </w:pPr>
            <w:r>
              <w:rPr>
                <w:rFonts w:hint="eastAsia" w:ascii="宋体" w:hAnsi="宋体" w:eastAsia="宋体" w:cs="宋体"/>
                <w:sz w:val="24"/>
                <w:szCs w:val="24"/>
              </w:rPr>
              <w:t>台</w:t>
            </w:r>
          </w:p>
        </w:tc>
        <w:tc>
          <w:tcPr>
            <w:tcW w:w="467"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255" w:lineRule="atLeast"/>
              <w:jc w:val="center"/>
            </w:pPr>
            <w:r>
              <w:rPr>
                <w:rFonts w:hint="eastAsia" w:ascii="宋体" w:hAnsi="宋体" w:eastAsia="宋体" w:cs="宋体"/>
                <w:sz w:val="24"/>
                <w:szCs w:val="24"/>
              </w:rPr>
              <w:t>8</w:t>
            </w:r>
          </w:p>
        </w:tc>
        <w:tc>
          <w:tcPr>
            <w:tcW w:w="503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255" w:lineRule="atLeast"/>
            </w:pPr>
            <w:r>
              <w:rPr>
                <w:rFonts w:hint="eastAsia" w:ascii="宋体" w:hAnsi="宋体" w:eastAsia="宋体" w:cs="宋体"/>
                <w:sz w:val="24"/>
                <w:szCs w:val="24"/>
              </w:rPr>
              <w:t>1、固化10/100/1000M以太网端口≥24，固化1G/10G SFP+万兆光接口≥4个；整机最大可用千兆口≥24，最大可用万兆口≥4 </w:t>
            </w:r>
          </w:p>
          <w:p>
            <w:pPr>
              <w:pStyle w:val="4"/>
              <w:keepNext w:val="0"/>
              <w:keepLines w:val="0"/>
              <w:widowControl/>
              <w:suppressLineNumbers w:val="0"/>
              <w:spacing w:line="255" w:lineRule="atLeast"/>
            </w:pPr>
            <w:r>
              <w:rPr>
                <w:rFonts w:hint="eastAsia" w:ascii="宋体" w:hAnsi="宋体" w:eastAsia="宋体" w:cs="宋体"/>
                <w:sz w:val="24"/>
                <w:szCs w:val="24"/>
              </w:rPr>
              <w:t>2、交换容量≥3.3Tbps；包转发率≥120Mpps。</w:t>
            </w:r>
          </w:p>
          <w:p>
            <w:pPr>
              <w:pStyle w:val="4"/>
              <w:keepNext w:val="0"/>
              <w:keepLines w:val="0"/>
              <w:widowControl/>
              <w:suppressLineNumbers w:val="0"/>
              <w:spacing w:line="255" w:lineRule="atLeast"/>
            </w:pPr>
            <w:r>
              <w:rPr>
                <w:rFonts w:hint="eastAsia" w:ascii="宋体" w:hAnsi="宋体" w:eastAsia="宋体" w:cs="宋体"/>
                <w:sz w:val="24"/>
                <w:szCs w:val="24"/>
              </w:rPr>
              <w:t>3、支持固化电源，减少单点故障，便于维护</w:t>
            </w:r>
          </w:p>
          <w:p>
            <w:pPr>
              <w:pStyle w:val="4"/>
              <w:keepNext w:val="0"/>
              <w:keepLines w:val="0"/>
              <w:widowControl/>
              <w:suppressLineNumbers w:val="0"/>
              <w:spacing w:line="255" w:lineRule="atLeast"/>
            </w:pPr>
            <w:r>
              <w:rPr>
                <w:rFonts w:hint="eastAsia" w:ascii="宋体" w:hAnsi="宋体" w:eastAsia="宋体" w:cs="宋体"/>
                <w:sz w:val="24"/>
                <w:szCs w:val="24"/>
              </w:rPr>
              <w:t>4、要求所投设备MAC地址≥16K</w:t>
            </w:r>
          </w:p>
          <w:p>
            <w:pPr>
              <w:pStyle w:val="4"/>
              <w:keepNext w:val="0"/>
              <w:keepLines w:val="0"/>
              <w:widowControl/>
              <w:suppressLineNumbers w:val="0"/>
              <w:spacing w:line="255" w:lineRule="atLeast"/>
            </w:pPr>
            <w:r>
              <w:rPr>
                <w:rFonts w:hint="eastAsia" w:ascii="宋体" w:hAnsi="宋体" w:eastAsia="宋体" w:cs="宋体"/>
                <w:sz w:val="24"/>
                <w:szCs w:val="24"/>
              </w:rPr>
              <w:t>5、要求所投设备ARP表项≥1000条</w:t>
            </w:r>
          </w:p>
          <w:p>
            <w:pPr>
              <w:pStyle w:val="4"/>
              <w:keepNext w:val="0"/>
              <w:keepLines w:val="0"/>
              <w:widowControl/>
              <w:suppressLineNumbers w:val="0"/>
              <w:spacing w:line="255" w:lineRule="atLeast"/>
            </w:pPr>
            <w:r>
              <w:rPr>
                <w:rFonts w:hint="eastAsia" w:ascii="宋体" w:hAnsi="宋体" w:eastAsia="宋体" w:cs="宋体"/>
                <w:sz w:val="24"/>
                <w:szCs w:val="24"/>
              </w:rPr>
              <w:t>6、支持基于端口的出方向和入方向限速，限端口速粒度≤64Kbps；</w:t>
            </w:r>
          </w:p>
          <w:p>
            <w:pPr>
              <w:pStyle w:val="4"/>
              <w:keepNext w:val="0"/>
              <w:keepLines w:val="0"/>
              <w:widowControl/>
              <w:suppressLineNumbers w:val="0"/>
              <w:spacing w:line="255" w:lineRule="atLeast"/>
            </w:pPr>
            <w:r>
              <w:rPr>
                <w:rFonts w:hint="eastAsia" w:ascii="宋体" w:hAnsi="宋体" w:eastAsia="宋体" w:cs="宋体"/>
                <w:sz w:val="24"/>
                <w:szCs w:val="24"/>
              </w:rPr>
              <w:t>支持基于流的出方向和入方向限速，且流限速粒度≤8Kbps；</w:t>
            </w:r>
          </w:p>
          <w:p>
            <w:pPr>
              <w:pStyle w:val="4"/>
              <w:keepNext w:val="0"/>
              <w:keepLines w:val="0"/>
              <w:widowControl/>
              <w:suppressLineNumbers w:val="0"/>
              <w:spacing w:line="255" w:lineRule="atLeast"/>
            </w:pPr>
            <w:r>
              <w:rPr>
                <w:rFonts w:hint="eastAsia" w:ascii="宋体" w:hAnsi="宋体" w:eastAsia="宋体" w:cs="宋体"/>
                <w:sz w:val="24"/>
                <w:szCs w:val="24"/>
              </w:rPr>
              <w:t>7、要求所投设备支持1对1、1对多、多对1和基于流的镜像；且支持RSPAN和ERSPAN</w:t>
            </w:r>
          </w:p>
          <w:p>
            <w:pPr>
              <w:pStyle w:val="4"/>
              <w:keepNext w:val="0"/>
              <w:keepLines w:val="0"/>
              <w:widowControl/>
              <w:suppressLineNumbers w:val="0"/>
              <w:spacing w:line="255" w:lineRule="atLeast"/>
            </w:pPr>
            <w:r>
              <w:rPr>
                <w:rFonts w:hint="eastAsia" w:ascii="宋体" w:hAnsi="宋体" w:eastAsia="宋体" w:cs="宋体"/>
                <w:sz w:val="24"/>
                <w:szCs w:val="24"/>
              </w:rPr>
              <w:t>8、要求所投产品支持软件定义网络SDN，符合OpenFlow 1.3协议标准，支持SDN和SDN Ready功能</w:t>
            </w:r>
          </w:p>
          <w:p>
            <w:pPr>
              <w:pStyle w:val="4"/>
              <w:keepNext w:val="0"/>
              <w:keepLines w:val="0"/>
              <w:widowControl/>
              <w:suppressLineNumbers w:val="0"/>
              <w:spacing w:line="255" w:lineRule="atLeast"/>
            </w:pPr>
            <w:r>
              <w:rPr>
                <w:rFonts w:hint="eastAsia" w:ascii="宋体" w:hAnsi="宋体" w:eastAsia="宋体" w:cs="宋体"/>
                <w:sz w:val="24"/>
                <w:szCs w:val="24"/>
              </w:rPr>
              <w:t>9、要求所投产品支持ITU-TG.8032国际公有环网协议ERPS,支持相切环和相交环，并且链路故障的收敛时间≤50ms；</w:t>
            </w:r>
          </w:p>
          <w:p>
            <w:pPr>
              <w:pStyle w:val="4"/>
              <w:keepNext w:val="0"/>
              <w:keepLines w:val="0"/>
              <w:widowControl/>
              <w:suppressLineNumbers w:val="0"/>
              <w:spacing w:line="255" w:lineRule="atLeast"/>
            </w:pPr>
            <w:r>
              <w:rPr>
                <w:rFonts w:hint="eastAsia" w:ascii="宋体" w:hAnsi="宋体" w:eastAsia="宋体" w:cs="宋体"/>
                <w:sz w:val="24"/>
                <w:szCs w:val="24"/>
              </w:rPr>
              <w:t>10、要求所投产品支持openflow 1.3协议。</w:t>
            </w:r>
          </w:p>
          <w:p>
            <w:pPr>
              <w:pStyle w:val="4"/>
              <w:keepNext w:val="0"/>
              <w:keepLines w:val="0"/>
              <w:widowControl/>
              <w:suppressLineNumbers w:val="0"/>
              <w:spacing w:line="255" w:lineRule="atLeast"/>
            </w:pPr>
            <w:r>
              <w:rPr>
                <w:rFonts w:hint="eastAsia" w:ascii="宋体" w:hAnsi="宋体" w:eastAsia="宋体" w:cs="宋体"/>
                <w:sz w:val="24"/>
                <w:szCs w:val="24"/>
              </w:rPr>
              <w:t>11、为了方便售后的统一及维护的方便，   本次项目所供交换机为同一品 牌</w:t>
            </w:r>
          </w:p>
          <w:p>
            <w:pPr>
              <w:pStyle w:val="4"/>
              <w:keepNext w:val="0"/>
              <w:keepLines w:val="0"/>
              <w:widowControl/>
              <w:suppressLineNumbers w:val="0"/>
              <w:spacing w:line="255" w:lineRule="atLeast"/>
            </w:pPr>
            <w:r>
              <w:rPr>
                <w:rFonts w:hint="eastAsia" w:ascii="宋体" w:hAnsi="宋体" w:eastAsia="宋体" w:cs="宋体"/>
                <w:sz w:val="24"/>
                <w:szCs w:val="24"/>
              </w:rPr>
              <w:t>12、每台配置2个千兆单模光模块</w:t>
            </w:r>
          </w:p>
          <w:p>
            <w:pPr>
              <w:pStyle w:val="4"/>
              <w:keepNext w:val="0"/>
              <w:keepLines w:val="0"/>
              <w:widowControl/>
              <w:suppressLineNumbers w:val="0"/>
              <w:spacing w:line="255" w:lineRule="atLeast"/>
            </w:pPr>
            <w:r>
              <w:rPr>
                <w:rFonts w:hint="eastAsia" w:ascii="宋体" w:hAnsi="宋体" w:eastAsia="宋体" w:cs="宋体"/>
                <w:sz w:val="24"/>
                <w:szCs w:val="24"/>
              </w:rPr>
              <w:t>13、支持ARP防欺骗的功能，在交换机端口启用802.1X和WEB认证功能的前提下，能够禁止非法用户的ARP欺骗报文，保护合法用户免受其害，防止合法用户的数据被窃取。提供有效的第三方检测机构测试报告测试证明。</w:t>
            </w:r>
          </w:p>
          <w:p>
            <w:pPr>
              <w:pStyle w:val="4"/>
              <w:keepNext w:val="0"/>
              <w:keepLines w:val="0"/>
              <w:widowControl/>
              <w:suppressLineNumbers w:val="0"/>
              <w:spacing w:line="255" w:lineRule="atLeast"/>
            </w:pPr>
            <w:r>
              <w:rPr>
                <w:rFonts w:hint="eastAsia" w:ascii="宋体" w:hAnsi="宋体" w:eastAsia="宋体" w:cs="宋体"/>
                <w:sz w:val="24"/>
                <w:szCs w:val="24"/>
              </w:rPr>
              <w:t>14、支持终端用户安全防护功能，在交换机端口启用802.1X和WEB认证功能的前提下，支持认证端口配置IP地址过滤、ACL；支持认证通过后，自动进行IP+MAC+端口绑定或IP+MAC绑定；支持认证通过后，防源IP地址欺骗功能；支持认证通过后，多播源IP/源端口检测，防止非法组播源。提供有效的第三方检测机构测试报告测试证明</w:t>
            </w:r>
          </w:p>
          <w:p>
            <w:pPr>
              <w:pStyle w:val="4"/>
              <w:keepNext w:val="0"/>
              <w:keepLines w:val="0"/>
              <w:widowControl/>
              <w:suppressLineNumbers w:val="0"/>
              <w:spacing w:line="255" w:lineRule="atLeast"/>
            </w:pPr>
            <w:r>
              <w:rPr>
                <w:rFonts w:hint="eastAsia" w:ascii="宋体" w:hAnsi="宋体" w:eastAsia="宋体" w:cs="宋体"/>
                <w:sz w:val="24"/>
                <w:szCs w:val="24"/>
              </w:rPr>
              <w:t>15、支持专门基础网络保护机制，增强设备防攻击能力，即使在受到攻击的情况下，也能保护系统各种服务的正常运行，保持较低的CPU负载，从而保障整个网络的稳定运行。以有效的第三方检测机构测试报告为准。</w:t>
            </w:r>
          </w:p>
        </w:tc>
        <w:tc>
          <w:tcPr>
            <w:tcW w:w="834"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tc>
      </w:tr>
      <w:tr>
        <w:trPr>
          <w:trHeight w:val="675" w:hRule="atLeast"/>
          <w:tblCellSpacing w:w="15" w:type="dxa"/>
        </w:trPr>
        <w:tc>
          <w:tcPr>
            <w:tcW w:w="66" w:type="dxa"/>
            <w:tcBorders>
              <w:top w:val="nil"/>
              <w:left w:val="single" w:color="auto" w:sz="6" w:space="0"/>
              <w:bottom w:val="single" w:color="auto" w:sz="6" w:space="0"/>
              <w:right w:val="single" w:color="auto" w:sz="6" w:space="0"/>
            </w:tcBorders>
            <w:shd w:val="clear" w:color="auto" w:fill="FFFFFF"/>
            <w:tcMar>
              <w:top w:w="0" w:type="dxa"/>
              <w:left w:w="0" w:type="dxa"/>
              <w:bottom w:w="0" w:type="dxa"/>
              <w:right w:w="0" w:type="dxa"/>
            </w:tcMar>
            <w:vAlign w:val="center"/>
          </w:tcPr>
          <w:p>
            <w:pPr>
              <w:keepNext w:val="0"/>
              <w:keepLines w:val="0"/>
              <w:widowControl/>
              <w:suppressLineNumbers w:val="0"/>
              <w:jc w:val="left"/>
            </w:pPr>
          </w:p>
        </w:tc>
        <w:tc>
          <w:tcPr>
            <w:tcW w:w="95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255" w:lineRule="atLeast"/>
              <w:jc w:val="center"/>
            </w:pPr>
            <w:r>
              <w:rPr>
                <w:rStyle w:val="6"/>
                <w:rFonts w:hint="eastAsia" w:ascii="宋体" w:hAnsi="宋体" w:eastAsia="宋体" w:cs="宋体"/>
                <w:b/>
              </w:rPr>
              <w:t>1-1-14</w:t>
            </w:r>
          </w:p>
        </w:tc>
        <w:tc>
          <w:tcPr>
            <w:tcW w:w="1087"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255" w:lineRule="atLeast"/>
            </w:pPr>
            <w:r>
              <w:rPr>
                <w:rFonts w:hint="eastAsia" w:ascii="宋体" w:hAnsi="宋体" w:eastAsia="宋体" w:cs="宋体"/>
                <w:sz w:val="24"/>
                <w:szCs w:val="24"/>
              </w:rPr>
              <w:t>千兆单模光模块</w:t>
            </w:r>
          </w:p>
        </w:tc>
        <w:tc>
          <w:tcPr>
            <w:tcW w:w="529"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255" w:lineRule="atLeast"/>
              <w:jc w:val="center"/>
            </w:pPr>
            <w:r>
              <w:rPr>
                <w:rFonts w:hint="eastAsia" w:ascii="宋体" w:hAnsi="宋体" w:eastAsia="宋体" w:cs="宋体"/>
                <w:sz w:val="24"/>
                <w:szCs w:val="24"/>
              </w:rPr>
              <w:t>个</w:t>
            </w:r>
          </w:p>
        </w:tc>
        <w:tc>
          <w:tcPr>
            <w:tcW w:w="467"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255" w:lineRule="atLeast"/>
              <w:jc w:val="center"/>
            </w:pPr>
            <w:r>
              <w:rPr>
                <w:rFonts w:hint="eastAsia" w:ascii="宋体" w:hAnsi="宋体" w:eastAsia="宋体" w:cs="宋体"/>
                <w:sz w:val="24"/>
                <w:szCs w:val="24"/>
              </w:rPr>
              <w:t>22</w:t>
            </w:r>
          </w:p>
        </w:tc>
        <w:tc>
          <w:tcPr>
            <w:tcW w:w="503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255" w:lineRule="atLeast"/>
            </w:pPr>
            <w:r>
              <w:rPr>
                <w:rFonts w:hint="eastAsia" w:ascii="宋体" w:hAnsi="宋体" w:eastAsia="宋体" w:cs="宋体"/>
                <w:sz w:val="24"/>
                <w:szCs w:val="24"/>
              </w:rPr>
              <w:t>单口1000BASE-LX miniGBIC转换模块（LC接口）</w:t>
            </w:r>
          </w:p>
        </w:tc>
        <w:tc>
          <w:tcPr>
            <w:tcW w:w="834"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tc>
      </w:tr>
      <w:tr>
        <w:trPr>
          <w:trHeight w:val="1995" w:hRule="atLeast"/>
          <w:tblCellSpacing w:w="15" w:type="dxa"/>
        </w:trPr>
        <w:tc>
          <w:tcPr>
            <w:tcW w:w="66" w:type="dxa"/>
            <w:tcBorders>
              <w:top w:val="nil"/>
              <w:left w:val="single" w:color="auto" w:sz="6" w:space="0"/>
              <w:bottom w:val="single" w:color="auto" w:sz="6" w:space="0"/>
              <w:right w:val="single" w:color="auto" w:sz="6" w:space="0"/>
            </w:tcBorders>
            <w:shd w:val="clear" w:color="auto" w:fill="FFFFFF"/>
            <w:tcMar>
              <w:top w:w="0" w:type="dxa"/>
              <w:left w:w="0" w:type="dxa"/>
              <w:bottom w:w="0" w:type="dxa"/>
              <w:right w:w="0" w:type="dxa"/>
            </w:tcMar>
            <w:vAlign w:val="center"/>
          </w:tcPr>
          <w:p>
            <w:pPr>
              <w:keepNext w:val="0"/>
              <w:keepLines w:val="0"/>
              <w:widowControl/>
              <w:suppressLineNumbers w:val="0"/>
              <w:jc w:val="left"/>
            </w:pPr>
          </w:p>
        </w:tc>
        <w:tc>
          <w:tcPr>
            <w:tcW w:w="95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255" w:lineRule="atLeast"/>
              <w:jc w:val="center"/>
            </w:pPr>
            <w:r>
              <w:rPr>
                <w:rStyle w:val="6"/>
                <w:rFonts w:hint="eastAsia" w:ascii="宋体" w:hAnsi="宋体" w:eastAsia="宋体" w:cs="宋体"/>
                <w:b/>
              </w:rPr>
              <w:t>1-1-15</w:t>
            </w:r>
          </w:p>
        </w:tc>
        <w:tc>
          <w:tcPr>
            <w:tcW w:w="1087"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255" w:lineRule="atLeast"/>
            </w:pPr>
            <w:r>
              <w:rPr>
                <w:rFonts w:hint="eastAsia" w:ascii="宋体" w:hAnsi="宋体" w:eastAsia="宋体" w:cs="宋体"/>
                <w:sz w:val="24"/>
                <w:szCs w:val="24"/>
              </w:rPr>
              <w:t>核心交换机</w:t>
            </w:r>
          </w:p>
        </w:tc>
        <w:tc>
          <w:tcPr>
            <w:tcW w:w="529"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255" w:lineRule="atLeast"/>
              <w:jc w:val="center"/>
            </w:pPr>
            <w:r>
              <w:rPr>
                <w:rFonts w:hint="eastAsia" w:ascii="宋体" w:hAnsi="宋体" w:eastAsia="宋体" w:cs="宋体"/>
                <w:sz w:val="24"/>
                <w:szCs w:val="24"/>
              </w:rPr>
              <w:t>台</w:t>
            </w:r>
          </w:p>
        </w:tc>
        <w:tc>
          <w:tcPr>
            <w:tcW w:w="467"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255" w:lineRule="atLeast"/>
              <w:jc w:val="center"/>
            </w:pPr>
            <w:r>
              <w:rPr>
                <w:rFonts w:hint="eastAsia" w:ascii="宋体" w:hAnsi="宋体" w:eastAsia="宋体" w:cs="宋体"/>
                <w:sz w:val="24"/>
                <w:szCs w:val="24"/>
              </w:rPr>
              <w:t>4</w:t>
            </w:r>
          </w:p>
        </w:tc>
        <w:tc>
          <w:tcPr>
            <w:tcW w:w="503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255" w:lineRule="atLeast"/>
            </w:pPr>
            <w:r>
              <w:rPr>
                <w:rFonts w:hint="eastAsia" w:ascii="宋体" w:hAnsi="宋体" w:eastAsia="宋体" w:cs="宋体"/>
                <w:sz w:val="24"/>
                <w:szCs w:val="24"/>
              </w:rPr>
              <w:t>1、整机主控引擎插槽≥2个，业务插槽≥6个，配置单引擎，双电源，配置一块业务板卡，单板提供36端口千兆以太网电口(RJ45)+12端口千兆以太网光口(SFP,LC)+4端口万兆以太网光口(SFP+,LC)。</w:t>
            </w:r>
          </w:p>
          <w:p>
            <w:pPr>
              <w:pStyle w:val="4"/>
              <w:keepNext w:val="0"/>
              <w:keepLines w:val="0"/>
              <w:widowControl/>
              <w:suppressLineNumbers w:val="0"/>
              <w:spacing w:line="255" w:lineRule="atLeast"/>
            </w:pPr>
            <w:r>
              <w:rPr>
                <w:rFonts w:hint="eastAsia" w:ascii="宋体" w:hAnsi="宋体" w:eastAsia="宋体" w:cs="宋体"/>
                <w:sz w:val="24"/>
                <w:szCs w:val="24"/>
              </w:rPr>
              <w:t>2、交换容量≥80T，包转发性能≥20000Mpps</w:t>
            </w:r>
          </w:p>
          <w:p>
            <w:pPr>
              <w:pStyle w:val="4"/>
              <w:keepNext w:val="0"/>
              <w:keepLines w:val="0"/>
              <w:widowControl/>
              <w:suppressLineNumbers w:val="0"/>
              <w:spacing w:line="255" w:lineRule="atLeast"/>
            </w:pPr>
            <w:r>
              <w:rPr>
                <w:rFonts w:hint="eastAsia" w:ascii="宋体" w:hAnsi="宋体" w:eastAsia="宋体" w:cs="宋体"/>
                <w:sz w:val="24"/>
                <w:szCs w:val="24"/>
              </w:rPr>
              <w:t>3、整机ARP表项≥20K，实供板卡必须满足此项要求</w:t>
            </w:r>
          </w:p>
          <w:p>
            <w:pPr>
              <w:pStyle w:val="4"/>
              <w:keepNext w:val="0"/>
              <w:keepLines w:val="0"/>
              <w:widowControl/>
              <w:suppressLineNumbers w:val="0"/>
              <w:spacing w:line="255" w:lineRule="atLeast"/>
            </w:pPr>
            <w:r>
              <w:rPr>
                <w:rFonts w:hint="eastAsia" w:ascii="宋体" w:hAnsi="宋体" w:eastAsia="宋体" w:cs="宋体"/>
                <w:sz w:val="24"/>
                <w:szCs w:val="24"/>
              </w:rPr>
              <w:t>4、要求整机MAC表项≥64K，实供板卡必须满足此项要求</w:t>
            </w:r>
          </w:p>
          <w:p>
            <w:pPr>
              <w:pStyle w:val="4"/>
              <w:keepNext w:val="0"/>
              <w:keepLines w:val="0"/>
              <w:widowControl/>
              <w:suppressLineNumbers w:val="0"/>
              <w:spacing w:line="255" w:lineRule="atLeast"/>
            </w:pPr>
            <w:r>
              <w:rPr>
                <w:rFonts w:hint="eastAsia" w:ascii="宋体" w:hAnsi="宋体" w:eastAsia="宋体" w:cs="宋体"/>
                <w:sz w:val="24"/>
                <w:szCs w:val="24"/>
              </w:rPr>
              <w:t>5、支持“多虚一”与“一虚多”同时使用，彻底实现资源池化。</w:t>
            </w:r>
          </w:p>
          <w:p>
            <w:pPr>
              <w:pStyle w:val="4"/>
              <w:keepNext w:val="0"/>
              <w:keepLines w:val="0"/>
              <w:widowControl/>
              <w:suppressLineNumbers w:val="0"/>
              <w:spacing w:line="255" w:lineRule="atLeast"/>
            </w:pPr>
            <w:r>
              <w:rPr>
                <w:rFonts w:hint="eastAsia" w:ascii="宋体" w:hAnsi="宋体" w:eastAsia="宋体" w:cs="宋体"/>
                <w:sz w:val="24"/>
                <w:szCs w:val="24"/>
              </w:rPr>
              <w:t>6、为了方便售后的统一及维护的方便，   本次项目所供交换机为同一品 牌；</w:t>
            </w:r>
          </w:p>
          <w:p>
            <w:pPr>
              <w:pStyle w:val="4"/>
              <w:keepNext w:val="0"/>
              <w:keepLines w:val="0"/>
              <w:widowControl/>
              <w:suppressLineNumbers w:val="0"/>
              <w:spacing w:line="255" w:lineRule="atLeast"/>
            </w:pPr>
            <w:r>
              <w:rPr>
                <w:rFonts w:hint="eastAsia" w:ascii="宋体" w:hAnsi="宋体" w:eastAsia="宋体" w:cs="宋体"/>
                <w:sz w:val="24"/>
                <w:szCs w:val="24"/>
              </w:rPr>
              <w:t>7、支持多对一镜像,基于流的镜像，一对多镜像。支持SPAN、RSPAN远程镜像，支持VLAN的镜像。</w:t>
            </w:r>
          </w:p>
          <w:p>
            <w:pPr>
              <w:pStyle w:val="4"/>
              <w:keepNext w:val="0"/>
              <w:keepLines w:val="0"/>
              <w:widowControl/>
              <w:suppressLineNumbers w:val="0"/>
              <w:spacing w:line="255" w:lineRule="atLeast"/>
            </w:pPr>
            <w:r>
              <w:rPr>
                <w:rFonts w:hint="eastAsia" w:ascii="宋体" w:hAnsi="宋体" w:eastAsia="宋体" w:cs="宋体"/>
                <w:sz w:val="24"/>
                <w:szCs w:val="24"/>
              </w:rPr>
              <w:t>8、支持IPv6静态路由、RIPng、OSPF   v3、BGP4+ 等路由协议</w:t>
            </w:r>
          </w:p>
          <w:p>
            <w:pPr>
              <w:pStyle w:val="4"/>
              <w:keepNext w:val="0"/>
              <w:keepLines w:val="0"/>
              <w:widowControl/>
              <w:suppressLineNumbers w:val="0"/>
              <w:spacing w:line="255" w:lineRule="atLeast"/>
            </w:pPr>
            <w:r>
              <w:rPr>
                <w:rFonts w:hint="eastAsia" w:ascii="宋体" w:hAnsi="宋体" w:eastAsia="宋体" w:cs="宋体"/>
                <w:sz w:val="24"/>
                <w:szCs w:val="24"/>
              </w:rPr>
              <w:t>支持手动隧道，自动隧道，ISATAP</w:t>
            </w:r>
          </w:p>
        </w:tc>
        <w:tc>
          <w:tcPr>
            <w:tcW w:w="834"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tc>
      </w:tr>
      <w:tr>
        <w:trPr>
          <w:trHeight w:val="10950" w:hRule="atLeast"/>
          <w:tblCellSpacing w:w="15" w:type="dxa"/>
        </w:trPr>
        <w:tc>
          <w:tcPr>
            <w:tcW w:w="66" w:type="dxa"/>
            <w:tcBorders>
              <w:top w:val="nil"/>
              <w:left w:val="single" w:color="auto" w:sz="6" w:space="0"/>
              <w:bottom w:val="single" w:color="auto" w:sz="6" w:space="0"/>
              <w:right w:val="single" w:color="auto" w:sz="6" w:space="0"/>
            </w:tcBorders>
            <w:shd w:val="clear" w:color="auto" w:fill="FFFFFF"/>
            <w:tcMar>
              <w:top w:w="0" w:type="dxa"/>
              <w:left w:w="0" w:type="dxa"/>
              <w:bottom w:w="0" w:type="dxa"/>
              <w:right w:w="0" w:type="dxa"/>
            </w:tcMar>
            <w:vAlign w:val="center"/>
          </w:tcPr>
          <w:p>
            <w:pPr>
              <w:keepNext w:val="0"/>
              <w:keepLines w:val="0"/>
              <w:widowControl/>
              <w:suppressLineNumbers w:val="0"/>
              <w:jc w:val="left"/>
            </w:pPr>
          </w:p>
        </w:tc>
        <w:tc>
          <w:tcPr>
            <w:tcW w:w="95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255" w:lineRule="atLeast"/>
              <w:jc w:val="center"/>
            </w:pPr>
            <w:r>
              <w:rPr>
                <w:rStyle w:val="6"/>
                <w:rFonts w:hint="eastAsia" w:ascii="宋体" w:hAnsi="宋体" w:eastAsia="宋体" w:cs="宋体"/>
                <w:b/>
              </w:rPr>
              <w:t>1-1-16</w:t>
            </w:r>
          </w:p>
        </w:tc>
        <w:tc>
          <w:tcPr>
            <w:tcW w:w="1087"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255" w:lineRule="atLeast"/>
            </w:pPr>
            <w:r>
              <w:rPr>
                <w:rFonts w:hint="eastAsia" w:ascii="宋体" w:hAnsi="宋体" w:eastAsia="宋体" w:cs="宋体"/>
                <w:sz w:val="24"/>
                <w:szCs w:val="24"/>
              </w:rPr>
              <w:t>防火墙</w:t>
            </w:r>
          </w:p>
        </w:tc>
        <w:tc>
          <w:tcPr>
            <w:tcW w:w="529"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255" w:lineRule="atLeast"/>
              <w:jc w:val="center"/>
            </w:pPr>
            <w:r>
              <w:rPr>
                <w:rFonts w:hint="eastAsia" w:ascii="宋体" w:hAnsi="宋体" w:eastAsia="宋体" w:cs="宋体"/>
                <w:sz w:val="24"/>
                <w:szCs w:val="24"/>
              </w:rPr>
              <w:t>台</w:t>
            </w:r>
          </w:p>
        </w:tc>
        <w:tc>
          <w:tcPr>
            <w:tcW w:w="467"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255" w:lineRule="atLeast"/>
              <w:jc w:val="center"/>
            </w:pPr>
            <w:r>
              <w:rPr>
                <w:rFonts w:hint="eastAsia" w:ascii="宋体" w:hAnsi="宋体" w:eastAsia="宋体" w:cs="宋体"/>
                <w:sz w:val="24"/>
                <w:szCs w:val="24"/>
              </w:rPr>
              <w:t>2</w:t>
            </w:r>
          </w:p>
        </w:tc>
        <w:tc>
          <w:tcPr>
            <w:tcW w:w="503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255" w:lineRule="atLeast"/>
              <w:ind w:left="0" w:firstLine="0"/>
              <w:jc w:val="left"/>
            </w:pPr>
            <w:r>
              <w:rPr>
                <w:rFonts w:hint="default" w:ascii="Calibri" w:hAnsi="Calibri" w:cs="Calibri"/>
                <w:color w:val="000000"/>
                <w:sz w:val="24"/>
                <w:szCs w:val="24"/>
              </w:rPr>
              <w:t>1</w:t>
            </w:r>
            <w:r>
              <w:rPr>
                <w:rFonts w:hint="eastAsia" w:ascii="宋体" w:hAnsi="宋体" w:eastAsia="宋体" w:cs="宋体"/>
                <w:color w:val="000000"/>
                <w:sz w:val="24"/>
                <w:szCs w:val="24"/>
              </w:rPr>
              <w:t>、</w:t>
            </w:r>
            <w:r>
              <w:rPr>
                <w:rFonts w:hint="default" w:ascii="Times New Roman" w:hAnsi="Times New Roman" w:cs="Times New Roman"/>
                <w:color w:val="000000"/>
                <w:sz w:val="13"/>
                <w:szCs w:val="13"/>
              </w:rPr>
              <w:t xml:space="preserve">      </w:t>
            </w:r>
            <w:r>
              <w:rPr>
                <w:rFonts w:hint="eastAsia" w:ascii="宋体" w:hAnsi="宋体" w:eastAsia="宋体" w:cs="宋体"/>
                <w:color w:val="000000"/>
                <w:sz w:val="24"/>
                <w:szCs w:val="24"/>
              </w:rPr>
              <w:t xml:space="preserve">系统要求：设备采用自主知识产权的专用安全操作系统，采用多核多平台并行处理特性；支持多操作系统引导，出于安全性考虑，多系统需在设备启动过程中进行选择（提供截图）； </w:t>
            </w:r>
          </w:p>
          <w:p>
            <w:pPr>
              <w:pStyle w:val="4"/>
              <w:keepNext w:val="0"/>
              <w:keepLines w:val="0"/>
              <w:widowControl/>
              <w:suppressLineNumbers w:val="0"/>
              <w:spacing w:line="255" w:lineRule="atLeast"/>
              <w:ind w:left="0" w:firstLine="0"/>
              <w:jc w:val="left"/>
            </w:pPr>
            <w:r>
              <w:rPr>
                <w:rFonts w:hint="default" w:ascii="Calibri" w:hAnsi="Calibri" w:cs="Calibri"/>
                <w:color w:val="000000"/>
                <w:sz w:val="24"/>
                <w:szCs w:val="24"/>
              </w:rPr>
              <w:t>2</w:t>
            </w:r>
            <w:r>
              <w:rPr>
                <w:rFonts w:hint="eastAsia" w:ascii="宋体" w:hAnsi="宋体" w:eastAsia="宋体" w:cs="宋体"/>
                <w:color w:val="000000"/>
                <w:sz w:val="24"/>
                <w:szCs w:val="24"/>
              </w:rPr>
              <w:t>、</w:t>
            </w:r>
            <w:r>
              <w:rPr>
                <w:rFonts w:hint="default" w:ascii="Times New Roman" w:hAnsi="Times New Roman" w:cs="Times New Roman"/>
                <w:color w:val="000000"/>
                <w:sz w:val="13"/>
                <w:szCs w:val="13"/>
              </w:rPr>
              <w:t xml:space="preserve">      </w:t>
            </w:r>
            <w:r>
              <w:rPr>
                <w:rFonts w:hint="eastAsia" w:ascii="宋体" w:hAnsi="宋体" w:eastAsia="宋体" w:cs="宋体"/>
                <w:color w:val="000000"/>
                <w:sz w:val="24"/>
                <w:szCs w:val="24"/>
              </w:rPr>
              <w:t>硬件要求： 1U标准机架；配置≥6个千兆电口，≥4个SFP光口，2个USB口，1个专用控制口；防火墙吞吐不低于3Gbps；最大并发连接数不低于160万，每秒新建连接（TCP）不低于15000。</w:t>
            </w:r>
          </w:p>
          <w:p>
            <w:pPr>
              <w:pStyle w:val="4"/>
              <w:keepNext w:val="0"/>
              <w:keepLines w:val="0"/>
              <w:widowControl/>
              <w:suppressLineNumbers w:val="0"/>
              <w:spacing w:line="255" w:lineRule="atLeast"/>
              <w:ind w:left="0" w:firstLine="0"/>
              <w:jc w:val="left"/>
            </w:pPr>
            <w:r>
              <w:rPr>
                <w:rFonts w:hint="default" w:ascii="Calibri" w:hAnsi="Calibri" w:cs="Calibri"/>
                <w:color w:val="000000"/>
                <w:sz w:val="24"/>
                <w:szCs w:val="24"/>
              </w:rPr>
              <w:t>3</w:t>
            </w:r>
            <w:r>
              <w:rPr>
                <w:rFonts w:hint="eastAsia" w:ascii="宋体" w:hAnsi="宋体" w:eastAsia="宋体" w:cs="宋体"/>
                <w:color w:val="000000"/>
                <w:sz w:val="24"/>
                <w:szCs w:val="24"/>
              </w:rPr>
              <w:t>、</w:t>
            </w:r>
            <w:r>
              <w:rPr>
                <w:rFonts w:hint="default" w:ascii="Times New Roman" w:hAnsi="Times New Roman" w:cs="Times New Roman"/>
                <w:color w:val="000000"/>
                <w:sz w:val="13"/>
                <w:szCs w:val="13"/>
              </w:rPr>
              <w:t xml:space="preserve">      </w:t>
            </w:r>
            <w:r>
              <w:rPr>
                <w:rFonts w:hint="eastAsia" w:ascii="宋体" w:hAnsi="宋体" w:eastAsia="宋体" w:cs="宋体"/>
                <w:color w:val="000000"/>
                <w:sz w:val="24"/>
                <w:szCs w:val="24"/>
              </w:rPr>
              <w:t>支持静态路由、策略路由、RIPv1/2、OSPF、BGP等动态路由以及组播路由协议。</w:t>
            </w:r>
          </w:p>
          <w:p>
            <w:pPr>
              <w:pStyle w:val="4"/>
              <w:keepNext w:val="0"/>
              <w:keepLines w:val="0"/>
              <w:widowControl/>
              <w:suppressLineNumbers w:val="0"/>
              <w:spacing w:before="0" w:beforeAutospacing="1" w:after="0" w:afterAutospacing="1" w:line="255" w:lineRule="atLeast"/>
              <w:ind w:left="0" w:right="0" w:firstLine="0"/>
            </w:pPr>
            <w:r>
              <w:rPr>
                <w:rFonts w:hint="default" w:ascii="Calibri" w:hAnsi="Calibri" w:cs="Calibri"/>
                <w:color w:val="000000"/>
                <w:sz w:val="24"/>
                <w:szCs w:val="24"/>
              </w:rPr>
              <w:t>4</w:t>
            </w:r>
            <w:r>
              <w:rPr>
                <w:rFonts w:hint="eastAsia" w:ascii="宋体" w:hAnsi="宋体" w:eastAsia="宋体" w:cs="宋体"/>
                <w:color w:val="000000"/>
                <w:sz w:val="24"/>
                <w:szCs w:val="24"/>
              </w:rPr>
              <w:t>、</w:t>
            </w:r>
            <w:r>
              <w:rPr>
                <w:rFonts w:hint="default" w:ascii="Times New Roman" w:hAnsi="Times New Roman" w:cs="Times New Roman"/>
                <w:color w:val="000000"/>
                <w:sz w:val="13"/>
                <w:szCs w:val="13"/>
              </w:rPr>
              <w:t xml:space="preserve">    </w:t>
            </w:r>
            <w:r>
              <w:rPr>
                <w:rFonts w:hint="eastAsia" w:ascii="宋体" w:hAnsi="宋体" w:eastAsia="宋体" w:cs="宋体"/>
                <w:color w:val="000000"/>
                <w:sz w:val="24"/>
                <w:szCs w:val="24"/>
              </w:rPr>
              <w:t>提供并配置端口镜像功能，要求能够基于IP、网络协议等条件对镜像流量进行过滤，并且支持入方向、出方向及双向流量镜像；（要求截图）</w:t>
            </w:r>
          </w:p>
          <w:p>
            <w:pPr>
              <w:pStyle w:val="4"/>
              <w:keepNext w:val="0"/>
              <w:keepLines w:val="0"/>
              <w:widowControl/>
              <w:suppressLineNumbers w:val="0"/>
              <w:spacing w:line="255" w:lineRule="atLeast"/>
              <w:ind w:left="0" w:firstLine="0"/>
              <w:jc w:val="left"/>
            </w:pPr>
            <w:r>
              <w:rPr>
                <w:rFonts w:hint="default" w:ascii="Calibri" w:hAnsi="Calibri" w:cs="Calibri"/>
                <w:color w:val="000000"/>
                <w:sz w:val="24"/>
                <w:szCs w:val="24"/>
              </w:rPr>
              <w:t>5</w:t>
            </w:r>
            <w:r>
              <w:rPr>
                <w:rFonts w:hint="eastAsia" w:ascii="宋体" w:hAnsi="宋体" w:eastAsia="宋体" w:cs="宋体"/>
                <w:color w:val="000000"/>
                <w:sz w:val="24"/>
                <w:szCs w:val="24"/>
              </w:rPr>
              <w:t>、</w:t>
            </w:r>
            <w:r>
              <w:rPr>
                <w:rFonts w:hint="default" w:ascii="Times New Roman" w:hAnsi="Times New Roman" w:cs="Times New Roman"/>
                <w:color w:val="000000"/>
                <w:sz w:val="13"/>
                <w:szCs w:val="13"/>
              </w:rPr>
              <w:t xml:space="preserve">      </w:t>
            </w:r>
            <w:r>
              <w:rPr>
                <w:rFonts w:hint="eastAsia" w:ascii="宋体" w:hAnsi="宋体" w:eastAsia="宋体" w:cs="宋体"/>
                <w:color w:val="000000"/>
                <w:sz w:val="24"/>
                <w:szCs w:val="24"/>
              </w:rPr>
              <w:t>具备针对单条访问策略的最大并发连接数限制、策略命中数统计与策略重复检查功能，支持网络应用自学习功能并自动生成相关安全策略；（要求截图）</w:t>
            </w:r>
          </w:p>
          <w:p>
            <w:pPr>
              <w:pStyle w:val="4"/>
              <w:keepNext w:val="0"/>
              <w:keepLines w:val="0"/>
              <w:widowControl/>
              <w:suppressLineNumbers w:val="0"/>
              <w:spacing w:line="255" w:lineRule="atLeast"/>
              <w:ind w:left="0" w:firstLine="0"/>
              <w:jc w:val="left"/>
            </w:pPr>
            <w:r>
              <w:rPr>
                <w:rFonts w:hint="default" w:ascii="Calibri" w:hAnsi="Calibri" w:cs="Calibri"/>
                <w:color w:val="000000"/>
                <w:sz w:val="24"/>
                <w:szCs w:val="24"/>
              </w:rPr>
              <w:t>6</w:t>
            </w:r>
            <w:r>
              <w:rPr>
                <w:rFonts w:hint="eastAsia" w:ascii="宋体" w:hAnsi="宋体" w:eastAsia="宋体" w:cs="宋体"/>
                <w:color w:val="000000"/>
                <w:sz w:val="24"/>
                <w:szCs w:val="24"/>
              </w:rPr>
              <w:t>、</w:t>
            </w:r>
            <w:r>
              <w:rPr>
                <w:rFonts w:hint="default" w:ascii="Times New Roman" w:hAnsi="Times New Roman" w:cs="Times New Roman"/>
                <w:color w:val="000000"/>
                <w:sz w:val="13"/>
                <w:szCs w:val="13"/>
              </w:rPr>
              <w:t xml:space="preserve">      </w:t>
            </w:r>
            <w:r>
              <w:rPr>
                <w:rFonts w:hint="eastAsia" w:ascii="宋体" w:hAnsi="宋体" w:eastAsia="宋体" w:cs="宋体"/>
                <w:color w:val="000000"/>
                <w:sz w:val="24"/>
                <w:szCs w:val="24"/>
              </w:rPr>
              <w:t xml:space="preserve">支持防ARP欺骗与防路由欺骗功能；支持对Synflood、Icmpflood、Udpflood、Portscan、Ipsweep、Land、Smurf、Pingofdeath、Winnuke、Tcp_sscan、Ip_option、Teardr op、Targa3、Ipspoof等等网络攻击进行实时检测，并且通过智能策略联动机制对攻击行为进行动态阻断； </w:t>
            </w:r>
          </w:p>
          <w:p>
            <w:pPr>
              <w:pStyle w:val="4"/>
              <w:keepNext w:val="0"/>
              <w:keepLines w:val="0"/>
              <w:widowControl/>
              <w:suppressLineNumbers w:val="0"/>
              <w:spacing w:line="255" w:lineRule="atLeast"/>
              <w:ind w:left="0" w:firstLine="0"/>
              <w:jc w:val="left"/>
            </w:pPr>
            <w:r>
              <w:rPr>
                <w:rFonts w:hint="default" w:ascii="Calibri" w:hAnsi="Calibri" w:cs="Calibri"/>
                <w:color w:val="000000"/>
                <w:sz w:val="24"/>
                <w:szCs w:val="24"/>
              </w:rPr>
              <w:t>7</w:t>
            </w:r>
            <w:r>
              <w:rPr>
                <w:rFonts w:hint="eastAsia" w:ascii="宋体" w:hAnsi="宋体" w:eastAsia="宋体" w:cs="宋体"/>
                <w:color w:val="000000"/>
                <w:sz w:val="24"/>
                <w:szCs w:val="24"/>
              </w:rPr>
              <w:t>、</w:t>
            </w:r>
            <w:r>
              <w:rPr>
                <w:rFonts w:hint="default" w:ascii="Times New Roman" w:hAnsi="Times New Roman" w:cs="Times New Roman"/>
                <w:color w:val="000000"/>
                <w:sz w:val="13"/>
                <w:szCs w:val="13"/>
              </w:rPr>
              <w:t xml:space="preserve">      </w:t>
            </w:r>
            <w:r>
              <w:rPr>
                <w:rFonts w:hint="eastAsia" w:ascii="宋体" w:hAnsi="宋体" w:eastAsia="宋体" w:cs="宋体"/>
                <w:color w:val="000000"/>
                <w:sz w:val="24"/>
                <w:szCs w:val="24"/>
              </w:rPr>
              <w:t>★能够基于访问控制策略对最大并发连接数限制，支持在WEB界面中查看每条策略所匹配的当前会话、历史会话与报文统计信息；具有策略自学习功能，并且能够根据自学习结果直接生成访问控制策略；支持策略冲突检测功能（提供截图证明）；</w:t>
            </w:r>
          </w:p>
          <w:p>
            <w:pPr>
              <w:pStyle w:val="4"/>
              <w:keepNext w:val="0"/>
              <w:keepLines w:val="0"/>
              <w:widowControl/>
              <w:suppressLineNumbers w:val="0"/>
              <w:spacing w:line="255" w:lineRule="atLeast"/>
              <w:ind w:left="0" w:firstLine="0"/>
              <w:jc w:val="left"/>
            </w:pPr>
            <w:r>
              <w:rPr>
                <w:rFonts w:hint="default" w:ascii="Calibri" w:hAnsi="Calibri" w:cs="Calibri"/>
                <w:color w:val="000000"/>
                <w:sz w:val="24"/>
                <w:szCs w:val="24"/>
              </w:rPr>
              <w:t>8</w:t>
            </w:r>
            <w:r>
              <w:rPr>
                <w:rFonts w:hint="eastAsia" w:ascii="宋体" w:hAnsi="宋体" w:eastAsia="宋体" w:cs="宋体"/>
                <w:color w:val="000000"/>
                <w:sz w:val="24"/>
                <w:szCs w:val="24"/>
              </w:rPr>
              <w:t>、</w:t>
            </w:r>
            <w:r>
              <w:rPr>
                <w:rFonts w:hint="default" w:ascii="Times New Roman" w:hAnsi="Times New Roman" w:cs="Times New Roman"/>
                <w:color w:val="000000"/>
                <w:sz w:val="13"/>
                <w:szCs w:val="13"/>
              </w:rPr>
              <w:t xml:space="preserve">      </w:t>
            </w:r>
            <w:r>
              <w:rPr>
                <w:rFonts w:hint="eastAsia" w:ascii="宋体" w:hAnsi="宋体" w:eastAsia="宋体" w:cs="宋体"/>
                <w:color w:val="000000"/>
                <w:sz w:val="24"/>
                <w:szCs w:val="24"/>
              </w:rPr>
              <w:t>具有防共享接入特性，能够有效识别、报警并阻断局域网网络共享行为（提供截图证明）；支持免客户端方式实现跨越路由（或其他三层设备）进行IP/MAC绑定功能；</w:t>
            </w:r>
          </w:p>
          <w:p>
            <w:pPr>
              <w:pStyle w:val="4"/>
              <w:keepNext w:val="0"/>
              <w:keepLines w:val="0"/>
              <w:widowControl/>
              <w:suppressLineNumbers w:val="0"/>
              <w:spacing w:line="255" w:lineRule="atLeast"/>
              <w:ind w:left="0" w:firstLine="0"/>
              <w:jc w:val="left"/>
            </w:pPr>
            <w:r>
              <w:rPr>
                <w:rFonts w:hint="default" w:ascii="Calibri" w:hAnsi="Calibri" w:cs="Calibri"/>
                <w:color w:val="000000"/>
                <w:sz w:val="24"/>
                <w:szCs w:val="24"/>
              </w:rPr>
              <w:t>9</w:t>
            </w:r>
            <w:r>
              <w:rPr>
                <w:rFonts w:hint="eastAsia" w:ascii="宋体" w:hAnsi="宋体" w:eastAsia="宋体" w:cs="宋体"/>
                <w:color w:val="000000"/>
                <w:sz w:val="24"/>
                <w:szCs w:val="24"/>
              </w:rPr>
              <w:t>、</w:t>
            </w:r>
            <w:r>
              <w:rPr>
                <w:rFonts w:hint="default" w:ascii="Times New Roman" w:hAnsi="Times New Roman" w:cs="Times New Roman"/>
                <w:color w:val="000000"/>
                <w:sz w:val="13"/>
                <w:szCs w:val="13"/>
              </w:rPr>
              <w:t xml:space="preserve">      </w:t>
            </w:r>
            <w:r>
              <w:rPr>
                <w:rFonts w:hint="eastAsia" w:ascii="宋体" w:hAnsi="宋体" w:eastAsia="宋体" w:cs="宋体"/>
                <w:color w:val="000000"/>
                <w:sz w:val="24"/>
                <w:szCs w:val="24"/>
              </w:rPr>
              <w:t>至少支持254个虚拟防火墙，虚拟防火墙支持IPv4/IPv6双栈部署，并能够实现IPv4/IPv6双栈的各种安全控制，虚拟防火墙同样支持策略自学习功能；（提供截图）</w:t>
            </w:r>
          </w:p>
          <w:p>
            <w:pPr>
              <w:pStyle w:val="4"/>
              <w:keepNext w:val="0"/>
              <w:keepLines w:val="0"/>
              <w:widowControl/>
              <w:suppressLineNumbers w:val="0"/>
              <w:spacing w:line="255" w:lineRule="atLeast"/>
              <w:ind w:left="0" w:firstLine="0"/>
              <w:jc w:val="left"/>
            </w:pPr>
            <w:r>
              <w:rPr>
                <w:rFonts w:hint="default" w:ascii="Calibri" w:hAnsi="Calibri" w:cs="Calibri"/>
                <w:color w:val="000000"/>
                <w:sz w:val="24"/>
                <w:szCs w:val="24"/>
              </w:rPr>
              <w:t>10</w:t>
            </w:r>
            <w:r>
              <w:rPr>
                <w:rFonts w:hint="eastAsia" w:ascii="宋体" w:hAnsi="宋体" w:eastAsia="宋体" w:cs="宋体"/>
                <w:color w:val="000000"/>
                <w:sz w:val="24"/>
                <w:szCs w:val="24"/>
              </w:rPr>
              <w:t>、</w:t>
            </w:r>
            <w:r>
              <w:rPr>
                <w:rFonts w:hint="default" w:ascii="Times New Roman" w:hAnsi="Times New Roman" w:cs="Times New Roman"/>
                <w:color w:val="000000"/>
                <w:sz w:val="13"/>
                <w:szCs w:val="13"/>
              </w:rPr>
              <w:t xml:space="preserve">                </w:t>
            </w:r>
            <w:r>
              <w:rPr>
                <w:rFonts w:hint="eastAsia" w:ascii="宋体" w:hAnsi="宋体" w:eastAsia="宋体" w:cs="宋体"/>
                <w:color w:val="000000"/>
                <w:sz w:val="24"/>
                <w:szCs w:val="24"/>
              </w:rPr>
              <w:t>支持病毒查杀功能扩展，病毒库大于600万种，厂商防病毒技术的病毒检测率大于98%（需提供有效的第三方检测机构的病毒检测率报告）；</w:t>
            </w:r>
          </w:p>
          <w:p>
            <w:pPr>
              <w:pStyle w:val="4"/>
              <w:keepNext w:val="0"/>
              <w:keepLines w:val="0"/>
              <w:widowControl/>
              <w:suppressLineNumbers w:val="0"/>
              <w:spacing w:line="255" w:lineRule="atLeast"/>
              <w:ind w:left="0" w:firstLine="0"/>
              <w:jc w:val="left"/>
            </w:pPr>
            <w:r>
              <w:rPr>
                <w:rFonts w:hint="default" w:ascii="Calibri" w:hAnsi="Calibri" w:cs="Calibri"/>
                <w:color w:val="000000"/>
                <w:sz w:val="24"/>
                <w:szCs w:val="24"/>
              </w:rPr>
              <w:t>11</w:t>
            </w:r>
            <w:r>
              <w:rPr>
                <w:rFonts w:hint="eastAsia" w:ascii="宋体" w:hAnsi="宋体" w:eastAsia="宋体" w:cs="宋体"/>
                <w:color w:val="000000"/>
                <w:sz w:val="24"/>
                <w:szCs w:val="24"/>
              </w:rPr>
              <w:t>、</w:t>
            </w:r>
            <w:r>
              <w:rPr>
                <w:rFonts w:hint="default" w:ascii="Times New Roman" w:hAnsi="Times New Roman" w:cs="Times New Roman"/>
                <w:color w:val="000000"/>
                <w:sz w:val="13"/>
                <w:szCs w:val="13"/>
              </w:rPr>
              <w:t xml:space="preserve">                </w:t>
            </w:r>
            <w:r>
              <w:rPr>
                <w:rFonts w:hint="eastAsia" w:ascii="宋体" w:hAnsi="宋体" w:eastAsia="宋体" w:cs="宋体"/>
                <w:color w:val="000000"/>
                <w:sz w:val="24"/>
                <w:szCs w:val="24"/>
              </w:rPr>
              <w:t>具备流量管理功能，采用基于访问控制策略的一体化带宽管理模式，能够针对用户、用户组、IP、MAC、时间、应用等进行带宽管理，并且支持共享策略、独享策略、访问控制独享策略等多种带宽策略类型；（要求截图）</w:t>
            </w:r>
          </w:p>
          <w:p>
            <w:pPr>
              <w:pStyle w:val="4"/>
              <w:keepNext w:val="0"/>
              <w:keepLines w:val="0"/>
              <w:widowControl/>
              <w:suppressLineNumbers w:val="0"/>
              <w:spacing w:line="255" w:lineRule="atLeast"/>
              <w:ind w:left="0" w:firstLine="0"/>
              <w:jc w:val="left"/>
            </w:pPr>
            <w:r>
              <w:rPr>
                <w:rFonts w:hint="default" w:ascii="Calibri" w:hAnsi="Calibri" w:cs="Calibri"/>
                <w:color w:val="000000"/>
                <w:sz w:val="24"/>
                <w:szCs w:val="24"/>
              </w:rPr>
              <w:t>12</w:t>
            </w:r>
            <w:r>
              <w:rPr>
                <w:rFonts w:hint="eastAsia" w:ascii="宋体" w:hAnsi="宋体" w:eastAsia="宋体" w:cs="宋体"/>
                <w:color w:val="000000"/>
                <w:sz w:val="24"/>
                <w:szCs w:val="24"/>
              </w:rPr>
              <w:t>、</w:t>
            </w:r>
            <w:r>
              <w:rPr>
                <w:rFonts w:hint="default" w:ascii="Times New Roman" w:hAnsi="Times New Roman" w:cs="Times New Roman"/>
                <w:color w:val="000000"/>
                <w:sz w:val="13"/>
                <w:szCs w:val="13"/>
              </w:rPr>
              <w:t xml:space="preserve">                </w:t>
            </w:r>
            <w:r>
              <w:rPr>
                <w:rFonts w:hint="eastAsia" w:ascii="宋体" w:hAnsi="宋体" w:eastAsia="宋体" w:cs="宋体"/>
                <w:color w:val="000000"/>
                <w:sz w:val="24"/>
                <w:szCs w:val="24"/>
              </w:rPr>
              <w:t>支持本地多配置文件存储及配置回滚功能，并且可以有选择性的下载“运行配置”、“保存配置”、“备份配置”、配置文件加密下载以及按对象、策略等分类的部分配置文件下载/上传功能；要求具有配置文件自动定时上传到指 定外部服务器功能（提供截图）；</w:t>
            </w:r>
          </w:p>
          <w:p>
            <w:pPr>
              <w:pStyle w:val="4"/>
              <w:keepNext w:val="0"/>
              <w:keepLines w:val="0"/>
              <w:widowControl/>
              <w:suppressLineNumbers w:val="0"/>
              <w:spacing w:line="255" w:lineRule="atLeast"/>
              <w:ind w:left="0" w:firstLine="0"/>
            </w:pPr>
            <w:r>
              <w:rPr>
                <w:rFonts w:hint="default" w:ascii="Calibri" w:hAnsi="Calibri" w:cs="Calibri"/>
                <w:color w:val="000000"/>
                <w:sz w:val="24"/>
                <w:szCs w:val="24"/>
              </w:rPr>
              <w:t>13</w:t>
            </w:r>
            <w:r>
              <w:rPr>
                <w:rFonts w:hint="eastAsia" w:ascii="宋体" w:hAnsi="宋体" w:eastAsia="宋体" w:cs="宋体"/>
                <w:color w:val="000000"/>
                <w:sz w:val="24"/>
                <w:szCs w:val="24"/>
              </w:rPr>
              <w:t>、</w:t>
            </w:r>
            <w:r>
              <w:rPr>
                <w:rFonts w:hint="default" w:ascii="Times New Roman" w:hAnsi="Times New Roman" w:cs="Times New Roman"/>
                <w:color w:val="000000"/>
                <w:sz w:val="13"/>
                <w:szCs w:val="13"/>
              </w:rPr>
              <w:t xml:space="preserve">                </w:t>
            </w:r>
            <w:r>
              <w:rPr>
                <w:rFonts w:hint="eastAsia" w:ascii="宋体" w:hAnsi="宋体" w:eastAsia="宋体" w:cs="宋体"/>
                <w:color w:val="000000"/>
                <w:sz w:val="24"/>
                <w:szCs w:val="24"/>
              </w:rPr>
              <w:t>支持对URL最大长度进行限制以及对FTP命令进行过滤，包括上传、下载、追加、删除文件、重命名、列表、创建目录、删除目录等；</w:t>
            </w:r>
          </w:p>
          <w:p>
            <w:pPr>
              <w:pStyle w:val="4"/>
              <w:keepNext w:val="0"/>
              <w:keepLines w:val="0"/>
              <w:widowControl/>
              <w:suppressLineNumbers w:val="0"/>
              <w:spacing w:line="255" w:lineRule="atLeast"/>
              <w:ind w:left="0" w:firstLine="0"/>
              <w:jc w:val="left"/>
            </w:pPr>
            <w:r>
              <w:rPr>
                <w:rFonts w:hint="default" w:ascii="Calibri" w:hAnsi="Calibri" w:cs="Calibri"/>
                <w:color w:val="000000"/>
                <w:sz w:val="24"/>
                <w:szCs w:val="24"/>
              </w:rPr>
              <w:t>14</w:t>
            </w:r>
            <w:r>
              <w:rPr>
                <w:rFonts w:hint="eastAsia" w:ascii="宋体" w:hAnsi="宋体" w:eastAsia="宋体" w:cs="宋体"/>
                <w:color w:val="000000"/>
                <w:sz w:val="24"/>
                <w:szCs w:val="24"/>
              </w:rPr>
              <w:t>、</w:t>
            </w:r>
            <w:r>
              <w:rPr>
                <w:rFonts w:hint="default" w:ascii="Times New Roman" w:hAnsi="Times New Roman" w:cs="Times New Roman"/>
                <w:color w:val="000000"/>
                <w:sz w:val="13"/>
                <w:szCs w:val="13"/>
              </w:rPr>
              <w:t xml:space="preserve">                </w:t>
            </w:r>
            <w:r>
              <w:rPr>
                <w:rFonts w:hint="eastAsia" w:ascii="宋体" w:hAnsi="宋体" w:eastAsia="宋体" w:cs="宋体"/>
                <w:color w:val="000000"/>
                <w:sz w:val="24"/>
                <w:szCs w:val="24"/>
              </w:rPr>
              <w:t>内置500万以URL分类地址库，支持挂马网站过滤，且内置挂马网站特征库；</w:t>
            </w:r>
          </w:p>
          <w:p>
            <w:pPr>
              <w:pStyle w:val="4"/>
              <w:keepNext w:val="0"/>
              <w:keepLines w:val="0"/>
              <w:widowControl/>
              <w:suppressLineNumbers w:val="0"/>
              <w:spacing w:line="255" w:lineRule="atLeast"/>
              <w:jc w:val="left"/>
            </w:pPr>
            <w:r>
              <w:rPr>
                <w:rFonts w:hint="eastAsia" w:ascii="宋体" w:hAnsi="宋体" w:eastAsia="宋体" w:cs="宋体"/>
                <w:color w:val="000000"/>
                <w:sz w:val="24"/>
                <w:szCs w:val="24"/>
              </w:rPr>
              <w:t>要求系统管理员能够通过“用户名＋口令＋图形认证码”方式认证进行登录管理，支持管理员口令强度分级设置，要求分为高、中、低三级，并且口令长度限制可配置；</w:t>
            </w:r>
          </w:p>
          <w:p>
            <w:pPr>
              <w:pStyle w:val="4"/>
              <w:keepNext w:val="0"/>
              <w:keepLines w:val="0"/>
              <w:widowControl/>
              <w:suppressLineNumbers w:val="0"/>
              <w:spacing w:line="255" w:lineRule="atLeast"/>
              <w:ind w:left="0" w:firstLine="0"/>
              <w:jc w:val="left"/>
            </w:pPr>
            <w:r>
              <w:rPr>
                <w:rFonts w:hint="default" w:ascii="Calibri" w:hAnsi="Calibri" w:cs="Calibri"/>
                <w:color w:val="000000"/>
                <w:sz w:val="24"/>
                <w:szCs w:val="24"/>
              </w:rPr>
              <w:t>15</w:t>
            </w:r>
            <w:r>
              <w:rPr>
                <w:rFonts w:hint="eastAsia" w:ascii="宋体" w:hAnsi="宋体" w:eastAsia="宋体" w:cs="宋体"/>
                <w:color w:val="000000"/>
                <w:sz w:val="24"/>
                <w:szCs w:val="24"/>
              </w:rPr>
              <w:t>、</w:t>
            </w:r>
            <w:r>
              <w:rPr>
                <w:rFonts w:hint="default" w:ascii="Times New Roman" w:hAnsi="Times New Roman" w:cs="Times New Roman"/>
                <w:color w:val="000000"/>
                <w:sz w:val="13"/>
                <w:szCs w:val="13"/>
              </w:rPr>
              <w:t xml:space="preserve">                </w:t>
            </w:r>
            <w:r>
              <w:rPr>
                <w:rFonts w:hint="eastAsia" w:ascii="宋体" w:hAnsi="宋体" w:eastAsia="宋体" w:cs="宋体"/>
                <w:color w:val="000000"/>
                <w:sz w:val="24"/>
                <w:szCs w:val="24"/>
              </w:rPr>
              <w:t>同时具有：计算机信息系统安全专用产品销售许可证；中国国家信息安全产品认证证书；国家信息安全测评信息技术产品安全测评证书</w:t>
            </w:r>
          </w:p>
        </w:tc>
        <w:tc>
          <w:tcPr>
            <w:tcW w:w="834"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tc>
      </w:tr>
      <w:tr>
        <w:trPr>
          <w:trHeight w:val="1335" w:hRule="atLeast"/>
          <w:tblCellSpacing w:w="15" w:type="dxa"/>
        </w:trPr>
        <w:tc>
          <w:tcPr>
            <w:tcW w:w="66" w:type="dxa"/>
            <w:tcBorders>
              <w:top w:val="nil"/>
              <w:left w:val="single" w:color="auto" w:sz="6" w:space="0"/>
              <w:bottom w:val="single" w:color="auto" w:sz="6" w:space="0"/>
              <w:right w:val="single" w:color="auto" w:sz="6" w:space="0"/>
            </w:tcBorders>
            <w:shd w:val="clear" w:color="auto" w:fill="FFFFFF"/>
            <w:tcMar>
              <w:top w:w="0" w:type="dxa"/>
              <w:left w:w="0" w:type="dxa"/>
              <w:bottom w:w="0" w:type="dxa"/>
              <w:right w:w="0" w:type="dxa"/>
            </w:tcMar>
            <w:vAlign w:val="center"/>
          </w:tcPr>
          <w:p>
            <w:pPr>
              <w:keepNext w:val="0"/>
              <w:keepLines w:val="0"/>
              <w:widowControl/>
              <w:suppressLineNumbers w:val="0"/>
              <w:jc w:val="left"/>
            </w:pPr>
          </w:p>
        </w:tc>
        <w:tc>
          <w:tcPr>
            <w:tcW w:w="95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255" w:lineRule="atLeast"/>
              <w:jc w:val="center"/>
            </w:pPr>
            <w:r>
              <w:rPr>
                <w:rStyle w:val="6"/>
                <w:rFonts w:hint="eastAsia" w:ascii="宋体" w:hAnsi="宋体" w:eastAsia="宋体" w:cs="宋体"/>
                <w:b/>
              </w:rPr>
              <w:t>1-1-17</w:t>
            </w:r>
          </w:p>
        </w:tc>
        <w:tc>
          <w:tcPr>
            <w:tcW w:w="1087"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255" w:lineRule="atLeast"/>
            </w:pPr>
            <w:r>
              <w:rPr>
                <w:rFonts w:hint="eastAsia" w:ascii="宋体" w:hAnsi="宋体" w:eastAsia="宋体" w:cs="宋体"/>
                <w:sz w:val="24"/>
                <w:szCs w:val="24"/>
              </w:rPr>
              <w:t>入侵防御系统</w:t>
            </w:r>
          </w:p>
        </w:tc>
        <w:tc>
          <w:tcPr>
            <w:tcW w:w="529"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255" w:lineRule="atLeast"/>
              <w:jc w:val="center"/>
            </w:pPr>
            <w:r>
              <w:rPr>
                <w:rFonts w:hint="eastAsia" w:ascii="宋体" w:hAnsi="宋体" w:eastAsia="宋体" w:cs="宋体"/>
                <w:sz w:val="24"/>
                <w:szCs w:val="24"/>
              </w:rPr>
              <w:t>台</w:t>
            </w:r>
          </w:p>
        </w:tc>
        <w:tc>
          <w:tcPr>
            <w:tcW w:w="467"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255" w:lineRule="atLeast"/>
              <w:jc w:val="center"/>
            </w:pPr>
            <w:r>
              <w:rPr>
                <w:rFonts w:hint="eastAsia" w:ascii="宋体" w:hAnsi="宋体" w:eastAsia="宋体" w:cs="宋体"/>
                <w:sz w:val="24"/>
                <w:szCs w:val="24"/>
              </w:rPr>
              <w:t>1</w:t>
            </w:r>
          </w:p>
        </w:tc>
        <w:tc>
          <w:tcPr>
            <w:tcW w:w="503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255" w:lineRule="atLeast"/>
            </w:pPr>
            <w:r>
              <w:rPr>
                <w:rFonts w:hint="eastAsia" w:ascii="宋体" w:hAnsi="宋体" w:eastAsia="宋体" w:cs="宋体"/>
                <w:sz w:val="24"/>
                <w:szCs w:val="24"/>
              </w:rPr>
              <w:t>1U机型，配置为10个10/100/1000Base-T端口，支持1路bypass，2个USB口，1个专用控制口；整机吞吐率：3Gbps，最大并发连接数：120W，IPS吞吐率：1Gbps，含：3年IPS规则特征库升级许可。</w:t>
            </w:r>
          </w:p>
        </w:tc>
        <w:tc>
          <w:tcPr>
            <w:tcW w:w="834"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tc>
      </w:tr>
      <w:tr>
        <w:trPr>
          <w:trHeight w:val="5970" w:hRule="atLeast"/>
          <w:tblCellSpacing w:w="15" w:type="dxa"/>
        </w:trPr>
        <w:tc>
          <w:tcPr>
            <w:tcW w:w="66" w:type="dxa"/>
            <w:tcBorders>
              <w:top w:val="nil"/>
              <w:left w:val="single" w:color="auto" w:sz="6" w:space="0"/>
              <w:bottom w:val="single" w:color="auto" w:sz="6" w:space="0"/>
              <w:right w:val="single" w:color="auto" w:sz="6" w:space="0"/>
            </w:tcBorders>
            <w:shd w:val="clear" w:color="auto" w:fill="FFFFFF"/>
            <w:tcMar>
              <w:top w:w="0" w:type="dxa"/>
              <w:left w:w="0" w:type="dxa"/>
              <w:bottom w:w="0" w:type="dxa"/>
              <w:right w:w="0" w:type="dxa"/>
            </w:tcMar>
            <w:vAlign w:val="center"/>
          </w:tcPr>
          <w:p>
            <w:pPr>
              <w:keepNext w:val="0"/>
              <w:keepLines w:val="0"/>
              <w:widowControl/>
              <w:suppressLineNumbers w:val="0"/>
              <w:jc w:val="left"/>
            </w:pPr>
          </w:p>
        </w:tc>
        <w:tc>
          <w:tcPr>
            <w:tcW w:w="95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255" w:lineRule="atLeast"/>
              <w:jc w:val="center"/>
            </w:pPr>
            <w:r>
              <w:rPr>
                <w:rStyle w:val="6"/>
                <w:rFonts w:hint="eastAsia" w:ascii="宋体" w:hAnsi="宋体" w:eastAsia="宋体" w:cs="宋体"/>
                <w:b/>
              </w:rPr>
              <w:t>1-1-18</w:t>
            </w:r>
          </w:p>
        </w:tc>
        <w:tc>
          <w:tcPr>
            <w:tcW w:w="1087"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255" w:lineRule="atLeast"/>
            </w:pPr>
            <w:r>
              <w:rPr>
                <w:rFonts w:hint="eastAsia" w:ascii="宋体" w:hAnsi="宋体" w:eastAsia="宋体" w:cs="宋体"/>
                <w:sz w:val="24"/>
                <w:szCs w:val="24"/>
              </w:rPr>
              <w:t>48口千兆交换机</w:t>
            </w:r>
          </w:p>
        </w:tc>
        <w:tc>
          <w:tcPr>
            <w:tcW w:w="529"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255" w:lineRule="atLeast"/>
              <w:jc w:val="center"/>
            </w:pPr>
            <w:r>
              <w:rPr>
                <w:rFonts w:hint="eastAsia" w:ascii="宋体" w:hAnsi="宋体" w:eastAsia="宋体" w:cs="宋体"/>
                <w:sz w:val="24"/>
                <w:szCs w:val="24"/>
              </w:rPr>
              <w:t>台</w:t>
            </w:r>
          </w:p>
        </w:tc>
        <w:tc>
          <w:tcPr>
            <w:tcW w:w="467"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255" w:lineRule="atLeast"/>
              <w:jc w:val="center"/>
            </w:pPr>
            <w:r>
              <w:rPr>
                <w:rFonts w:hint="eastAsia" w:ascii="宋体" w:hAnsi="宋体" w:eastAsia="宋体" w:cs="宋体"/>
                <w:sz w:val="24"/>
                <w:szCs w:val="24"/>
              </w:rPr>
              <w:t>16</w:t>
            </w:r>
          </w:p>
        </w:tc>
        <w:tc>
          <w:tcPr>
            <w:tcW w:w="503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255" w:lineRule="atLeast"/>
            </w:pPr>
            <w:r>
              <w:rPr>
                <w:rFonts w:hint="eastAsia" w:ascii="宋体" w:hAnsi="宋体" w:eastAsia="宋体" w:cs="宋体"/>
                <w:sz w:val="24"/>
                <w:szCs w:val="24"/>
              </w:rPr>
              <w:t>1、固化10/100/1000M以太网端口≥48，固化1G/10G SFP+万兆光接口≥4个；整机最大可用千兆口≥48，最大可用万兆口≥4 </w:t>
            </w:r>
          </w:p>
          <w:p>
            <w:pPr>
              <w:pStyle w:val="4"/>
              <w:keepNext w:val="0"/>
              <w:keepLines w:val="0"/>
              <w:widowControl/>
              <w:suppressLineNumbers w:val="0"/>
              <w:spacing w:line="255" w:lineRule="atLeast"/>
            </w:pPr>
            <w:r>
              <w:rPr>
                <w:rFonts w:hint="eastAsia" w:ascii="宋体" w:hAnsi="宋体" w:eastAsia="宋体" w:cs="宋体"/>
                <w:sz w:val="24"/>
                <w:szCs w:val="24"/>
              </w:rPr>
              <w:t>2、交换容量≥3.3Tbps；包转发率≥160Mpps。</w:t>
            </w:r>
          </w:p>
          <w:p>
            <w:pPr>
              <w:pStyle w:val="4"/>
              <w:keepNext w:val="0"/>
              <w:keepLines w:val="0"/>
              <w:widowControl/>
              <w:suppressLineNumbers w:val="0"/>
              <w:spacing w:line="255" w:lineRule="atLeast"/>
            </w:pPr>
            <w:r>
              <w:rPr>
                <w:rFonts w:hint="eastAsia" w:ascii="宋体" w:hAnsi="宋体" w:eastAsia="宋体" w:cs="宋体"/>
                <w:sz w:val="24"/>
                <w:szCs w:val="24"/>
              </w:rPr>
              <w:t>3、支持固化电源，减少单点故障，便于维护</w:t>
            </w:r>
          </w:p>
          <w:p>
            <w:pPr>
              <w:pStyle w:val="4"/>
              <w:keepNext w:val="0"/>
              <w:keepLines w:val="0"/>
              <w:widowControl/>
              <w:suppressLineNumbers w:val="0"/>
              <w:spacing w:line="255" w:lineRule="atLeast"/>
            </w:pPr>
            <w:r>
              <w:rPr>
                <w:rFonts w:hint="eastAsia" w:ascii="宋体" w:hAnsi="宋体" w:eastAsia="宋体" w:cs="宋体"/>
                <w:sz w:val="24"/>
                <w:szCs w:val="24"/>
              </w:rPr>
              <w:t>4、要求所投设备MAC地址≥16K</w:t>
            </w:r>
          </w:p>
          <w:p>
            <w:pPr>
              <w:pStyle w:val="4"/>
              <w:keepNext w:val="0"/>
              <w:keepLines w:val="0"/>
              <w:widowControl/>
              <w:suppressLineNumbers w:val="0"/>
              <w:spacing w:line="255" w:lineRule="atLeast"/>
            </w:pPr>
            <w:r>
              <w:rPr>
                <w:rFonts w:hint="eastAsia" w:ascii="宋体" w:hAnsi="宋体" w:eastAsia="宋体" w:cs="宋体"/>
                <w:sz w:val="24"/>
                <w:szCs w:val="24"/>
              </w:rPr>
              <w:t>5、要求所投设备ARP表项≥1000条</w:t>
            </w:r>
          </w:p>
          <w:p>
            <w:pPr>
              <w:pStyle w:val="4"/>
              <w:keepNext w:val="0"/>
              <w:keepLines w:val="0"/>
              <w:widowControl/>
              <w:suppressLineNumbers w:val="0"/>
              <w:spacing w:line="255" w:lineRule="atLeast"/>
            </w:pPr>
            <w:r>
              <w:rPr>
                <w:rFonts w:hint="eastAsia" w:ascii="宋体" w:hAnsi="宋体" w:eastAsia="宋体" w:cs="宋体"/>
                <w:sz w:val="24"/>
                <w:szCs w:val="24"/>
              </w:rPr>
              <w:t>6、支持基于端口的出方向和入方向限速，限端口速粒度≤64Kbps；</w:t>
            </w:r>
          </w:p>
          <w:p>
            <w:pPr>
              <w:pStyle w:val="4"/>
              <w:keepNext w:val="0"/>
              <w:keepLines w:val="0"/>
              <w:widowControl/>
              <w:suppressLineNumbers w:val="0"/>
              <w:spacing w:line="255" w:lineRule="atLeast"/>
            </w:pPr>
            <w:r>
              <w:rPr>
                <w:rFonts w:hint="eastAsia" w:ascii="宋体" w:hAnsi="宋体" w:eastAsia="宋体" w:cs="宋体"/>
                <w:sz w:val="24"/>
                <w:szCs w:val="24"/>
              </w:rPr>
              <w:t>支持基于流的出方向和入方向限速，且流限速粒度≤8Kbps；</w:t>
            </w:r>
          </w:p>
          <w:p>
            <w:pPr>
              <w:pStyle w:val="4"/>
              <w:keepNext w:val="0"/>
              <w:keepLines w:val="0"/>
              <w:widowControl/>
              <w:suppressLineNumbers w:val="0"/>
              <w:spacing w:line="255" w:lineRule="atLeast"/>
            </w:pPr>
            <w:r>
              <w:rPr>
                <w:rFonts w:hint="eastAsia" w:ascii="宋体" w:hAnsi="宋体" w:eastAsia="宋体" w:cs="宋体"/>
                <w:sz w:val="24"/>
                <w:szCs w:val="24"/>
              </w:rPr>
              <w:t>7、要求所投设备支持1对1、1对多、多对1和基于流的镜像；且支持RSPAN和ERSPAN</w:t>
            </w:r>
          </w:p>
          <w:p>
            <w:pPr>
              <w:pStyle w:val="4"/>
              <w:keepNext w:val="0"/>
              <w:keepLines w:val="0"/>
              <w:widowControl/>
              <w:suppressLineNumbers w:val="0"/>
              <w:spacing w:line="255" w:lineRule="atLeast"/>
            </w:pPr>
            <w:r>
              <w:rPr>
                <w:rFonts w:hint="eastAsia" w:ascii="宋体" w:hAnsi="宋体" w:eastAsia="宋体" w:cs="宋体"/>
                <w:sz w:val="24"/>
                <w:szCs w:val="24"/>
              </w:rPr>
              <w:t>8、要求所投产品支持ITU-TG.8032国际公有环网协议ERPS,支持相切环和相交环，并且链路故障的收敛时间≤50ms；</w:t>
            </w:r>
          </w:p>
          <w:p>
            <w:pPr>
              <w:pStyle w:val="4"/>
              <w:keepNext w:val="0"/>
              <w:keepLines w:val="0"/>
              <w:widowControl/>
              <w:suppressLineNumbers w:val="0"/>
              <w:spacing w:line="255" w:lineRule="atLeast"/>
            </w:pPr>
            <w:r>
              <w:rPr>
                <w:rFonts w:hint="eastAsia" w:ascii="宋体" w:hAnsi="宋体" w:eastAsia="宋体" w:cs="宋体"/>
                <w:sz w:val="24"/>
                <w:szCs w:val="24"/>
              </w:rPr>
              <w:t>9、要求所投产品支持openflow 1.3协议。</w:t>
            </w:r>
          </w:p>
          <w:p>
            <w:pPr>
              <w:pStyle w:val="4"/>
              <w:keepNext w:val="0"/>
              <w:keepLines w:val="0"/>
              <w:widowControl/>
              <w:suppressLineNumbers w:val="0"/>
              <w:spacing w:line="255" w:lineRule="atLeast"/>
            </w:pPr>
            <w:r>
              <w:rPr>
                <w:rFonts w:hint="eastAsia" w:ascii="宋体" w:hAnsi="宋体" w:eastAsia="宋体" w:cs="宋体"/>
                <w:sz w:val="24"/>
                <w:szCs w:val="24"/>
              </w:rPr>
              <w:t>10、为了方便售后的统一及维护的方便，   本次项目所供交换机为同一品 牌</w:t>
            </w:r>
          </w:p>
          <w:p>
            <w:pPr>
              <w:pStyle w:val="4"/>
              <w:keepNext w:val="0"/>
              <w:keepLines w:val="0"/>
              <w:widowControl/>
              <w:suppressLineNumbers w:val="0"/>
              <w:spacing w:line="255" w:lineRule="atLeast"/>
            </w:pPr>
            <w:r>
              <w:rPr>
                <w:rFonts w:hint="eastAsia" w:ascii="宋体" w:hAnsi="宋体" w:eastAsia="宋体" w:cs="宋体"/>
                <w:sz w:val="24"/>
                <w:szCs w:val="24"/>
              </w:rPr>
              <w:t>11、支持ARP防欺骗的功能，在交换机端口启用802.1X和WEB认证功能的前提下，能够禁止非法用户的ARP欺骗报文，保护合法用户免受其害，防止合法用户的数据被窃取。提供有效的第三方检测机构测试报告测试证明</w:t>
            </w:r>
          </w:p>
          <w:p>
            <w:pPr>
              <w:pStyle w:val="4"/>
              <w:keepNext w:val="0"/>
              <w:keepLines w:val="0"/>
              <w:widowControl/>
              <w:suppressLineNumbers w:val="0"/>
              <w:spacing w:line="255" w:lineRule="atLeast"/>
            </w:pPr>
            <w:r>
              <w:rPr>
                <w:rFonts w:hint="eastAsia" w:ascii="宋体" w:hAnsi="宋体" w:eastAsia="宋体" w:cs="宋体"/>
                <w:sz w:val="24"/>
                <w:szCs w:val="24"/>
              </w:rPr>
              <w:t>12、支持终端用户安全防护功能，在交换机端口启用802.1X和WEB认证功能的前提下，支持认证端口配置IP地址过滤、ACL；支持认证通过后，自动进行IP+MAC+端口绑定或IP+MAC绑定；支持认证通过后，防源IP地址欺骗功能；支持认证通过后，多播源IP/源端口检测，防止非法组播源。提供有效的第三方检测机构测试报告测试证明</w:t>
            </w:r>
          </w:p>
          <w:p>
            <w:pPr>
              <w:pStyle w:val="4"/>
              <w:keepNext w:val="0"/>
              <w:keepLines w:val="0"/>
              <w:widowControl/>
              <w:suppressLineNumbers w:val="0"/>
              <w:spacing w:line="255" w:lineRule="atLeast"/>
            </w:pPr>
            <w:r>
              <w:rPr>
                <w:rFonts w:hint="eastAsia" w:ascii="宋体" w:hAnsi="宋体" w:eastAsia="宋体" w:cs="宋体"/>
                <w:sz w:val="24"/>
                <w:szCs w:val="24"/>
              </w:rPr>
              <w:t>13、支持专门基础网络保护机制，增强设备防攻击能力，即使在受到攻击的情况下，也能保护系统各种服务的正常运行，保持较低的CPU负载，从而保障整个网络的稳定运行。以有效的第三方检测机构测试报告为准。</w:t>
            </w:r>
          </w:p>
          <w:p>
            <w:pPr>
              <w:pStyle w:val="4"/>
              <w:keepNext w:val="0"/>
              <w:keepLines w:val="0"/>
              <w:widowControl/>
              <w:suppressLineNumbers w:val="0"/>
              <w:spacing w:line="255" w:lineRule="atLeast"/>
            </w:pPr>
            <w:r>
              <w:rPr>
                <w:rFonts w:hint="eastAsia" w:ascii="宋体" w:hAnsi="宋体" w:eastAsia="宋体" w:cs="宋体"/>
                <w:sz w:val="24"/>
                <w:szCs w:val="24"/>
              </w:rPr>
              <w:t> </w:t>
            </w:r>
          </w:p>
        </w:tc>
        <w:tc>
          <w:tcPr>
            <w:tcW w:w="834"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tc>
      </w:tr>
      <w:tr>
        <w:trPr>
          <w:trHeight w:val="9375" w:hRule="atLeast"/>
          <w:tblCellSpacing w:w="15" w:type="dxa"/>
        </w:trPr>
        <w:tc>
          <w:tcPr>
            <w:tcW w:w="66" w:type="dxa"/>
            <w:tcBorders>
              <w:top w:val="nil"/>
              <w:left w:val="single" w:color="auto" w:sz="6" w:space="0"/>
              <w:bottom w:val="single" w:color="auto" w:sz="6" w:space="0"/>
              <w:right w:val="single" w:color="auto" w:sz="6" w:space="0"/>
            </w:tcBorders>
            <w:shd w:val="clear" w:color="auto" w:fill="FFFFFF"/>
            <w:tcMar>
              <w:top w:w="0" w:type="dxa"/>
              <w:left w:w="0" w:type="dxa"/>
              <w:bottom w:w="0" w:type="dxa"/>
              <w:right w:w="0" w:type="dxa"/>
            </w:tcMar>
            <w:vAlign w:val="center"/>
          </w:tcPr>
          <w:p>
            <w:pPr>
              <w:keepNext w:val="0"/>
              <w:keepLines w:val="0"/>
              <w:widowControl/>
              <w:suppressLineNumbers w:val="0"/>
              <w:jc w:val="left"/>
            </w:pPr>
          </w:p>
        </w:tc>
        <w:tc>
          <w:tcPr>
            <w:tcW w:w="95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255" w:lineRule="atLeast"/>
              <w:jc w:val="center"/>
            </w:pPr>
            <w:r>
              <w:rPr>
                <w:rStyle w:val="6"/>
                <w:rFonts w:hint="eastAsia" w:ascii="宋体" w:hAnsi="宋体" w:eastAsia="宋体" w:cs="宋体"/>
                <w:b/>
              </w:rPr>
              <w:t>1-1-19</w:t>
            </w:r>
          </w:p>
        </w:tc>
        <w:tc>
          <w:tcPr>
            <w:tcW w:w="1087"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255" w:lineRule="atLeast"/>
            </w:pPr>
            <w:r>
              <w:rPr>
                <w:rFonts w:hint="eastAsia" w:ascii="宋体" w:hAnsi="宋体" w:eastAsia="宋体" w:cs="宋体"/>
                <w:sz w:val="24"/>
                <w:szCs w:val="24"/>
              </w:rPr>
              <w:t>汇聚层交换机</w:t>
            </w:r>
          </w:p>
        </w:tc>
        <w:tc>
          <w:tcPr>
            <w:tcW w:w="529"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255" w:lineRule="atLeast"/>
              <w:jc w:val="center"/>
            </w:pPr>
            <w:r>
              <w:rPr>
                <w:rFonts w:hint="eastAsia" w:ascii="宋体" w:hAnsi="宋体" w:eastAsia="宋体" w:cs="宋体"/>
                <w:sz w:val="24"/>
                <w:szCs w:val="24"/>
              </w:rPr>
              <w:t>台</w:t>
            </w:r>
          </w:p>
        </w:tc>
        <w:tc>
          <w:tcPr>
            <w:tcW w:w="467"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255" w:lineRule="atLeast"/>
              <w:jc w:val="center"/>
            </w:pPr>
            <w:r>
              <w:rPr>
                <w:rFonts w:hint="eastAsia" w:ascii="宋体" w:hAnsi="宋体" w:eastAsia="宋体" w:cs="宋体"/>
                <w:sz w:val="24"/>
                <w:szCs w:val="24"/>
              </w:rPr>
              <w:t>8</w:t>
            </w:r>
          </w:p>
        </w:tc>
        <w:tc>
          <w:tcPr>
            <w:tcW w:w="503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255" w:lineRule="atLeast"/>
            </w:pPr>
            <w:r>
              <w:rPr>
                <w:rFonts w:hint="eastAsia" w:ascii="宋体" w:hAnsi="宋体" w:eastAsia="宋体" w:cs="宋体"/>
                <w:sz w:val="24"/>
                <w:szCs w:val="24"/>
              </w:rPr>
              <w:t>1、固化10/100/1000M以太网端口≥24，固化1G/10G SFP+万兆光接口≥4个；整机最大可用千兆口≥24，最大可用万兆口≥4</w:t>
            </w:r>
          </w:p>
          <w:p>
            <w:pPr>
              <w:pStyle w:val="4"/>
              <w:keepNext w:val="0"/>
              <w:keepLines w:val="0"/>
              <w:widowControl/>
              <w:suppressLineNumbers w:val="0"/>
              <w:spacing w:line="255" w:lineRule="atLeast"/>
            </w:pPr>
            <w:r>
              <w:rPr>
                <w:rFonts w:hint="eastAsia" w:ascii="宋体" w:hAnsi="宋体" w:eastAsia="宋体" w:cs="宋体"/>
                <w:sz w:val="24"/>
                <w:szCs w:val="24"/>
              </w:rPr>
              <w:t>2、交换容量≥330Gbps；包转发率≥94Mpps。</w:t>
            </w:r>
          </w:p>
          <w:p>
            <w:pPr>
              <w:pStyle w:val="4"/>
              <w:keepNext w:val="0"/>
              <w:keepLines w:val="0"/>
              <w:widowControl/>
              <w:suppressLineNumbers w:val="0"/>
              <w:spacing w:line="255" w:lineRule="atLeast"/>
            </w:pPr>
            <w:r>
              <w:rPr>
                <w:rFonts w:hint="eastAsia" w:ascii="宋体" w:hAnsi="宋体" w:eastAsia="宋体" w:cs="宋体"/>
                <w:sz w:val="24"/>
                <w:szCs w:val="24"/>
              </w:rPr>
              <w:t>3、支持基于端口的出方向和入方向限速，限端口速粒度≤64Kbps；</w:t>
            </w:r>
          </w:p>
          <w:p>
            <w:pPr>
              <w:pStyle w:val="4"/>
              <w:keepNext w:val="0"/>
              <w:keepLines w:val="0"/>
              <w:widowControl/>
              <w:suppressLineNumbers w:val="0"/>
              <w:spacing w:line="255" w:lineRule="atLeast"/>
            </w:pPr>
            <w:r>
              <w:rPr>
                <w:rFonts w:hint="eastAsia" w:ascii="宋体" w:hAnsi="宋体" w:eastAsia="宋体" w:cs="宋体"/>
                <w:sz w:val="24"/>
                <w:szCs w:val="24"/>
              </w:rPr>
              <w:t>支持基于流的出方向和入方向限速，且流限速粒度≤8Kbps；"</w:t>
            </w:r>
          </w:p>
          <w:p>
            <w:pPr>
              <w:pStyle w:val="4"/>
              <w:keepNext w:val="0"/>
              <w:keepLines w:val="0"/>
              <w:widowControl/>
              <w:suppressLineNumbers w:val="0"/>
              <w:spacing w:line="255" w:lineRule="atLeast"/>
            </w:pPr>
            <w:r>
              <w:rPr>
                <w:rFonts w:hint="eastAsia" w:ascii="宋体" w:hAnsi="宋体" w:eastAsia="宋体" w:cs="宋体"/>
                <w:sz w:val="24"/>
                <w:szCs w:val="24"/>
              </w:rPr>
              <w:t>4、要求所投产品支持完善的DHCP性能：DHCP Server、DHCP relay、DHCP client、DHCP snooping、IPv6 DHCP relay、IPv6 DHCP relay、IPv6 DHCP snooping；</w:t>
            </w:r>
          </w:p>
          <w:p>
            <w:pPr>
              <w:pStyle w:val="4"/>
              <w:keepNext w:val="0"/>
              <w:keepLines w:val="0"/>
              <w:widowControl/>
              <w:suppressLineNumbers w:val="0"/>
              <w:spacing w:line="255" w:lineRule="atLeast"/>
            </w:pPr>
            <w:r>
              <w:rPr>
                <w:rFonts w:hint="eastAsia" w:ascii="宋体" w:hAnsi="宋体" w:eastAsia="宋体" w:cs="宋体"/>
                <w:sz w:val="24"/>
                <w:szCs w:val="24"/>
              </w:rPr>
              <w:t>5、要求所投设备支持1对1、1对多、多对1和基于流的镜像；且支持RSPAN和ERSPAN</w:t>
            </w:r>
          </w:p>
          <w:p>
            <w:pPr>
              <w:pStyle w:val="4"/>
              <w:keepNext w:val="0"/>
              <w:keepLines w:val="0"/>
              <w:widowControl/>
              <w:suppressLineNumbers w:val="0"/>
              <w:spacing w:line="255" w:lineRule="atLeast"/>
            </w:pPr>
            <w:r>
              <w:rPr>
                <w:rFonts w:hint="eastAsia" w:ascii="宋体" w:hAnsi="宋体" w:eastAsia="宋体" w:cs="宋体"/>
                <w:sz w:val="24"/>
                <w:szCs w:val="24"/>
              </w:rPr>
              <w:t>6、要求所投产品支持ITU-TG.8032国际公有环网协议ERPS,支持相切环和相交环，并且链路故障的收敛时间≤50ms；</w:t>
            </w:r>
          </w:p>
          <w:p>
            <w:pPr>
              <w:pStyle w:val="4"/>
              <w:keepNext w:val="0"/>
              <w:keepLines w:val="0"/>
              <w:widowControl/>
              <w:suppressLineNumbers w:val="0"/>
              <w:spacing w:line="255" w:lineRule="atLeast"/>
            </w:pPr>
            <w:r>
              <w:rPr>
                <w:rFonts w:hint="eastAsia" w:ascii="宋体" w:hAnsi="宋体" w:eastAsia="宋体" w:cs="宋体"/>
                <w:sz w:val="24"/>
                <w:szCs w:val="24"/>
              </w:rPr>
              <w:t>7、符合国家低碳环保等政策要求，支持IEEE 802.3az标准的EEE节能技术。</w:t>
            </w:r>
          </w:p>
          <w:p>
            <w:pPr>
              <w:pStyle w:val="4"/>
              <w:keepNext w:val="0"/>
              <w:keepLines w:val="0"/>
              <w:widowControl/>
              <w:suppressLineNumbers w:val="0"/>
              <w:spacing w:line="255" w:lineRule="atLeast"/>
            </w:pPr>
            <w:r>
              <w:rPr>
                <w:rFonts w:hint="eastAsia" w:ascii="宋体" w:hAnsi="宋体" w:eastAsia="宋体" w:cs="宋体"/>
                <w:sz w:val="24"/>
                <w:szCs w:val="24"/>
              </w:rPr>
              <w:t>8、要求所投产品必须支持线缆检测，可对线路进行正常、短路、断路、半断开状态进行检测，且能够检测到线缆发生故障的具体位置；</w:t>
            </w:r>
          </w:p>
          <w:p>
            <w:pPr>
              <w:pStyle w:val="4"/>
              <w:keepNext w:val="0"/>
              <w:keepLines w:val="0"/>
              <w:widowControl/>
              <w:suppressLineNumbers w:val="0"/>
              <w:spacing w:line="255" w:lineRule="atLeast"/>
            </w:pPr>
            <w:r>
              <w:rPr>
                <w:rFonts w:hint="eastAsia" w:ascii="宋体" w:hAnsi="宋体" w:eastAsia="宋体" w:cs="宋体"/>
                <w:sz w:val="24"/>
                <w:szCs w:val="24"/>
              </w:rPr>
              <w:t>9、要求所投产品支持软件定义网络SDN，符合OpenFlow 1.0和1.3协议标准；</w:t>
            </w:r>
          </w:p>
          <w:p>
            <w:pPr>
              <w:pStyle w:val="4"/>
              <w:keepNext w:val="0"/>
              <w:keepLines w:val="0"/>
              <w:widowControl/>
              <w:suppressLineNumbers w:val="0"/>
              <w:spacing w:line="255" w:lineRule="atLeast"/>
            </w:pPr>
            <w:r>
              <w:rPr>
                <w:rFonts w:hint="eastAsia" w:ascii="宋体" w:hAnsi="宋体" w:eastAsia="宋体" w:cs="宋体"/>
                <w:sz w:val="24"/>
                <w:szCs w:val="24"/>
              </w:rPr>
              <w:t>10、为了方便售后的统一及维护的方便，   本次项目所供交换机为同一品 牌</w:t>
            </w:r>
          </w:p>
          <w:p>
            <w:pPr>
              <w:pStyle w:val="4"/>
              <w:keepNext w:val="0"/>
              <w:keepLines w:val="0"/>
              <w:widowControl/>
              <w:suppressLineNumbers w:val="0"/>
              <w:spacing w:line="255" w:lineRule="atLeast"/>
            </w:pPr>
            <w:r>
              <w:rPr>
                <w:rFonts w:hint="eastAsia" w:ascii="宋体" w:hAnsi="宋体" w:eastAsia="宋体" w:cs="宋体"/>
                <w:sz w:val="24"/>
                <w:szCs w:val="24"/>
              </w:rPr>
              <w:t>11、每台配置2个千兆单模光模块</w:t>
            </w:r>
          </w:p>
          <w:p>
            <w:pPr>
              <w:pStyle w:val="4"/>
              <w:keepNext w:val="0"/>
              <w:keepLines w:val="0"/>
              <w:widowControl/>
              <w:suppressLineNumbers w:val="0"/>
              <w:spacing w:line="255" w:lineRule="atLeast"/>
            </w:pPr>
            <w:r>
              <w:rPr>
                <w:rFonts w:hint="eastAsia" w:ascii="宋体" w:hAnsi="宋体" w:eastAsia="宋体" w:cs="宋体"/>
                <w:sz w:val="24"/>
                <w:szCs w:val="24"/>
              </w:rPr>
              <w:t>12、★支持ARP防欺骗的功能，在交换机端口启用802.1X和WEB认证功能的前提下，能够禁止非法用户的ARP欺骗报文，保护合法用户免受其害，防止合法用户的数据被窃取提供有效的第三方检测机构测试报告测试证明</w:t>
            </w:r>
          </w:p>
          <w:p>
            <w:pPr>
              <w:pStyle w:val="4"/>
              <w:keepNext w:val="0"/>
              <w:keepLines w:val="0"/>
              <w:widowControl/>
              <w:suppressLineNumbers w:val="0"/>
              <w:spacing w:line="255" w:lineRule="atLeast"/>
            </w:pPr>
            <w:r>
              <w:rPr>
                <w:rFonts w:hint="eastAsia" w:ascii="宋体" w:hAnsi="宋体" w:eastAsia="宋体" w:cs="宋体"/>
                <w:sz w:val="24"/>
                <w:szCs w:val="24"/>
              </w:rPr>
              <w:t>13、支持终端用户安全防护功能，在交换机端口启用802.1X和WEB认证功能的前提下，支持认证端口配置IP地址过滤、ACL；支持认证通过后，自动进行IP+MAC+端口绑定或IP+MAC绑定；支持认证通过后，防源IP地址欺骗功能；支持认证通过后，多播源IP/源端口检测，防止非法组播源。提供有效的第三方检测机构测试报告测试证明</w:t>
            </w:r>
          </w:p>
          <w:p>
            <w:pPr>
              <w:pStyle w:val="4"/>
              <w:keepNext w:val="0"/>
              <w:keepLines w:val="0"/>
              <w:widowControl/>
              <w:suppressLineNumbers w:val="0"/>
              <w:spacing w:line="255" w:lineRule="atLeast"/>
            </w:pPr>
            <w:r>
              <w:rPr>
                <w:rFonts w:hint="eastAsia" w:ascii="宋体" w:hAnsi="宋体" w:eastAsia="宋体" w:cs="宋体"/>
                <w:sz w:val="24"/>
                <w:szCs w:val="24"/>
              </w:rPr>
              <w:t>14、支持抗攻击功能，在交换机端口启用802.1X和WEB认证功能的前提下，支持DHCP抗攻击、ICMP抗攻击、防IP防扫描攻击等功能，提供有效的第三方检测机构测试报告测试证明。</w:t>
            </w:r>
          </w:p>
        </w:tc>
        <w:tc>
          <w:tcPr>
            <w:tcW w:w="834"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tc>
      </w:tr>
      <w:tr>
        <w:trPr>
          <w:trHeight w:val="1335" w:hRule="atLeast"/>
          <w:tblCellSpacing w:w="15" w:type="dxa"/>
        </w:trPr>
        <w:tc>
          <w:tcPr>
            <w:tcW w:w="66" w:type="dxa"/>
            <w:tcBorders>
              <w:top w:val="nil"/>
              <w:left w:val="single" w:color="auto" w:sz="6" w:space="0"/>
              <w:bottom w:val="single" w:color="auto" w:sz="6" w:space="0"/>
              <w:right w:val="single" w:color="auto" w:sz="6" w:space="0"/>
            </w:tcBorders>
            <w:shd w:val="clear" w:color="auto" w:fill="FFFFFF"/>
            <w:tcMar>
              <w:top w:w="0" w:type="dxa"/>
              <w:left w:w="0" w:type="dxa"/>
              <w:bottom w:w="0" w:type="dxa"/>
              <w:right w:w="0" w:type="dxa"/>
            </w:tcMar>
            <w:vAlign w:val="center"/>
          </w:tcPr>
          <w:p>
            <w:pPr>
              <w:keepNext w:val="0"/>
              <w:keepLines w:val="0"/>
              <w:widowControl/>
              <w:suppressLineNumbers w:val="0"/>
              <w:jc w:val="left"/>
            </w:pPr>
          </w:p>
        </w:tc>
        <w:tc>
          <w:tcPr>
            <w:tcW w:w="95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255" w:lineRule="atLeast"/>
              <w:jc w:val="center"/>
            </w:pPr>
            <w:r>
              <w:rPr>
                <w:rStyle w:val="6"/>
                <w:rFonts w:hint="eastAsia" w:ascii="宋体" w:hAnsi="宋体" w:eastAsia="宋体" w:cs="宋体"/>
                <w:b/>
              </w:rPr>
              <w:t>1-1-20</w:t>
            </w:r>
          </w:p>
        </w:tc>
        <w:tc>
          <w:tcPr>
            <w:tcW w:w="1087"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255" w:lineRule="atLeast"/>
            </w:pPr>
            <w:r>
              <w:rPr>
                <w:rFonts w:hint="eastAsia" w:ascii="宋体" w:hAnsi="宋体" w:eastAsia="宋体" w:cs="宋体"/>
                <w:sz w:val="24"/>
                <w:szCs w:val="24"/>
              </w:rPr>
              <w:t>防火墙</w:t>
            </w:r>
          </w:p>
        </w:tc>
        <w:tc>
          <w:tcPr>
            <w:tcW w:w="529"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255" w:lineRule="atLeast"/>
              <w:jc w:val="center"/>
            </w:pPr>
            <w:r>
              <w:rPr>
                <w:rFonts w:hint="eastAsia" w:ascii="宋体" w:hAnsi="宋体" w:eastAsia="宋体" w:cs="宋体"/>
                <w:sz w:val="24"/>
                <w:szCs w:val="24"/>
              </w:rPr>
              <w:t>台</w:t>
            </w:r>
          </w:p>
        </w:tc>
        <w:tc>
          <w:tcPr>
            <w:tcW w:w="467"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255" w:lineRule="atLeast"/>
              <w:jc w:val="center"/>
            </w:pPr>
            <w:r>
              <w:rPr>
                <w:rFonts w:hint="eastAsia" w:ascii="宋体" w:hAnsi="宋体" w:eastAsia="宋体" w:cs="宋体"/>
                <w:sz w:val="24"/>
                <w:szCs w:val="24"/>
              </w:rPr>
              <w:t>1</w:t>
            </w:r>
          </w:p>
        </w:tc>
        <w:tc>
          <w:tcPr>
            <w:tcW w:w="503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255" w:lineRule="atLeast"/>
            </w:pPr>
            <w:r>
              <w:rPr>
                <w:rFonts w:hint="eastAsia" w:ascii="宋体" w:hAnsi="宋体" w:eastAsia="宋体" w:cs="宋体"/>
                <w:sz w:val="24"/>
                <w:szCs w:val="24"/>
              </w:rPr>
              <w:t>1U机型，单电源；配置6个100/1000M端口,4个SFP光口，2个USB口，1个专用控制口；并发连接：160万，网络吞吐量：3Gbps，支持路由模式、透明模式和混合模式三种工作模式，支持病毒过滤、IPSec、SSL VPN等功能扩展。</w:t>
            </w:r>
          </w:p>
        </w:tc>
        <w:tc>
          <w:tcPr>
            <w:tcW w:w="834"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tc>
      </w:tr>
      <w:tr>
        <w:trPr>
          <w:trHeight w:val="10620" w:hRule="atLeast"/>
          <w:tblCellSpacing w:w="15" w:type="dxa"/>
        </w:trPr>
        <w:tc>
          <w:tcPr>
            <w:tcW w:w="66" w:type="dxa"/>
            <w:tcBorders>
              <w:top w:val="nil"/>
              <w:left w:val="single" w:color="auto" w:sz="6" w:space="0"/>
              <w:bottom w:val="single" w:color="auto" w:sz="6" w:space="0"/>
              <w:right w:val="single" w:color="auto" w:sz="6" w:space="0"/>
            </w:tcBorders>
            <w:shd w:val="clear" w:color="auto" w:fill="FFFFFF"/>
            <w:tcMar>
              <w:top w:w="0" w:type="dxa"/>
              <w:left w:w="0" w:type="dxa"/>
              <w:bottom w:w="0" w:type="dxa"/>
              <w:right w:w="0" w:type="dxa"/>
            </w:tcMar>
            <w:vAlign w:val="center"/>
          </w:tcPr>
          <w:p>
            <w:pPr>
              <w:keepNext w:val="0"/>
              <w:keepLines w:val="0"/>
              <w:widowControl/>
              <w:suppressLineNumbers w:val="0"/>
              <w:jc w:val="left"/>
            </w:pPr>
          </w:p>
        </w:tc>
        <w:tc>
          <w:tcPr>
            <w:tcW w:w="95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255" w:lineRule="atLeast"/>
              <w:jc w:val="center"/>
            </w:pPr>
            <w:r>
              <w:rPr>
                <w:rStyle w:val="6"/>
                <w:rFonts w:hint="eastAsia" w:ascii="宋体" w:hAnsi="宋体" w:eastAsia="宋体" w:cs="宋体"/>
                <w:b/>
              </w:rPr>
              <w:t>1-1-21</w:t>
            </w:r>
          </w:p>
        </w:tc>
        <w:tc>
          <w:tcPr>
            <w:tcW w:w="1087"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255" w:lineRule="atLeast"/>
            </w:pPr>
            <w:r>
              <w:rPr>
                <w:rFonts w:hint="eastAsia" w:ascii="宋体" w:hAnsi="宋体" w:eastAsia="宋体" w:cs="宋体"/>
                <w:sz w:val="24"/>
                <w:szCs w:val="24"/>
              </w:rPr>
              <w:t>防病毒网关</w:t>
            </w:r>
          </w:p>
        </w:tc>
        <w:tc>
          <w:tcPr>
            <w:tcW w:w="529"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255" w:lineRule="atLeast"/>
              <w:jc w:val="center"/>
            </w:pPr>
            <w:r>
              <w:rPr>
                <w:rFonts w:hint="eastAsia" w:ascii="宋体" w:hAnsi="宋体" w:eastAsia="宋体" w:cs="宋体"/>
                <w:sz w:val="24"/>
                <w:szCs w:val="24"/>
              </w:rPr>
              <w:t>套</w:t>
            </w:r>
          </w:p>
        </w:tc>
        <w:tc>
          <w:tcPr>
            <w:tcW w:w="467"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255" w:lineRule="atLeast"/>
              <w:jc w:val="center"/>
            </w:pPr>
            <w:r>
              <w:rPr>
                <w:rFonts w:hint="eastAsia" w:ascii="宋体" w:hAnsi="宋体" w:eastAsia="宋体" w:cs="宋体"/>
                <w:sz w:val="24"/>
                <w:szCs w:val="24"/>
              </w:rPr>
              <w:t>1</w:t>
            </w:r>
          </w:p>
        </w:tc>
        <w:tc>
          <w:tcPr>
            <w:tcW w:w="503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before="0" w:beforeAutospacing="1" w:after="0" w:afterAutospacing="1" w:line="255" w:lineRule="atLeast"/>
              <w:ind w:left="0" w:right="0" w:firstLine="0"/>
              <w:jc w:val="left"/>
            </w:pPr>
            <w:r>
              <w:rPr>
                <w:rFonts w:hint="default" w:ascii="Calibri" w:hAnsi="Calibri" w:cs="Calibri"/>
                <w:color w:val="000000"/>
                <w:sz w:val="24"/>
                <w:szCs w:val="24"/>
              </w:rPr>
              <w:t>1</w:t>
            </w:r>
            <w:r>
              <w:rPr>
                <w:rFonts w:hint="eastAsia" w:ascii="宋体" w:hAnsi="宋体" w:eastAsia="宋体" w:cs="宋体"/>
                <w:color w:val="000000"/>
                <w:sz w:val="24"/>
                <w:szCs w:val="24"/>
              </w:rPr>
              <w:t>、</w:t>
            </w:r>
            <w:r>
              <w:rPr>
                <w:rFonts w:hint="default" w:ascii="Times New Roman" w:hAnsi="Times New Roman" w:cs="Times New Roman"/>
                <w:color w:val="000000"/>
                <w:sz w:val="13"/>
                <w:szCs w:val="13"/>
              </w:rPr>
              <w:t xml:space="preserve">    </w:t>
            </w:r>
            <w:r>
              <w:rPr>
                <w:rFonts w:hint="eastAsia" w:ascii="宋体" w:hAnsi="宋体" w:eastAsia="宋体" w:cs="宋体"/>
                <w:color w:val="000000"/>
                <w:sz w:val="24"/>
                <w:szCs w:val="24"/>
              </w:rPr>
              <w:t>系统要求：非UTM设备，要求基于多核多平台并行安全操作系统，采用双安全操作系统 设   计（提供截图）；</w:t>
            </w:r>
          </w:p>
          <w:p>
            <w:pPr>
              <w:pStyle w:val="4"/>
              <w:keepNext w:val="0"/>
              <w:keepLines w:val="0"/>
              <w:widowControl/>
              <w:suppressLineNumbers w:val="0"/>
              <w:spacing w:before="0" w:beforeAutospacing="1" w:after="0" w:afterAutospacing="1" w:line="255" w:lineRule="atLeast"/>
              <w:ind w:left="0" w:right="0" w:firstLine="0"/>
              <w:jc w:val="left"/>
            </w:pPr>
            <w:r>
              <w:rPr>
                <w:rFonts w:hint="default" w:ascii="Calibri" w:hAnsi="Calibri" w:cs="Calibri"/>
                <w:color w:val="000000"/>
                <w:sz w:val="24"/>
                <w:szCs w:val="24"/>
              </w:rPr>
              <w:t>2</w:t>
            </w:r>
            <w:r>
              <w:rPr>
                <w:rFonts w:hint="eastAsia" w:ascii="宋体" w:hAnsi="宋体" w:eastAsia="宋体" w:cs="宋体"/>
                <w:color w:val="000000"/>
                <w:sz w:val="24"/>
                <w:szCs w:val="24"/>
              </w:rPr>
              <w:t>、</w:t>
            </w:r>
            <w:r>
              <w:rPr>
                <w:rFonts w:hint="default" w:ascii="Times New Roman" w:hAnsi="Times New Roman" w:cs="Times New Roman"/>
                <w:color w:val="000000"/>
                <w:sz w:val="13"/>
                <w:szCs w:val="13"/>
              </w:rPr>
              <w:t xml:space="preserve">    </w:t>
            </w:r>
            <w:r>
              <w:rPr>
                <w:rFonts w:hint="eastAsia" w:ascii="宋体" w:hAnsi="宋体" w:eastAsia="宋体" w:cs="宋体"/>
                <w:color w:val="000000"/>
                <w:sz w:val="24"/>
                <w:szCs w:val="24"/>
              </w:rPr>
              <w:t>硬件要求：1U机型；配置≥6个10/100/1000Base-T接口，接口支持Bypass功能，2个USB口，1个专用控制口；网络吞吐率≥1Gbps，最大并发会话数≥140万，防病毒吞吐率≥150Mbps；配置3年病毒特征库升级服务。</w:t>
            </w:r>
          </w:p>
          <w:p>
            <w:pPr>
              <w:pStyle w:val="4"/>
              <w:keepNext w:val="0"/>
              <w:keepLines w:val="0"/>
              <w:widowControl/>
              <w:suppressLineNumbers w:val="0"/>
              <w:spacing w:before="0" w:beforeAutospacing="1" w:after="0" w:afterAutospacing="1" w:line="255" w:lineRule="atLeast"/>
              <w:ind w:left="0" w:right="0" w:firstLine="0"/>
              <w:jc w:val="left"/>
            </w:pPr>
            <w:r>
              <w:rPr>
                <w:rFonts w:hint="default" w:ascii="Calibri" w:hAnsi="Calibri" w:cs="Calibri"/>
                <w:color w:val="000000"/>
                <w:sz w:val="24"/>
                <w:szCs w:val="24"/>
              </w:rPr>
              <w:t>3</w:t>
            </w:r>
            <w:r>
              <w:rPr>
                <w:rFonts w:hint="eastAsia" w:ascii="宋体" w:hAnsi="宋体" w:eastAsia="宋体" w:cs="宋体"/>
                <w:color w:val="000000"/>
                <w:sz w:val="24"/>
                <w:szCs w:val="24"/>
              </w:rPr>
              <w:t>、</w:t>
            </w:r>
            <w:r>
              <w:rPr>
                <w:rFonts w:hint="default" w:ascii="Times New Roman" w:hAnsi="Times New Roman" w:cs="Times New Roman"/>
                <w:color w:val="000000"/>
                <w:sz w:val="13"/>
                <w:szCs w:val="13"/>
              </w:rPr>
              <w:t xml:space="preserve">    </w:t>
            </w:r>
            <w:r>
              <w:rPr>
                <w:rFonts w:hint="eastAsia" w:ascii="宋体" w:hAnsi="宋体" w:eastAsia="宋体" w:cs="宋体"/>
                <w:color w:val="000000"/>
                <w:sz w:val="24"/>
                <w:szCs w:val="24"/>
              </w:rPr>
              <w:t>要求设备为专业的防病毒网关产品，非防火墙、UTM、上网行为管理等加配模块的产品；具备IPv4和IPv6双栈协议的病毒扫描和过滤。</w:t>
            </w:r>
          </w:p>
          <w:p>
            <w:pPr>
              <w:pStyle w:val="4"/>
              <w:keepNext w:val="0"/>
              <w:keepLines w:val="0"/>
              <w:widowControl/>
              <w:suppressLineNumbers w:val="0"/>
              <w:spacing w:before="0" w:beforeAutospacing="1" w:after="0" w:afterAutospacing="1" w:line="255" w:lineRule="atLeast"/>
              <w:ind w:left="0" w:right="0" w:firstLine="0"/>
              <w:jc w:val="left"/>
            </w:pPr>
            <w:r>
              <w:rPr>
                <w:rFonts w:hint="default" w:ascii="Calibri" w:hAnsi="Calibri" w:cs="Calibri"/>
                <w:color w:val="000000"/>
                <w:sz w:val="24"/>
                <w:szCs w:val="24"/>
              </w:rPr>
              <w:t>4</w:t>
            </w:r>
            <w:r>
              <w:rPr>
                <w:rFonts w:hint="eastAsia" w:ascii="宋体" w:hAnsi="宋体" w:eastAsia="宋体" w:cs="宋体"/>
                <w:color w:val="000000"/>
                <w:sz w:val="24"/>
                <w:szCs w:val="24"/>
              </w:rPr>
              <w:t>、</w:t>
            </w:r>
            <w:r>
              <w:rPr>
                <w:rFonts w:hint="default" w:ascii="Times New Roman" w:hAnsi="Times New Roman" w:cs="Times New Roman"/>
                <w:color w:val="000000"/>
                <w:sz w:val="13"/>
                <w:szCs w:val="13"/>
              </w:rPr>
              <w:t xml:space="preserve">    </w:t>
            </w:r>
            <w:r>
              <w:rPr>
                <w:rFonts w:hint="eastAsia" w:ascii="宋体" w:hAnsi="宋体" w:eastAsia="宋体" w:cs="宋体"/>
                <w:color w:val="000000"/>
                <w:sz w:val="24"/>
                <w:szCs w:val="24"/>
              </w:rPr>
              <w:t>内嵌双引擎杀毒技术，可单独采用流杀毒（快速扫描）引擎或文件型杀毒（深度扫描）引擎，也可同时支持两种杀毒引擎，能够根据不同的被检测协议采用不同杀毒引擎。（提供功能界面截图）</w:t>
            </w:r>
          </w:p>
          <w:p>
            <w:pPr>
              <w:pStyle w:val="4"/>
              <w:keepNext w:val="0"/>
              <w:keepLines w:val="0"/>
              <w:widowControl/>
              <w:suppressLineNumbers w:val="0"/>
              <w:spacing w:before="0" w:beforeAutospacing="1" w:after="0" w:afterAutospacing="1" w:line="255" w:lineRule="atLeast"/>
              <w:ind w:left="0" w:right="0" w:firstLine="0"/>
              <w:jc w:val="left"/>
            </w:pPr>
            <w:r>
              <w:rPr>
                <w:rFonts w:hint="default" w:ascii="Calibri" w:hAnsi="Calibri" w:cs="Calibri"/>
                <w:color w:val="000000"/>
                <w:sz w:val="24"/>
                <w:szCs w:val="24"/>
              </w:rPr>
              <w:t>5</w:t>
            </w:r>
            <w:r>
              <w:rPr>
                <w:rFonts w:hint="eastAsia" w:ascii="宋体" w:hAnsi="宋体" w:eastAsia="宋体" w:cs="宋体"/>
                <w:color w:val="000000"/>
                <w:sz w:val="24"/>
                <w:szCs w:val="24"/>
              </w:rPr>
              <w:t>、</w:t>
            </w:r>
            <w:r>
              <w:rPr>
                <w:rFonts w:hint="default" w:ascii="Times New Roman" w:hAnsi="Times New Roman" w:cs="Times New Roman"/>
                <w:color w:val="000000"/>
                <w:sz w:val="13"/>
                <w:szCs w:val="13"/>
              </w:rPr>
              <w:t xml:space="preserve">    </w:t>
            </w:r>
            <w:r>
              <w:rPr>
                <w:rFonts w:hint="eastAsia" w:ascii="宋体" w:hAnsi="宋体" w:eastAsia="宋体" w:cs="宋体"/>
                <w:color w:val="000000"/>
                <w:sz w:val="24"/>
                <w:szCs w:val="24"/>
              </w:rPr>
              <w:t>具备防御病毒、木马、蠕虫、间谍软件等恶意软件，且支持对压缩数据、加壳病毒的检测与处理；</w:t>
            </w:r>
          </w:p>
          <w:p>
            <w:pPr>
              <w:pStyle w:val="4"/>
              <w:keepNext w:val="0"/>
              <w:keepLines w:val="0"/>
              <w:widowControl/>
              <w:suppressLineNumbers w:val="0"/>
              <w:spacing w:before="0" w:beforeAutospacing="1" w:after="0" w:afterAutospacing="1" w:line="255" w:lineRule="atLeast"/>
              <w:ind w:left="0" w:right="0" w:firstLine="0"/>
              <w:jc w:val="left"/>
            </w:pPr>
            <w:r>
              <w:rPr>
                <w:rFonts w:hint="default" w:ascii="Calibri" w:hAnsi="Calibri" w:cs="Calibri"/>
                <w:color w:val="000000"/>
                <w:sz w:val="24"/>
                <w:szCs w:val="24"/>
              </w:rPr>
              <w:t>6</w:t>
            </w:r>
            <w:r>
              <w:rPr>
                <w:rFonts w:hint="eastAsia" w:ascii="宋体" w:hAnsi="宋体" w:eastAsia="宋体" w:cs="宋体"/>
                <w:color w:val="000000"/>
                <w:sz w:val="24"/>
                <w:szCs w:val="24"/>
              </w:rPr>
              <w:t>、</w:t>
            </w:r>
            <w:r>
              <w:rPr>
                <w:rFonts w:hint="default" w:ascii="Times New Roman" w:hAnsi="Times New Roman" w:cs="Times New Roman"/>
                <w:color w:val="000000"/>
                <w:sz w:val="13"/>
                <w:szCs w:val="13"/>
              </w:rPr>
              <w:t xml:space="preserve">    </w:t>
            </w:r>
            <w:r>
              <w:rPr>
                <w:rFonts w:hint="eastAsia" w:ascii="宋体" w:hAnsi="宋体" w:eastAsia="宋体" w:cs="宋体"/>
                <w:color w:val="000000"/>
                <w:sz w:val="24"/>
                <w:szCs w:val="24"/>
              </w:rPr>
              <w:t>支持对HTTP、FTP、POP3、 SMTP、IMAP等常用协议进行病毒检测与过滤；</w:t>
            </w:r>
          </w:p>
          <w:p>
            <w:pPr>
              <w:pStyle w:val="4"/>
              <w:keepNext w:val="0"/>
              <w:keepLines w:val="0"/>
              <w:widowControl/>
              <w:suppressLineNumbers w:val="0"/>
              <w:spacing w:before="0" w:beforeAutospacing="1" w:after="0" w:afterAutospacing="1" w:line="255" w:lineRule="atLeast"/>
              <w:ind w:left="0" w:right="0" w:firstLine="0"/>
              <w:jc w:val="left"/>
            </w:pPr>
            <w:r>
              <w:rPr>
                <w:rFonts w:hint="default" w:ascii="Calibri" w:hAnsi="Calibri" w:cs="Calibri"/>
                <w:color w:val="000000"/>
                <w:sz w:val="24"/>
                <w:szCs w:val="24"/>
              </w:rPr>
              <w:t>7</w:t>
            </w:r>
            <w:r>
              <w:rPr>
                <w:rFonts w:hint="eastAsia" w:ascii="宋体" w:hAnsi="宋体" w:eastAsia="宋体" w:cs="宋体"/>
                <w:color w:val="000000"/>
                <w:sz w:val="24"/>
                <w:szCs w:val="24"/>
              </w:rPr>
              <w:t>、</w:t>
            </w:r>
            <w:r>
              <w:rPr>
                <w:rFonts w:hint="default" w:ascii="Times New Roman" w:hAnsi="Times New Roman" w:cs="Times New Roman"/>
                <w:color w:val="000000"/>
                <w:sz w:val="13"/>
                <w:szCs w:val="13"/>
              </w:rPr>
              <w:t xml:space="preserve">    </w:t>
            </w:r>
            <w:r>
              <w:rPr>
                <w:rFonts w:hint="eastAsia" w:ascii="宋体" w:hAnsi="宋体" w:eastAsia="宋体" w:cs="宋体"/>
                <w:color w:val="000000"/>
                <w:sz w:val="24"/>
                <w:szCs w:val="24"/>
              </w:rPr>
              <w:t>可实时检测到日益泛滥的蠕虫攻击，并对其进行实时阻断，从而有效防止内部网络因遭受蠕虫攻击而陷于瘫痪；支持TCP粘合技术，提升病毒检测效率；支持信任站点；支持IPv4和IPv6双栈协议的病毒扫描与过滤；（提供截图证明）</w:t>
            </w:r>
            <w:r>
              <w:rPr>
                <w:rFonts w:hint="default" w:ascii="Times New Roman" w:hAnsi="Times New Roman" w:cs="Times New Roman"/>
                <w:color w:val="000000"/>
                <w:sz w:val="13"/>
                <w:szCs w:val="13"/>
              </w:rPr>
              <w:t xml:space="preserve">   </w:t>
            </w:r>
          </w:p>
          <w:p>
            <w:pPr>
              <w:pStyle w:val="4"/>
              <w:keepNext w:val="0"/>
              <w:keepLines w:val="0"/>
              <w:widowControl/>
              <w:suppressLineNumbers w:val="0"/>
            </w:pPr>
            <w:r>
              <w:rPr>
                <w:rFonts w:hint="eastAsia" w:ascii="宋体" w:hAnsi="宋体" w:eastAsia="宋体" w:cs="宋体"/>
                <w:color w:val="000000"/>
                <w:sz w:val="24"/>
                <w:szCs w:val="24"/>
              </w:rPr>
              <w:t>8、★具备病毒防护功能，采用国际国内主流品 牌病毒库，病毒库大于600万种，厂商防病毒技术的病毒检测率大于98%（需提供有效的第三方检测机构的病毒检测率报告）；</w:t>
            </w:r>
          </w:p>
          <w:p>
            <w:pPr>
              <w:pStyle w:val="4"/>
              <w:keepNext w:val="0"/>
              <w:keepLines w:val="0"/>
              <w:widowControl/>
              <w:suppressLineNumbers w:val="0"/>
              <w:spacing w:before="0" w:beforeAutospacing="1" w:after="0" w:afterAutospacing="1" w:line="255" w:lineRule="atLeast"/>
              <w:ind w:left="0" w:right="0" w:firstLine="0"/>
              <w:jc w:val="left"/>
            </w:pPr>
            <w:r>
              <w:rPr>
                <w:rFonts w:hint="default" w:ascii="Calibri" w:hAnsi="Calibri" w:cs="Calibri"/>
                <w:color w:val="000000"/>
                <w:sz w:val="24"/>
                <w:szCs w:val="24"/>
              </w:rPr>
              <w:t>9</w:t>
            </w:r>
            <w:r>
              <w:rPr>
                <w:rFonts w:hint="eastAsia" w:ascii="宋体" w:hAnsi="宋体" w:eastAsia="宋体" w:cs="宋体"/>
                <w:color w:val="000000"/>
                <w:sz w:val="24"/>
                <w:szCs w:val="24"/>
              </w:rPr>
              <w:t>、</w:t>
            </w:r>
            <w:r>
              <w:rPr>
                <w:rFonts w:hint="default" w:ascii="Times New Roman" w:hAnsi="Times New Roman" w:cs="Times New Roman"/>
                <w:color w:val="000000"/>
                <w:sz w:val="13"/>
                <w:szCs w:val="13"/>
              </w:rPr>
              <w:t xml:space="preserve">    </w:t>
            </w:r>
            <w:r>
              <w:rPr>
                <w:rFonts w:hint="eastAsia" w:ascii="宋体" w:hAnsi="宋体" w:eastAsia="宋体" w:cs="宋体"/>
                <w:color w:val="000000"/>
                <w:sz w:val="24"/>
                <w:szCs w:val="24"/>
              </w:rPr>
              <w:t>支持智能检测应用协议的病毒行为，采用自动智能方式准确识别并扫描检测常用应用协议任意端口的病毒传输行为，而非通过传统手动配置协议端口绑定形式进行病毒扫描；（提供截图证明）</w:t>
            </w:r>
          </w:p>
          <w:p>
            <w:pPr>
              <w:pStyle w:val="4"/>
              <w:keepNext w:val="0"/>
              <w:keepLines w:val="0"/>
              <w:widowControl/>
              <w:suppressLineNumbers w:val="0"/>
              <w:spacing w:before="0" w:beforeAutospacing="1" w:after="0" w:afterAutospacing="1" w:line="255" w:lineRule="atLeast"/>
              <w:ind w:left="0" w:right="0" w:firstLine="0"/>
              <w:jc w:val="left"/>
            </w:pPr>
            <w:r>
              <w:rPr>
                <w:rFonts w:hint="default" w:ascii="Calibri" w:hAnsi="Calibri" w:cs="Calibri"/>
                <w:color w:val="000000"/>
                <w:sz w:val="24"/>
                <w:szCs w:val="24"/>
              </w:rPr>
              <w:t>10</w:t>
            </w:r>
            <w:r>
              <w:rPr>
                <w:rFonts w:hint="eastAsia" w:ascii="宋体" w:hAnsi="宋体" w:eastAsia="宋体" w:cs="宋体"/>
                <w:color w:val="000000"/>
                <w:sz w:val="24"/>
                <w:szCs w:val="24"/>
              </w:rPr>
              <w:t>、</w:t>
            </w:r>
            <w:r>
              <w:rPr>
                <w:rFonts w:hint="default" w:ascii="Times New Roman" w:hAnsi="Times New Roman" w:cs="Times New Roman"/>
                <w:color w:val="000000"/>
                <w:sz w:val="13"/>
                <w:szCs w:val="13"/>
              </w:rPr>
              <w:t xml:space="preserve">                </w:t>
            </w:r>
            <w:r>
              <w:rPr>
                <w:rFonts w:hint="eastAsia" w:ascii="宋体" w:hAnsi="宋体" w:eastAsia="宋体" w:cs="宋体"/>
                <w:color w:val="000000"/>
                <w:sz w:val="24"/>
                <w:szCs w:val="24"/>
              </w:rPr>
              <w:t>要求病毒网关默认加载的流行病毒库总数大于600万，可本地化完成病毒地检测过滤与处理，无需发送到云端检测；</w:t>
            </w:r>
          </w:p>
          <w:p>
            <w:pPr>
              <w:pStyle w:val="4"/>
              <w:keepNext w:val="0"/>
              <w:keepLines w:val="0"/>
              <w:widowControl/>
              <w:suppressLineNumbers w:val="0"/>
              <w:spacing w:before="0" w:beforeAutospacing="1" w:after="0" w:afterAutospacing="1" w:line="255" w:lineRule="atLeast"/>
              <w:ind w:left="0" w:right="0" w:firstLine="0"/>
              <w:jc w:val="left"/>
            </w:pPr>
            <w:r>
              <w:rPr>
                <w:rFonts w:hint="default" w:ascii="Calibri" w:hAnsi="Calibri" w:cs="Calibri"/>
                <w:color w:val="000000"/>
                <w:sz w:val="24"/>
                <w:szCs w:val="24"/>
              </w:rPr>
              <w:t>11</w:t>
            </w:r>
            <w:r>
              <w:rPr>
                <w:rFonts w:hint="eastAsia" w:ascii="宋体" w:hAnsi="宋体" w:eastAsia="宋体" w:cs="宋体"/>
                <w:color w:val="000000"/>
                <w:sz w:val="24"/>
                <w:szCs w:val="24"/>
              </w:rPr>
              <w:t>、</w:t>
            </w:r>
            <w:r>
              <w:rPr>
                <w:rFonts w:hint="default" w:ascii="Times New Roman" w:hAnsi="Times New Roman" w:cs="Times New Roman"/>
                <w:color w:val="000000"/>
                <w:sz w:val="13"/>
                <w:szCs w:val="13"/>
              </w:rPr>
              <w:t xml:space="preserve">                </w:t>
            </w:r>
            <w:r>
              <w:rPr>
                <w:rFonts w:hint="eastAsia" w:ascii="宋体" w:hAnsi="宋体" w:eastAsia="宋体" w:cs="宋体"/>
                <w:color w:val="000000"/>
                <w:sz w:val="24"/>
                <w:szCs w:val="24"/>
              </w:rPr>
              <w:t>支持手动、本地和远程特征库升级，支持用户搭建升级服务器及自定义服务器地址；</w:t>
            </w:r>
          </w:p>
          <w:p>
            <w:pPr>
              <w:pStyle w:val="4"/>
              <w:keepNext w:val="0"/>
              <w:keepLines w:val="0"/>
              <w:widowControl/>
              <w:suppressLineNumbers w:val="0"/>
              <w:spacing w:before="0" w:beforeAutospacing="1" w:after="0" w:afterAutospacing="1" w:line="255" w:lineRule="atLeast"/>
              <w:ind w:left="0" w:right="0" w:firstLine="0"/>
              <w:jc w:val="left"/>
            </w:pPr>
            <w:r>
              <w:rPr>
                <w:rFonts w:hint="default" w:ascii="Calibri" w:hAnsi="Calibri" w:cs="Calibri"/>
                <w:color w:val="000000"/>
                <w:sz w:val="24"/>
                <w:szCs w:val="24"/>
              </w:rPr>
              <w:t>12</w:t>
            </w:r>
            <w:r>
              <w:rPr>
                <w:rFonts w:hint="eastAsia" w:ascii="宋体" w:hAnsi="宋体" w:eastAsia="宋体" w:cs="宋体"/>
                <w:color w:val="000000"/>
                <w:sz w:val="24"/>
                <w:szCs w:val="24"/>
              </w:rPr>
              <w:t>、</w:t>
            </w:r>
            <w:r>
              <w:rPr>
                <w:rFonts w:hint="default" w:ascii="Times New Roman" w:hAnsi="Times New Roman" w:cs="Times New Roman"/>
                <w:color w:val="000000"/>
                <w:sz w:val="13"/>
                <w:szCs w:val="13"/>
              </w:rPr>
              <w:t xml:space="preserve">                </w:t>
            </w:r>
            <w:r>
              <w:rPr>
                <w:rFonts w:hint="eastAsia" w:ascii="宋体" w:hAnsi="宋体" w:eastAsia="宋体" w:cs="宋体"/>
                <w:color w:val="000000"/>
                <w:sz w:val="24"/>
                <w:szCs w:val="24"/>
              </w:rPr>
              <w:t>具备对数据内容进行检查，可采用关键字过滤、URL过滤等方式来阻止非法数据进入内部网络，并且能够针对“ActiveX”、“Java Applets”及“Script”等控件实施拦截；</w:t>
            </w:r>
          </w:p>
          <w:p>
            <w:pPr>
              <w:pStyle w:val="4"/>
              <w:keepNext w:val="0"/>
              <w:keepLines w:val="0"/>
              <w:widowControl/>
              <w:suppressLineNumbers w:val="0"/>
              <w:spacing w:before="0" w:beforeAutospacing="1" w:after="0" w:afterAutospacing="1" w:line="255" w:lineRule="atLeast"/>
              <w:ind w:left="0" w:right="0" w:firstLine="0"/>
              <w:jc w:val="left"/>
            </w:pPr>
            <w:r>
              <w:rPr>
                <w:rFonts w:hint="default" w:ascii="Calibri" w:hAnsi="Calibri" w:cs="Calibri"/>
                <w:color w:val="000000"/>
                <w:sz w:val="24"/>
                <w:szCs w:val="24"/>
              </w:rPr>
              <w:t>13</w:t>
            </w:r>
            <w:r>
              <w:rPr>
                <w:rFonts w:hint="eastAsia" w:ascii="宋体" w:hAnsi="宋体" w:eastAsia="宋体" w:cs="宋体"/>
                <w:color w:val="000000"/>
                <w:sz w:val="24"/>
                <w:szCs w:val="24"/>
              </w:rPr>
              <w:t>、</w:t>
            </w:r>
            <w:r>
              <w:rPr>
                <w:rFonts w:hint="default" w:ascii="Times New Roman" w:hAnsi="Times New Roman" w:cs="Times New Roman"/>
                <w:color w:val="000000"/>
                <w:sz w:val="13"/>
                <w:szCs w:val="13"/>
              </w:rPr>
              <w:t xml:space="preserve">                </w:t>
            </w:r>
            <w:r>
              <w:rPr>
                <w:rFonts w:hint="eastAsia" w:ascii="宋体" w:hAnsi="宋体" w:eastAsia="宋体" w:cs="宋体"/>
                <w:color w:val="000000"/>
                <w:sz w:val="24"/>
                <w:szCs w:val="24"/>
              </w:rPr>
              <w:t>具备病毒隔离功能，管理员可方便的管理隔离区，可选择把隔离区的内容删除，可选择将隔离内容发送到指   定的多个邮箱进行后期的分析处理；</w:t>
            </w:r>
          </w:p>
          <w:p>
            <w:pPr>
              <w:pStyle w:val="4"/>
              <w:keepNext w:val="0"/>
              <w:keepLines w:val="0"/>
              <w:widowControl/>
              <w:suppressLineNumbers w:val="0"/>
              <w:spacing w:before="0" w:beforeAutospacing="1" w:after="0" w:afterAutospacing="1" w:line="255" w:lineRule="atLeast"/>
              <w:ind w:left="0" w:right="0" w:firstLine="0"/>
              <w:jc w:val="left"/>
            </w:pPr>
            <w:r>
              <w:rPr>
                <w:rFonts w:hint="default" w:ascii="Calibri" w:hAnsi="Calibri" w:cs="Calibri"/>
                <w:color w:val="000000"/>
                <w:sz w:val="24"/>
                <w:szCs w:val="24"/>
              </w:rPr>
              <w:t>14</w:t>
            </w:r>
            <w:r>
              <w:rPr>
                <w:rFonts w:hint="eastAsia" w:ascii="宋体" w:hAnsi="宋体" w:eastAsia="宋体" w:cs="宋体"/>
                <w:color w:val="000000"/>
                <w:sz w:val="24"/>
                <w:szCs w:val="24"/>
              </w:rPr>
              <w:t>、</w:t>
            </w:r>
            <w:r>
              <w:rPr>
                <w:rFonts w:hint="default" w:ascii="Times New Roman" w:hAnsi="Times New Roman" w:cs="Times New Roman"/>
                <w:color w:val="000000"/>
                <w:sz w:val="13"/>
                <w:szCs w:val="13"/>
              </w:rPr>
              <w:t xml:space="preserve">                </w:t>
            </w:r>
            <w:r>
              <w:rPr>
                <w:rFonts w:hint="eastAsia" w:ascii="宋体" w:hAnsi="宋体" w:eastAsia="宋体" w:cs="宋体"/>
                <w:color w:val="000000"/>
                <w:sz w:val="24"/>
                <w:szCs w:val="24"/>
              </w:rPr>
              <w:t>当出现病毒突然爆发状况时，可向网络管理员发送报警信息，需支持邮件报警、声音报警、SNMP等报警方式；</w:t>
            </w:r>
          </w:p>
          <w:p>
            <w:pPr>
              <w:pStyle w:val="4"/>
              <w:keepNext w:val="0"/>
              <w:keepLines w:val="0"/>
              <w:widowControl/>
              <w:suppressLineNumbers w:val="0"/>
              <w:spacing w:before="0" w:beforeAutospacing="1" w:after="0" w:afterAutospacing="1" w:line="255" w:lineRule="atLeast"/>
              <w:ind w:left="0" w:right="0" w:firstLine="0"/>
              <w:jc w:val="left"/>
            </w:pPr>
            <w:r>
              <w:rPr>
                <w:rFonts w:hint="default" w:ascii="Calibri" w:hAnsi="Calibri" w:cs="Calibri"/>
                <w:color w:val="000000"/>
                <w:sz w:val="24"/>
                <w:szCs w:val="24"/>
              </w:rPr>
              <w:t>15</w:t>
            </w:r>
            <w:r>
              <w:rPr>
                <w:rFonts w:hint="eastAsia" w:ascii="宋体" w:hAnsi="宋体" w:eastAsia="宋体" w:cs="宋体"/>
                <w:color w:val="000000"/>
                <w:sz w:val="24"/>
                <w:szCs w:val="24"/>
              </w:rPr>
              <w:t>、</w:t>
            </w:r>
            <w:r>
              <w:rPr>
                <w:rFonts w:hint="default" w:ascii="Times New Roman" w:hAnsi="Times New Roman" w:cs="Times New Roman"/>
                <w:color w:val="000000"/>
                <w:sz w:val="13"/>
                <w:szCs w:val="13"/>
              </w:rPr>
              <w:t xml:space="preserve">                </w:t>
            </w:r>
            <w:r>
              <w:rPr>
                <w:rFonts w:hint="eastAsia" w:ascii="宋体" w:hAnsi="宋体" w:eastAsia="宋体" w:cs="宋体"/>
                <w:color w:val="000000"/>
                <w:sz w:val="24"/>
                <w:szCs w:val="24"/>
              </w:rPr>
              <w:t>设备自身具有在线技术支持功能，便于外部人员远程进行设备维护管理，并且支持远程连接状态查看和手段断开；</w:t>
            </w:r>
          </w:p>
          <w:p>
            <w:pPr>
              <w:pStyle w:val="4"/>
              <w:keepNext w:val="0"/>
              <w:keepLines w:val="0"/>
              <w:widowControl/>
              <w:suppressLineNumbers w:val="0"/>
              <w:spacing w:before="0" w:beforeAutospacing="1" w:after="0" w:afterAutospacing="1" w:line="255" w:lineRule="atLeast"/>
              <w:ind w:left="0" w:right="0" w:firstLine="0"/>
              <w:jc w:val="left"/>
            </w:pPr>
            <w:r>
              <w:rPr>
                <w:rFonts w:hint="default" w:ascii="Calibri" w:hAnsi="Calibri" w:cs="Calibri"/>
                <w:color w:val="000000"/>
                <w:sz w:val="24"/>
                <w:szCs w:val="24"/>
              </w:rPr>
              <w:t>16</w:t>
            </w:r>
            <w:r>
              <w:rPr>
                <w:rFonts w:hint="eastAsia" w:ascii="宋体" w:hAnsi="宋体" w:eastAsia="宋体" w:cs="宋体"/>
                <w:color w:val="000000"/>
                <w:sz w:val="24"/>
                <w:szCs w:val="24"/>
              </w:rPr>
              <w:t>、</w:t>
            </w:r>
            <w:r>
              <w:rPr>
                <w:rFonts w:hint="default" w:ascii="Times New Roman" w:hAnsi="Times New Roman" w:cs="Times New Roman"/>
                <w:color w:val="000000"/>
                <w:sz w:val="13"/>
                <w:szCs w:val="13"/>
              </w:rPr>
              <w:t xml:space="preserve">                </w:t>
            </w:r>
            <w:r>
              <w:rPr>
                <w:rFonts w:hint="eastAsia" w:ascii="宋体" w:hAnsi="宋体" w:eastAsia="宋体" w:cs="宋体"/>
                <w:color w:val="000000"/>
                <w:sz w:val="24"/>
                <w:szCs w:val="24"/>
              </w:rPr>
              <w:t>具有针对FTP流量的病毒检测过滤日志，且过滤日志能定位到具体的文件名，方便管理处理携带病毒的文件；</w:t>
            </w:r>
          </w:p>
          <w:p>
            <w:pPr>
              <w:pStyle w:val="4"/>
              <w:keepNext w:val="0"/>
              <w:keepLines w:val="0"/>
              <w:widowControl/>
              <w:suppressLineNumbers w:val="0"/>
              <w:spacing w:before="0" w:beforeAutospacing="1" w:after="0" w:afterAutospacing="1" w:line="255" w:lineRule="atLeast"/>
              <w:ind w:left="0" w:right="0" w:firstLine="0"/>
              <w:jc w:val="left"/>
            </w:pPr>
            <w:r>
              <w:rPr>
                <w:rFonts w:hint="default" w:ascii="Calibri" w:hAnsi="Calibri" w:cs="Calibri"/>
                <w:color w:val="000000"/>
                <w:sz w:val="24"/>
                <w:szCs w:val="24"/>
              </w:rPr>
              <w:t>17</w:t>
            </w:r>
            <w:r>
              <w:rPr>
                <w:rFonts w:hint="eastAsia" w:ascii="宋体" w:hAnsi="宋体" w:eastAsia="宋体" w:cs="宋体"/>
                <w:color w:val="000000"/>
                <w:sz w:val="24"/>
                <w:szCs w:val="24"/>
              </w:rPr>
              <w:t>、</w:t>
            </w:r>
            <w:r>
              <w:rPr>
                <w:rFonts w:hint="default" w:ascii="Times New Roman" w:hAnsi="Times New Roman" w:cs="Times New Roman"/>
                <w:color w:val="000000"/>
                <w:sz w:val="13"/>
                <w:szCs w:val="13"/>
              </w:rPr>
              <w:t xml:space="preserve">                </w:t>
            </w:r>
            <w:r>
              <w:rPr>
                <w:rFonts w:hint="eastAsia" w:ascii="宋体" w:hAnsi="宋体" w:eastAsia="宋体" w:cs="宋体"/>
                <w:color w:val="000000"/>
                <w:sz w:val="24"/>
                <w:szCs w:val="24"/>
              </w:rPr>
              <w:t>具备与防火墙、入侵防御等设备实现集中式统一管理；实现基于拓扑图的设备在线状态、运行状态、安全防御、流量等监控，实现设备策略统一编辑和下发。（提供截图证明）</w:t>
            </w:r>
          </w:p>
          <w:p>
            <w:pPr>
              <w:pStyle w:val="4"/>
              <w:keepNext w:val="0"/>
              <w:keepLines w:val="0"/>
              <w:widowControl/>
              <w:suppressLineNumbers w:val="0"/>
              <w:spacing w:before="0" w:beforeAutospacing="1" w:after="0" w:afterAutospacing="1" w:line="255" w:lineRule="atLeast"/>
              <w:ind w:left="0" w:right="0" w:firstLine="0"/>
              <w:jc w:val="left"/>
            </w:pPr>
            <w:r>
              <w:rPr>
                <w:rFonts w:hint="default" w:ascii="Calibri" w:hAnsi="Calibri" w:cs="Calibri"/>
                <w:color w:val="000000"/>
                <w:sz w:val="24"/>
                <w:szCs w:val="24"/>
              </w:rPr>
              <w:t>18</w:t>
            </w:r>
            <w:r>
              <w:rPr>
                <w:rFonts w:hint="eastAsia" w:ascii="宋体" w:hAnsi="宋体" w:eastAsia="宋体" w:cs="宋体"/>
                <w:color w:val="000000"/>
                <w:sz w:val="24"/>
                <w:szCs w:val="24"/>
              </w:rPr>
              <w:t>、</w:t>
            </w:r>
            <w:r>
              <w:rPr>
                <w:rFonts w:hint="default" w:ascii="Times New Roman" w:hAnsi="Times New Roman" w:cs="Times New Roman"/>
                <w:color w:val="000000"/>
                <w:sz w:val="13"/>
                <w:szCs w:val="13"/>
              </w:rPr>
              <w:t xml:space="preserve">                </w:t>
            </w:r>
            <w:r>
              <w:rPr>
                <w:rFonts w:hint="eastAsia" w:ascii="宋体" w:hAnsi="宋体" w:eastAsia="宋体" w:cs="宋体"/>
                <w:color w:val="000000"/>
                <w:sz w:val="24"/>
                <w:szCs w:val="24"/>
              </w:rPr>
              <w:t>同时具有：提供公安部颁发的计算机信息系统安全专用产品（网关防病毒类产品）销售许可证；国家版权局-计算机软件著作权登记证书</w:t>
            </w:r>
          </w:p>
        </w:tc>
        <w:tc>
          <w:tcPr>
            <w:tcW w:w="834"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tc>
      </w:tr>
      <w:tr>
        <w:trPr>
          <w:trHeight w:val="3915" w:hRule="atLeast"/>
          <w:tblCellSpacing w:w="15" w:type="dxa"/>
        </w:trPr>
        <w:tc>
          <w:tcPr>
            <w:tcW w:w="66" w:type="dxa"/>
            <w:tcBorders>
              <w:top w:val="nil"/>
              <w:left w:val="single" w:color="auto" w:sz="6" w:space="0"/>
              <w:bottom w:val="single" w:color="auto" w:sz="6" w:space="0"/>
              <w:right w:val="single" w:color="auto" w:sz="6" w:space="0"/>
            </w:tcBorders>
            <w:shd w:val="clear" w:color="auto" w:fill="FFFFFF"/>
            <w:tcMar>
              <w:top w:w="0" w:type="dxa"/>
              <w:left w:w="0" w:type="dxa"/>
              <w:bottom w:w="0" w:type="dxa"/>
              <w:right w:w="0" w:type="dxa"/>
            </w:tcMar>
            <w:vAlign w:val="center"/>
          </w:tcPr>
          <w:p>
            <w:pPr>
              <w:keepNext w:val="0"/>
              <w:keepLines w:val="0"/>
              <w:widowControl/>
              <w:suppressLineNumbers w:val="0"/>
              <w:jc w:val="left"/>
            </w:pPr>
          </w:p>
        </w:tc>
        <w:tc>
          <w:tcPr>
            <w:tcW w:w="95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255" w:lineRule="atLeast"/>
              <w:jc w:val="center"/>
            </w:pPr>
            <w:r>
              <w:rPr>
                <w:rStyle w:val="6"/>
                <w:rFonts w:hint="eastAsia" w:ascii="宋体" w:hAnsi="宋体" w:eastAsia="宋体" w:cs="宋体"/>
                <w:b/>
              </w:rPr>
              <w:t>1-1-22</w:t>
            </w:r>
          </w:p>
        </w:tc>
        <w:tc>
          <w:tcPr>
            <w:tcW w:w="1087"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255" w:lineRule="atLeast"/>
            </w:pPr>
            <w:r>
              <w:rPr>
                <w:rFonts w:hint="eastAsia" w:ascii="宋体" w:hAnsi="宋体" w:eastAsia="宋体" w:cs="宋体"/>
                <w:sz w:val="24"/>
                <w:szCs w:val="24"/>
              </w:rPr>
              <w:t>入侵防御系统</w:t>
            </w:r>
          </w:p>
        </w:tc>
        <w:tc>
          <w:tcPr>
            <w:tcW w:w="529"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255" w:lineRule="atLeast"/>
              <w:jc w:val="center"/>
            </w:pPr>
            <w:r>
              <w:rPr>
                <w:rFonts w:hint="eastAsia" w:ascii="宋体" w:hAnsi="宋体" w:eastAsia="宋体" w:cs="宋体"/>
                <w:sz w:val="24"/>
                <w:szCs w:val="24"/>
              </w:rPr>
              <w:t>台</w:t>
            </w:r>
          </w:p>
        </w:tc>
        <w:tc>
          <w:tcPr>
            <w:tcW w:w="467"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255" w:lineRule="atLeast"/>
              <w:jc w:val="center"/>
            </w:pPr>
            <w:r>
              <w:rPr>
                <w:rFonts w:hint="eastAsia" w:ascii="宋体" w:hAnsi="宋体" w:eastAsia="宋体" w:cs="宋体"/>
                <w:sz w:val="24"/>
                <w:szCs w:val="24"/>
              </w:rPr>
              <w:t>1</w:t>
            </w:r>
          </w:p>
        </w:tc>
        <w:tc>
          <w:tcPr>
            <w:tcW w:w="503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before="0" w:beforeAutospacing="1" w:after="0" w:afterAutospacing="1" w:line="255" w:lineRule="atLeast"/>
              <w:ind w:left="0" w:right="0" w:firstLine="0"/>
            </w:pPr>
            <w:r>
              <w:rPr>
                <w:rFonts w:hint="default" w:ascii="Calibri" w:hAnsi="Calibri" w:cs="Calibri"/>
                <w:color w:val="000000"/>
                <w:sz w:val="24"/>
                <w:szCs w:val="24"/>
              </w:rPr>
              <w:t>1</w:t>
            </w:r>
            <w:r>
              <w:rPr>
                <w:rFonts w:hint="eastAsia" w:ascii="宋体" w:hAnsi="宋体" w:eastAsia="宋体" w:cs="宋体"/>
                <w:color w:val="000000"/>
                <w:sz w:val="24"/>
                <w:szCs w:val="24"/>
              </w:rPr>
              <w:t>、</w:t>
            </w:r>
            <w:r>
              <w:rPr>
                <w:rFonts w:hint="default" w:ascii="Times New Roman" w:hAnsi="Times New Roman" w:cs="Times New Roman"/>
                <w:color w:val="000000"/>
                <w:sz w:val="13"/>
                <w:szCs w:val="13"/>
              </w:rPr>
              <w:t xml:space="preserve">    </w:t>
            </w:r>
            <w:r>
              <w:rPr>
                <w:rFonts w:hint="eastAsia" w:ascii="宋体" w:hAnsi="宋体" w:eastAsia="宋体" w:cs="宋体"/>
                <w:color w:val="000000"/>
                <w:sz w:val="24"/>
                <w:szCs w:val="24"/>
              </w:rPr>
              <w:t>系统要求采用专用硬件架构及具有自主知识产权的专用安全操作系统（提供证明）；采用双操作系统，当常用系统出现故障可以使用备用系统恢复。（截图证明）</w:t>
            </w:r>
          </w:p>
          <w:p>
            <w:pPr>
              <w:pStyle w:val="4"/>
              <w:keepNext w:val="0"/>
              <w:keepLines w:val="0"/>
              <w:widowControl/>
              <w:suppressLineNumbers w:val="0"/>
              <w:spacing w:before="0" w:beforeAutospacing="1" w:after="0" w:afterAutospacing="1" w:line="255" w:lineRule="atLeast"/>
              <w:ind w:left="0" w:right="0" w:firstLine="0"/>
            </w:pPr>
            <w:r>
              <w:rPr>
                <w:rFonts w:hint="default" w:ascii="Calibri" w:hAnsi="Calibri" w:cs="Calibri"/>
                <w:color w:val="000000"/>
                <w:sz w:val="24"/>
                <w:szCs w:val="24"/>
              </w:rPr>
              <w:t>2</w:t>
            </w:r>
            <w:r>
              <w:rPr>
                <w:rFonts w:hint="eastAsia" w:ascii="宋体" w:hAnsi="宋体" w:eastAsia="宋体" w:cs="宋体"/>
                <w:color w:val="000000"/>
                <w:sz w:val="24"/>
                <w:szCs w:val="24"/>
              </w:rPr>
              <w:t>、</w:t>
            </w:r>
            <w:r>
              <w:rPr>
                <w:rFonts w:hint="default" w:ascii="Times New Roman" w:hAnsi="Times New Roman" w:cs="Times New Roman"/>
                <w:color w:val="000000"/>
                <w:sz w:val="13"/>
                <w:szCs w:val="13"/>
              </w:rPr>
              <w:t xml:space="preserve">    </w:t>
            </w:r>
            <w:r>
              <w:rPr>
                <w:rFonts w:hint="eastAsia" w:ascii="宋体" w:hAnsi="宋体" w:eastAsia="宋体" w:cs="宋体"/>
                <w:sz w:val="24"/>
                <w:szCs w:val="24"/>
              </w:rPr>
              <w:t>硬件要求：标准机架结构；配置≥10个10/100/1000BASE-T端口，接口支持Bypass， 2个USB；整机吞吐率不少于3Gbps，最大并发连接数不少于120W，IPS吞吐率不少于1Gbps。</w:t>
            </w:r>
          </w:p>
          <w:p>
            <w:pPr>
              <w:pStyle w:val="4"/>
              <w:keepNext w:val="0"/>
              <w:keepLines w:val="0"/>
              <w:widowControl/>
              <w:suppressLineNumbers w:val="0"/>
              <w:spacing w:before="0" w:beforeAutospacing="1" w:after="0" w:afterAutospacing="1" w:line="255" w:lineRule="atLeast"/>
              <w:ind w:left="0" w:right="0" w:firstLine="0"/>
            </w:pPr>
            <w:r>
              <w:rPr>
                <w:rFonts w:hint="default" w:ascii="Calibri" w:hAnsi="Calibri" w:cs="Calibri"/>
                <w:color w:val="000000"/>
                <w:sz w:val="24"/>
                <w:szCs w:val="24"/>
              </w:rPr>
              <w:t>3</w:t>
            </w:r>
            <w:r>
              <w:rPr>
                <w:rFonts w:hint="eastAsia" w:ascii="宋体" w:hAnsi="宋体" w:eastAsia="宋体" w:cs="宋体"/>
                <w:color w:val="000000"/>
                <w:sz w:val="24"/>
                <w:szCs w:val="24"/>
              </w:rPr>
              <w:t>、</w:t>
            </w:r>
            <w:r>
              <w:rPr>
                <w:rFonts w:hint="default" w:ascii="Times New Roman" w:hAnsi="Times New Roman" w:cs="Times New Roman"/>
                <w:color w:val="000000"/>
                <w:sz w:val="13"/>
                <w:szCs w:val="13"/>
              </w:rPr>
              <w:t xml:space="preserve">    </w:t>
            </w:r>
            <w:r>
              <w:rPr>
                <w:rFonts w:hint="eastAsia" w:ascii="宋体" w:hAnsi="宋体" w:eastAsia="宋体" w:cs="宋体"/>
                <w:color w:val="000000"/>
                <w:sz w:val="24"/>
                <w:szCs w:val="24"/>
              </w:rPr>
              <w:t xml:space="preserve">要求支持直连、路由、VLAN、旁路监听、混合部署等多种接入模式，具备支持多端口链路聚合；   </w:t>
            </w:r>
          </w:p>
          <w:p>
            <w:pPr>
              <w:pStyle w:val="4"/>
              <w:keepNext w:val="0"/>
              <w:keepLines w:val="0"/>
              <w:widowControl/>
              <w:suppressLineNumbers w:val="0"/>
              <w:spacing w:before="0" w:beforeAutospacing="1" w:after="0" w:afterAutospacing="1" w:line="255" w:lineRule="atLeast"/>
              <w:ind w:left="0" w:right="0" w:firstLine="0"/>
            </w:pPr>
            <w:r>
              <w:rPr>
                <w:rFonts w:hint="default" w:ascii="Calibri" w:hAnsi="Calibri" w:cs="Calibri"/>
                <w:color w:val="000000"/>
                <w:sz w:val="24"/>
                <w:szCs w:val="24"/>
              </w:rPr>
              <w:t>4</w:t>
            </w:r>
            <w:r>
              <w:rPr>
                <w:rFonts w:hint="eastAsia" w:ascii="宋体" w:hAnsi="宋体" w:eastAsia="宋体" w:cs="宋体"/>
                <w:color w:val="000000"/>
                <w:sz w:val="24"/>
                <w:szCs w:val="24"/>
              </w:rPr>
              <w:t>、</w:t>
            </w:r>
            <w:r>
              <w:rPr>
                <w:rFonts w:hint="default" w:ascii="Times New Roman" w:hAnsi="Times New Roman" w:cs="Times New Roman"/>
                <w:color w:val="000000"/>
                <w:sz w:val="13"/>
                <w:szCs w:val="13"/>
              </w:rPr>
              <w:t xml:space="preserve">    </w:t>
            </w:r>
            <w:r>
              <w:rPr>
                <w:rFonts w:hint="eastAsia" w:ascii="宋体" w:hAnsi="宋体" w:eastAsia="宋体" w:cs="宋体"/>
                <w:color w:val="000000"/>
                <w:sz w:val="24"/>
                <w:szCs w:val="24"/>
              </w:rPr>
              <w:t>支持基于源/目的地址、接口的策略路由，具备</w:t>
            </w:r>
            <w:r>
              <w:rPr>
                <w:rFonts w:hint="eastAsia" w:ascii="宋体" w:hAnsi="宋体" w:eastAsia="宋体" w:cs="宋体"/>
                <w:sz w:val="24"/>
                <w:szCs w:val="24"/>
              </w:rPr>
              <w:t>IPv6、IPv6 over IPv4、IPv6和IPv4混合网络，能够在该网络环境中检测出攻击事件。</w:t>
            </w:r>
          </w:p>
          <w:p>
            <w:pPr>
              <w:pStyle w:val="4"/>
              <w:keepNext w:val="0"/>
              <w:keepLines w:val="0"/>
              <w:widowControl/>
              <w:suppressLineNumbers w:val="0"/>
              <w:spacing w:before="0" w:beforeAutospacing="1" w:after="0" w:afterAutospacing="1" w:line="255" w:lineRule="atLeast"/>
              <w:ind w:left="0" w:right="0" w:firstLine="0"/>
            </w:pPr>
            <w:r>
              <w:rPr>
                <w:rFonts w:hint="default" w:ascii="Calibri" w:hAnsi="Calibri" w:cs="Calibri"/>
                <w:color w:val="000000"/>
                <w:sz w:val="24"/>
                <w:szCs w:val="24"/>
              </w:rPr>
              <w:t>5</w:t>
            </w:r>
            <w:r>
              <w:rPr>
                <w:rFonts w:hint="eastAsia" w:ascii="宋体" w:hAnsi="宋体" w:eastAsia="宋体" w:cs="宋体"/>
                <w:color w:val="000000"/>
                <w:sz w:val="24"/>
                <w:szCs w:val="24"/>
              </w:rPr>
              <w:t>、</w:t>
            </w:r>
            <w:r>
              <w:rPr>
                <w:rFonts w:hint="default" w:ascii="Times New Roman" w:hAnsi="Times New Roman" w:cs="Times New Roman"/>
                <w:color w:val="000000"/>
                <w:sz w:val="13"/>
                <w:szCs w:val="13"/>
              </w:rPr>
              <w:t xml:space="preserve">    </w:t>
            </w:r>
            <w:r>
              <w:rPr>
                <w:rFonts w:hint="eastAsia" w:ascii="宋体" w:hAnsi="宋体" w:eastAsia="宋体" w:cs="宋体"/>
                <w:sz w:val="24"/>
                <w:szCs w:val="24"/>
              </w:rPr>
              <w:t>具备检测包括溢出攻击类、RPC攻击类、WEBCGI攻击类、拒绝服务类、木马类、蠕虫类、扫描类、网络访问类、HTTP攻击类、系统漏洞类等在内的超过3500种攻击事件。（截图证明）</w:t>
            </w:r>
          </w:p>
          <w:p>
            <w:pPr>
              <w:pStyle w:val="4"/>
              <w:keepNext w:val="0"/>
              <w:keepLines w:val="0"/>
              <w:widowControl/>
              <w:suppressLineNumbers w:val="0"/>
              <w:spacing w:before="0" w:beforeAutospacing="1" w:after="0" w:afterAutospacing="1" w:line="255" w:lineRule="atLeast"/>
              <w:ind w:left="0" w:right="0" w:firstLine="0"/>
            </w:pPr>
            <w:r>
              <w:rPr>
                <w:rFonts w:hint="default" w:ascii="Calibri" w:hAnsi="Calibri" w:cs="Calibri"/>
                <w:color w:val="000000"/>
                <w:sz w:val="24"/>
                <w:szCs w:val="24"/>
              </w:rPr>
              <w:t>6</w:t>
            </w:r>
            <w:r>
              <w:rPr>
                <w:rFonts w:hint="eastAsia" w:ascii="宋体" w:hAnsi="宋体" w:eastAsia="宋体" w:cs="宋体"/>
                <w:color w:val="000000"/>
                <w:sz w:val="24"/>
                <w:szCs w:val="24"/>
              </w:rPr>
              <w:t>、</w:t>
            </w:r>
            <w:r>
              <w:rPr>
                <w:rFonts w:hint="default" w:ascii="Times New Roman" w:hAnsi="Times New Roman" w:cs="Times New Roman"/>
                <w:color w:val="000000"/>
                <w:sz w:val="13"/>
                <w:szCs w:val="13"/>
              </w:rPr>
              <w:t xml:space="preserve">    </w:t>
            </w:r>
            <w:r>
              <w:rPr>
                <w:rFonts w:hint="eastAsia" w:ascii="宋体" w:hAnsi="宋体" w:eastAsia="宋体" w:cs="宋体"/>
                <w:sz w:val="24"/>
                <w:szCs w:val="24"/>
              </w:rPr>
              <w:t>支持攻击报文取证功能，检测到攻击事件后将原始报文完整记录下来，作为电子证据。</w:t>
            </w:r>
          </w:p>
          <w:p>
            <w:pPr>
              <w:pStyle w:val="4"/>
              <w:keepNext w:val="0"/>
              <w:keepLines w:val="0"/>
              <w:widowControl/>
              <w:suppressLineNumbers w:val="0"/>
              <w:spacing w:before="0" w:beforeAutospacing="1" w:after="0" w:afterAutospacing="1" w:line="255" w:lineRule="atLeast"/>
              <w:ind w:left="0" w:right="0" w:firstLine="0"/>
            </w:pPr>
            <w:r>
              <w:rPr>
                <w:rFonts w:hint="default" w:ascii="Calibri" w:hAnsi="Calibri" w:cs="Calibri"/>
                <w:color w:val="000000"/>
                <w:sz w:val="24"/>
                <w:szCs w:val="24"/>
              </w:rPr>
              <w:t>7</w:t>
            </w:r>
            <w:r>
              <w:rPr>
                <w:rFonts w:hint="eastAsia" w:ascii="宋体" w:hAnsi="宋体" w:eastAsia="宋体" w:cs="宋体"/>
                <w:color w:val="000000"/>
                <w:sz w:val="24"/>
                <w:szCs w:val="24"/>
              </w:rPr>
              <w:t>、</w:t>
            </w:r>
            <w:r>
              <w:rPr>
                <w:rFonts w:hint="default" w:ascii="Times New Roman" w:hAnsi="Times New Roman" w:cs="Times New Roman"/>
                <w:color w:val="000000"/>
                <w:sz w:val="13"/>
                <w:szCs w:val="13"/>
              </w:rPr>
              <w:t xml:space="preserve">    </w:t>
            </w:r>
            <w:r>
              <w:rPr>
                <w:rFonts w:hint="eastAsia" w:ascii="宋体" w:hAnsi="宋体" w:eastAsia="宋体" w:cs="宋体"/>
                <w:sz w:val="24"/>
                <w:szCs w:val="24"/>
              </w:rPr>
              <w:t>支持检测包括land、Smurf、Pingofdeath、winnuke、tcp_sscan、ip_opTSon、teardr op、targa3、IDSpoof、Synflood、Icmpflood、Udpflood、Portscan、IDSweep等在内的DOS/DDOS攻击。</w:t>
            </w:r>
          </w:p>
          <w:p>
            <w:pPr>
              <w:pStyle w:val="4"/>
              <w:keepNext w:val="0"/>
              <w:keepLines w:val="0"/>
              <w:widowControl/>
              <w:suppressLineNumbers w:val="0"/>
              <w:spacing w:before="0" w:beforeAutospacing="1" w:after="0" w:afterAutospacing="1" w:line="255" w:lineRule="atLeast"/>
              <w:ind w:left="0" w:right="0" w:firstLine="0"/>
            </w:pPr>
            <w:r>
              <w:rPr>
                <w:rFonts w:hint="default" w:ascii="Calibri" w:hAnsi="Calibri" w:cs="Calibri"/>
                <w:color w:val="000000"/>
                <w:sz w:val="24"/>
                <w:szCs w:val="24"/>
              </w:rPr>
              <w:t>8</w:t>
            </w:r>
            <w:r>
              <w:rPr>
                <w:rFonts w:hint="eastAsia" w:ascii="宋体" w:hAnsi="宋体" w:eastAsia="宋体" w:cs="宋体"/>
                <w:color w:val="000000"/>
                <w:sz w:val="24"/>
                <w:szCs w:val="24"/>
              </w:rPr>
              <w:t>、</w:t>
            </w:r>
            <w:r>
              <w:rPr>
                <w:rFonts w:hint="default" w:ascii="Times New Roman" w:hAnsi="Times New Roman" w:cs="Times New Roman"/>
                <w:color w:val="000000"/>
                <w:sz w:val="13"/>
                <w:szCs w:val="13"/>
              </w:rPr>
              <w:t xml:space="preserve">    </w:t>
            </w:r>
            <w:r>
              <w:rPr>
                <w:rFonts w:hint="eastAsia" w:ascii="宋体" w:hAnsi="宋体" w:eastAsia="宋体" w:cs="宋体"/>
                <w:sz w:val="24"/>
                <w:szCs w:val="24"/>
              </w:rPr>
              <w:t>支持文件型和网络型病毒查杀，支持100万条病毒规则。支持带毒邮件警告提示（警告动作），支持带毒邮件破坏染毒附件（阻断动作）</w:t>
            </w:r>
          </w:p>
          <w:p>
            <w:pPr>
              <w:pStyle w:val="4"/>
              <w:keepNext w:val="0"/>
              <w:keepLines w:val="0"/>
              <w:widowControl/>
              <w:suppressLineNumbers w:val="0"/>
              <w:spacing w:before="0" w:beforeAutospacing="1" w:after="0" w:afterAutospacing="1" w:line="255" w:lineRule="atLeast"/>
              <w:ind w:left="0" w:right="0" w:firstLine="0"/>
            </w:pPr>
            <w:r>
              <w:rPr>
                <w:rFonts w:hint="default" w:ascii="Calibri" w:hAnsi="Calibri" w:cs="Calibri"/>
                <w:color w:val="000000"/>
                <w:sz w:val="24"/>
                <w:szCs w:val="24"/>
              </w:rPr>
              <w:t>9</w:t>
            </w:r>
            <w:r>
              <w:rPr>
                <w:rFonts w:hint="eastAsia" w:ascii="宋体" w:hAnsi="宋体" w:eastAsia="宋体" w:cs="宋体"/>
                <w:color w:val="000000"/>
                <w:sz w:val="24"/>
                <w:szCs w:val="24"/>
              </w:rPr>
              <w:t>、</w:t>
            </w:r>
            <w:r>
              <w:rPr>
                <w:rFonts w:hint="default" w:ascii="Times New Roman" w:hAnsi="Times New Roman" w:cs="Times New Roman"/>
                <w:color w:val="000000"/>
                <w:sz w:val="13"/>
                <w:szCs w:val="13"/>
              </w:rPr>
              <w:t xml:space="preserve">    </w:t>
            </w:r>
            <w:r>
              <w:rPr>
                <w:rFonts w:hint="eastAsia" w:ascii="宋体" w:hAnsi="宋体" w:eastAsia="宋体" w:cs="宋体"/>
                <w:sz w:val="24"/>
                <w:szCs w:val="24"/>
              </w:rPr>
              <w:t>支持数据内容而非端口智能识别包括P2P（迅雷,FlashGet)、即时通讯、流媒体、股票交易、网络游戏、网络电视等在内的超过150种应用。</w:t>
            </w:r>
          </w:p>
          <w:p>
            <w:pPr>
              <w:pStyle w:val="4"/>
              <w:keepNext w:val="0"/>
              <w:keepLines w:val="0"/>
              <w:widowControl/>
              <w:suppressLineNumbers w:val="0"/>
              <w:spacing w:before="0" w:beforeAutospacing="1" w:after="0" w:afterAutospacing="1" w:line="255" w:lineRule="atLeast"/>
              <w:ind w:left="0" w:right="0" w:firstLine="0"/>
            </w:pPr>
            <w:r>
              <w:rPr>
                <w:rFonts w:hint="default" w:ascii="Calibri" w:hAnsi="Calibri" w:cs="Calibri"/>
                <w:color w:val="000000"/>
                <w:sz w:val="24"/>
                <w:szCs w:val="24"/>
              </w:rPr>
              <w:t>10</w:t>
            </w:r>
            <w:r>
              <w:rPr>
                <w:rFonts w:hint="eastAsia" w:ascii="宋体" w:hAnsi="宋体" w:eastAsia="宋体" w:cs="宋体"/>
                <w:color w:val="000000"/>
                <w:sz w:val="24"/>
                <w:szCs w:val="24"/>
              </w:rPr>
              <w:t>、</w:t>
            </w:r>
            <w:r>
              <w:rPr>
                <w:rFonts w:hint="default" w:ascii="Times New Roman" w:hAnsi="Times New Roman" w:cs="Times New Roman"/>
                <w:color w:val="000000"/>
                <w:sz w:val="13"/>
                <w:szCs w:val="13"/>
              </w:rPr>
              <w:t xml:space="preserve">                </w:t>
            </w:r>
            <w:r>
              <w:rPr>
                <w:rFonts w:hint="eastAsia" w:ascii="宋体" w:hAnsi="宋体" w:eastAsia="宋体" w:cs="宋体"/>
                <w:sz w:val="24"/>
                <w:szCs w:val="24"/>
              </w:rPr>
              <w:t>支持对应用协议的阻断和流量管控。支持超过600万种的URL地址分类库。</w:t>
            </w:r>
          </w:p>
          <w:p>
            <w:pPr>
              <w:pStyle w:val="4"/>
              <w:keepNext w:val="0"/>
              <w:keepLines w:val="0"/>
              <w:widowControl/>
              <w:suppressLineNumbers w:val="0"/>
              <w:spacing w:before="0" w:beforeAutospacing="1" w:after="0" w:afterAutospacing="1" w:line="255" w:lineRule="atLeast"/>
              <w:ind w:left="0" w:right="0" w:firstLine="0"/>
            </w:pPr>
            <w:r>
              <w:rPr>
                <w:rFonts w:hint="default" w:ascii="Calibri" w:hAnsi="Calibri" w:cs="Calibri"/>
                <w:color w:val="000000"/>
                <w:sz w:val="24"/>
                <w:szCs w:val="24"/>
              </w:rPr>
              <w:t>11</w:t>
            </w:r>
            <w:r>
              <w:rPr>
                <w:rFonts w:hint="eastAsia" w:ascii="宋体" w:hAnsi="宋体" w:eastAsia="宋体" w:cs="宋体"/>
                <w:color w:val="000000"/>
                <w:sz w:val="24"/>
                <w:szCs w:val="24"/>
              </w:rPr>
              <w:t>、</w:t>
            </w:r>
            <w:r>
              <w:rPr>
                <w:rFonts w:hint="default" w:ascii="Times New Roman" w:hAnsi="Times New Roman" w:cs="Times New Roman"/>
                <w:color w:val="000000"/>
                <w:sz w:val="13"/>
                <w:szCs w:val="13"/>
              </w:rPr>
              <w:t xml:space="preserve">                </w:t>
            </w:r>
            <w:r>
              <w:rPr>
                <w:rFonts w:hint="eastAsia" w:ascii="宋体" w:hAnsi="宋体" w:eastAsia="宋体" w:cs="宋体"/>
                <w:sz w:val="24"/>
                <w:szCs w:val="24"/>
              </w:rPr>
              <w:t>具备WEB站点漏洞扫描功能，内置爬虫、支持关键字自学习和HTML分析，支持网页防篡改功能（不需要在WEB服务器上装载任何软件）。（截图证明）</w:t>
            </w:r>
          </w:p>
          <w:p>
            <w:pPr>
              <w:pStyle w:val="4"/>
              <w:keepNext w:val="0"/>
              <w:keepLines w:val="0"/>
              <w:widowControl/>
              <w:suppressLineNumbers w:val="0"/>
              <w:spacing w:before="0" w:beforeAutospacing="1" w:after="0" w:afterAutospacing="1" w:line="255" w:lineRule="atLeast"/>
              <w:ind w:left="0" w:right="0" w:firstLine="0"/>
            </w:pPr>
            <w:r>
              <w:rPr>
                <w:rFonts w:hint="default" w:ascii="Calibri" w:hAnsi="Calibri" w:cs="Calibri"/>
                <w:color w:val="000000"/>
                <w:sz w:val="24"/>
                <w:szCs w:val="24"/>
              </w:rPr>
              <w:t>12</w:t>
            </w:r>
            <w:r>
              <w:rPr>
                <w:rFonts w:hint="eastAsia" w:ascii="宋体" w:hAnsi="宋体" w:eastAsia="宋体" w:cs="宋体"/>
                <w:color w:val="000000"/>
                <w:sz w:val="24"/>
                <w:szCs w:val="24"/>
              </w:rPr>
              <w:t>、</w:t>
            </w:r>
            <w:r>
              <w:rPr>
                <w:rFonts w:hint="default" w:ascii="Times New Roman" w:hAnsi="Times New Roman" w:cs="Times New Roman"/>
                <w:color w:val="000000"/>
                <w:sz w:val="13"/>
                <w:szCs w:val="13"/>
              </w:rPr>
              <w:t xml:space="preserve">                </w:t>
            </w:r>
            <w:r>
              <w:rPr>
                <w:rFonts w:hint="eastAsia" w:ascii="宋体" w:hAnsi="宋体" w:eastAsia="宋体" w:cs="宋体"/>
                <w:sz w:val="24"/>
                <w:szCs w:val="24"/>
              </w:rPr>
              <w:t>支持检测并阻断Ad-hoc（简单互联）、非法外连、非法内联；支持能检测并阻断钓鱼攻击、无线代   理攻击；要求支持无线安全区，对区域内的WIFI接入进行屏蔽、检测无线AP风险配置；（提供截图证明）</w:t>
            </w:r>
          </w:p>
          <w:p>
            <w:pPr>
              <w:pStyle w:val="4"/>
              <w:keepNext w:val="0"/>
              <w:keepLines w:val="0"/>
              <w:widowControl/>
              <w:suppressLineNumbers w:val="0"/>
              <w:spacing w:before="0" w:beforeAutospacing="1" w:after="0" w:afterAutospacing="1" w:line="255" w:lineRule="atLeast"/>
              <w:ind w:left="0" w:right="0" w:firstLine="0"/>
            </w:pPr>
            <w:r>
              <w:rPr>
                <w:rFonts w:hint="default" w:ascii="Calibri" w:hAnsi="Calibri" w:cs="Calibri"/>
                <w:color w:val="000000"/>
                <w:sz w:val="24"/>
                <w:szCs w:val="24"/>
              </w:rPr>
              <w:t>13</w:t>
            </w:r>
            <w:r>
              <w:rPr>
                <w:rFonts w:hint="eastAsia" w:ascii="宋体" w:hAnsi="宋体" w:eastAsia="宋体" w:cs="宋体"/>
                <w:color w:val="000000"/>
                <w:sz w:val="24"/>
                <w:szCs w:val="24"/>
              </w:rPr>
              <w:t>、</w:t>
            </w:r>
            <w:r>
              <w:rPr>
                <w:rFonts w:hint="default" w:ascii="Times New Roman" w:hAnsi="Times New Roman" w:cs="Times New Roman"/>
                <w:color w:val="000000"/>
                <w:sz w:val="13"/>
                <w:szCs w:val="13"/>
              </w:rPr>
              <w:t xml:space="preserve">                </w:t>
            </w:r>
            <w:r>
              <w:rPr>
                <w:rFonts w:hint="eastAsia" w:ascii="宋体" w:hAnsi="宋体" w:eastAsia="宋体" w:cs="宋体"/>
                <w:sz w:val="24"/>
                <w:szCs w:val="24"/>
              </w:rPr>
              <w:t>内置SSD固态硬盘，具备日志本地数据库存储，设备断电日志不丢失；支持设备温度监视以及报警，可以自定义温度阀值（提供截图证明）</w:t>
            </w:r>
          </w:p>
          <w:p>
            <w:pPr>
              <w:pStyle w:val="4"/>
              <w:keepNext w:val="0"/>
              <w:keepLines w:val="0"/>
              <w:widowControl/>
              <w:suppressLineNumbers w:val="0"/>
              <w:spacing w:before="0" w:beforeAutospacing="1" w:after="0" w:afterAutospacing="1" w:line="255" w:lineRule="atLeast"/>
              <w:ind w:left="0" w:right="0" w:firstLine="0"/>
            </w:pPr>
            <w:r>
              <w:rPr>
                <w:rFonts w:hint="default" w:ascii="Calibri" w:hAnsi="Calibri" w:cs="Calibri"/>
                <w:color w:val="000000"/>
                <w:sz w:val="24"/>
                <w:szCs w:val="24"/>
              </w:rPr>
              <w:t>14</w:t>
            </w:r>
            <w:r>
              <w:rPr>
                <w:rFonts w:hint="eastAsia" w:ascii="宋体" w:hAnsi="宋体" w:eastAsia="宋体" w:cs="宋体"/>
                <w:color w:val="000000"/>
                <w:sz w:val="24"/>
                <w:szCs w:val="24"/>
              </w:rPr>
              <w:t>、</w:t>
            </w:r>
            <w:r>
              <w:rPr>
                <w:rFonts w:hint="default" w:ascii="Times New Roman" w:hAnsi="Times New Roman" w:cs="Times New Roman"/>
                <w:color w:val="000000"/>
                <w:sz w:val="13"/>
                <w:szCs w:val="13"/>
              </w:rPr>
              <w:t xml:space="preserve">                </w:t>
            </w:r>
            <w:r>
              <w:rPr>
                <w:rFonts w:hint="eastAsia" w:ascii="宋体" w:hAnsi="宋体" w:eastAsia="宋体" w:cs="宋体"/>
                <w:sz w:val="24"/>
                <w:szCs w:val="24"/>
              </w:rPr>
              <w:t>支持B/S或C/S管理模式，可实现多级部署；支持实时会话和实时系统监控；</w:t>
            </w:r>
          </w:p>
          <w:p>
            <w:pPr>
              <w:pStyle w:val="4"/>
              <w:keepNext w:val="0"/>
              <w:keepLines w:val="0"/>
              <w:widowControl/>
              <w:suppressLineNumbers w:val="0"/>
              <w:spacing w:before="0" w:beforeAutospacing="1" w:after="0" w:afterAutospacing="1" w:line="255" w:lineRule="atLeast"/>
              <w:ind w:left="0" w:right="0" w:firstLine="0"/>
              <w:jc w:val="left"/>
            </w:pPr>
            <w:r>
              <w:rPr>
                <w:rFonts w:hint="default" w:ascii="Calibri" w:hAnsi="Calibri" w:cs="Calibri"/>
                <w:color w:val="000000"/>
                <w:sz w:val="24"/>
                <w:szCs w:val="24"/>
              </w:rPr>
              <w:t>15</w:t>
            </w:r>
            <w:r>
              <w:rPr>
                <w:rFonts w:hint="eastAsia" w:ascii="宋体" w:hAnsi="宋体" w:eastAsia="宋体" w:cs="宋体"/>
                <w:color w:val="000000"/>
                <w:sz w:val="24"/>
                <w:szCs w:val="24"/>
              </w:rPr>
              <w:t>、</w:t>
            </w:r>
            <w:r>
              <w:rPr>
                <w:rFonts w:hint="default" w:ascii="Times New Roman" w:hAnsi="Times New Roman" w:cs="Times New Roman"/>
                <w:color w:val="000000"/>
                <w:sz w:val="13"/>
                <w:szCs w:val="13"/>
              </w:rPr>
              <w:t xml:space="preserve">                </w:t>
            </w:r>
            <w:r>
              <w:rPr>
                <w:rFonts w:hint="eastAsia" w:ascii="宋体" w:hAnsi="宋体" w:eastAsia="宋体" w:cs="宋体"/>
                <w:color w:val="000000"/>
                <w:sz w:val="24"/>
                <w:szCs w:val="24"/>
              </w:rPr>
              <w:t>实时报警，自动执行预定义的动作；切断服务、记录入侵过程；声音报警、E-mail报警、SNMP TRAP报警、NETBIOS报警；支持与边缘网络设备路由器、防火墙等进行联动；</w:t>
            </w:r>
          </w:p>
          <w:p>
            <w:pPr>
              <w:pStyle w:val="4"/>
              <w:keepNext w:val="0"/>
              <w:keepLines w:val="0"/>
              <w:widowControl/>
              <w:suppressLineNumbers w:val="0"/>
              <w:spacing w:before="0" w:beforeAutospacing="1" w:after="0" w:afterAutospacing="1" w:line="255" w:lineRule="atLeast"/>
              <w:ind w:left="0" w:right="0" w:firstLine="0"/>
            </w:pPr>
            <w:r>
              <w:rPr>
                <w:rFonts w:hint="default" w:ascii="Calibri" w:hAnsi="Calibri" w:cs="Calibri"/>
                <w:color w:val="000000"/>
                <w:sz w:val="24"/>
                <w:szCs w:val="24"/>
              </w:rPr>
              <w:t>16</w:t>
            </w:r>
            <w:r>
              <w:rPr>
                <w:rFonts w:hint="eastAsia" w:ascii="宋体" w:hAnsi="宋体" w:eastAsia="宋体" w:cs="宋体"/>
                <w:color w:val="000000"/>
                <w:sz w:val="24"/>
                <w:szCs w:val="24"/>
              </w:rPr>
              <w:t>、</w:t>
            </w:r>
            <w:r>
              <w:rPr>
                <w:rFonts w:hint="default" w:ascii="Times New Roman" w:hAnsi="Times New Roman" w:cs="Times New Roman"/>
                <w:color w:val="000000"/>
                <w:sz w:val="13"/>
                <w:szCs w:val="13"/>
              </w:rPr>
              <w:t xml:space="preserve">                </w:t>
            </w:r>
            <w:r>
              <w:rPr>
                <w:rFonts w:hint="eastAsia" w:ascii="宋体" w:hAnsi="宋体" w:eastAsia="宋体" w:cs="宋体"/>
                <w:color w:val="000000"/>
                <w:sz w:val="24"/>
                <w:szCs w:val="24"/>
              </w:rPr>
              <w:t xml:space="preserve">提供详尽的入侵检测日志功能；提供基于各种应用协议的流量统计；提供基于源IP和目的IP流量的统计；支持饼状图或柱状图输出，提供基于时间的入侵事件统计；  </w:t>
            </w:r>
          </w:p>
          <w:p>
            <w:pPr>
              <w:pStyle w:val="4"/>
              <w:keepNext w:val="0"/>
              <w:keepLines w:val="0"/>
              <w:widowControl/>
              <w:suppressLineNumbers w:val="0"/>
              <w:spacing w:before="0" w:beforeAutospacing="1" w:after="0" w:afterAutospacing="1" w:line="255" w:lineRule="atLeast"/>
              <w:ind w:left="0" w:right="0" w:firstLine="0"/>
              <w:jc w:val="left"/>
            </w:pPr>
            <w:r>
              <w:rPr>
                <w:rFonts w:hint="default" w:ascii="Calibri" w:hAnsi="Calibri" w:cs="Calibri"/>
                <w:color w:val="000000"/>
                <w:sz w:val="24"/>
                <w:szCs w:val="24"/>
              </w:rPr>
              <w:t>17</w:t>
            </w:r>
            <w:r>
              <w:rPr>
                <w:rFonts w:hint="eastAsia" w:ascii="宋体" w:hAnsi="宋体" w:eastAsia="宋体" w:cs="宋体"/>
                <w:color w:val="000000"/>
                <w:sz w:val="24"/>
                <w:szCs w:val="24"/>
              </w:rPr>
              <w:t>、</w:t>
            </w:r>
            <w:r>
              <w:rPr>
                <w:rFonts w:hint="default" w:ascii="Times New Roman" w:hAnsi="Times New Roman" w:cs="Times New Roman"/>
                <w:color w:val="000000"/>
                <w:sz w:val="13"/>
                <w:szCs w:val="13"/>
              </w:rPr>
              <w:t xml:space="preserve">                </w:t>
            </w:r>
            <w:r>
              <w:rPr>
                <w:rFonts w:hint="eastAsia" w:ascii="宋体" w:hAnsi="宋体" w:eastAsia="宋体" w:cs="宋体"/>
                <w:sz w:val="24"/>
                <w:szCs w:val="24"/>
              </w:rPr>
              <w:t>同时具有：计</w:t>
            </w:r>
            <w:r>
              <w:rPr>
                <w:rFonts w:hint="eastAsia" w:ascii="宋体" w:hAnsi="宋体" w:eastAsia="宋体" w:cs="宋体"/>
                <w:color w:val="000000"/>
                <w:sz w:val="24"/>
                <w:szCs w:val="24"/>
              </w:rPr>
              <w:t>算机</w:t>
            </w:r>
            <w:r>
              <w:rPr>
                <w:rFonts w:hint="eastAsia" w:ascii="宋体" w:hAnsi="宋体" w:eastAsia="宋体" w:cs="宋体"/>
                <w:sz w:val="24"/>
                <w:szCs w:val="24"/>
              </w:rPr>
              <w:t>系统安全专用产品销售许可证中国国家信息安全产品认证证书</w:t>
            </w:r>
          </w:p>
        </w:tc>
        <w:tc>
          <w:tcPr>
            <w:tcW w:w="834"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tc>
      </w:tr>
      <w:tr>
        <w:trPr>
          <w:trHeight w:val="1500" w:hRule="atLeast"/>
          <w:tblCellSpacing w:w="15" w:type="dxa"/>
        </w:trPr>
        <w:tc>
          <w:tcPr>
            <w:tcW w:w="66" w:type="dxa"/>
            <w:tcBorders>
              <w:top w:val="nil"/>
              <w:left w:val="single" w:color="auto" w:sz="6" w:space="0"/>
              <w:bottom w:val="single" w:color="auto" w:sz="6" w:space="0"/>
              <w:right w:val="single" w:color="auto" w:sz="6" w:space="0"/>
            </w:tcBorders>
            <w:shd w:val="clear" w:color="auto" w:fill="FFFFFF"/>
            <w:tcMar>
              <w:top w:w="0" w:type="dxa"/>
              <w:left w:w="0" w:type="dxa"/>
              <w:bottom w:w="0" w:type="dxa"/>
              <w:right w:w="0" w:type="dxa"/>
            </w:tcMar>
            <w:vAlign w:val="center"/>
          </w:tcPr>
          <w:p>
            <w:pPr>
              <w:keepNext w:val="0"/>
              <w:keepLines w:val="0"/>
              <w:widowControl/>
              <w:suppressLineNumbers w:val="0"/>
              <w:jc w:val="left"/>
            </w:pPr>
          </w:p>
        </w:tc>
        <w:tc>
          <w:tcPr>
            <w:tcW w:w="95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255" w:lineRule="atLeast"/>
              <w:jc w:val="center"/>
            </w:pPr>
            <w:r>
              <w:rPr>
                <w:rStyle w:val="6"/>
                <w:rFonts w:hint="eastAsia" w:ascii="宋体" w:hAnsi="宋体" w:eastAsia="宋体" w:cs="宋体"/>
                <w:b/>
              </w:rPr>
              <w:t>1-1-23</w:t>
            </w:r>
          </w:p>
        </w:tc>
        <w:tc>
          <w:tcPr>
            <w:tcW w:w="1087"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255" w:lineRule="atLeast"/>
            </w:pPr>
            <w:r>
              <w:rPr>
                <w:rFonts w:hint="eastAsia" w:ascii="宋体" w:hAnsi="宋体" w:eastAsia="宋体" w:cs="宋体"/>
                <w:sz w:val="24"/>
                <w:szCs w:val="24"/>
              </w:rPr>
              <w:t>主机监控与审计</w:t>
            </w:r>
          </w:p>
        </w:tc>
        <w:tc>
          <w:tcPr>
            <w:tcW w:w="529"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255" w:lineRule="atLeast"/>
              <w:jc w:val="center"/>
            </w:pPr>
            <w:r>
              <w:rPr>
                <w:rFonts w:hint="eastAsia" w:ascii="宋体" w:hAnsi="宋体" w:eastAsia="宋体" w:cs="宋体"/>
                <w:sz w:val="24"/>
                <w:szCs w:val="24"/>
              </w:rPr>
              <w:t>台</w:t>
            </w:r>
          </w:p>
        </w:tc>
        <w:tc>
          <w:tcPr>
            <w:tcW w:w="467"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255" w:lineRule="atLeast"/>
              <w:jc w:val="center"/>
            </w:pPr>
            <w:r>
              <w:rPr>
                <w:rFonts w:hint="eastAsia" w:ascii="宋体" w:hAnsi="宋体" w:eastAsia="宋体" w:cs="宋体"/>
                <w:sz w:val="24"/>
                <w:szCs w:val="24"/>
              </w:rPr>
              <w:t>1</w:t>
            </w:r>
          </w:p>
        </w:tc>
        <w:tc>
          <w:tcPr>
            <w:tcW w:w="503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before="0" w:beforeAutospacing="1" w:after="0" w:afterAutospacing="1" w:line="255" w:lineRule="atLeast"/>
              <w:ind w:left="0" w:right="0" w:firstLine="0"/>
            </w:pPr>
            <w:r>
              <w:rPr>
                <w:rFonts w:hint="default" w:ascii="Calibri" w:hAnsi="Calibri" w:cs="Calibri"/>
                <w:color w:val="000000"/>
                <w:sz w:val="24"/>
                <w:szCs w:val="24"/>
              </w:rPr>
              <w:t>1</w:t>
            </w:r>
            <w:r>
              <w:rPr>
                <w:rFonts w:hint="eastAsia" w:ascii="宋体" w:hAnsi="宋体" w:eastAsia="宋体" w:cs="宋体"/>
                <w:color w:val="000000"/>
                <w:sz w:val="24"/>
                <w:szCs w:val="24"/>
              </w:rPr>
              <w:t>、</w:t>
            </w:r>
            <w:r>
              <w:rPr>
                <w:rFonts w:hint="default" w:ascii="Times New Roman" w:hAnsi="Times New Roman" w:cs="Times New Roman"/>
                <w:color w:val="000000"/>
                <w:sz w:val="13"/>
                <w:szCs w:val="13"/>
              </w:rPr>
              <w:t xml:space="preserve">    </w:t>
            </w:r>
            <w:r>
              <w:rPr>
                <w:rFonts w:hint="eastAsia" w:ascii="宋体" w:hAnsi="宋体" w:eastAsia="宋体" w:cs="宋体"/>
                <w:sz w:val="24"/>
                <w:szCs w:val="24"/>
              </w:rPr>
              <w:t>OS版本，采用SSL加密B/S模式管理；服务器可以支持32/64位windows Server操作系统；数据库支持Oracle9i及以上、SQLServer 2005及以上；配置200个终端管理授权。</w:t>
            </w:r>
          </w:p>
          <w:p>
            <w:pPr>
              <w:pStyle w:val="4"/>
              <w:keepNext w:val="0"/>
              <w:keepLines w:val="0"/>
              <w:widowControl/>
              <w:suppressLineNumbers w:val="0"/>
              <w:spacing w:before="0" w:beforeAutospacing="1" w:after="0" w:afterAutospacing="1" w:line="255" w:lineRule="atLeast"/>
              <w:ind w:left="0" w:right="0" w:firstLine="0"/>
            </w:pPr>
            <w:r>
              <w:rPr>
                <w:rFonts w:hint="default" w:ascii="Calibri" w:hAnsi="Calibri" w:cs="Calibri"/>
                <w:color w:val="000000"/>
                <w:sz w:val="24"/>
                <w:szCs w:val="24"/>
              </w:rPr>
              <w:t>2</w:t>
            </w:r>
            <w:r>
              <w:rPr>
                <w:rFonts w:hint="eastAsia" w:ascii="宋体" w:hAnsi="宋体" w:eastAsia="宋体" w:cs="宋体"/>
                <w:color w:val="000000"/>
                <w:sz w:val="24"/>
                <w:szCs w:val="24"/>
              </w:rPr>
              <w:t>、</w:t>
            </w:r>
            <w:r>
              <w:rPr>
                <w:rFonts w:hint="default" w:ascii="Times New Roman" w:hAnsi="Times New Roman" w:cs="Times New Roman"/>
                <w:color w:val="000000"/>
                <w:sz w:val="13"/>
                <w:szCs w:val="13"/>
              </w:rPr>
              <w:t xml:space="preserve">    </w:t>
            </w:r>
            <w:r>
              <w:rPr>
                <w:rFonts w:hint="eastAsia" w:ascii="宋体" w:hAnsi="宋体" w:eastAsia="宋体" w:cs="宋体"/>
                <w:sz w:val="24"/>
                <w:szCs w:val="24"/>
              </w:rPr>
              <w:t>具备资产管理功能，资产信息包括：基本信息，用户列表，资产变更信息，类型列表，漏洞列表，补丁列表，接口列表，硬件信息列表，软件信息列表等。</w:t>
            </w:r>
          </w:p>
          <w:p>
            <w:pPr>
              <w:pStyle w:val="4"/>
              <w:keepNext w:val="0"/>
              <w:keepLines w:val="0"/>
              <w:widowControl/>
              <w:suppressLineNumbers w:val="0"/>
              <w:spacing w:before="0" w:beforeAutospacing="1" w:after="0" w:afterAutospacing="1" w:line="255" w:lineRule="atLeast"/>
              <w:ind w:left="0" w:right="0" w:firstLine="0"/>
            </w:pPr>
            <w:r>
              <w:rPr>
                <w:rFonts w:hint="default" w:ascii="Calibri" w:hAnsi="Calibri" w:cs="Calibri"/>
                <w:color w:val="000000"/>
                <w:sz w:val="24"/>
                <w:szCs w:val="24"/>
              </w:rPr>
              <w:t>3</w:t>
            </w:r>
            <w:r>
              <w:rPr>
                <w:rFonts w:hint="eastAsia" w:ascii="宋体" w:hAnsi="宋体" w:eastAsia="宋体" w:cs="宋体"/>
                <w:color w:val="000000"/>
                <w:sz w:val="24"/>
                <w:szCs w:val="24"/>
              </w:rPr>
              <w:t>、</w:t>
            </w:r>
            <w:r>
              <w:rPr>
                <w:rFonts w:hint="default" w:ascii="Times New Roman" w:hAnsi="Times New Roman" w:cs="Times New Roman"/>
                <w:color w:val="000000"/>
                <w:sz w:val="13"/>
                <w:szCs w:val="13"/>
              </w:rPr>
              <w:t xml:space="preserve">    </w:t>
            </w:r>
            <w:r>
              <w:rPr>
                <w:rFonts w:hint="eastAsia" w:ascii="宋体" w:hAnsi="宋体" w:eastAsia="宋体" w:cs="宋体"/>
                <w:sz w:val="24"/>
                <w:szCs w:val="24"/>
              </w:rPr>
              <w:t>具备终端系统监控功能，监控信息包括：终端端口使用情况、进程情况、软件信息、硬件信息、性能信息、补丁信息、漏洞信息、策略信息等；</w:t>
            </w:r>
          </w:p>
          <w:p>
            <w:pPr>
              <w:pStyle w:val="4"/>
              <w:keepNext w:val="0"/>
              <w:keepLines w:val="0"/>
              <w:widowControl/>
              <w:suppressLineNumbers w:val="0"/>
              <w:spacing w:before="0" w:beforeAutospacing="1" w:after="0" w:afterAutospacing="1" w:line="255" w:lineRule="atLeast"/>
              <w:ind w:left="0" w:right="0" w:firstLine="0"/>
            </w:pPr>
            <w:r>
              <w:rPr>
                <w:rFonts w:hint="default" w:ascii="Calibri" w:hAnsi="Calibri" w:cs="Calibri"/>
                <w:color w:val="000000"/>
                <w:sz w:val="24"/>
                <w:szCs w:val="24"/>
              </w:rPr>
              <w:t>4</w:t>
            </w:r>
            <w:r>
              <w:rPr>
                <w:rFonts w:hint="eastAsia" w:ascii="宋体" w:hAnsi="宋体" w:eastAsia="宋体" w:cs="宋体"/>
                <w:color w:val="000000"/>
                <w:sz w:val="24"/>
                <w:szCs w:val="24"/>
              </w:rPr>
              <w:t>、</w:t>
            </w:r>
            <w:r>
              <w:rPr>
                <w:rFonts w:hint="default" w:ascii="Times New Roman" w:hAnsi="Times New Roman" w:cs="Times New Roman"/>
                <w:color w:val="000000"/>
                <w:sz w:val="13"/>
                <w:szCs w:val="13"/>
              </w:rPr>
              <w:t xml:space="preserve">    </w:t>
            </w:r>
            <w:r>
              <w:rPr>
                <w:rFonts w:hint="eastAsia" w:ascii="宋体" w:hAnsi="宋体" w:eastAsia="宋体" w:cs="宋体"/>
                <w:sz w:val="24"/>
                <w:szCs w:val="24"/>
              </w:rPr>
              <w:t>具备终端非法外联功能，包括：可监视指   定网段内所有在线IP，列表显示是否合法、终端是否安装、杀毒软件是否安装；可统计在线IP数、合法IP数、在线终端数、安装终端数、安装杀毒软件数。</w:t>
            </w:r>
          </w:p>
          <w:p>
            <w:pPr>
              <w:pStyle w:val="4"/>
              <w:keepNext w:val="0"/>
              <w:keepLines w:val="0"/>
              <w:widowControl/>
              <w:suppressLineNumbers w:val="0"/>
              <w:spacing w:before="0" w:beforeAutospacing="1" w:after="0" w:afterAutospacing="1" w:line="255" w:lineRule="atLeast"/>
              <w:ind w:left="0" w:right="0" w:firstLine="0"/>
            </w:pPr>
            <w:r>
              <w:rPr>
                <w:rFonts w:hint="default" w:ascii="Calibri" w:hAnsi="Calibri" w:cs="Calibri"/>
                <w:color w:val="000000"/>
                <w:sz w:val="24"/>
                <w:szCs w:val="24"/>
              </w:rPr>
              <w:t>5</w:t>
            </w:r>
            <w:r>
              <w:rPr>
                <w:rFonts w:hint="eastAsia" w:ascii="宋体" w:hAnsi="宋体" w:eastAsia="宋体" w:cs="宋体"/>
                <w:color w:val="000000"/>
                <w:sz w:val="24"/>
                <w:szCs w:val="24"/>
              </w:rPr>
              <w:t>、</w:t>
            </w:r>
            <w:r>
              <w:rPr>
                <w:rFonts w:hint="default" w:ascii="Times New Roman" w:hAnsi="Times New Roman" w:cs="Times New Roman"/>
                <w:color w:val="000000"/>
                <w:sz w:val="13"/>
                <w:szCs w:val="13"/>
              </w:rPr>
              <w:t xml:space="preserve">    </w:t>
            </w:r>
            <w:r>
              <w:rPr>
                <w:rFonts w:hint="eastAsia" w:ascii="宋体" w:hAnsi="宋体" w:eastAsia="宋体" w:cs="宋体"/>
                <w:sz w:val="24"/>
                <w:szCs w:val="24"/>
              </w:rPr>
              <w:t>具备终端外设管理功能，可以对终端的以下设备进行启用禁用操作：：光驱、软驱、USB设备、打印机、调制解调器、串口、并口、1394控制器、红外设备、蓝牙设备、PCMCIA卡、SCSI和RAID控制器、磁带机、图形处理设备、无线网卡、智能卡、多媒体设备，支持设备白名单。</w:t>
            </w:r>
          </w:p>
          <w:p>
            <w:pPr>
              <w:pStyle w:val="4"/>
              <w:keepNext w:val="0"/>
              <w:keepLines w:val="0"/>
              <w:widowControl/>
              <w:suppressLineNumbers w:val="0"/>
              <w:spacing w:before="0" w:beforeAutospacing="1" w:after="0" w:afterAutospacing="1" w:line="255" w:lineRule="atLeast"/>
              <w:ind w:left="0" w:right="0" w:firstLine="0"/>
            </w:pPr>
            <w:r>
              <w:rPr>
                <w:rFonts w:hint="default" w:ascii="Calibri" w:hAnsi="Calibri" w:cs="Calibri"/>
                <w:color w:val="000000"/>
                <w:sz w:val="24"/>
                <w:szCs w:val="24"/>
              </w:rPr>
              <w:t>6</w:t>
            </w:r>
            <w:r>
              <w:rPr>
                <w:rFonts w:hint="eastAsia" w:ascii="宋体" w:hAnsi="宋体" w:eastAsia="宋体" w:cs="宋体"/>
                <w:color w:val="000000"/>
                <w:sz w:val="24"/>
                <w:szCs w:val="24"/>
              </w:rPr>
              <w:t>、</w:t>
            </w:r>
            <w:r>
              <w:rPr>
                <w:rFonts w:hint="default" w:ascii="Times New Roman" w:hAnsi="Times New Roman" w:cs="Times New Roman"/>
                <w:color w:val="000000"/>
                <w:sz w:val="13"/>
                <w:szCs w:val="13"/>
              </w:rPr>
              <w:t xml:space="preserve">    </w:t>
            </w:r>
            <w:r>
              <w:rPr>
                <w:rFonts w:hint="eastAsia" w:ascii="宋体" w:hAnsi="宋体" w:eastAsia="宋体" w:cs="宋体"/>
                <w:sz w:val="24"/>
                <w:szCs w:val="24"/>
              </w:rPr>
              <w:t>具备补丁管理与软件分发模块，支持对补丁文件分类，补丁分为已验证、未验证和正在验证三种类型，“已验证”类中又分为安全更新程序、关键更新程序、更新程序、更新程序集、更新包和工具。</w:t>
            </w:r>
          </w:p>
          <w:p>
            <w:pPr>
              <w:pStyle w:val="4"/>
              <w:keepNext w:val="0"/>
              <w:keepLines w:val="0"/>
              <w:widowControl/>
              <w:suppressLineNumbers w:val="0"/>
              <w:spacing w:before="0" w:beforeAutospacing="1" w:after="0" w:afterAutospacing="1" w:line="255" w:lineRule="atLeast"/>
              <w:ind w:left="0" w:right="0" w:firstLine="0"/>
            </w:pPr>
            <w:r>
              <w:rPr>
                <w:rFonts w:hint="default" w:ascii="Calibri" w:hAnsi="Calibri" w:cs="Calibri"/>
                <w:color w:val="000000"/>
                <w:sz w:val="24"/>
                <w:szCs w:val="24"/>
              </w:rPr>
              <w:t>7</w:t>
            </w:r>
            <w:r>
              <w:rPr>
                <w:rFonts w:hint="eastAsia" w:ascii="宋体" w:hAnsi="宋体" w:eastAsia="宋体" w:cs="宋体"/>
                <w:color w:val="000000"/>
                <w:sz w:val="24"/>
                <w:szCs w:val="24"/>
              </w:rPr>
              <w:t>、</w:t>
            </w:r>
            <w:r>
              <w:rPr>
                <w:rFonts w:hint="default" w:ascii="Times New Roman" w:hAnsi="Times New Roman" w:cs="Times New Roman"/>
                <w:color w:val="000000"/>
                <w:sz w:val="13"/>
                <w:szCs w:val="13"/>
              </w:rPr>
              <w:t xml:space="preserve">    </w:t>
            </w:r>
            <w:r>
              <w:rPr>
                <w:rFonts w:hint="eastAsia" w:ascii="宋体" w:hAnsi="宋体" w:eastAsia="宋体" w:cs="宋体"/>
                <w:sz w:val="24"/>
                <w:szCs w:val="24"/>
              </w:rPr>
              <w:t>具备与可网管交换机复合准入功能，支持对移动存储设备进行标签式管理，支持移动存储设备的身份识别和验证。</w:t>
            </w:r>
          </w:p>
          <w:p>
            <w:pPr>
              <w:pStyle w:val="4"/>
              <w:keepNext w:val="0"/>
              <w:keepLines w:val="0"/>
              <w:widowControl/>
              <w:suppressLineNumbers w:val="0"/>
              <w:spacing w:before="0" w:beforeAutospacing="1" w:after="0" w:afterAutospacing="1" w:line="255" w:lineRule="atLeast"/>
              <w:ind w:left="0" w:right="0" w:firstLine="0"/>
            </w:pPr>
            <w:r>
              <w:rPr>
                <w:rFonts w:hint="default" w:ascii="Calibri" w:hAnsi="Calibri" w:cs="Calibri"/>
                <w:color w:val="000000"/>
                <w:sz w:val="24"/>
                <w:szCs w:val="24"/>
              </w:rPr>
              <w:t>8</w:t>
            </w:r>
            <w:r>
              <w:rPr>
                <w:rFonts w:hint="eastAsia" w:ascii="宋体" w:hAnsi="宋体" w:eastAsia="宋体" w:cs="宋体"/>
                <w:color w:val="000000"/>
                <w:sz w:val="24"/>
                <w:szCs w:val="24"/>
              </w:rPr>
              <w:t>、</w:t>
            </w:r>
            <w:r>
              <w:rPr>
                <w:rFonts w:hint="default" w:ascii="Times New Roman" w:hAnsi="Times New Roman" w:cs="Times New Roman"/>
                <w:color w:val="000000"/>
                <w:sz w:val="13"/>
                <w:szCs w:val="13"/>
              </w:rPr>
              <w:t xml:space="preserve">    </w:t>
            </w:r>
            <w:r>
              <w:rPr>
                <w:rFonts w:hint="eastAsia" w:ascii="宋体" w:hAnsi="宋体" w:eastAsia="宋体" w:cs="宋体"/>
                <w:sz w:val="24"/>
                <w:szCs w:val="24"/>
              </w:rPr>
              <w:t>支持表格及多种图形表现形式（柱状图、饼图、曲线图），支持自定义报表模版。</w:t>
            </w:r>
          </w:p>
          <w:p>
            <w:pPr>
              <w:pStyle w:val="4"/>
              <w:keepNext w:val="0"/>
              <w:keepLines w:val="0"/>
              <w:widowControl/>
              <w:suppressLineNumbers w:val="0"/>
              <w:spacing w:before="0" w:beforeAutospacing="1" w:after="0" w:afterAutospacing="1" w:line="255" w:lineRule="atLeast"/>
              <w:ind w:left="0" w:right="0" w:firstLine="0"/>
            </w:pPr>
            <w:r>
              <w:rPr>
                <w:rFonts w:hint="default" w:ascii="Calibri" w:hAnsi="Calibri" w:cs="Calibri"/>
                <w:color w:val="000000"/>
                <w:sz w:val="24"/>
                <w:szCs w:val="24"/>
              </w:rPr>
              <w:t>9</w:t>
            </w:r>
            <w:r>
              <w:rPr>
                <w:rFonts w:hint="eastAsia" w:ascii="宋体" w:hAnsi="宋体" w:eastAsia="宋体" w:cs="宋体"/>
                <w:color w:val="000000"/>
                <w:sz w:val="24"/>
                <w:szCs w:val="24"/>
              </w:rPr>
              <w:t>、</w:t>
            </w:r>
            <w:r>
              <w:rPr>
                <w:rFonts w:hint="default" w:ascii="Times New Roman" w:hAnsi="Times New Roman" w:cs="Times New Roman"/>
                <w:color w:val="000000"/>
                <w:sz w:val="13"/>
                <w:szCs w:val="13"/>
              </w:rPr>
              <w:t xml:space="preserve">    </w:t>
            </w:r>
            <w:r>
              <w:rPr>
                <w:rFonts w:hint="eastAsia" w:ascii="宋体" w:hAnsi="宋体" w:eastAsia="宋体" w:cs="宋体"/>
                <w:sz w:val="24"/>
                <w:szCs w:val="24"/>
              </w:rPr>
              <w:t>支持用户准入及管理员账号的创建创建、维护等操作，具备管理员系统操作行为审计，可设置管理员口令长度要求。</w:t>
            </w:r>
          </w:p>
          <w:p>
            <w:pPr>
              <w:pStyle w:val="4"/>
              <w:keepNext w:val="0"/>
              <w:keepLines w:val="0"/>
              <w:widowControl/>
              <w:suppressLineNumbers w:val="0"/>
              <w:spacing w:before="0" w:beforeAutospacing="1" w:after="0" w:afterAutospacing="1" w:line="255" w:lineRule="atLeast"/>
              <w:ind w:left="0" w:right="0" w:firstLine="0"/>
              <w:jc w:val="left"/>
            </w:pPr>
            <w:r>
              <w:rPr>
                <w:rFonts w:hint="default" w:ascii="Calibri" w:hAnsi="Calibri" w:cs="Calibri"/>
                <w:color w:val="000000"/>
                <w:sz w:val="24"/>
                <w:szCs w:val="24"/>
              </w:rPr>
              <w:t>10</w:t>
            </w:r>
            <w:r>
              <w:rPr>
                <w:rFonts w:hint="eastAsia" w:ascii="宋体" w:hAnsi="宋体" w:eastAsia="宋体" w:cs="宋体"/>
                <w:color w:val="000000"/>
                <w:sz w:val="24"/>
                <w:szCs w:val="24"/>
              </w:rPr>
              <w:t>、</w:t>
            </w:r>
            <w:r>
              <w:rPr>
                <w:rFonts w:hint="default" w:ascii="Times New Roman" w:hAnsi="Times New Roman" w:cs="Times New Roman"/>
                <w:color w:val="000000"/>
                <w:sz w:val="13"/>
                <w:szCs w:val="13"/>
              </w:rPr>
              <w:t xml:space="preserve">                </w:t>
            </w:r>
            <w:r>
              <w:rPr>
                <w:rFonts w:hint="eastAsia" w:ascii="宋体" w:hAnsi="宋体" w:eastAsia="宋体" w:cs="宋体"/>
                <w:sz w:val="24"/>
                <w:szCs w:val="24"/>
              </w:rPr>
              <w:t>同时具有：计算机信息系统安全销售许可证；涉密信息系统产品检测证书；</w:t>
            </w:r>
          </w:p>
        </w:tc>
        <w:tc>
          <w:tcPr>
            <w:tcW w:w="834"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tc>
      </w:tr>
      <w:tr>
        <w:trPr>
          <w:tblCellSpacing w:w="15" w:type="dxa"/>
        </w:trPr>
        <w:tc>
          <w:tcPr>
            <w:tcW w:w="66" w:type="dxa"/>
            <w:tcBorders>
              <w:top w:val="nil"/>
              <w:left w:val="single" w:color="auto" w:sz="6" w:space="0"/>
              <w:bottom w:val="single" w:color="auto" w:sz="6" w:space="0"/>
              <w:right w:val="single" w:color="auto" w:sz="6" w:space="0"/>
            </w:tcBorders>
            <w:shd w:val="clear" w:color="auto" w:fill="FFFFFF"/>
            <w:vAlign w:val="center"/>
          </w:tcPr>
          <w:p>
            <w:pPr>
              <w:keepNext w:val="0"/>
              <w:keepLines w:val="0"/>
              <w:widowControl/>
              <w:suppressLineNumbers w:val="0"/>
              <w:jc w:val="left"/>
            </w:pPr>
          </w:p>
        </w:tc>
        <w:tc>
          <w:tcPr>
            <w:tcW w:w="952" w:type="dxa"/>
            <w:tcBorders>
              <w:top w:val="nil"/>
              <w:left w:val="nil"/>
              <w:bottom w:val="single" w:color="auto" w:sz="6" w:space="0"/>
              <w:right w:val="single" w:color="auto" w:sz="6" w:space="0"/>
            </w:tcBorders>
            <w:shd w:val="clear" w:color="auto" w:fill="FFFFFF"/>
            <w:vAlign w:val="center"/>
          </w:tcPr>
          <w:p>
            <w:pPr>
              <w:keepNext w:val="0"/>
              <w:keepLines w:val="0"/>
              <w:widowControl/>
              <w:suppressLineNumbers w:val="0"/>
              <w:jc w:val="left"/>
            </w:pPr>
          </w:p>
        </w:tc>
        <w:tc>
          <w:tcPr>
            <w:tcW w:w="1087" w:type="dxa"/>
            <w:tcBorders>
              <w:top w:val="nil"/>
              <w:left w:val="nil"/>
              <w:bottom w:val="single" w:color="auto" w:sz="6" w:space="0"/>
              <w:right w:val="single" w:color="auto" w:sz="6" w:space="0"/>
            </w:tcBorders>
            <w:shd w:val="clear" w:color="auto" w:fill="FFFFFF"/>
            <w:vAlign w:val="center"/>
          </w:tcPr>
          <w:p>
            <w:pPr>
              <w:keepNext w:val="0"/>
              <w:keepLines w:val="0"/>
              <w:widowControl/>
              <w:suppressLineNumbers w:val="0"/>
              <w:jc w:val="left"/>
            </w:pPr>
          </w:p>
        </w:tc>
        <w:tc>
          <w:tcPr>
            <w:tcW w:w="529" w:type="dxa"/>
            <w:tcBorders>
              <w:top w:val="nil"/>
              <w:left w:val="nil"/>
              <w:bottom w:val="single" w:color="auto" w:sz="6" w:space="0"/>
              <w:right w:val="single" w:color="auto" w:sz="6" w:space="0"/>
            </w:tcBorders>
            <w:shd w:val="clear" w:color="auto" w:fill="FFFFFF"/>
            <w:vAlign w:val="center"/>
          </w:tcPr>
          <w:p>
            <w:pPr>
              <w:keepNext w:val="0"/>
              <w:keepLines w:val="0"/>
              <w:widowControl/>
              <w:suppressLineNumbers w:val="0"/>
              <w:jc w:val="left"/>
            </w:pPr>
          </w:p>
        </w:tc>
        <w:tc>
          <w:tcPr>
            <w:tcW w:w="467" w:type="dxa"/>
            <w:tcBorders>
              <w:top w:val="nil"/>
              <w:left w:val="nil"/>
              <w:bottom w:val="single" w:color="auto" w:sz="6" w:space="0"/>
              <w:right w:val="single" w:color="auto" w:sz="6" w:space="0"/>
            </w:tcBorders>
            <w:shd w:val="clear" w:color="auto" w:fill="FFFFFF"/>
            <w:vAlign w:val="center"/>
          </w:tcPr>
          <w:p>
            <w:pPr>
              <w:keepNext w:val="0"/>
              <w:keepLines w:val="0"/>
              <w:widowControl/>
              <w:suppressLineNumbers w:val="0"/>
              <w:jc w:val="left"/>
            </w:pPr>
          </w:p>
        </w:tc>
        <w:tc>
          <w:tcPr>
            <w:tcW w:w="5035" w:type="dxa"/>
            <w:tcBorders>
              <w:top w:val="nil"/>
              <w:left w:val="nil"/>
              <w:bottom w:val="single" w:color="auto" w:sz="6" w:space="0"/>
              <w:right w:val="single" w:color="auto" w:sz="6" w:space="0"/>
            </w:tcBorders>
            <w:shd w:val="clear" w:color="auto" w:fill="FFFFFF"/>
            <w:vAlign w:val="center"/>
          </w:tcPr>
          <w:p>
            <w:pPr>
              <w:keepNext w:val="0"/>
              <w:keepLines w:val="0"/>
              <w:widowControl/>
              <w:suppressLineNumbers w:val="0"/>
              <w:jc w:val="left"/>
            </w:pPr>
          </w:p>
        </w:tc>
        <w:tc>
          <w:tcPr>
            <w:tcW w:w="834" w:type="dxa"/>
            <w:tcBorders>
              <w:top w:val="nil"/>
              <w:left w:val="nil"/>
              <w:bottom w:val="single" w:color="auto" w:sz="6" w:space="0"/>
              <w:right w:val="single" w:color="auto" w:sz="6" w:space="0"/>
            </w:tcBorders>
            <w:shd w:val="clear" w:color="auto" w:fill="FFFFFF"/>
            <w:vAlign w:val="center"/>
          </w:tcPr>
          <w:p>
            <w:pPr>
              <w:keepNext w:val="0"/>
              <w:keepLines w:val="0"/>
              <w:widowControl/>
              <w:suppressLineNumbers w:val="0"/>
              <w:jc w:val="left"/>
            </w:pPr>
          </w:p>
        </w:tc>
      </w:tr>
    </w:tbl>
    <w:p>
      <w:pPr>
        <w:pStyle w:val="4"/>
        <w:keepNext w:val="0"/>
        <w:keepLines w:val="0"/>
        <w:widowControl/>
        <w:suppressLineNumbers w:val="0"/>
        <w:spacing w:line="315" w:lineRule="atLeast"/>
        <w:jc w:val="center"/>
      </w:pPr>
      <w:r>
        <w:rPr>
          <w:rFonts w:hint="eastAsia" w:ascii="宋体" w:hAnsi="宋体" w:eastAsia="宋体" w:cs="宋体"/>
          <w:sz w:val="24"/>
          <w:szCs w:val="24"/>
        </w:rPr>
        <w:t> </w:t>
      </w:r>
    </w:p>
    <w:p>
      <w:pPr>
        <w:pStyle w:val="4"/>
        <w:keepNext w:val="0"/>
        <w:keepLines w:val="0"/>
        <w:widowControl/>
        <w:suppressLineNumbers w:val="0"/>
        <w:spacing w:line="315" w:lineRule="atLeast"/>
        <w:jc w:val="left"/>
      </w:pPr>
      <w:r>
        <w:rPr>
          <w:rFonts w:hint="eastAsia" w:ascii="宋体" w:hAnsi="宋体" w:eastAsia="宋体" w:cs="宋体"/>
          <w:sz w:val="24"/>
          <w:szCs w:val="24"/>
        </w:rPr>
        <w:t>品目号</w:t>
      </w:r>
      <w:r>
        <w:rPr>
          <w:rFonts w:hint="default" w:ascii="Calibri" w:hAnsi="Calibri" w:cs="Calibri"/>
          <w:sz w:val="24"/>
          <w:szCs w:val="24"/>
        </w:rPr>
        <w:t>1-2</w:t>
      </w:r>
    </w:p>
    <w:tbl>
      <w:tblPr>
        <w:tblStyle w:val="9"/>
        <w:tblW w:w="10004" w:type="dxa"/>
        <w:tblCellSpacing w:w="15"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15" w:type="dxa"/>
          <w:left w:w="15" w:type="dxa"/>
          <w:bottom w:w="15" w:type="dxa"/>
          <w:right w:w="15" w:type="dxa"/>
        </w:tblCellMar>
      </w:tblPr>
      <w:tblGrid>
        <w:gridCol w:w="81"/>
        <w:gridCol w:w="869"/>
        <w:gridCol w:w="51"/>
        <w:gridCol w:w="47"/>
        <w:gridCol w:w="822"/>
        <w:gridCol w:w="48"/>
        <w:gridCol w:w="48"/>
        <w:gridCol w:w="461"/>
        <w:gridCol w:w="50"/>
        <w:gridCol w:w="48"/>
        <w:gridCol w:w="461"/>
        <w:gridCol w:w="51"/>
        <w:gridCol w:w="47"/>
        <w:gridCol w:w="6339"/>
        <w:gridCol w:w="39"/>
        <w:gridCol w:w="30"/>
        <w:gridCol w:w="512"/>
      </w:tblGrid>
      <w:tr>
        <w:trPr>
          <w:trHeight w:val="645" w:hRule="atLeast"/>
          <w:tblCellSpacing w:w="15" w:type="dxa"/>
        </w:trPr>
        <w:tc>
          <w:tcPr>
            <w:tcW w:w="36"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pPr>
              <w:keepNext w:val="0"/>
              <w:keepLines w:val="0"/>
              <w:widowControl/>
              <w:suppressLineNumbers w:val="0"/>
              <w:jc w:val="left"/>
            </w:pPr>
          </w:p>
        </w:tc>
        <w:tc>
          <w:tcPr>
            <w:tcW w:w="9878" w:type="dxa"/>
            <w:gridSpan w:val="16"/>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top"/>
          </w:tcPr>
          <w:p>
            <w:pPr>
              <w:pStyle w:val="4"/>
              <w:keepNext w:val="0"/>
              <w:keepLines w:val="0"/>
              <w:widowControl/>
              <w:suppressLineNumbers w:val="0"/>
            </w:pPr>
            <w:r>
              <w:rPr>
                <w:rStyle w:val="6"/>
                <w:rFonts w:hint="eastAsia" w:ascii="宋体" w:hAnsi="宋体" w:eastAsia="宋体" w:cs="宋体"/>
                <w:b/>
                <w:sz w:val="28"/>
                <w:szCs w:val="28"/>
              </w:rPr>
              <w:t>多媒体会议系统</w:t>
            </w:r>
          </w:p>
        </w:tc>
      </w:tr>
      <w:tr>
        <w:trPr>
          <w:trHeight w:val="960" w:hRule="atLeast"/>
          <w:tblCellSpacing w:w="15" w:type="dxa"/>
        </w:trPr>
        <w:tc>
          <w:tcPr>
            <w:tcW w:w="36" w:type="dxa"/>
            <w:tcBorders>
              <w:top w:val="nil"/>
              <w:left w:val="single" w:color="auto" w:sz="6" w:space="0"/>
              <w:bottom w:val="single" w:color="auto" w:sz="6" w:space="0"/>
              <w:right w:val="single" w:color="auto" w:sz="6" w:space="0"/>
            </w:tcBorders>
            <w:shd w:val="clear" w:color="auto" w:fill="FFFFFF"/>
            <w:tcMar>
              <w:top w:w="0" w:type="dxa"/>
              <w:left w:w="0" w:type="dxa"/>
              <w:bottom w:w="0" w:type="dxa"/>
              <w:right w:w="0" w:type="dxa"/>
            </w:tcMar>
            <w:vAlign w:val="center"/>
          </w:tcPr>
          <w:p>
            <w:pPr>
              <w:keepNext w:val="0"/>
              <w:keepLines w:val="0"/>
              <w:widowControl/>
              <w:suppressLineNumbers w:val="0"/>
              <w:jc w:val="left"/>
            </w:pPr>
          </w:p>
        </w:tc>
        <w:tc>
          <w:tcPr>
            <w:tcW w:w="890" w:type="dxa"/>
            <w:gridSpan w:val="2"/>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Style w:val="6"/>
                <w:rFonts w:hint="eastAsia" w:ascii="宋体" w:hAnsi="宋体" w:eastAsia="宋体" w:cs="宋体"/>
                <w:b/>
              </w:rPr>
              <w:t>品目号</w:t>
            </w:r>
          </w:p>
        </w:tc>
        <w:tc>
          <w:tcPr>
            <w:tcW w:w="887"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jc w:val="center"/>
            </w:pPr>
            <w:r>
              <w:rPr>
                <w:rStyle w:val="6"/>
                <w:rFonts w:hint="eastAsia" w:ascii="宋体" w:hAnsi="宋体" w:eastAsia="宋体" w:cs="宋体"/>
                <w:b/>
              </w:rPr>
              <w:t>设备名 称</w:t>
            </w:r>
          </w:p>
        </w:tc>
        <w:tc>
          <w:tcPr>
            <w:tcW w:w="529"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jc w:val="center"/>
            </w:pPr>
            <w:r>
              <w:rPr>
                <w:rStyle w:val="6"/>
                <w:rFonts w:hint="eastAsia" w:ascii="宋体" w:hAnsi="宋体" w:eastAsia="宋体" w:cs="宋体"/>
                <w:b/>
              </w:rPr>
              <w:t>单位</w:t>
            </w:r>
          </w:p>
        </w:tc>
        <w:tc>
          <w:tcPr>
            <w:tcW w:w="530"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jc w:val="center"/>
            </w:pPr>
            <w:r>
              <w:rPr>
                <w:rStyle w:val="6"/>
                <w:rFonts w:hint="eastAsia" w:ascii="宋体" w:hAnsi="宋体" w:eastAsia="宋体" w:cs="宋体"/>
                <w:b/>
              </w:rPr>
              <w:t>数量</w:t>
            </w:r>
          </w:p>
        </w:tc>
        <w:tc>
          <w:tcPr>
            <w:tcW w:w="6395"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jc w:val="center"/>
            </w:pPr>
            <w:r>
              <w:rPr>
                <w:rStyle w:val="6"/>
                <w:rFonts w:hint="eastAsia" w:ascii="宋体" w:hAnsi="宋体" w:eastAsia="宋体" w:cs="宋体"/>
                <w:b/>
              </w:rPr>
              <w:t>技术参数</w:t>
            </w:r>
          </w:p>
        </w:tc>
        <w:tc>
          <w:tcPr>
            <w:tcW w:w="497" w:type="dxa"/>
            <w:gridSpan w:val="2"/>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jc w:val="center"/>
            </w:pPr>
            <w:r>
              <w:rPr>
                <w:rStyle w:val="6"/>
                <w:rFonts w:hint="eastAsia" w:ascii="宋体" w:hAnsi="宋体" w:eastAsia="宋体" w:cs="宋体"/>
                <w:b/>
              </w:rPr>
              <w:t>备注</w:t>
            </w:r>
          </w:p>
        </w:tc>
      </w:tr>
      <w:tr>
        <w:trPr>
          <w:trHeight w:val="960" w:hRule="atLeast"/>
          <w:tblCellSpacing w:w="15" w:type="dxa"/>
        </w:trPr>
        <w:tc>
          <w:tcPr>
            <w:tcW w:w="36" w:type="dxa"/>
            <w:tcBorders>
              <w:top w:val="nil"/>
              <w:left w:val="single" w:color="auto" w:sz="6" w:space="0"/>
              <w:bottom w:val="single" w:color="auto" w:sz="6" w:space="0"/>
              <w:right w:val="single" w:color="auto" w:sz="6" w:space="0"/>
            </w:tcBorders>
            <w:shd w:val="clear" w:color="auto" w:fill="FFFFFF"/>
            <w:tcMar>
              <w:top w:w="0" w:type="dxa"/>
              <w:left w:w="0" w:type="dxa"/>
              <w:bottom w:w="0" w:type="dxa"/>
              <w:right w:w="0" w:type="dxa"/>
            </w:tcMar>
            <w:vAlign w:val="center"/>
          </w:tcPr>
          <w:p>
            <w:pPr>
              <w:keepNext w:val="0"/>
              <w:keepLines w:val="0"/>
              <w:widowControl/>
              <w:suppressLineNumbers w:val="0"/>
              <w:jc w:val="left"/>
            </w:pPr>
          </w:p>
        </w:tc>
        <w:tc>
          <w:tcPr>
            <w:tcW w:w="890" w:type="dxa"/>
            <w:gridSpan w:val="2"/>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jc w:val="center"/>
            </w:pPr>
            <w:r>
              <w:rPr>
                <w:rFonts w:hint="default" w:ascii="Calibri" w:hAnsi="Calibri" w:cs="Calibri"/>
                <w:sz w:val="24"/>
                <w:szCs w:val="24"/>
              </w:rPr>
              <w:t>1-2-1</w:t>
            </w:r>
          </w:p>
        </w:tc>
        <w:tc>
          <w:tcPr>
            <w:tcW w:w="887"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pPr>
            <w:r>
              <w:rPr>
                <w:rFonts w:hint="eastAsia" w:ascii="宋体" w:hAnsi="宋体" w:eastAsia="宋体" w:cs="宋体"/>
                <w:sz w:val="24"/>
                <w:szCs w:val="24"/>
              </w:rPr>
              <w:t>主音箱</w:t>
            </w:r>
          </w:p>
        </w:tc>
        <w:tc>
          <w:tcPr>
            <w:tcW w:w="529"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jc w:val="center"/>
            </w:pPr>
            <w:r>
              <w:rPr>
                <w:rFonts w:hint="eastAsia" w:ascii="宋体" w:hAnsi="宋体" w:eastAsia="宋体" w:cs="宋体"/>
                <w:sz w:val="24"/>
                <w:szCs w:val="24"/>
              </w:rPr>
              <w:t>台</w:t>
            </w:r>
          </w:p>
        </w:tc>
        <w:tc>
          <w:tcPr>
            <w:tcW w:w="530"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jc w:val="center"/>
            </w:pPr>
            <w:r>
              <w:rPr>
                <w:rFonts w:hint="eastAsia" w:ascii="宋体" w:hAnsi="宋体" w:eastAsia="宋体" w:cs="宋体"/>
                <w:sz w:val="24"/>
                <w:szCs w:val="24"/>
              </w:rPr>
              <w:t>4</w:t>
            </w:r>
          </w:p>
        </w:tc>
        <w:tc>
          <w:tcPr>
            <w:tcW w:w="6395"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pPr>
            <w:r>
              <w:rPr>
                <w:rFonts w:hint="eastAsia" w:ascii="宋体" w:hAnsi="宋体" w:eastAsia="宋体" w:cs="宋体"/>
                <w:sz w:val="24"/>
                <w:szCs w:val="24"/>
              </w:rPr>
              <w:t>技术参数：</w:t>
            </w:r>
            <w:r>
              <w:rPr>
                <w:rFonts w:hint="eastAsia" w:ascii="宋体" w:hAnsi="宋体" w:eastAsia="宋体" w:cs="宋体"/>
                <w:sz w:val="24"/>
                <w:szCs w:val="24"/>
              </w:rPr>
              <w:br w:type="textWrapping"/>
            </w:r>
            <w:r>
              <w:rPr>
                <w:rFonts w:hint="eastAsia" w:ascii="宋体" w:hAnsi="宋体" w:eastAsia="宋体" w:cs="宋体"/>
                <w:sz w:val="24"/>
                <w:szCs w:val="24"/>
              </w:rPr>
              <w:t>  1.单元组成:低音 8英寸，2英寸音圈低音</w:t>
            </w:r>
            <w:r>
              <w:rPr>
                <w:rFonts w:hint="eastAsia" w:ascii="宋体" w:hAnsi="宋体" w:eastAsia="宋体" w:cs="宋体"/>
                <w:sz w:val="24"/>
                <w:szCs w:val="24"/>
              </w:rPr>
              <w:br w:type="textWrapping"/>
            </w:r>
            <w:r>
              <w:rPr>
                <w:rFonts w:hint="eastAsia" w:ascii="宋体" w:hAnsi="宋体" w:eastAsia="宋体" w:cs="宋体"/>
                <w:sz w:val="24"/>
                <w:szCs w:val="24"/>
              </w:rPr>
              <w:t>  2.单元组成:高音 1.33英寸钛合金振膜，1英寸喉管</w:t>
            </w:r>
            <w:r>
              <w:rPr>
                <w:rFonts w:hint="eastAsia" w:ascii="宋体" w:hAnsi="宋体" w:eastAsia="宋体" w:cs="宋体"/>
                <w:sz w:val="24"/>
                <w:szCs w:val="24"/>
              </w:rPr>
              <w:br w:type="textWrapping"/>
            </w:r>
            <w:r>
              <w:rPr>
                <w:rFonts w:hint="eastAsia" w:ascii="宋体" w:hAnsi="宋体" w:eastAsia="宋体" w:cs="宋体"/>
                <w:sz w:val="24"/>
                <w:szCs w:val="24"/>
              </w:rPr>
              <w:t>  3.频率响应(-1dB) 60-18000Hz</w:t>
            </w:r>
            <w:r>
              <w:rPr>
                <w:rFonts w:hint="eastAsia" w:ascii="宋体" w:hAnsi="宋体" w:eastAsia="宋体" w:cs="宋体"/>
                <w:sz w:val="24"/>
                <w:szCs w:val="24"/>
              </w:rPr>
              <w:br w:type="textWrapping"/>
            </w:r>
            <w:r>
              <w:rPr>
                <w:rFonts w:hint="eastAsia" w:ascii="宋体" w:hAnsi="宋体" w:eastAsia="宋体" w:cs="宋体"/>
                <w:sz w:val="24"/>
                <w:szCs w:val="24"/>
              </w:rPr>
              <w:t>  4.频率响应(-3dB) 50-20000Hz</w:t>
            </w:r>
            <w:r>
              <w:rPr>
                <w:rFonts w:hint="eastAsia" w:ascii="宋体" w:hAnsi="宋体" w:eastAsia="宋体" w:cs="宋体"/>
                <w:sz w:val="24"/>
                <w:szCs w:val="24"/>
              </w:rPr>
              <w:br w:type="textWrapping"/>
            </w:r>
            <w:r>
              <w:rPr>
                <w:rFonts w:hint="eastAsia" w:ascii="宋体" w:hAnsi="宋体" w:eastAsia="宋体" w:cs="宋体"/>
                <w:sz w:val="24"/>
                <w:szCs w:val="24"/>
              </w:rPr>
              <w:t>  5.覆盖角度(-6dB) 90度(H)×60度(V)</w:t>
            </w:r>
          </w:p>
        </w:tc>
        <w:tc>
          <w:tcPr>
            <w:tcW w:w="497" w:type="dxa"/>
            <w:gridSpan w:val="2"/>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tc>
      </w:tr>
      <w:tr>
        <w:trPr>
          <w:trHeight w:val="2535" w:hRule="atLeast"/>
          <w:tblCellSpacing w:w="15" w:type="dxa"/>
        </w:trPr>
        <w:tc>
          <w:tcPr>
            <w:tcW w:w="36" w:type="dxa"/>
            <w:tcBorders>
              <w:top w:val="nil"/>
              <w:left w:val="single" w:color="auto" w:sz="6" w:space="0"/>
              <w:bottom w:val="single" w:color="auto" w:sz="6" w:space="0"/>
              <w:right w:val="single" w:color="auto" w:sz="6" w:space="0"/>
            </w:tcBorders>
            <w:shd w:val="clear" w:color="auto" w:fill="FFFFFF"/>
            <w:tcMar>
              <w:top w:w="0" w:type="dxa"/>
              <w:left w:w="0" w:type="dxa"/>
              <w:bottom w:w="0" w:type="dxa"/>
              <w:right w:w="0" w:type="dxa"/>
            </w:tcMar>
            <w:vAlign w:val="center"/>
          </w:tcPr>
          <w:p>
            <w:pPr>
              <w:keepNext w:val="0"/>
              <w:keepLines w:val="0"/>
              <w:widowControl/>
              <w:suppressLineNumbers w:val="0"/>
              <w:jc w:val="left"/>
            </w:pPr>
          </w:p>
        </w:tc>
        <w:tc>
          <w:tcPr>
            <w:tcW w:w="890" w:type="dxa"/>
            <w:gridSpan w:val="2"/>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jc w:val="center"/>
            </w:pPr>
            <w:r>
              <w:rPr>
                <w:rFonts w:hint="default" w:ascii="Calibri" w:hAnsi="Calibri" w:cs="Calibri"/>
                <w:sz w:val="24"/>
                <w:szCs w:val="24"/>
              </w:rPr>
              <w:t>1-2-2</w:t>
            </w:r>
          </w:p>
        </w:tc>
        <w:tc>
          <w:tcPr>
            <w:tcW w:w="887"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pPr>
            <w:r>
              <w:rPr>
                <w:rFonts w:hint="eastAsia" w:ascii="宋体" w:hAnsi="宋体" w:eastAsia="宋体" w:cs="宋体"/>
                <w:sz w:val="24"/>
                <w:szCs w:val="24"/>
              </w:rPr>
              <w:t>主功放</w:t>
            </w:r>
          </w:p>
        </w:tc>
        <w:tc>
          <w:tcPr>
            <w:tcW w:w="529"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jc w:val="center"/>
            </w:pPr>
            <w:r>
              <w:rPr>
                <w:rFonts w:hint="eastAsia" w:ascii="宋体" w:hAnsi="宋体" w:eastAsia="宋体" w:cs="宋体"/>
                <w:sz w:val="24"/>
                <w:szCs w:val="24"/>
              </w:rPr>
              <w:t>台</w:t>
            </w:r>
          </w:p>
        </w:tc>
        <w:tc>
          <w:tcPr>
            <w:tcW w:w="530"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jc w:val="center"/>
            </w:pPr>
            <w:r>
              <w:rPr>
                <w:rFonts w:hint="eastAsia" w:ascii="宋体" w:hAnsi="宋体" w:eastAsia="宋体" w:cs="宋体"/>
                <w:sz w:val="24"/>
                <w:szCs w:val="24"/>
              </w:rPr>
              <w:t>2</w:t>
            </w:r>
          </w:p>
        </w:tc>
        <w:tc>
          <w:tcPr>
            <w:tcW w:w="6395"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pPr>
            <w:r>
              <w:rPr>
                <w:rFonts w:hint="eastAsia" w:ascii="宋体" w:hAnsi="宋体" w:eastAsia="宋体" w:cs="宋体"/>
                <w:sz w:val="24"/>
                <w:szCs w:val="24"/>
              </w:rPr>
              <w:t>技术参数：</w:t>
            </w:r>
            <w:r>
              <w:rPr>
                <w:rFonts w:hint="eastAsia" w:ascii="宋体" w:hAnsi="宋体" w:eastAsia="宋体" w:cs="宋体"/>
                <w:sz w:val="24"/>
                <w:szCs w:val="24"/>
              </w:rPr>
              <w:br w:type="textWrapping"/>
            </w:r>
            <w:r>
              <w:rPr>
                <w:rFonts w:hint="eastAsia" w:ascii="宋体" w:hAnsi="宋体" w:eastAsia="宋体" w:cs="宋体"/>
                <w:sz w:val="24"/>
                <w:szCs w:val="24"/>
              </w:rPr>
              <w:t xml:space="preserve">  1.输出功率@立体声8Ω(失真≤1%时)  2×350W </w:t>
            </w:r>
            <w:r>
              <w:rPr>
                <w:rFonts w:hint="eastAsia" w:ascii="宋体" w:hAnsi="宋体" w:eastAsia="宋体" w:cs="宋体"/>
                <w:sz w:val="24"/>
                <w:szCs w:val="24"/>
              </w:rPr>
              <w:br w:type="textWrapping"/>
            </w:r>
            <w:r>
              <w:rPr>
                <w:rFonts w:hint="eastAsia" w:ascii="宋体" w:hAnsi="宋体" w:eastAsia="宋体" w:cs="宋体"/>
                <w:sz w:val="24"/>
                <w:szCs w:val="24"/>
              </w:rPr>
              <w:t xml:space="preserve">  2.输出功率@立体声4Ω(失真≤1%时)  2×550W </w:t>
            </w:r>
            <w:r>
              <w:rPr>
                <w:rFonts w:hint="eastAsia" w:ascii="宋体" w:hAnsi="宋体" w:eastAsia="宋体" w:cs="宋体"/>
                <w:sz w:val="24"/>
                <w:szCs w:val="24"/>
              </w:rPr>
              <w:br w:type="textWrapping"/>
            </w:r>
            <w:r>
              <w:rPr>
                <w:rFonts w:hint="eastAsia" w:ascii="宋体" w:hAnsi="宋体" w:eastAsia="宋体" w:cs="宋体"/>
                <w:sz w:val="24"/>
                <w:szCs w:val="24"/>
              </w:rPr>
              <w:t xml:space="preserve">  3.输出功率@桥接8Ω(失真≤1%时) 980W </w:t>
            </w:r>
            <w:r>
              <w:rPr>
                <w:rFonts w:hint="eastAsia" w:ascii="宋体" w:hAnsi="宋体" w:eastAsia="宋体" w:cs="宋体"/>
                <w:sz w:val="24"/>
                <w:szCs w:val="24"/>
              </w:rPr>
              <w:br w:type="textWrapping"/>
            </w:r>
            <w:r>
              <w:rPr>
                <w:rFonts w:hint="eastAsia" w:ascii="宋体" w:hAnsi="宋体" w:eastAsia="宋体" w:cs="宋体"/>
                <w:sz w:val="24"/>
                <w:szCs w:val="24"/>
              </w:rPr>
              <w:t xml:space="preserve">  4.输出功率@桥接4Ω(失真≤1%时)  1300W </w:t>
            </w:r>
            <w:r>
              <w:rPr>
                <w:rFonts w:hint="eastAsia" w:ascii="宋体" w:hAnsi="宋体" w:eastAsia="宋体" w:cs="宋体"/>
                <w:sz w:val="24"/>
                <w:szCs w:val="24"/>
              </w:rPr>
              <w:br w:type="textWrapping"/>
            </w:r>
            <w:r>
              <w:rPr>
                <w:rFonts w:hint="eastAsia" w:ascii="宋体" w:hAnsi="宋体" w:eastAsia="宋体" w:cs="宋体"/>
                <w:sz w:val="24"/>
                <w:szCs w:val="24"/>
              </w:rPr>
              <w:t>  5.频率响应 20Hz～20KHz±0.35dB</w:t>
            </w:r>
            <w:r>
              <w:rPr>
                <w:rFonts w:hint="eastAsia" w:ascii="宋体" w:hAnsi="宋体" w:eastAsia="宋体" w:cs="宋体"/>
                <w:sz w:val="24"/>
                <w:szCs w:val="24"/>
              </w:rPr>
              <w:br w:type="textWrapping"/>
            </w:r>
            <w:r>
              <w:rPr>
                <w:rFonts w:hint="eastAsia" w:ascii="宋体" w:hAnsi="宋体" w:eastAsia="宋体" w:cs="宋体"/>
                <w:sz w:val="24"/>
                <w:szCs w:val="24"/>
              </w:rPr>
              <w:t>  6.总谐波失真 ≤0.05%</w:t>
            </w:r>
            <w:r>
              <w:rPr>
                <w:rFonts w:hint="eastAsia" w:ascii="宋体" w:hAnsi="宋体" w:eastAsia="宋体" w:cs="宋体"/>
                <w:sz w:val="24"/>
                <w:szCs w:val="24"/>
              </w:rPr>
              <w:br w:type="textWrapping"/>
            </w:r>
            <w:r>
              <w:rPr>
                <w:rFonts w:hint="eastAsia" w:ascii="宋体" w:hAnsi="宋体" w:eastAsia="宋体" w:cs="宋体"/>
                <w:sz w:val="24"/>
                <w:szCs w:val="24"/>
              </w:rPr>
              <w:t>  7.互调失真 ≤0.05%</w:t>
            </w:r>
          </w:p>
        </w:tc>
        <w:tc>
          <w:tcPr>
            <w:tcW w:w="497" w:type="dxa"/>
            <w:gridSpan w:val="2"/>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tc>
      </w:tr>
      <w:tr>
        <w:trPr>
          <w:trHeight w:val="2850" w:hRule="atLeast"/>
          <w:tblCellSpacing w:w="15" w:type="dxa"/>
        </w:trPr>
        <w:tc>
          <w:tcPr>
            <w:tcW w:w="36" w:type="dxa"/>
            <w:tcBorders>
              <w:top w:val="nil"/>
              <w:left w:val="single" w:color="auto" w:sz="6" w:space="0"/>
              <w:bottom w:val="single" w:color="auto" w:sz="6" w:space="0"/>
              <w:right w:val="single" w:color="auto" w:sz="6" w:space="0"/>
            </w:tcBorders>
            <w:shd w:val="clear" w:color="auto" w:fill="FFFFFF"/>
            <w:tcMar>
              <w:top w:w="0" w:type="dxa"/>
              <w:left w:w="0" w:type="dxa"/>
              <w:bottom w:w="0" w:type="dxa"/>
              <w:right w:w="0" w:type="dxa"/>
            </w:tcMar>
            <w:vAlign w:val="center"/>
          </w:tcPr>
          <w:p>
            <w:pPr>
              <w:keepNext w:val="0"/>
              <w:keepLines w:val="0"/>
              <w:widowControl/>
              <w:suppressLineNumbers w:val="0"/>
              <w:jc w:val="left"/>
            </w:pPr>
          </w:p>
        </w:tc>
        <w:tc>
          <w:tcPr>
            <w:tcW w:w="890" w:type="dxa"/>
            <w:gridSpan w:val="2"/>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jc w:val="center"/>
            </w:pPr>
            <w:r>
              <w:rPr>
                <w:rFonts w:hint="default" w:ascii="Calibri" w:hAnsi="Calibri" w:cs="Calibri"/>
                <w:sz w:val="24"/>
                <w:szCs w:val="24"/>
              </w:rPr>
              <w:t>1-2-3</w:t>
            </w:r>
          </w:p>
        </w:tc>
        <w:tc>
          <w:tcPr>
            <w:tcW w:w="887"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pPr>
            <w:r>
              <w:rPr>
                <w:rFonts w:hint="eastAsia" w:ascii="宋体" w:hAnsi="宋体" w:eastAsia="宋体" w:cs="宋体"/>
                <w:sz w:val="24"/>
                <w:szCs w:val="24"/>
              </w:rPr>
              <w:t>辅助音箱</w:t>
            </w:r>
          </w:p>
        </w:tc>
        <w:tc>
          <w:tcPr>
            <w:tcW w:w="529"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jc w:val="center"/>
            </w:pPr>
            <w:r>
              <w:rPr>
                <w:rFonts w:hint="eastAsia" w:ascii="宋体" w:hAnsi="宋体" w:eastAsia="宋体" w:cs="宋体"/>
                <w:sz w:val="24"/>
                <w:szCs w:val="24"/>
              </w:rPr>
              <w:t>台</w:t>
            </w:r>
          </w:p>
        </w:tc>
        <w:tc>
          <w:tcPr>
            <w:tcW w:w="530"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jc w:val="center"/>
            </w:pPr>
            <w:r>
              <w:rPr>
                <w:rFonts w:hint="eastAsia" w:ascii="宋体" w:hAnsi="宋体" w:eastAsia="宋体" w:cs="宋体"/>
                <w:sz w:val="24"/>
                <w:szCs w:val="24"/>
              </w:rPr>
              <w:t>4</w:t>
            </w:r>
          </w:p>
        </w:tc>
        <w:tc>
          <w:tcPr>
            <w:tcW w:w="6395"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pPr>
            <w:r>
              <w:rPr>
                <w:rFonts w:hint="eastAsia" w:ascii="宋体" w:hAnsi="宋体" w:eastAsia="宋体" w:cs="宋体"/>
                <w:sz w:val="24"/>
                <w:szCs w:val="24"/>
              </w:rPr>
              <w:t>技术参数：</w:t>
            </w:r>
            <w:r>
              <w:rPr>
                <w:rFonts w:hint="eastAsia" w:ascii="宋体" w:hAnsi="宋体" w:eastAsia="宋体" w:cs="宋体"/>
                <w:sz w:val="24"/>
                <w:szCs w:val="24"/>
              </w:rPr>
              <w:br w:type="textWrapping"/>
            </w:r>
            <w:r>
              <w:rPr>
                <w:rFonts w:hint="eastAsia" w:ascii="宋体" w:hAnsi="宋体" w:eastAsia="宋体" w:cs="宋体"/>
                <w:sz w:val="24"/>
                <w:szCs w:val="24"/>
              </w:rPr>
              <w:t>  1.单元组成:低音 8英寸，2英寸音圈低音</w:t>
            </w:r>
            <w:r>
              <w:rPr>
                <w:rFonts w:hint="eastAsia" w:ascii="宋体" w:hAnsi="宋体" w:eastAsia="宋体" w:cs="宋体"/>
                <w:sz w:val="24"/>
                <w:szCs w:val="24"/>
              </w:rPr>
              <w:br w:type="textWrapping"/>
            </w:r>
            <w:r>
              <w:rPr>
                <w:rFonts w:hint="eastAsia" w:ascii="宋体" w:hAnsi="宋体" w:eastAsia="宋体" w:cs="宋体"/>
                <w:sz w:val="24"/>
                <w:szCs w:val="24"/>
              </w:rPr>
              <w:t>  2.单元组成:高音 1.33英寸钛合金振膜，1英寸喉管</w:t>
            </w:r>
            <w:r>
              <w:rPr>
                <w:rFonts w:hint="eastAsia" w:ascii="宋体" w:hAnsi="宋体" w:eastAsia="宋体" w:cs="宋体"/>
                <w:sz w:val="24"/>
                <w:szCs w:val="24"/>
              </w:rPr>
              <w:br w:type="textWrapping"/>
            </w:r>
            <w:r>
              <w:rPr>
                <w:rFonts w:hint="eastAsia" w:ascii="宋体" w:hAnsi="宋体" w:eastAsia="宋体" w:cs="宋体"/>
                <w:sz w:val="24"/>
                <w:szCs w:val="24"/>
              </w:rPr>
              <w:t>  3.频率响应(-1dB) 60-18000Hz</w:t>
            </w:r>
            <w:r>
              <w:rPr>
                <w:rFonts w:hint="eastAsia" w:ascii="宋体" w:hAnsi="宋体" w:eastAsia="宋体" w:cs="宋体"/>
                <w:sz w:val="24"/>
                <w:szCs w:val="24"/>
              </w:rPr>
              <w:br w:type="textWrapping"/>
            </w:r>
            <w:r>
              <w:rPr>
                <w:rFonts w:hint="eastAsia" w:ascii="宋体" w:hAnsi="宋体" w:eastAsia="宋体" w:cs="宋体"/>
                <w:sz w:val="24"/>
                <w:szCs w:val="24"/>
              </w:rPr>
              <w:t>  4.频率响应(-3dB) 50-20000Hz</w:t>
            </w:r>
            <w:r>
              <w:rPr>
                <w:rFonts w:hint="eastAsia" w:ascii="宋体" w:hAnsi="宋体" w:eastAsia="宋体" w:cs="宋体"/>
                <w:sz w:val="24"/>
                <w:szCs w:val="24"/>
              </w:rPr>
              <w:br w:type="textWrapping"/>
            </w:r>
            <w:r>
              <w:rPr>
                <w:rFonts w:hint="eastAsia" w:ascii="宋体" w:hAnsi="宋体" w:eastAsia="宋体" w:cs="宋体"/>
                <w:sz w:val="24"/>
                <w:szCs w:val="24"/>
              </w:rPr>
              <w:t>  5.覆盖角度(-6dB) 90度(H)×60度(V)</w:t>
            </w:r>
            <w:r>
              <w:rPr>
                <w:rFonts w:hint="eastAsia" w:ascii="宋体" w:hAnsi="宋体" w:eastAsia="宋体" w:cs="宋体"/>
                <w:sz w:val="24"/>
                <w:szCs w:val="24"/>
              </w:rPr>
              <w:br w:type="textWrapping"/>
            </w:r>
            <w:r>
              <w:rPr>
                <w:rFonts w:hint="eastAsia" w:ascii="宋体" w:hAnsi="宋体" w:eastAsia="宋体" w:cs="宋体"/>
                <w:sz w:val="24"/>
                <w:szCs w:val="24"/>
              </w:rPr>
              <w:t>  6.灵敏度(1W/1m) 95dB/1W1米</w:t>
            </w:r>
            <w:r>
              <w:rPr>
                <w:rFonts w:hint="eastAsia" w:ascii="宋体" w:hAnsi="宋体" w:eastAsia="宋体" w:cs="宋体"/>
                <w:sz w:val="24"/>
                <w:szCs w:val="24"/>
              </w:rPr>
              <w:br w:type="textWrapping"/>
            </w:r>
            <w:r>
              <w:rPr>
                <w:rFonts w:hint="eastAsia" w:ascii="宋体" w:hAnsi="宋体" w:eastAsia="宋体" w:cs="宋体"/>
                <w:sz w:val="24"/>
                <w:szCs w:val="24"/>
              </w:rPr>
              <w:t>  7.连续声压级 120dB</w:t>
            </w:r>
            <w:r>
              <w:rPr>
                <w:rFonts w:hint="eastAsia" w:ascii="宋体" w:hAnsi="宋体" w:eastAsia="宋体" w:cs="宋体"/>
                <w:sz w:val="24"/>
                <w:szCs w:val="24"/>
              </w:rPr>
              <w:br w:type="textWrapping"/>
            </w:r>
            <w:r>
              <w:rPr>
                <w:rFonts w:hint="eastAsia" w:ascii="宋体" w:hAnsi="宋体" w:eastAsia="宋体" w:cs="宋体"/>
                <w:sz w:val="24"/>
                <w:szCs w:val="24"/>
              </w:rPr>
              <w:t>  8.峰值声压级 124dB</w:t>
            </w:r>
          </w:p>
        </w:tc>
        <w:tc>
          <w:tcPr>
            <w:tcW w:w="497" w:type="dxa"/>
            <w:gridSpan w:val="2"/>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tc>
      </w:tr>
      <w:tr>
        <w:trPr>
          <w:trHeight w:val="4425" w:hRule="atLeast"/>
          <w:tblCellSpacing w:w="15" w:type="dxa"/>
        </w:trPr>
        <w:tc>
          <w:tcPr>
            <w:tcW w:w="36" w:type="dxa"/>
            <w:tcBorders>
              <w:top w:val="nil"/>
              <w:left w:val="single" w:color="auto" w:sz="6" w:space="0"/>
              <w:bottom w:val="single" w:color="auto" w:sz="6" w:space="0"/>
              <w:right w:val="single" w:color="auto" w:sz="6" w:space="0"/>
            </w:tcBorders>
            <w:shd w:val="clear" w:color="auto" w:fill="FFFFFF"/>
            <w:tcMar>
              <w:top w:w="0" w:type="dxa"/>
              <w:left w:w="0" w:type="dxa"/>
              <w:bottom w:w="0" w:type="dxa"/>
              <w:right w:w="0" w:type="dxa"/>
            </w:tcMar>
            <w:vAlign w:val="center"/>
          </w:tcPr>
          <w:p>
            <w:pPr>
              <w:keepNext w:val="0"/>
              <w:keepLines w:val="0"/>
              <w:widowControl/>
              <w:suppressLineNumbers w:val="0"/>
              <w:jc w:val="left"/>
            </w:pPr>
          </w:p>
        </w:tc>
        <w:tc>
          <w:tcPr>
            <w:tcW w:w="890" w:type="dxa"/>
            <w:gridSpan w:val="2"/>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jc w:val="center"/>
            </w:pPr>
            <w:r>
              <w:rPr>
                <w:rFonts w:hint="default" w:ascii="Calibri" w:hAnsi="Calibri" w:cs="Calibri"/>
                <w:sz w:val="24"/>
                <w:szCs w:val="24"/>
              </w:rPr>
              <w:t>1-2-4</w:t>
            </w:r>
          </w:p>
        </w:tc>
        <w:tc>
          <w:tcPr>
            <w:tcW w:w="887"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pPr>
            <w:r>
              <w:rPr>
                <w:rFonts w:hint="eastAsia" w:ascii="宋体" w:hAnsi="宋体" w:eastAsia="宋体" w:cs="宋体"/>
                <w:sz w:val="24"/>
                <w:szCs w:val="24"/>
              </w:rPr>
              <w:t>辅助功放</w:t>
            </w:r>
          </w:p>
        </w:tc>
        <w:tc>
          <w:tcPr>
            <w:tcW w:w="529"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jc w:val="center"/>
            </w:pPr>
            <w:r>
              <w:rPr>
                <w:rFonts w:hint="eastAsia" w:ascii="宋体" w:hAnsi="宋体" w:eastAsia="宋体" w:cs="宋体"/>
                <w:sz w:val="24"/>
                <w:szCs w:val="24"/>
              </w:rPr>
              <w:t>台</w:t>
            </w:r>
          </w:p>
        </w:tc>
        <w:tc>
          <w:tcPr>
            <w:tcW w:w="530"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jc w:val="center"/>
            </w:pPr>
            <w:r>
              <w:rPr>
                <w:rFonts w:hint="eastAsia" w:ascii="宋体" w:hAnsi="宋体" w:eastAsia="宋体" w:cs="宋体"/>
                <w:sz w:val="24"/>
                <w:szCs w:val="24"/>
              </w:rPr>
              <w:t>2</w:t>
            </w:r>
          </w:p>
        </w:tc>
        <w:tc>
          <w:tcPr>
            <w:tcW w:w="6395"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pPr>
            <w:r>
              <w:rPr>
                <w:rFonts w:hint="eastAsia" w:ascii="宋体" w:hAnsi="宋体" w:eastAsia="宋体" w:cs="宋体"/>
                <w:sz w:val="24"/>
                <w:szCs w:val="24"/>
              </w:rPr>
              <w:t>技术参数：</w:t>
            </w:r>
            <w:r>
              <w:rPr>
                <w:rFonts w:hint="eastAsia" w:ascii="宋体" w:hAnsi="宋体" w:eastAsia="宋体" w:cs="宋体"/>
                <w:sz w:val="24"/>
                <w:szCs w:val="24"/>
              </w:rPr>
              <w:br w:type="textWrapping"/>
            </w:r>
            <w:r>
              <w:rPr>
                <w:rFonts w:hint="eastAsia" w:ascii="宋体" w:hAnsi="宋体" w:eastAsia="宋体" w:cs="宋体"/>
                <w:sz w:val="24"/>
                <w:szCs w:val="24"/>
              </w:rPr>
              <w:t xml:space="preserve">  1.输出功率@立体声8Ω(失真≤1%时)  2×350W </w:t>
            </w:r>
            <w:r>
              <w:rPr>
                <w:rFonts w:hint="eastAsia" w:ascii="宋体" w:hAnsi="宋体" w:eastAsia="宋体" w:cs="宋体"/>
                <w:sz w:val="24"/>
                <w:szCs w:val="24"/>
              </w:rPr>
              <w:br w:type="textWrapping"/>
            </w:r>
            <w:r>
              <w:rPr>
                <w:rFonts w:hint="eastAsia" w:ascii="宋体" w:hAnsi="宋体" w:eastAsia="宋体" w:cs="宋体"/>
                <w:sz w:val="24"/>
                <w:szCs w:val="24"/>
              </w:rPr>
              <w:t xml:space="preserve">  2.输出功率@立体声4Ω(失真≤1%时)  2×550W </w:t>
            </w:r>
            <w:r>
              <w:rPr>
                <w:rFonts w:hint="eastAsia" w:ascii="宋体" w:hAnsi="宋体" w:eastAsia="宋体" w:cs="宋体"/>
                <w:sz w:val="24"/>
                <w:szCs w:val="24"/>
              </w:rPr>
              <w:br w:type="textWrapping"/>
            </w:r>
            <w:r>
              <w:rPr>
                <w:rFonts w:hint="eastAsia" w:ascii="宋体" w:hAnsi="宋体" w:eastAsia="宋体" w:cs="宋体"/>
                <w:sz w:val="24"/>
                <w:szCs w:val="24"/>
              </w:rPr>
              <w:t xml:space="preserve">  3.输出功率@桥接8Ω(失真≤1%时) 980W </w:t>
            </w:r>
            <w:r>
              <w:rPr>
                <w:rFonts w:hint="eastAsia" w:ascii="宋体" w:hAnsi="宋体" w:eastAsia="宋体" w:cs="宋体"/>
                <w:sz w:val="24"/>
                <w:szCs w:val="24"/>
              </w:rPr>
              <w:br w:type="textWrapping"/>
            </w:r>
            <w:r>
              <w:rPr>
                <w:rFonts w:hint="eastAsia" w:ascii="宋体" w:hAnsi="宋体" w:eastAsia="宋体" w:cs="宋体"/>
                <w:sz w:val="24"/>
                <w:szCs w:val="24"/>
              </w:rPr>
              <w:t xml:space="preserve">  4.输出功率@桥接4Ω(失真≤1%时)  1300W </w:t>
            </w:r>
            <w:r>
              <w:rPr>
                <w:rFonts w:hint="eastAsia" w:ascii="宋体" w:hAnsi="宋体" w:eastAsia="宋体" w:cs="宋体"/>
                <w:sz w:val="24"/>
                <w:szCs w:val="24"/>
              </w:rPr>
              <w:br w:type="textWrapping"/>
            </w:r>
            <w:r>
              <w:rPr>
                <w:rFonts w:hint="eastAsia" w:ascii="宋体" w:hAnsi="宋体" w:eastAsia="宋体" w:cs="宋体"/>
                <w:sz w:val="24"/>
                <w:szCs w:val="24"/>
              </w:rPr>
              <w:t>  5.频率响应 20Hz～20KHz±0.35dB</w:t>
            </w:r>
            <w:r>
              <w:rPr>
                <w:rFonts w:hint="eastAsia" w:ascii="宋体" w:hAnsi="宋体" w:eastAsia="宋体" w:cs="宋体"/>
                <w:sz w:val="24"/>
                <w:szCs w:val="24"/>
              </w:rPr>
              <w:br w:type="textWrapping"/>
            </w:r>
            <w:r>
              <w:rPr>
                <w:rFonts w:hint="eastAsia" w:ascii="宋体" w:hAnsi="宋体" w:eastAsia="宋体" w:cs="宋体"/>
                <w:sz w:val="24"/>
                <w:szCs w:val="24"/>
              </w:rPr>
              <w:t>  6.总谐波失真 ≤0.05%</w:t>
            </w:r>
            <w:r>
              <w:rPr>
                <w:rFonts w:hint="eastAsia" w:ascii="宋体" w:hAnsi="宋体" w:eastAsia="宋体" w:cs="宋体"/>
                <w:sz w:val="24"/>
                <w:szCs w:val="24"/>
              </w:rPr>
              <w:br w:type="textWrapping"/>
            </w:r>
            <w:r>
              <w:rPr>
                <w:rFonts w:hint="eastAsia" w:ascii="宋体" w:hAnsi="宋体" w:eastAsia="宋体" w:cs="宋体"/>
                <w:sz w:val="24"/>
                <w:szCs w:val="24"/>
              </w:rPr>
              <w:t>  7.互调失真 ≤0.05%</w:t>
            </w:r>
            <w:r>
              <w:rPr>
                <w:rFonts w:hint="eastAsia" w:ascii="宋体" w:hAnsi="宋体" w:eastAsia="宋体" w:cs="宋体"/>
                <w:sz w:val="24"/>
                <w:szCs w:val="24"/>
              </w:rPr>
              <w:br w:type="textWrapping"/>
            </w:r>
            <w:r>
              <w:rPr>
                <w:rFonts w:hint="eastAsia" w:ascii="宋体" w:hAnsi="宋体" w:eastAsia="宋体" w:cs="宋体"/>
                <w:sz w:val="24"/>
                <w:szCs w:val="24"/>
              </w:rPr>
              <w:t>  8.信噪比≥102dB</w:t>
            </w:r>
            <w:r>
              <w:rPr>
                <w:rFonts w:hint="eastAsia" w:ascii="宋体" w:hAnsi="宋体" w:eastAsia="宋体" w:cs="宋体"/>
                <w:sz w:val="24"/>
                <w:szCs w:val="24"/>
              </w:rPr>
              <w:br w:type="textWrapping"/>
            </w:r>
            <w:r>
              <w:rPr>
                <w:rFonts w:hint="eastAsia" w:ascii="宋体" w:hAnsi="宋体" w:eastAsia="宋体" w:cs="宋体"/>
                <w:sz w:val="24"/>
                <w:szCs w:val="24"/>
              </w:rPr>
              <w:t>  9.输入共抑制比@1KHz ≥78dB</w:t>
            </w:r>
            <w:r>
              <w:rPr>
                <w:rFonts w:hint="eastAsia" w:ascii="宋体" w:hAnsi="宋体" w:eastAsia="宋体" w:cs="宋体"/>
                <w:sz w:val="24"/>
                <w:szCs w:val="24"/>
              </w:rPr>
              <w:br w:type="textWrapping"/>
            </w:r>
            <w:r>
              <w:rPr>
                <w:rFonts w:hint="eastAsia" w:ascii="宋体" w:hAnsi="宋体" w:eastAsia="宋体" w:cs="宋体"/>
                <w:sz w:val="24"/>
                <w:szCs w:val="24"/>
              </w:rPr>
              <w:t>  10.通道分离度@1KHz≥78dB</w:t>
            </w:r>
            <w:r>
              <w:rPr>
                <w:rFonts w:hint="eastAsia" w:ascii="宋体" w:hAnsi="宋体" w:eastAsia="宋体" w:cs="宋体"/>
                <w:sz w:val="24"/>
                <w:szCs w:val="24"/>
              </w:rPr>
              <w:br w:type="textWrapping"/>
            </w:r>
            <w:r>
              <w:rPr>
                <w:rFonts w:hint="eastAsia" w:ascii="宋体" w:hAnsi="宋体" w:eastAsia="宋体" w:cs="宋体"/>
                <w:sz w:val="24"/>
                <w:szCs w:val="24"/>
              </w:rPr>
              <w:t>  11.阻尼系数@8Ω,≤1KHz≥200</w:t>
            </w:r>
            <w:r>
              <w:rPr>
                <w:rFonts w:hint="eastAsia" w:ascii="宋体" w:hAnsi="宋体" w:eastAsia="宋体" w:cs="宋体"/>
                <w:sz w:val="24"/>
                <w:szCs w:val="24"/>
              </w:rPr>
              <w:br w:type="textWrapping"/>
            </w:r>
            <w:r>
              <w:rPr>
                <w:rFonts w:hint="eastAsia" w:ascii="宋体" w:hAnsi="宋体" w:eastAsia="宋体" w:cs="宋体"/>
                <w:sz w:val="24"/>
                <w:szCs w:val="24"/>
              </w:rPr>
              <w:t>  12.功放电路 双电源，T.D类</w:t>
            </w:r>
            <w:r>
              <w:rPr>
                <w:rFonts w:hint="eastAsia" w:ascii="宋体" w:hAnsi="宋体" w:eastAsia="宋体" w:cs="宋体"/>
                <w:sz w:val="24"/>
                <w:szCs w:val="24"/>
              </w:rPr>
              <w:br w:type="textWrapping"/>
            </w:r>
            <w:r>
              <w:rPr>
                <w:rFonts w:hint="eastAsia" w:ascii="宋体" w:hAnsi="宋体" w:eastAsia="宋体" w:cs="宋体"/>
                <w:sz w:val="24"/>
                <w:szCs w:val="24"/>
              </w:rPr>
              <w:t>  13.输入阻抗 20KΩ平衡输入</w:t>
            </w:r>
          </w:p>
        </w:tc>
        <w:tc>
          <w:tcPr>
            <w:tcW w:w="497" w:type="dxa"/>
            <w:gridSpan w:val="2"/>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tc>
      </w:tr>
      <w:tr>
        <w:trPr>
          <w:trHeight w:val="2850" w:hRule="atLeast"/>
          <w:tblCellSpacing w:w="15" w:type="dxa"/>
        </w:trPr>
        <w:tc>
          <w:tcPr>
            <w:tcW w:w="36" w:type="dxa"/>
            <w:tcBorders>
              <w:top w:val="nil"/>
              <w:left w:val="single" w:color="auto" w:sz="6" w:space="0"/>
              <w:bottom w:val="single" w:color="auto" w:sz="6" w:space="0"/>
              <w:right w:val="single" w:color="auto" w:sz="6" w:space="0"/>
            </w:tcBorders>
            <w:shd w:val="clear" w:color="auto" w:fill="FFFFFF"/>
            <w:tcMar>
              <w:top w:w="0" w:type="dxa"/>
              <w:left w:w="0" w:type="dxa"/>
              <w:bottom w:w="0" w:type="dxa"/>
              <w:right w:w="0" w:type="dxa"/>
            </w:tcMar>
            <w:vAlign w:val="center"/>
          </w:tcPr>
          <w:p>
            <w:pPr>
              <w:keepNext w:val="0"/>
              <w:keepLines w:val="0"/>
              <w:widowControl/>
              <w:suppressLineNumbers w:val="0"/>
              <w:jc w:val="left"/>
            </w:pPr>
          </w:p>
        </w:tc>
        <w:tc>
          <w:tcPr>
            <w:tcW w:w="890" w:type="dxa"/>
            <w:gridSpan w:val="2"/>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jc w:val="center"/>
            </w:pPr>
            <w:r>
              <w:rPr>
                <w:rFonts w:hint="default" w:ascii="Calibri" w:hAnsi="Calibri" w:cs="Calibri"/>
                <w:sz w:val="24"/>
                <w:szCs w:val="24"/>
              </w:rPr>
              <w:t>1-2-5</w:t>
            </w:r>
          </w:p>
        </w:tc>
        <w:tc>
          <w:tcPr>
            <w:tcW w:w="887"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pPr>
            <w:r>
              <w:rPr>
                <w:rFonts w:hint="eastAsia" w:ascii="宋体" w:hAnsi="宋体" w:eastAsia="宋体" w:cs="宋体"/>
                <w:sz w:val="24"/>
                <w:szCs w:val="24"/>
              </w:rPr>
              <w:t>8路蓝牙调音台</w:t>
            </w:r>
          </w:p>
        </w:tc>
        <w:tc>
          <w:tcPr>
            <w:tcW w:w="529"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jc w:val="center"/>
            </w:pPr>
            <w:r>
              <w:rPr>
                <w:rFonts w:hint="eastAsia" w:ascii="宋体" w:hAnsi="宋体" w:eastAsia="宋体" w:cs="宋体"/>
                <w:sz w:val="24"/>
                <w:szCs w:val="24"/>
              </w:rPr>
              <w:t>台</w:t>
            </w:r>
          </w:p>
        </w:tc>
        <w:tc>
          <w:tcPr>
            <w:tcW w:w="530"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jc w:val="center"/>
            </w:pPr>
            <w:r>
              <w:rPr>
                <w:rFonts w:hint="eastAsia" w:ascii="宋体" w:hAnsi="宋体" w:eastAsia="宋体" w:cs="宋体"/>
                <w:sz w:val="24"/>
                <w:szCs w:val="24"/>
              </w:rPr>
              <w:t>2</w:t>
            </w:r>
          </w:p>
        </w:tc>
        <w:tc>
          <w:tcPr>
            <w:tcW w:w="6395"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pPr>
            <w:r>
              <w:rPr>
                <w:rFonts w:hint="eastAsia" w:ascii="宋体" w:hAnsi="宋体" w:eastAsia="宋体" w:cs="宋体"/>
                <w:sz w:val="24"/>
                <w:szCs w:val="24"/>
              </w:rPr>
              <w:t>产品特点：</w:t>
            </w:r>
            <w:r>
              <w:rPr>
                <w:rFonts w:hint="eastAsia" w:ascii="宋体" w:hAnsi="宋体" w:eastAsia="宋体" w:cs="宋体"/>
                <w:sz w:val="24"/>
                <w:szCs w:val="24"/>
              </w:rPr>
              <w:br w:type="textWrapping"/>
            </w:r>
            <w:r>
              <w:rPr>
                <w:rFonts w:hint="eastAsia" w:ascii="宋体" w:hAnsi="宋体" w:eastAsia="宋体" w:cs="宋体"/>
                <w:sz w:val="24"/>
                <w:szCs w:val="24"/>
              </w:rPr>
              <w:t>  1.超薄数码显示效果器调音台</w:t>
            </w:r>
            <w:r>
              <w:rPr>
                <w:rFonts w:hint="eastAsia" w:ascii="宋体" w:hAnsi="宋体" w:eastAsia="宋体" w:cs="宋体"/>
                <w:sz w:val="24"/>
                <w:szCs w:val="24"/>
              </w:rPr>
              <w:br w:type="textWrapping"/>
            </w:r>
            <w:r>
              <w:rPr>
                <w:rFonts w:hint="eastAsia" w:ascii="宋体" w:hAnsi="宋体" w:eastAsia="宋体" w:cs="宋体"/>
                <w:sz w:val="24"/>
                <w:szCs w:val="24"/>
              </w:rPr>
              <w:t>  2.8路平衡式&amp;非平衡式通道输入；</w:t>
            </w:r>
            <w:r>
              <w:rPr>
                <w:rFonts w:hint="eastAsia" w:ascii="宋体" w:hAnsi="宋体" w:eastAsia="宋体" w:cs="宋体"/>
                <w:sz w:val="24"/>
                <w:szCs w:val="24"/>
              </w:rPr>
              <w:br w:type="textWrapping"/>
            </w:r>
            <w:r>
              <w:rPr>
                <w:rFonts w:hint="eastAsia" w:ascii="宋体" w:hAnsi="宋体" w:eastAsia="宋体" w:cs="宋体"/>
                <w:sz w:val="24"/>
                <w:szCs w:val="24"/>
              </w:rPr>
              <w:t>  3.两组左右主输出，两编组输出；</w:t>
            </w:r>
            <w:r>
              <w:rPr>
                <w:rFonts w:hint="eastAsia" w:ascii="宋体" w:hAnsi="宋体" w:eastAsia="宋体" w:cs="宋体"/>
                <w:sz w:val="24"/>
                <w:szCs w:val="24"/>
              </w:rPr>
              <w:br w:type="textWrapping"/>
            </w:r>
            <w:r>
              <w:rPr>
                <w:rFonts w:hint="eastAsia" w:ascii="宋体" w:hAnsi="宋体" w:eastAsia="宋体" w:cs="宋体"/>
                <w:sz w:val="24"/>
                <w:szCs w:val="24"/>
              </w:rPr>
              <w:t>  4.具有3段均衡器及高通滤波器；</w:t>
            </w:r>
            <w:r>
              <w:rPr>
                <w:rFonts w:hint="eastAsia" w:ascii="宋体" w:hAnsi="宋体" w:eastAsia="宋体" w:cs="宋体"/>
                <w:sz w:val="24"/>
                <w:szCs w:val="24"/>
              </w:rPr>
              <w:br w:type="textWrapping"/>
            </w:r>
            <w:r>
              <w:rPr>
                <w:rFonts w:hint="eastAsia" w:ascii="宋体" w:hAnsi="宋体" w:eastAsia="宋体" w:cs="宋体"/>
                <w:sz w:val="24"/>
                <w:szCs w:val="24"/>
              </w:rPr>
              <w:t>  5.每个通道独立的幻象供电开关；</w:t>
            </w:r>
            <w:r>
              <w:rPr>
                <w:rFonts w:hint="eastAsia" w:ascii="宋体" w:hAnsi="宋体" w:eastAsia="宋体" w:cs="宋体"/>
                <w:sz w:val="24"/>
                <w:szCs w:val="24"/>
              </w:rPr>
              <w:br w:type="textWrapping"/>
            </w:r>
            <w:r>
              <w:rPr>
                <w:rFonts w:hint="eastAsia" w:ascii="宋体" w:hAnsi="宋体" w:eastAsia="宋体" w:cs="宋体"/>
                <w:sz w:val="24"/>
                <w:szCs w:val="24"/>
              </w:rPr>
              <w:t>  6.监听功能强大，能分别监听所有输入输出端；</w:t>
            </w:r>
            <w:r>
              <w:rPr>
                <w:rFonts w:hint="eastAsia" w:ascii="宋体" w:hAnsi="宋体" w:eastAsia="宋体" w:cs="宋体"/>
                <w:sz w:val="24"/>
                <w:szCs w:val="24"/>
              </w:rPr>
              <w:br w:type="textWrapping"/>
            </w:r>
            <w:r>
              <w:rPr>
                <w:rFonts w:hint="eastAsia" w:ascii="宋体" w:hAnsi="宋体" w:eastAsia="宋体" w:cs="宋体"/>
                <w:sz w:val="24"/>
                <w:szCs w:val="24"/>
              </w:rPr>
              <w:t>  7.所有推子均带有静音、电平灯和AFL；</w:t>
            </w:r>
            <w:r>
              <w:rPr>
                <w:rFonts w:hint="eastAsia" w:ascii="宋体" w:hAnsi="宋体" w:eastAsia="宋体" w:cs="宋体"/>
                <w:sz w:val="24"/>
                <w:szCs w:val="24"/>
              </w:rPr>
              <w:br w:type="textWrapping"/>
            </w:r>
            <w:r>
              <w:rPr>
                <w:rFonts w:hint="eastAsia" w:ascii="宋体" w:hAnsi="宋体" w:eastAsia="宋体" w:cs="宋体"/>
                <w:sz w:val="24"/>
                <w:szCs w:val="24"/>
              </w:rPr>
              <w:t>  8.内置高品质24bit数字显示效果器；</w:t>
            </w:r>
          </w:p>
        </w:tc>
        <w:tc>
          <w:tcPr>
            <w:tcW w:w="497" w:type="dxa"/>
            <w:gridSpan w:val="2"/>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tc>
      </w:tr>
      <w:tr>
        <w:trPr>
          <w:trHeight w:val="2850" w:hRule="atLeast"/>
          <w:tblCellSpacing w:w="15" w:type="dxa"/>
        </w:trPr>
        <w:tc>
          <w:tcPr>
            <w:tcW w:w="36" w:type="dxa"/>
            <w:tcBorders>
              <w:top w:val="nil"/>
              <w:left w:val="single" w:color="auto" w:sz="6" w:space="0"/>
              <w:bottom w:val="single" w:color="auto" w:sz="6" w:space="0"/>
              <w:right w:val="single" w:color="auto" w:sz="6" w:space="0"/>
            </w:tcBorders>
            <w:shd w:val="clear" w:color="auto" w:fill="FFFFFF"/>
            <w:tcMar>
              <w:top w:w="0" w:type="dxa"/>
              <w:left w:w="0" w:type="dxa"/>
              <w:bottom w:w="0" w:type="dxa"/>
              <w:right w:w="0" w:type="dxa"/>
            </w:tcMar>
            <w:vAlign w:val="center"/>
          </w:tcPr>
          <w:p>
            <w:pPr>
              <w:keepNext w:val="0"/>
              <w:keepLines w:val="0"/>
              <w:widowControl/>
              <w:suppressLineNumbers w:val="0"/>
              <w:jc w:val="left"/>
            </w:pPr>
          </w:p>
        </w:tc>
        <w:tc>
          <w:tcPr>
            <w:tcW w:w="890" w:type="dxa"/>
            <w:gridSpan w:val="2"/>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jc w:val="center"/>
            </w:pPr>
            <w:r>
              <w:rPr>
                <w:rFonts w:hint="default" w:ascii="Calibri" w:hAnsi="Calibri" w:cs="Calibri"/>
                <w:sz w:val="24"/>
                <w:szCs w:val="24"/>
              </w:rPr>
              <w:t>1-2-6</w:t>
            </w:r>
          </w:p>
        </w:tc>
        <w:tc>
          <w:tcPr>
            <w:tcW w:w="887"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pPr>
            <w:r>
              <w:rPr>
                <w:rFonts w:hint="eastAsia" w:ascii="宋体" w:hAnsi="宋体" w:eastAsia="宋体" w:cs="宋体"/>
                <w:sz w:val="24"/>
                <w:szCs w:val="24"/>
              </w:rPr>
              <w:t>均衡器</w:t>
            </w:r>
          </w:p>
        </w:tc>
        <w:tc>
          <w:tcPr>
            <w:tcW w:w="529"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jc w:val="center"/>
            </w:pPr>
            <w:r>
              <w:rPr>
                <w:rFonts w:hint="eastAsia" w:ascii="宋体" w:hAnsi="宋体" w:eastAsia="宋体" w:cs="宋体"/>
                <w:sz w:val="24"/>
                <w:szCs w:val="24"/>
              </w:rPr>
              <w:t>台</w:t>
            </w:r>
          </w:p>
        </w:tc>
        <w:tc>
          <w:tcPr>
            <w:tcW w:w="530"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jc w:val="center"/>
            </w:pPr>
            <w:r>
              <w:rPr>
                <w:rFonts w:hint="eastAsia" w:ascii="宋体" w:hAnsi="宋体" w:eastAsia="宋体" w:cs="宋体"/>
                <w:sz w:val="24"/>
                <w:szCs w:val="24"/>
              </w:rPr>
              <w:t>2</w:t>
            </w:r>
          </w:p>
        </w:tc>
        <w:tc>
          <w:tcPr>
            <w:tcW w:w="6395"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pPr>
            <w:r>
              <w:rPr>
                <w:rFonts w:hint="eastAsia" w:ascii="宋体" w:hAnsi="宋体" w:eastAsia="宋体" w:cs="宋体"/>
                <w:sz w:val="24"/>
                <w:szCs w:val="24"/>
              </w:rPr>
              <w:t>技术参数：</w:t>
            </w:r>
            <w:r>
              <w:rPr>
                <w:rFonts w:hint="eastAsia" w:ascii="宋体" w:hAnsi="宋体" w:eastAsia="宋体" w:cs="宋体"/>
                <w:sz w:val="24"/>
                <w:szCs w:val="24"/>
              </w:rPr>
              <w:br w:type="textWrapping"/>
            </w:r>
            <w:r>
              <w:rPr>
                <w:rFonts w:hint="eastAsia" w:ascii="宋体" w:hAnsi="宋体" w:eastAsia="宋体" w:cs="宋体"/>
                <w:sz w:val="24"/>
                <w:szCs w:val="24"/>
              </w:rPr>
              <w:t>  1.图示双31段恒定Q值均衡器，1/3倍频程；</w:t>
            </w:r>
            <w:r>
              <w:rPr>
                <w:rFonts w:hint="eastAsia" w:ascii="宋体" w:hAnsi="宋体" w:eastAsia="宋体" w:cs="宋体"/>
                <w:sz w:val="24"/>
                <w:szCs w:val="24"/>
              </w:rPr>
              <w:br w:type="textWrapping"/>
            </w:r>
            <w:r>
              <w:rPr>
                <w:rFonts w:hint="eastAsia" w:ascii="宋体" w:hAnsi="宋体" w:eastAsia="宋体" w:cs="宋体"/>
                <w:sz w:val="24"/>
                <w:szCs w:val="24"/>
              </w:rPr>
              <w:t>  2.TRS或XLR差分平衡入和输出；</w:t>
            </w:r>
            <w:r>
              <w:rPr>
                <w:rFonts w:hint="eastAsia" w:ascii="宋体" w:hAnsi="宋体" w:eastAsia="宋体" w:cs="宋体"/>
                <w:sz w:val="24"/>
                <w:szCs w:val="24"/>
              </w:rPr>
              <w:br w:type="textWrapping"/>
            </w:r>
            <w:r>
              <w:rPr>
                <w:rFonts w:hint="eastAsia" w:ascii="宋体" w:hAnsi="宋体" w:eastAsia="宋体" w:cs="宋体"/>
                <w:sz w:val="24"/>
                <w:szCs w:val="24"/>
              </w:rPr>
              <w:t>  3.24dB nkWitz-Riley滤波器(专业标准)；</w:t>
            </w:r>
            <w:r>
              <w:rPr>
                <w:rFonts w:hint="eastAsia" w:ascii="宋体" w:hAnsi="宋体" w:eastAsia="宋体" w:cs="宋体"/>
                <w:sz w:val="24"/>
                <w:szCs w:val="24"/>
              </w:rPr>
              <w:br w:type="textWrapping"/>
            </w:r>
            <w:r>
              <w:rPr>
                <w:rFonts w:hint="eastAsia" w:ascii="宋体" w:hAnsi="宋体" w:eastAsia="宋体" w:cs="宋体"/>
                <w:sz w:val="24"/>
                <w:szCs w:val="24"/>
              </w:rPr>
              <w:t>  4.独立通道电平调节、一键旁通功能；</w:t>
            </w:r>
            <w:r>
              <w:rPr>
                <w:rFonts w:hint="eastAsia" w:ascii="宋体" w:hAnsi="宋体" w:eastAsia="宋体" w:cs="宋体"/>
                <w:sz w:val="24"/>
                <w:szCs w:val="24"/>
              </w:rPr>
              <w:br w:type="textWrapping"/>
            </w:r>
            <w:r>
              <w:rPr>
                <w:rFonts w:hint="eastAsia" w:ascii="宋体" w:hAnsi="宋体" w:eastAsia="宋体" w:cs="宋体"/>
                <w:sz w:val="24"/>
                <w:szCs w:val="24"/>
              </w:rPr>
              <w:t>  5.20-300Hz、4KHz-20KHz高低通可调滤波；</w:t>
            </w:r>
            <w:r>
              <w:rPr>
                <w:rFonts w:hint="eastAsia" w:ascii="宋体" w:hAnsi="宋体" w:eastAsia="宋体" w:cs="宋体"/>
                <w:sz w:val="24"/>
                <w:szCs w:val="24"/>
              </w:rPr>
              <w:br w:type="textWrapping"/>
            </w:r>
            <w:r>
              <w:rPr>
                <w:rFonts w:hint="eastAsia" w:ascii="宋体" w:hAnsi="宋体" w:eastAsia="宋体" w:cs="宋体"/>
                <w:sz w:val="24"/>
                <w:szCs w:val="24"/>
              </w:rPr>
              <w:t xml:space="preserve">  6.30mm长推杆，更加精细调节系统； </w:t>
            </w:r>
            <w:r>
              <w:rPr>
                <w:rFonts w:hint="eastAsia" w:ascii="宋体" w:hAnsi="宋体" w:eastAsia="宋体" w:cs="宋体"/>
                <w:sz w:val="24"/>
                <w:szCs w:val="24"/>
              </w:rPr>
              <w:br w:type="textWrapping"/>
            </w:r>
            <w:r>
              <w:rPr>
                <w:rFonts w:hint="eastAsia" w:ascii="宋体" w:hAnsi="宋体" w:eastAsia="宋体" w:cs="宋体"/>
                <w:sz w:val="24"/>
                <w:szCs w:val="24"/>
              </w:rPr>
              <w:t>  7.全SMT表面贴装工艺；</w:t>
            </w:r>
            <w:r>
              <w:rPr>
                <w:rFonts w:hint="eastAsia" w:ascii="宋体" w:hAnsi="宋体" w:eastAsia="宋体" w:cs="宋体"/>
                <w:sz w:val="24"/>
                <w:szCs w:val="24"/>
              </w:rPr>
              <w:br w:type="textWrapping"/>
            </w:r>
            <w:r>
              <w:rPr>
                <w:rFonts w:hint="eastAsia" w:ascii="宋体" w:hAnsi="宋体" w:eastAsia="宋体" w:cs="宋体"/>
                <w:sz w:val="24"/>
                <w:szCs w:val="24"/>
              </w:rPr>
              <w:t xml:space="preserve">  8.双七段光柱电平，显示音频输入状态； </w:t>
            </w:r>
          </w:p>
        </w:tc>
        <w:tc>
          <w:tcPr>
            <w:tcW w:w="497" w:type="dxa"/>
            <w:gridSpan w:val="2"/>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tc>
      </w:tr>
      <w:tr>
        <w:trPr>
          <w:trHeight w:val="2220" w:hRule="atLeast"/>
          <w:tblCellSpacing w:w="15" w:type="dxa"/>
        </w:trPr>
        <w:tc>
          <w:tcPr>
            <w:tcW w:w="36" w:type="dxa"/>
            <w:tcBorders>
              <w:top w:val="nil"/>
              <w:left w:val="single" w:color="auto" w:sz="6" w:space="0"/>
              <w:bottom w:val="single" w:color="auto" w:sz="6" w:space="0"/>
              <w:right w:val="single" w:color="auto" w:sz="6" w:space="0"/>
            </w:tcBorders>
            <w:shd w:val="clear" w:color="auto" w:fill="FFFFFF"/>
            <w:tcMar>
              <w:top w:w="0" w:type="dxa"/>
              <w:left w:w="0" w:type="dxa"/>
              <w:bottom w:w="0" w:type="dxa"/>
              <w:right w:w="0" w:type="dxa"/>
            </w:tcMar>
            <w:vAlign w:val="center"/>
          </w:tcPr>
          <w:p>
            <w:pPr>
              <w:keepNext w:val="0"/>
              <w:keepLines w:val="0"/>
              <w:widowControl/>
              <w:suppressLineNumbers w:val="0"/>
              <w:jc w:val="left"/>
            </w:pPr>
          </w:p>
        </w:tc>
        <w:tc>
          <w:tcPr>
            <w:tcW w:w="890" w:type="dxa"/>
            <w:gridSpan w:val="2"/>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jc w:val="center"/>
            </w:pPr>
            <w:r>
              <w:rPr>
                <w:rFonts w:hint="default" w:ascii="Calibri" w:hAnsi="Calibri" w:cs="Calibri"/>
                <w:sz w:val="24"/>
                <w:szCs w:val="24"/>
              </w:rPr>
              <w:t>1-2-7</w:t>
            </w:r>
          </w:p>
        </w:tc>
        <w:tc>
          <w:tcPr>
            <w:tcW w:w="887"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pPr>
            <w:r>
              <w:rPr>
                <w:rFonts w:hint="eastAsia" w:ascii="宋体" w:hAnsi="宋体" w:eastAsia="宋体" w:cs="宋体"/>
                <w:sz w:val="24"/>
                <w:szCs w:val="24"/>
              </w:rPr>
              <w:t>数字反馈抑制器</w:t>
            </w:r>
          </w:p>
        </w:tc>
        <w:tc>
          <w:tcPr>
            <w:tcW w:w="529"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jc w:val="center"/>
            </w:pPr>
            <w:r>
              <w:rPr>
                <w:rFonts w:hint="eastAsia" w:ascii="宋体" w:hAnsi="宋体" w:eastAsia="宋体" w:cs="宋体"/>
                <w:sz w:val="24"/>
                <w:szCs w:val="24"/>
              </w:rPr>
              <w:t>台</w:t>
            </w:r>
          </w:p>
        </w:tc>
        <w:tc>
          <w:tcPr>
            <w:tcW w:w="530"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jc w:val="center"/>
            </w:pPr>
            <w:r>
              <w:rPr>
                <w:rFonts w:hint="eastAsia" w:ascii="宋体" w:hAnsi="宋体" w:eastAsia="宋体" w:cs="宋体"/>
                <w:sz w:val="24"/>
                <w:szCs w:val="24"/>
              </w:rPr>
              <w:t>2</w:t>
            </w:r>
          </w:p>
        </w:tc>
        <w:tc>
          <w:tcPr>
            <w:tcW w:w="6395"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pPr>
            <w:r>
              <w:rPr>
                <w:rFonts w:hint="eastAsia" w:ascii="宋体" w:hAnsi="宋体" w:eastAsia="宋体" w:cs="宋体"/>
                <w:sz w:val="24"/>
                <w:szCs w:val="24"/>
              </w:rPr>
              <w:t>技术参数：</w:t>
            </w:r>
            <w:r>
              <w:rPr>
                <w:rFonts w:hint="eastAsia" w:ascii="宋体" w:hAnsi="宋体" w:eastAsia="宋体" w:cs="宋体"/>
                <w:sz w:val="24"/>
                <w:szCs w:val="24"/>
              </w:rPr>
              <w:br w:type="textWrapping"/>
            </w:r>
            <w:r>
              <w:rPr>
                <w:rFonts w:hint="eastAsia" w:ascii="宋体" w:hAnsi="宋体" w:eastAsia="宋体" w:cs="宋体"/>
                <w:sz w:val="24"/>
                <w:szCs w:val="24"/>
              </w:rPr>
              <w:t>  1.采用高性能24Bit A/D和D/A转换器，48K采样率。</w:t>
            </w:r>
            <w:r>
              <w:rPr>
                <w:rFonts w:hint="eastAsia" w:ascii="宋体" w:hAnsi="宋体" w:eastAsia="宋体" w:cs="宋体"/>
                <w:sz w:val="24"/>
                <w:szCs w:val="24"/>
              </w:rPr>
              <w:br w:type="textWrapping"/>
            </w:r>
            <w:r>
              <w:rPr>
                <w:rFonts w:hint="eastAsia" w:ascii="宋体" w:hAnsi="宋体" w:eastAsia="宋体" w:cs="宋体"/>
                <w:sz w:val="24"/>
                <w:szCs w:val="24"/>
              </w:rPr>
              <w:t>  2.每通道有12段反馈自动搜索频率。</w:t>
            </w:r>
            <w:r>
              <w:rPr>
                <w:rFonts w:hint="eastAsia" w:ascii="宋体" w:hAnsi="宋体" w:eastAsia="宋体" w:cs="宋体"/>
                <w:sz w:val="24"/>
                <w:szCs w:val="24"/>
              </w:rPr>
              <w:br w:type="textWrapping"/>
            </w:r>
            <w:r>
              <w:rPr>
                <w:rFonts w:hint="eastAsia" w:ascii="宋体" w:hAnsi="宋体" w:eastAsia="宋体" w:cs="宋体"/>
                <w:sz w:val="24"/>
                <w:szCs w:val="24"/>
              </w:rPr>
              <w:t>  3.手动模式可设置2×12个滤波器，包括频率，Q值。</w:t>
            </w:r>
            <w:r>
              <w:rPr>
                <w:rFonts w:hint="eastAsia" w:ascii="宋体" w:hAnsi="宋体" w:eastAsia="宋体" w:cs="宋体"/>
                <w:sz w:val="24"/>
                <w:szCs w:val="24"/>
              </w:rPr>
              <w:br w:type="textWrapping"/>
            </w:r>
            <w:r>
              <w:rPr>
                <w:rFonts w:hint="eastAsia" w:ascii="宋体" w:hAnsi="宋体" w:eastAsia="宋体" w:cs="宋体"/>
                <w:sz w:val="24"/>
                <w:szCs w:val="24"/>
              </w:rPr>
              <w:t>  4.单点模式自动搜索反馈频点进行陷波处理。</w:t>
            </w:r>
            <w:r>
              <w:rPr>
                <w:rFonts w:hint="eastAsia" w:ascii="宋体" w:hAnsi="宋体" w:eastAsia="宋体" w:cs="宋体"/>
                <w:sz w:val="24"/>
                <w:szCs w:val="24"/>
              </w:rPr>
              <w:br w:type="textWrapping"/>
            </w:r>
            <w:r>
              <w:rPr>
                <w:rFonts w:hint="eastAsia" w:ascii="宋体" w:hAnsi="宋体" w:eastAsia="宋体" w:cs="宋体"/>
                <w:sz w:val="24"/>
                <w:szCs w:val="24"/>
              </w:rPr>
              <w:t>  5.开启电源软启动，无冲击声，带噪声门功能。</w:t>
            </w:r>
            <w:r>
              <w:rPr>
                <w:rFonts w:hint="eastAsia" w:ascii="宋体" w:hAnsi="宋体" w:eastAsia="宋体" w:cs="宋体"/>
                <w:sz w:val="24"/>
                <w:szCs w:val="24"/>
              </w:rPr>
              <w:br w:type="textWrapping"/>
            </w:r>
            <w:r>
              <w:rPr>
                <w:rFonts w:hint="eastAsia" w:ascii="宋体" w:hAnsi="宋体" w:eastAsia="宋体" w:cs="宋体"/>
                <w:sz w:val="24"/>
                <w:szCs w:val="24"/>
              </w:rPr>
              <w:t>  6.TRS或XLR差分平衡入和输出；</w:t>
            </w:r>
          </w:p>
        </w:tc>
        <w:tc>
          <w:tcPr>
            <w:tcW w:w="497" w:type="dxa"/>
            <w:gridSpan w:val="2"/>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tc>
      </w:tr>
      <w:tr>
        <w:trPr>
          <w:trHeight w:val="5055" w:hRule="atLeast"/>
          <w:tblCellSpacing w:w="15" w:type="dxa"/>
        </w:trPr>
        <w:tc>
          <w:tcPr>
            <w:tcW w:w="36" w:type="dxa"/>
            <w:tcBorders>
              <w:top w:val="nil"/>
              <w:left w:val="single" w:color="auto" w:sz="6" w:space="0"/>
              <w:bottom w:val="single" w:color="auto" w:sz="6" w:space="0"/>
              <w:right w:val="single" w:color="auto" w:sz="6" w:space="0"/>
            </w:tcBorders>
            <w:shd w:val="clear" w:color="auto" w:fill="FFFFFF"/>
            <w:tcMar>
              <w:top w:w="0" w:type="dxa"/>
              <w:left w:w="0" w:type="dxa"/>
              <w:bottom w:w="0" w:type="dxa"/>
              <w:right w:w="0" w:type="dxa"/>
            </w:tcMar>
            <w:vAlign w:val="center"/>
          </w:tcPr>
          <w:p>
            <w:pPr>
              <w:keepNext w:val="0"/>
              <w:keepLines w:val="0"/>
              <w:widowControl/>
              <w:suppressLineNumbers w:val="0"/>
              <w:jc w:val="left"/>
            </w:pPr>
          </w:p>
        </w:tc>
        <w:tc>
          <w:tcPr>
            <w:tcW w:w="890" w:type="dxa"/>
            <w:gridSpan w:val="2"/>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jc w:val="center"/>
            </w:pPr>
            <w:r>
              <w:rPr>
                <w:rFonts w:hint="default" w:ascii="Calibri" w:hAnsi="Calibri" w:cs="Calibri"/>
                <w:sz w:val="24"/>
                <w:szCs w:val="24"/>
              </w:rPr>
              <w:t>1-2-8</w:t>
            </w:r>
          </w:p>
        </w:tc>
        <w:tc>
          <w:tcPr>
            <w:tcW w:w="887"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pPr>
            <w:r>
              <w:rPr>
                <w:rFonts w:hint="eastAsia" w:ascii="宋体" w:hAnsi="宋体" w:eastAsia="宋体" w:cs="宋体"/>
                <w:sz w:val="24"/>
                <w:szCs w:val="24"/>
              </w:rPr>
              <w:t>数字音频处理器</w:t>
            </w:r>
          </w:p>
        </w:tc>
        <w:tc>
          <w:tcPr>
            <w:tcW w:w="529"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jc w:val="center"/>
            </w:pPr>
            <w:r>
              <w:rPr>
                <w:rFonts w:hint="eastAsia" w:ascii="宋体" w:hAnsi="宋体" w:eastAsia="宋体" w:cs="宋体"/>
                <w:sz w:val="24"/>
                <w:szCs w:val="24"/>
              </w:rPr>
              <w:t>台</w:t>
            </w:r>
          </w:p>
        </w:tc>
        <w:tc>
          <w:tcPr>
            <w:tcW w:w="530"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jc w:val="center"/>
            </w:pPr>
            <w:r>
              <w:rPr>
                <w:rFonts w:hint="eastAsia" w:ascii="宋体" w:hAnsi="宋体" w:eastAsia="宋体" w:cs="宋体"/>
                <w:sz w:val="24"/>
                <w:szCs w:val="24"/>
              </w:rPr>
              <w:t>2</w:t>
            </w:r>
          </w:p>
        </w:tc>
        <w:tc>
          <w:tcPr>
            <w:tcW w:w="6395"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pPr>
            <w:r>
              <w:rPr>
                <w:rFonts w:hint="eastAsia" w:ascii="宋体" w:hAnsi="宋体" w:eastAsia="宋体" w:cs="宋体"/>
                <w:sz w:val="24"/>
                <w:szCs w:val="24"/>
              </w:rPr>
              <w:t>技术参数：</w:t>
            </w:r>
            <w:r>
              <w:rPr>
                <w:rFonts w:hint="eastAsia" w:ascii="宋体" w:hAnsi="宋体" w:eastAsia="宋体" w:cs="宋体"/>
                <w:sz w:val="24"/>
                <w:szCs w:val="24"/>
              </w:rPr>
              <w:br w:type="textWrapping"/>
            </w:r>
            <w:r>
              <w:rPr>
                <w:rFonts w:hint="eastAsia" w:ascii="宋体" w:hAnsi="宋体" w:eastAsia="宋体" w:cs="宋体"/>
                <w:sz w:val="24"/>
                <w:szCs w:val="24"/>
              </w:rPr>
              <w:t xml:space="preserve">  1.96KHz采样频率，32-bit DSP处理器，32-bit   A/D及D/A转换。 </w:t>
            </w:r>
            <w:r>
              <w:rPr>
                <w:rFonts w:hint="eastAsia" w:ascii="宋体" w:hAnsi="宋体" w:eastAsia="宋体" w:cs="宋体"/>
                <w:sz w:val="24"/>
                <w:szCs w:val="24"/>
              </w:rPr>
              <w:br w:type="textWrapping"/>
            </w:r>
            <w:r>
              <w:rPr>
                <w:rFonts w:hint="eastAsia" w:ascii="宋体" w:hAnsi="宋体" w:eastAsia="宋体" w:cs="宋体"/>
                <w:sz w:val="24"/>
                <w:szCs w:val="24"/>
              </w:rPr>
              <w:t>  2.内置均衡器、分频器、压限器、增益器、延时器、噪声门、路由矩阵。</w:t>
            </w:r>
            <w:r>
              <w:rPr>
                <w:rFonts w:hint="eastAsia" w:ascii="宋体" w:hAnsi="宋体" w:eastAsia="宋体" w:cs="宋体"/>
                <w:sz w:val="24"/>
                <w:szCs w:val="24"/>
              </w:rPr>
              <w:br w:type="textWrapping"/>
            </w:r>
            <w:r>
              <w:rPr>
                <w:rFonts w:hint="eastAsia" w:ascii="宋体" w:hAnsi="宋体" w:eastAsia="宋体" w:cs="宋体"/>
                <w:sz w:val="24"/>
                <w:szCs w:val="24"/>
              </w:rPr>
              <w:t>  3.2路XLR母卡侬座输入，4路XLR公卡侬座输出可灵活组合多种分频模式，高、低通分频点均可达20Hz-20KHz。</w:t>
            </w:r>
            <w:r>
              <w:rPr>
                <w:rFonts w:hint="eastAsia" w:ascii="宋体" w:hAnsi="宋体" w:eastAsia="宋体" w:cs="宋体"/>
                <w:sz w:val="24"/>
                <w:szCs w:val="24"/>
              </w:rPr>
              <w:br w:type="textWrapping"/>
            </w:r>
            <w:r>
              <w:rPr>
                <w:rFonts w:hint="eastAsia" w:ascii="宋体" w:hAnsi="宋体" w:eastAsia="宋体" w:cs="宋体"/>
                <w:sz w:val="24"/>
                <w:szCs w:val="24"/>
              </w:rPr>
              <w:t>  4.提供USB和RS485接口可连接电脑，通过RS485接口可最多连接250台机器和超过1500米的距离外用电脑来控制。</w:t>
            </w:r>
            <w:r>
              <w:rPr>
                <w:rFonts w:hint="eastAsia" w:ascii="宋体" w:hAnsi="宋体" w:eastAsia="宋体" w:cs="宋体"/>
                <w:sz w:val="24"/>
                <w:szCs w:val="24"/>
              </w:rPr>
              <w:br w:type="textWrapping"/>
            </w:r>
            <w:r>
              <w:rPr>
                <w:rFonts w:hint="eastAsia" w:ascii="宋体" w:hAnsi="宋体" w:eastAsia="宋体" w:cs="宋体"/>
                <w:sz w:val="24"/>
                <w:szCs w:val="24"/>
              </w:rPr>
              <w:t>  5.直接用面板的功能键和拔轮进行功能设置或是连接电脑通过PC控制软件来控制，均十分方便、直观和简洁。</w:t>
            </w:r>
            <w:r>
              <w:rPr>
                <w:rFonts w:hint="eastAsia" w:ascii="宋体" w:hAnsi="宋体" w:eastAsia="宋体" w:cs="宋体"/>
                <w:sz w:val="24"/>
                <w:szCs w:val="24"/>
              </w:rPr>
              <w:br w:type="textWrapping"/>
            </w:r>
            <w:r>
              <w:rPr>
                <w:rFonts w:hint="eastAsia" w:ascii="宋体" w:hAnsi="宋体" w:eastAsia="宋体" w:cs="宋体"/>
                <w:sz w:val="24"/>
                <w:szCs w:val="24"/>
              </w:rPr>
              <w:t>  6.单机可存储30种用户程序。</w:t>
            </w:r>
            <w:r>
              <w:rPr>
                <w:rFonts w:hint="eastAsia" w:ascii="宋体" w:hAnsi="宋体" w:eastAsia="宋体" w:cs="宋体"/>
                <w:sz w:val="24"/>
                <w:szCs w:val="24"/>
              </w:rPr>
              <w:br w:type="textWrapping"/>
            </w:r>
            <w:r>
              <w:rPr>
                <w:rFonts w:hint="eastAsia" w:ascii="宋体" w:hAnsi="宋体" w:eastAsia="宋体" w:cs="宋体"/>
                <w:sz w:val="24"/>
                <w:szCs w:val="24"/>
              </w:rPr>
              <w:t>  7.可通过面板的SYSTEM按键来设定密码锁定面板控制功能，以防止闲杂人员的操作破坏机器的工作状态。</w:t>
            </w:r>
          </w:p>
        </w:tc>
        <w:tc>
          <w:tcPr>
            <w:tcW w:w="497" w:type="dxa"/>
            <w:gridSpan w:val="2"/>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tc>
      </w:tr>
      <w:tr>
        <w:trPr>
          <w:trHeight w:val="2535" w:hRule="atLeast"/>
          <w:tblCellSpacing w:w="15" w:type="dxa"/>
        </w:trPr>
        <w:tc>
          <w:tcPr>
            <w:tcW w:w="36" w:type="dxa"/>
            <w:tcBorders>
              <w:top w:val="nil"/>
              <w:left w:val="single" w:color="auto" w:sz="6" w:space="0"/>
              <w:bottom w:val="single" w:color="auto" w:sz="6" w:space="0"/>
              <w:right w:val="single" w:color="auto" w:sz="6" w:space="0"/>
            </w:tcBorders>
            <w:shd w:val="clear" w:color="auto" w:fill="FFFFFF"/>
            <w:tcMar>
              <w:top w:w="0" w:type="dxa"/>
              <w:left w:w="0" w:type="dxa"/>
              <w:bottom w:w="0" w:type="dxa"/>
              <w:right w:w="0" w:type="dxa"/>
            </w:tcMar>
            <w:vAlign w:val="center"/>
          </w:tcPr>
          <w:p>
            <w:pPr>
              <w:keepNext w:val="0"/>
              <w:keepLines w:val="0"/>
              <w:widowControl/>
              <w:suppressLineNumbers w:val="0"/>
              <w:jc w:val="left"/>
            </w:pPr>
          </w:p>
        </w:tc>
        <w:tc>
          <w:tcPr>
            <w:tcW w:w="890" w:type="dxa"/>
            <w:gridSpan w:val="2"/>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jc w:val="center"/>
            </w:pPr>
            <w:r>
              <w:rPr>
                <w:rFonts w:hint="default" w:ascii="Calibri" w:hAnsi="Calibri" w:cs="Calibri"/>
                <w:sz w:val="24"/>
                <w:szCs w:val="24"/>
              </w:rPr>
              <w:t>1-2-9</w:t>
            </w:r>
          </w:p>
        </w:tc>
        <w:tc>
          <w:tcPr>
            <w:tcW w:w="887"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pPr>
            <w:r>
              <w:rPr>
                <w:rFonts w:hint="eastAsia" w:ascii="宋体" w:hAnsi="宋体" w:eastAsia="宋体" w:cs="宋体"/>
                <w:sz w:val="24"/>
                <w:szCs w:val="24"/>
              </w:rPr>
              <w:t>电源时序器</w:t>
            </w:r>
          </w:p>
        </w:tc>
        <w:tc>
          <w:tcPr>
            <w:tcW w:w="529"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jc w:val="center"/>
            </w:pPr>
            <w:r>
              <w:rPr>
                <w:rFonts w:hint="eastAsia" w:ascii="宋体" w:hAnsi="宋体" w:eastAsia="宋体" w:cs="宋体"/>
                <w:sz w:val="24"/>
                <w:szCs w:val="24"/>
              </w:rPr>
              <w:t>台</w:t>
            </w:r>
          </w:p>
        </w:tc>
        <w:tc>
          <w:tcPr>
            <w:tcW w:w="530"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jc w:val="center"/>
            </w:pPr>
            <w:r>
              <w:rPr>
                <w:rFonts w:hint="eastAsia" w:ascii="宋体" w:hAnsi="宋体" w:eastAsia="宋体" w:cs="宋体"/>
                <w:sz w:val="24"/>
                <w:szCs w:val="24"/>
              </w:rPr>
              <w:t>2</w:t>
            </w:r>
          </w:p>
        </w:tc>
        <w:tc>
          <w:tcPr>
            <w:tcW w:w="6395"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pPr>
            <w:r>
              <w:rPr>
                <w:rFonts w:hint="eastAsia" w:ascii="宋体" w:hAnsi="宋体" w:eastAsia="宋体" w:cs="宋体"/>
                <w:sz w:val="24"/>
                <w:szCs w:val="24"/>
              </w:rPr>
              <w:t>1．大电流，8路供电输出，每路采用30A继电器，每路输出采用16A万能插座，适用大功率使用场合；</w:t>
            </w:r>
            <w:r>
              <w:rPr>
                <w:rFonts w:hint="eastAsia" w:ascii="宋体" w:hAnsi="宋体" w:eastAsia="宋体" w:cs="宋体"/>
                <w:sz w:val="24"/>
                <w:szCs w:val="24"/>
              </w:rPr>
              <w:br w:type="textWrapping"/>
            </w:r>
            <w:r>
              <w:rPr>
                <w:rFonts w:hint="eastAsia" w:ascii="宋体" w:hAnsi="宋体" w:eastAsia="宋体" w:cs="宋体"/>
                <w:sz w:val="24"/>
                <w:szCs w:val="24"/>
              </w:rPr>
              <w:t>  2．具有50A空气开关保护装置，同时具备数字电压表显示工作电压；</w:t>
            </w:r>
            <w:r>
              <w:rPr>
                <w:rFonts w:hint="eastAsia" w:ascii="宋体" w:hAnsi="宋体" w:eastAsia="宋体" w:cs="宋体"/>
                <w:sz w:val="24"/>
                <w:szCs w:val="24"/>
              </w:rPr>
              <w:br w:type="textWrapping"/>
            </w:r>
            <w:r>
              <w:rPr>
                <w:rFonts w:hint="eastAsia" w:ascii="宋体" w:hAnsi="宋体" w:eastAsia="宋体" w:cs="宋体"/>
                <w:sz w:val="24"/>
                <w:szCs w:val="24"/>
              </w:rPr>
              <w:t>  3．可选配20A净化模块，清除电流涌流干扰，可有效防止系统电流声干扰问题；</w:t>
            </w:r>
            <w:r>
              <w:rPr>
                <w:rFonts w:hint="eastAsia" w:ascii="宋体" w:hAnsi="宋体" w:eastAsia="宋体" w:cs="宋体"/>
                <w:sz w:val="24"/>
                <w:szCs w:val="24"/>
              </w:rPr>
              <w:br w:type="textWrapping"/>
            </w:r>
            <w:r>
              <w:rPr>
                <w:rFonts w:hint="eastAsia" w:ascii="宋体" w:hAnsi="宋体" w:eastAsia="宋体" w:cs="宋体"/>
                <w:sz w:val="24"/>
                <w:szCs w:val="24"/>
              </w:rPr>
              <w:t>  4．控制接口：以太网口、RS485串口、DC5～24V电压启动接口、状态输出口；</w:t>
            </w:r>
          </w:p>
        </w:tc>
        <w:tc>
          <w:tcPr>
            <w:tcW w:w="497" w:type="dxa"/>
            <w:gridSpan w:val="2"/>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tc>
      </w:tr>
      <w:tr>
        <w:trPr>
          <w:trHeight w:val="1275" w:hRule="atLeast"/>
          <w:tblCellSpacing w:w="15" w:type="dxa"/>
        </w:trPr>
        <w:tc>
          <w:tcPr>
            <w:tcW w:w="36" w:type="dxa"/>
            <w:tcBorders>
              <w:top w:val="nil"/>
              <w:left w:val="single" w:color="auto" w:sz="6" w:space="0"/>
              <w:bottom w:val="single" w:color="auto" w:sz="6" w:space="0"/>
              <w:right w:val="single" w:color="auto" w:sz="6" w:space="0"/>
            </w:tcBorders>
            <w:shd w:val="clear" w:color="auto" w:fill="FFFFFF"/>
            <w:tcMar>
              <w:top w:w="0" w:type="dxa"/>
              <w:left w:w="0" w:type="dxa"/>
              <w:bottom w:w="0" w:type="dxa"/>
              <w:right w:w="0" w:type="dxa"/>
            </w:tcMar>
            <w:vAlign w:val="center"/>
          </w:tcPr>
          <w:p>
            <w:pPr>
              <w:keepNext w:val="0"/>
              <w:keepLines w:val="0"/>
              <w:widowControl/>
              <w:suppressLineNumbers w:val="0"/>
              <w:jc w:val="left"/>
            </w:pPr>
          </w:p>
        </w:tc>
        <w:tc>
          <w:tcPr>
            <w:tcW w:w="890" w:type="dxa"/>
            <w:gridSpan w:val="2"/>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jc w:val="center"/>
            </w:pPr>
            <w:r>
              <w:rPr>
                <w:rFonts w:hint="default" w:ascii="Calibri" w:hAnsi="Calibri" w:cs="Calibri"/>
                <w:sz w:val="24"/>
                <w:szCs w:val="24"/>
              </w:rPr>
              <w:t>1-2-10</w:t>
            </w:r>
          </w:p>
        </w:tc>
        <w:tc>
          <w:tcPr>
            <w:tcW w:w="887"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pPr>
            <w:r>
              <w:rPr>
                <w:rFonts w:hint="eastAsia" w:ascii="宋体" w:hAnsi="宋体" w:eastAsia="宋体" w:cs="宋体"/>
                <w:sz w:val="24"/>
                <w:szCs w:val="24"/>
              </w:rPr>
              <w:t>一拖八无线会议主机</w:t>
            </w:r>
          </w:p>
        </w:tc>
        <w:tc>
          <w:tcPr>
            <w:tcW w:w="529"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jc w:val="center"/>
            </w:pPr>
            <w:r>
              <w:rPr>
                <w:rFonts w:hint="eastAsia" w:ascii="宋体" w:hAnsi="宋体" w:eastAsia="宋体" w:cs="宋体"/>
                <w:sz w:val="24"/>
                <w:szCs w:val="24"/>
              </w:rPr>
              <w:t>台</w:t>
            </w:r>
          </w:p>
        </w:tc>
        <w:tc>
          <w:tcPr>
            <w:tcW w:w="530"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jc w:val="center"/>
            </w:pPr>
            <w:r>
              <w:rPr>
                <w:rFonts w:hint="eastAsia" w:ascii="宋体" w:hAnsi="宋体" w:eastAsia="宋体" w:cs="宋体"/>
                <w:sz w:val="24"/>
                <w:szCs w:val="24"/>
              </w:rPr>
              <w:t>2</w:t>
            </w:r>
          </w:p>
        </w:tc>
        <w:tc>
          <w:tcPr>
            <w:tcW w:w="6395"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pPr>
            <w:r>
              <w:rPr>
                <w:rFonts w:hint="eastAsia" w:ascii="宋体" w:hAnsi="宋体" w:eastAsia="宋体" w:cs="宋体"/>
                <w:sz w:val="24"/>
                <w:szCs w:val="24"/>
              </w:rPr>
              <w:t>技术参数：</w:t>
            </w:r>
            <w:r>
              <w:rPr>
                <w:rFonts w:hint="eastAsia" w:ascii="宋体" w:hAnsi="宋体" w:eastAsia="宋体" w:cs="宋体"/>
                <w:sz w:val="24"/>
                <w:szCs w:val="24"/>
              </w:rPr>
              <w:br w:type="textWrapping"/>
            </w:r>
            <w:r>
              <w:rPr>
                <w:rFonts w:hint="eastAsia" w:ascii="宋体" w:hAnsi="宋体" w:eastAsia="宋体" w:cs="宋体"/>
                <w:sz w:val="24"/>
                <w:szCs w:val="24"/>
              </w:rPr>
              <w:t>  1.具有XLR平衡输出和TRS不平衡两种专业音频输出接口。</w:t>
            </w:r>
            <w:r>
              <w:rPr>
                <w:rFonts w:hint="eastAsia" w:ascii="宋体" w:hAnsi="宋体" w:eastAsia="宋体" w:cs="宋体"/>
                <w:sz w:val="24"/>
                <w:szCs w:val="24"/>
              </w:rPr>
              <w:br w:type="textWrapping"/>
            </w:r>
            <w:r>
              <w:rPr>
                <w:rFonts w:hint="eastAsia" w:ascii="宋体" w:hAnsi="宋体" w:eastAsia="宋体" w:cs="宋体"/>
                <w:sz w:val="24"/>
                <w:szCs w:val="24"/>
              </w:rPr>
              <w:t>  2.采用3U金属面板，具有稳定，防干扰，时尚和操作方便的特点。</w:t>
            </w:r>
            <w:r>
              <w:rPr>
                <w:rFonts w:hint="eastAsia" w:ascii="宋体" w:hAnsi="宋体" w:eastAsia="宋体" w:cs="宋体"/>
                <w:sz w:val="24"/>
                <w:szCs w:val="24"/>
              </w:rPr>
              <w:br w:type="textWrapping"/>
            </w:r>
            <w:r>
              <w:rPr>
                <w:rFonts w:hint="eastAsia" w:ascii="宋体" w:hAnsi="宋体" w:eastAsia="宋体" w:cs="宋体"/>
                <w:sz w:val="24"/>
                <w:szCs w:val="24"/>
              </w:rPr>
              <w:t>  3.该系统使用UHF500-900MHz频段，应用PLL频率合成锁相环技术，频率可调，发射功率可调，避免干扰频率。</w:t>
            </w:r>
          </w:p>
        </w:tc>
        <w:tc>
          <w:tcPr>
            <w:tcW w:w="497" w:type="dxa"/>
            <w:gridSpan w:val="2"/>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top"/>
          </w:tcPr>
          <w:p>
            <w:pPr>
              <w:keepNext w:val="0"/>
              <w:keepLines w:val="0"/>
              <w:widowControl/>
              <w:suppressLineNumbers w:val="0"/>
              <w:jc w:val="left"/>
            </w:pPr>
          </w:p>
        </w:tc>
      </w:tr>
      <w:tr>
        <w:trPr>
          <w:trHeight w:val="1590" w:hRule="atLeast"/>
          <w:tblCellSpacing w:w="15" w:type="dxa"/>
        </w:trPr>
        <w:tc>
          <w:tcPr>
            <w:tcW w:w="36" w:type="dxa"/>
            <w:tcBorders>
              <w:top w:val="nil"/>
              <w:left w:val="single" w:color="auto" w:sz="6" w:space="0"/>
              <w:bottom w:val="single" w:color="auto" w:sz="6" w:space="0"/>
              <w:right w:val="single" w:color="auto" w:sz="6" w:space="0"/>
            </w:tcBorders>
            <w:shd w:val="clear" w:color="auto" w:fill="FFFFFF"/>
            <w:tcMar>
              <w:top w:w="0" w:type="dxa"/>
              <w:left w:w="0" w:type="dxa"/>
              <w:bottom w:w="0" w:type="dxa"/>
              <w:right w:w="0" w:type="dxa"/>
            </w:tcMar>
            <w:vAlign w:val="center"/>
          </w:tcPr>
          <w:p>
            <w:pPr>
              <w:keepNext w:val="0"/>
              <w:keepLines w:val="0"/>
              <w:widowControl/>
              <w:suppressLineNumbers w:val="0"/>
              <w:jc w:val="left"/>
            </w:pPr>
          </w:p>
        </w:tc>
        <w:tc>
          <w:tcPr>
            <w:tcW w:w="890" w:type="dxa"/>
            <w:gridSpan w:val="2"/>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jc w:val="center"/>
            </w:pPr>
            <w:r>
              <w:rPr>
                <w:rFonts w:hint="default" w:ascii="Calibri" w:hAnsi="Calibri" w:cs="Calibri"/>
                <w:sz w:val="24"/>
                <w:szCs w:val="24"/>
              </w:rPr>
              <w:t>1-2-11</w:t>
            </w:r>
          </w:p>
        </w:tc>
        <w:tc>
          <w:tcPr>
            <w:tcW w:w="887"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pPr>
            <w:r>
              <w:rPr>
                <w:rFonts w:hint="eastAsia" w:ascii="宋体" w:hAnsi="宋体" w:eastAsia="宋体" w:cs="宋体"/>
                <w:sz w:val="24"/>
                <w:szCs w:val="24"/>
              </w:rPr>
              <w:t>话筒单元</w:t>
            </w:r>
          </w:p>
        </w:tc>
        <w:tc>
          <w:tcPr>
            <w:tcW w:w="529"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jc w:val="center"/>
            </w:pPr>
            <w:r>
              <w:rPr>
                <w:rFonts w:hint="eastAsia" w:ascii="宋体" w:hAnsi="宋体" w:eastAsia="宋体" w:cs="宋体"/>
                <w:sz w:val="24"/>
                <w:szCs w:val="24"/>
              </w:rPr>
              <w:t>个</w:t>
            </w:r>
          </w:p>
        </w:tc>
        <w:tc>
          <w:tcPr>
            <w:tcW w:w="530"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jc w:val="center"/>
            </w:pPr>
            <w:r>
              <w:rPr>
                <w:rFonts w:hint="eastAsia" w:ascii="宋体" w:hAnsi="宋体" w:eastAsia="宋体" w:cs="宋体"/>
                <w:sz w:val="24"/>
                <w:szCs w:val="24"/>
              </w:rPr>
              <w:t>8</w:t>
            </w:r>
          </w:p>
        </w:tc>
        <w:tc>
          <w:tcPr>
            <w:tcW w:w="6395"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pPr>
            <w:r>
              <w:rPr>
                <w:rFonts w:hint="eastAsia" w:ascii="宋体" w:hAnsi="宋体" w:eastAsia="宋体" w:cs="宋体"/>
                <w:sz w:val="24"/>
                <w:szCs w:val="24"/>
              </w:rPr>
              <w:t>技术参数：</w:t>
            </w:r>
            <w:r>
              <w:rPr>
                <w:rFonts w:hint="eastAsia" w:ascii="宋体" w:hAnsi="宋体" w:eastAsia="宋体" w:cs="宋体"/>
                <w:sz w:val="24"/>
                <w:szCs w:val="24"/>
              </w:rPr>
              <w:br w:type="textWrapping"/>
            </w:r>
            <w:r>
              <w:rPr>
                <w:rFonts w:hint="eastAsia" w:ascii="宋体" w:hAnsi="宋体" w:eastAsia="宋体" w:cs="宋体"/>
                <w:sz w:val="24"/>
                <w:szCs w:val="24"/>
              </w:rPr>
              <w:t>  1.工业塑料底座，外观流线形。</w:t>
            </w:r>
            <w:r>
              <w:rPr>
                <w:rFonts w:hint="eastAsia" w:ascii="宋体" w:hAnsi="宋体" w:eastAsia="宋体" w:cs="宋体"/>
                <w:sz w:val="24"/>
                <w:szCs w:val="24"/>
              </w:rPr>
              <w:br w:type="textWrapping"/>
            </w:r>
            <w:r>
              <w:rPr>
                <w:rFonts w:hint="eastAsia" w:ascii="宋体" w:hAnsi="宋体" w:eastAsia="宋体" w:cs="宋体"/>
                <w:sz w:val="24"/>
                <w:szCs w:val="24"/>
              </w:rPr>
              <w:t>  2.无线会议技术，方便布置一个临时会议场所，对会议场所没有任何影响。</w:t>
            </w:r>
            <w:r>
              <w:rPr>
                <w:rFonts w:hint="eastAsia" w:ascii="宋体" w:hAnsi="宋体" w:eastAsia="宋体" w:cs="宋体"/>
                <w:sz w:val="24"/>
                <w:szCs w:val="24"/>
              </w:rPr>
              <w:br w:type="textWrapping"/>
            </w:r>
            <w:r>
              <w:rPr>
                <w:rFonts w:hint="eastAsia" w:ascii="宋体" w:hAnsi="宋体" w:eastAsia="宋体" w:cs="宋体"/>
                <w:sz w:val="24"/>
                <w:szCs w:val="24"/>
              </w:rPr>
              <w:t>  3.采用超指向电容话筒，实现高品质声音拾取。</w:t>
            </w:r>
          </w:p>
        </w:tc>
        <w:tc>
          <w:tcPr>
            <w:tcW w:w="497" w:type="dxa"/>
            <w:gridSpan w:val="2"/>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top"/>
          </w:tcPr>
          <w:p>
            <w:pPr>
              <w:keepNext w:val="0"/>
              <w:keepLines w:val="0"/>
              <w:widowControl/>
              <w:suppressLineNumbers w:val="0"/>
              <w:jc w:val="left"/>
            </w:pPr>
          </w:p>
        </w:tc>
      </w:tr>
      <w:tr>
        <w:trPr>
          <w:trHeight w:val="330" w:hRule="atLeast"/>
          <w:tblCellSpacing w:w="15" w:type="dxa"/>
        </w:trPr>
        <w:tc>
          <w:tcPr>
            <w:tcW w:w="36" w:type="dxa"/>
            <w:tcBorders>
              <w:top w:val="nil"/>
              <w:left w:val="single" w:color="auto" w:sz="6" w:space="0"/>
              <w:bottom w:val="single" w:color="auto" w:sz="6" w:space="0"/>
              <w:right w:val="single" w:color="auto" w:sz="6" w:space="0"/>
            </w:tcBorders>
            <w:shd w:val="clear" w:color="auto" w:fill="FFFFFF"/>
            <w:tcMar>
              <w:top w:w="0" w:type="dxa"/>
              <w:left w:w="0" w:type="dxa"/>
              <w:bottom w:w="0" w:type="dxa"/>
              <w:right w:w="0" w:type="dxa"/>
            </w:tcMar>
            <w:vAlign w:val="center"/>
          </w:tcPr>
          <w:p>
            <w:pPr>
              <w:keepNext w:val="0"/>
              <w:keepLines w:val="0"/>
              <w:widowControl/>
              <w:suppressLineNumbers w:val="0"/>
              <w:jc w:val="left"/>
            </w:pPr>
          </w:p>
        </w:tc>
        <w:tc>
          <w:tcPr>
            <w:tcW w:w="890" w:type="dxa"/>
            <w:gridSpan w:val="2"/>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jc w:val="center"/>
            </w:pPr>
            <w:r>
              <w:rPr>
                <w:rFonts w:hint="default" w:ascii="Calibri" w:hAnsi="Calibri" w:cs="Calibri"/>
                <w:sz w:val="24"/>
                <w:szCs w:val="24"/>
              </w:rPr>
              <w:t>1-2-12</w:t>
            </w:r>
          </w:p>
        </w:tc>
        <w:tc>
          <w:tcPr>
            <w:tcW w:w="887"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pPr>
            <w:r>
              <w:rPr>
                <w:rFonts w:hint="eastAsia" w:ascii="宋体" w:hAnsi="宋体" w:eastAsia="宋体" w:cs="宋体"/>
                <w:sz w:val="24"/>
                <w:szCs w:val="24"/>
              </w:rPr>
              <w:t>机柜</w:t>
            </w:r>
          </w:p>
        </w:tc>
        <w:tc>
          <w:tcPr>
            <w:tcW w:w="529"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jc w:val="center"/>
            </w:pPr>
            <w:r>
              <w:rPr>
                <w:rFonts w:hint="eastAsia" w:ascii="宋体" w:hAnsi="宋体" w:eastAsia="宋体" w:cs="宋体"/>
                <w:sz w:val="24"/>
                <w:szCs w:val="24"/>
              </w:rPr>
              <w:t>套</w:t>
            </w:r>
          </w:p>
        </w:tc>
        <w:tc>
          <w:tcPr>
            <w:tcW w:w="530"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jc w:val="center"/>
            </w:pPr>
            <w:r>
              <w:rPr>
                <w:rFonts w:hint="eastAsia" w:ascii="宋体" w:hAnsi="宋体" w:eastAsia="宋体" w:cs="宋体"/>
                <w:sz w:val="24"/>
                <w:szCs w:val="24"/>
              </w:rPr>
              <w:t>2</w:t>
            </w:r>
          </w:p>
        </w:tc>
        <w:tc>
          <w:tcPr>
            <w:tcW w:w="6395"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pPr>
            <w:r>
              <w:rPr>
                <w:rFonts w:hint="eastAsia" w:ascii="宋体" w:hAnsi="宋体" w:eastAsia="宋体" w:cs="宋体"/>
                <w:sz w:val="24"/>
                <w:szCs w:val="24"/>
              </w:rPr>
              <w:t>27U</w:t>
            </w:r>
          </w:p>
        </w:tc>
        <w:tc>
          <w:tcPr>
            <w:tcW w:w="497" w:type="dxa"/>
            <w:gridSpan w:val="2"/>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top"/>
          </w:tcPr>
          <w:p>
            <w:pPr>
              <w:keepNext w:val="0"/>
              <w:keepLines w:val="0"/>
              <w:widowControl/>
              <w:suppressLineNumbers w:val="0"/>
              <w:jc w:val="left"/>
            </w:pPr>
          </w:p>
        </w:tc>
      </w:tr>
      <w:tr>
        <w:trPr>
          <w:trHeight w:val="1275" w:hRule="atLeast"/>
          <w:tblCellSpacing w:w="15" w:type="dxa"/>
        </w:trPr>
        <w:tc>
          <w:tcPr>
            <w:tcW w:w="36" w:type="dxa"/>
            <w:tcBorders>
              <w:top w:val="nil"/>
              <w:left w:val="single" w:color="auto" w:sz="6" w:space="0"/>
              <w:bottom w:val="single" w:color="auto" w:sz="6" w:space="0"/>
              <w:right w:val="single" w:color="auto" w:sz="6" w:space="0"/>
            </w:tcBorders>
            <w:shd w:val="clear" w:color="auto" w:fill="FFFFFF"/>
            <w:tcMar>
              <w:top w:w="0" w:type="dxa"/>
              <w:left w:w="0" w:type="dxa"/>
              <w:bottom w:w="0" w:type="dxa"/>
              <w:right w:w="0" w:type="dxa"/>
            </w:tcMar>
            <w:vAlign w:val="center"/>
          </w:tcPr>
          <w:p>
            <w:pPr>
              <w:keepNext w:val="0"/>
              <w:keepLines w:val="0"/>
              <w:widowControl/>
              <w:suppressLineNumbers w:val="0"/>
              <w:jc w:val="left"/>
            </w:pPr>
          </w:p>
        </w:tc>
        <w:tc>
          <w:tcPr>
            <w:tcW w:w="890" w:type="dxa"/>
            <w:gridSpan w:val="2"/>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jc w:val="center"/>
            </w:pPr>
            <w:r>
              <w:rPr>
                <w:rFonts w:hint="default" w:ascii="Calibri" w:hAnsi="Calibri" w:cs="Calibri"/>
                <w:sz w:val="24"/>
                <w:szCs w:val="24"/>
              </w:rPr>
              <w:t>1-2-13</w:t>
            </w:r>
          </w:p>
        </w:tc>
        <w:tc>
          <w:tcPr>
            <w:tcW w:w="887"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pPr>
            <w:r>
              <w:rPr>
                <w:rFonts w:hint="eastAsia" w:ascii="宋体" w:hAnsi="宋体" w:eastAsia="宋体" w:cs="宋体"/>
                <w:sz w:val="24"/>
                <w:szCs w:val="24"/>
              </w:rPr>
              <w:t>卡侬公对母信号线</w:t>
            </w:r>
          </w:p>
        </w:tc>
        <w:tc>
          <w:tcPr>
            <w:tcW w:w="529"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jc w:val="center"/>
            </w:pPr>
            <w:r>
              <w:rPr>
                <w:rFonts w:hint="eastAsia" w:ascii="宋体" w:hAnsi="宋体" w:eastAsia="宋体" w:cs="宋体"/>
                <w:sz w:val="24"/>
                <w:szCs w:val="24"/>
              </w:rPr>
              <w:t>条</w:t>
            </w:r>
          </w:p>
        </w:tc>
        <w:tc>
          <w:tcPr>
            <w:tcW w:w="530"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jc w:val="center"/>
            </w:pPr>
            <w:r>
              <w:rPr>
                <w:rFonts w:hint="eastAsia" w:ascii="宋体" w:hAnsi="宋体" w:eastAsia="宋体" w:cs="宋体"/>
                <w:sz w:val="24"/>
                <w:szCs w:val="24"/>
              </w:rPr>
              <w:t>20</w:t>
            </w:r>
          </w:p>
        </w:tc>
        <w:tc>
          <w:tcPr>
            <w:tcW w:w="6395"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pPr>
            <w:r>
              <w:rPr>
                <w:rFonts w:hint="eastAsia" w:ascii="宋体" w:hAnsi="宋体" w:eastAsia="宋体" w:cs="宋体"/>
                <w:sz w:val="24"/>
                <w:szCs w:val="24"/>
              </w:rPr>
              <w:t>产品概述：</w:t>
            </w:r>
            <w:r>
              <w:rPr>
                <w:rFonts w:hint="eastAsia" w:ascii="宋体" w:hAnsi="宋体" w:eastAsia="宋体" w:cs="宋体"/>
                <w:sz w:val="24"/>
                <w:szCs w:val="24"/>
              </w:rPr>
              <w:br w:type="textWrapping"/>
            </w:r>
            <w:r>
              <w:rPr>
                <w:rFonts w:hint="eastAsia" w:ascii="宋体" w:hAnsi="宋体" w:eastAsia="宋体" w:cs="宋体"/>
                <w:sz w:val="24"/>
                <w:szCs w:val="24"/>
              </w:rPr>
              <w:t>  卡侬公、卡侬母音频信号连接电缆</w:t>
            </w:r>
          </w:p>
        </w:tc>
        <w:tc>
          <w:tcPr>
            <w:tcW w:w="497" w:type="dxa"/>
            <w:gridSpan w:val="2"/>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top"/>
          </w:tcPr>
          <w:p>
            <w:pPr>
              <w:keepNext w:val="0"/>
              <w:keepLines w:val="0"/>
              <w:widowControl/>
              <w:suppressLineNumbers w:val="0"/>
              <w:jc w:val="left"/>
            </w:pPr>
          </w:p>
        </w:tc>
      </w:tr>
      <w:tr>
        <w:trPr>
          <w:trHeight w:val="960" w:hRule="atLeast"/>
          <w:tblCellSpacing w:w="15" w:type="dxa"/>
        </w:trPr>
        <w:tc>
          <w:tcPr>
            <w:tcW w:w="36" w:type="dxa"/>
            <w:tcBorders>
              <w:top w:val="nil"/>
              <w:left w:val="single" w:color="auto" w:sz="6" w:space="0"/>
              <w:bottom w:val="single" w:color="auto" w:sz="6" w:space="0"/>
              <w:right w:val="single" w:color="auto" w:sz="6" w:space="0"/>
            </w:tcBorders>
            <w:shd w:val="clear" w:color="auto" w:fill="FFFFFF"/>
            <w:tcMar>
              <w:top w:w="0" w:type="dxa"/>
              <w:left w:w="0" w:type="dxa"/>
              <w:bottom w:w="0" w:type="dxa"/>
              <w:right w:w="0" w:type="dxa"/>
            </w:tcMar>
            <w:vAlign w:val="center"/>
          </w:tcPr>
          <w:p>
            <w:pPr>
              <w:keepNext w:val="0"/>
              <w:keepLines w:val="0"/>
              <w:widowControl/>
              <w:suppressLineNumbers w:val="0"/>
              <w:jc w:val="left"/>
            </w:pPr>
          </w:p>
        </w:tc>
        <w:tc>
          <w:tcPr>
            <w:tcW w:w="890" w:type="dxa"/>
            <w:gridSpan w:val="2"/>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jc w:val="center"/>
            </w:pPr>
            <w:r>
              <w:rPr>
                <w:rFonts w:hint="default" w:ascii="Calibri" w:hAnsi="Calibri" w:cs="Calibri"/>
                <w:sz w:val="24"/>
                <w:szCs w:val="24"/>
              </w:rPr>
              <w:t>1-2-14</w:t>
            </w:r>
          </w:p>
        </w:tc>
        <w:tc>
          <w:tcPr>
            <w:tcW w:w="887"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pPr>
            <w:r>
              <w:rPr>
                <w:rFonts w:hint="eastAsia" w:ascii="宋体" w:hAnsi="宋体" w:eastAsia="宋体" w:cs="宋体"/>
                <w:sz w:val="24"/>
                <w:szCs w:val="24"/>
              </w:rPr>
              <w:t>专业音响线</w:t>
            </w:r>
          </w:p>
        </w:tc>
        <w:tc>
          <w:tcPr>
            <w:tcW w:w="529"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jc w:val="center"/>
            </w:pPr>
            <w:r>
              <w:rPr>
                <w:rFonts w:hint="eastAsia" w:ascii="宋体" w:hAnsi="宋体" w:eastAsia="宋体" w:cs="宋体"/>
                <w:sz w:val="24"/>
                <w:szCs w:val="24"/>
              </w:rPr>
              <w:t>批</w:t>
            </w:r>
          </w:p>
        </w:tc>
        <w:tc>
          <w:tcPr>
            <w:tcW w:w="530"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jc w:val="center"/>
            </w:pPr>
            <w:r>
              <w:rPr>
                <w:rFonts w:hint="eastAsia" w:ascii="宋体" w:hAnsi="宋体" w:eastAsia="宋体" w:cs="宋体"/>
                <w:sz w:val="24"/>
                <w:szCs w:val="24"/>
              </w:rPr>
              <w:t>1</w:t>
            </w:r>
          </w:p>
        </w:tc>
        <w:tc>
          <w:tcPr>
            <w:tcW w:w="6395"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pPr>
            <w:r>
              <w:rPr>
                <w:rFonts w:hint="eastAsia" w:ascii="宋体" w:hAnsi="宋体" w:eastAsia="宋体" w:cs="宋体"/>
                <w:sz w:val="24"/>
                <w:szCs w:val="24"/>
              </w:rPr>
              <w:t>长度按现场布线距离而定</w:t>
            </w:r>
          </w:p>
        </w:tc>
        <w:tc>
          <w:tcPr>
            <w:tcW w:w="497" w:type="dxa"/>
            <w:gridSpan w:val="2"/>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top"/>
          </w:tcPr>
          <w:p>
            <w:pPr>
              <w:keepNext w:val="0"/>
              <w:keepLines w:val="0"/>
              <w:widowControl/>
              <w:suppressLineNumbers w:val="0"/>
              <w:jc w:val="left"/>
            </w:pPr>
          </w:p>
        </w:tc>
      </w:tr>
      <w:tr>
        <w:trPr>
          <w:trHeight w:val="2220" w:hRule="atLeast"/>
          <w:tblCellSpacing w:w="15" w:type="dxa"/>
        </w:trPr>
        <w:tc>
          <w:tcPr>
            <w:tcW w:w="36" w:type="dxa"/>
            <w:tcBorders>
              <w:top w:val="nil"/>
              <w:left w:val="single" w:color="auto" w:sz="6" w:space="0"/>
              <w:bottom w:val="single" w:color="auto" w:sz="6" w:space="0"/>
              <w:right w:val="single" w:color="auto" w:sz="6" w:space="0"/>
            </w:tcBorders>
            <w:shd w:val="clear" w:color="auto" w:fill="FFFFFF"/>
            <w:tcMar>
              <w:top w:w="0" w:type="dxa"/>
              <w:left w:w="0" w:type="dxa"/>
              <w:bottom w:w="0" w:type="dxa"/>
              <w:right w:w="0" w:type="dxa"/>
            </w:tcMar>
            <w:vAlign w:val="center"/>
          </w:tcPr>
          <w:p>
            <w:pPr>
              <w:keepNext w:val="0"/>
              <w:keepLines w:val="0"/>
              <w:widowControl/>
              <w:suppressLineNumbers w:val="0"/>
              <w:jc w:val="left"/>
            </w:pPr>
          </w:p>
        </w:tc>
        <w:tc>
          <w:tcPr>
            <w:tcW w:w="890" w:type="dxa"/>
            <w:gridSpan w:val="2"/>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jc w:val="center"/>
            </w:pPr>
            <w:r>
              <w:rPr>
                <w:rFonts w:hint="default" w:ascii="Calibri" w:hAnsi="Calibri" w:cs="Calibri"/>
                <w:sz w:val="24"/>
                <w:szCs w:val="24"/>
              </w:rPr>
              <w:t>1-2-15</w:t>
            </w:r>
          </w:p>
        </w:tc>
        <w:tc>
          <w:tcPr>
            <w:tcW w:w="887"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pPr>
            <w:r>
              <w:rPr>
                <w:rFonts w:hint="eastAsia" w:ascii="宋体" w:hAnsi="宋体" w:eastAsia="宋体" w:cs="宋体"/>
                <w:sz w:val="24"/>
                <w:szCs w:val="24"/>
              </w:rPr>
              <w:t>音箱壁挂架</w:t>
            </w:r>
          </w:p>
        </w:tc>
        <w:tc>
          <w:tcPr>
            <w:tcW w:w="529"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jc w:val="center"/>
            </w:pPr>
            <w:r>
              <w:rPr>
                <w:rFonts w:hint="eastAsia" w:ascii="宋体" w:hAnsi="宋体" w:eastAsia="宋体" w:cs="宋体"/>
                <w:sz w:val="24"/>
                <w:szCs w:val="24"/>
              </w:rPr>
              <w:t>对</w:t>
            </w:r>
          </w:p>
        </w:tc>
        <w:tc>
          <w:tcPr>
            <w:tcW w:w="530"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jc w:val="center"/>
            </w:pPr>
            <w:r>
              <w:rPr>
                <w:rFonts w:hint="eastAsia" w:ascii="宋体" w:hAnsi="宋体" w:eastAsia="宋体" w:cs="宋体"/>
                <w:sz w:val="24"/>
                <w:szCs w:val="24"/>
              </w:rPr>
              <w:t>4</w:t>
            </w:r>
          </w:p>
        </w:tc>
        <w:tc>
          <w:tcPr>
            <w:tcW w:w="6395"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pPr>
            <w:r>
              <w:rPr>
                <w:rFonts w:hint="eastAsia" w:ascii="宋体" w:hAnsi="宋体" w:eastAsia="宋体" w:cs="宋体"/>
                <w:sz w:val="24"/>
                <w:szCs w:val="24"/>
              </w:rPr>
              <w:t>技术参数：</w:t>
            </w:r>
            <w:r>
              <w:rPr>
                <w:rFonts w:hint="eastAsia" w:ascii="宋体" w:hAnsi="宋体" w:eastAsia="宋体" w:cs="宋体"/>
                <w:sz w:val="24"/>
                <w:szCs w:val="24"/>
              </w:rPr>
              <w:br w:type="textWrapping"/>
            </w:r>
            <w:r>
              <w:rPr>
                <w:rFonts w:hint="eastAsia" w:ascii="宋体" w:hAnsi="宋体" w:eastAsia="宋体" w:cs="宋体"/>
                <w:sz w:val="24"/>
                <w:szCs w:val="24"/>
              </w:rPr>
              <w:t>  表面处理:超高温静电喷粉(比普通水柒防锈耐久高三倍以上)。</w:t>
            </w:r>
            <w:r>
              <w:rPr>
                <w:rFonts w:hint="eastAsia" w:ascii="宋体" w:hAnsi="宋体" w:eastAsia="宋体" w:cs="宋体"/>
                <w:sz w:val="24"/>
                <w:szCs w:val="24"/>
              </w:rPr>
              <w:br w:type="textWrapping"/>
            </w:r>
            <w:r>
              <w:rPr>
                <w:rFonts w:hint="eastAsia" w:ascii="宋体" w:hAnsi="宋体" w:eastAsia="宋体" w:cs="宋体"/>
                <w:sz w:val="24"/>
                <w:szCs w:val="24"/>
              </w:rPr>
              <w:t>  金属:优秀钢铁(非市面上劣质中性铁管可比)。</w:t>
            </w:r>
            <w:r>
              <w:rPr>
                <w:rFonts w:hint="eastAsia" w:ascii="宋体" w:hAnsi="宋体" w:eastAsia="宋体" w:cs="宋体"/>
                <w:sz w:val="24"/>
                <w:szCs w:val="24"/>
              </w:rPr>
              <w:br w:type="textWrapping"/>
            </w:r>
            <w:r>
              <w:rPr>
                <w:rFonts w:hint="eastAsia" w:ascii="宋体" w:hAnsi="宋体" w:eastAsia="宋体" w:cs="宋体"/>
                <w:sz w:val="24"/>
                <w:szCs w:val="24"/>
              </w:rPr>
              <w:t>  区别:钢铁的质地坚韧密度高，中性铁质软易弯曲变形密度低。</w:t>
            </w:r>
            <w:r>
              <w:rPr>
                <w:rFonts w:hint="eastAsia" w:ascii="宋体" w:hAnsi="宋体" w:eastAsia="宋体" w:cs="宋体"/>
                <w:sz w:val="24"/>
                <w:szCs w:val="24"/>
              </w:rPr>
              <w:br w:type="textWrapping"/>
            </w:r>
            <w:r>
              <w:rPr>
                <w:rFonts w:hint="eastAsia" w:ascii="宋体" w:hAnsi="宋体" w:eastAsia="宋体" w:cs="宋体"/>
                <w:sz w:val="24"/>
                <w:szCs w:val="24"/>
              </w:rPr>
              <w:t>  塑料:全新台化原料，硬而韧有弹性,不易暴裂。</w:t>
            </w:r>
          </w:p>
        </w:tc>
        <w:tc>
          <w:tcPr>
            <w:tcW w:w="497" w:type="dxa"/>
            <w:gridSpan w:val="2"/>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top"/>
          </w:tcPr>
          <w:p>
            <w:pPr>
              <w:keepNext w:val="0"/>
              <w:keepLines w:val="0"/>
              <w:widowControl/>
              <w:suppressLineNumbers w:val="0"/>
              <w:jc w:val="left"/>
            </w:pPr>
          </w:p>
        </w:tc>
      </w:tr>
      <w:tr>
        <w:trPr>
          <w:trHeight w:val="645" w:hRule="atLeast"/>
          <w:tblCellSpacing w:w="15" w:type="dxa"/>
        </w:trPr>
        <w:tc>
          <w:tcPr>
            <w:tcW w:w="36" w:type="dxa"/>
            <w:tcBorders>
              <w:top w:val="nil"/>
              <w:left w:val="single" w:color="auto" w:sz="6" w:space="0"/>
              <w:bottom w:val="single" w:color="auto" w:sz="6" w:space="0"/>
              <w:right w:val="single" w:color="auto" w:sz="6" w:space="0"/>
            </w:tcBorders>
            <w:shd w:val="clear" w:color="auto" w:fill="FFFFFF"/>
            <w:tcMar>
              <w:top w:w="0" w:type="dxa"/>
              <w:left w:w="0" w:type="dxa"/>
              <w:bottom w:w="0" w:type="dxa"/>
              <w:right w:w="0" w:type="dxa"/>
            </w:tcMar>
            <w:vAlign w:val="center"/>
          </w:tcPr>
          <w:p>
            <w:pPr>
              <w:keepNext w:val="0"/>
              <w:keepLines w:val="0"/>
              <w:widowControl/>
              <w:suppressLineNumbers w:val="0"/>
              <w:jc w:val="left"/>
            </w:pPr>
          </w:p>
        </w:tc>
        <w:tc>
          <w:tcPr>
            <w:tcW w:w="890" w:type="dxa"/>
            <w:gridSpan w:val="2"/>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jc w:val="center"/>
            </w:pPr>
            <w:r>
              <w:rPr>
                <w:rFonts w:hint="default" w:ascii="Calibri" w:hAnsi="Calibri" w:cs="Calibri"/>
                <w:sz w:val="24"/>
                <w:szCs w:val="24"/>
              </w:rPr>
              <w:t>1-2-16</w:t>
            </w:r>
          </w:p>
        </w:tc>
        <w:tc>
          <w:tcPr>
            <w:tcW w:w="887"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pPr>
            <w:r>
              <w:rPr>
                <w:rFonts w:hint="eastAsia" w:ascii="宋体" w:hAnsi="宋体" w:eastAsia="宋体" w:cs="宋体"/>
                <w:sz w:val="24"/>
                <w:szCs w:val="24"/>
              </w:rPr>
              <w:t>实物展台</w:t>
            </w:r>
          </w:p>
        </w:tc>
        <w:tc>
          <w:tcPr>
            <w:tcW w:w="529"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jc w:val="center"/>
            </w:pPr>
            <w:r>
              <w:rPr>
                <w:rFonts w:hint="eastAsia" w:ascii="宋体" w:hAnsi="宋体" w:eastAsia="宋体" w:cs="宋体"/>
                <w:sz w:val="24"/>
                <w:szCs w:val="24"/>
              </w:rPr>
              <w:t>台</w:t>
            </w:r>
          </w:p>
        </w:tc>
        <w:tc>
          <w:tcPr>
            <w:tcW w:w="530"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jc w:val="center"/>
            </w:pPr>
            <w:r>
              <w:rPr>
                <w:rFonts w:hint="eastAsia" w:ascii="宋体" w:hAnsi="宋体" w:eastAsia="宋体" w:cs="宋体"/>
                <w:sz w:val="24"/>
                <w:szCs w:val="24"/>
              </w:rPr>
              <w:t>2</w:t>
            </w:r>
          </w:p>
        </w:tc>
        <w:tc>
          <w:tcPr>
            <w:tcW w:w="6395"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pPr>
            <w:r>
              <w:rPr>
                <w:rFonts w:hint="eastAsia" w:ascii="宋体" w:hAnsi="宋体" w:eastAsia="宋体" w:cs="宋体"/>
                <w:sz w:val="24"/>
                <w:szCs w:val="24"/>
              </w:rPr>
              <w:t>500万有效像素</w:t>
            </w:r>
          </w:p>
        </w:tc>
        <w:tc>
          <w:tcPr>
            <w:tcW w:w="497" w:type="dxa"/>
            <w:gridSpan w:val="2"/>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top"/>
          </w:tcPr>
          <w:p>
            <w:pPr>
              <w:keepNext w:val="0"/>
              <w:keepLines w:val="0"/>
              <w:widowControl/>
              <w:suppressLineNumbers w:val="0"/>
              <w:jc w:val="left"/>
            </w:pPr>
          </w:p>
        </w:tc>
      </w:tr>
      <w:tr>
        <w:trPr>
          <w:trHeight w:val="645" w:hRule="atLeast"/>
          <w:tblCellSpacing w:w="15" w:type="dxa"/>
        </w:trPr>
        <w:tc>
          <w:tcPr>
            <w:tcW w:w="36" w:type="dxa"/>
            <w:tcBorders>
              <w:top w:val="nil"/>
              <w:left w:val="single" w:color="auto" w:sz="6" w:space="0"/>
              <w:bottom w:val="single" w:color="auto" w:sz="6" w:space="0"/>
              <w:right w:val="single" w:color="auto" w:sz="6" w:space="0"/>
            </w:tcBorders>
            <w:shd w:val="clear" w:color="auto" w:fill="FFFFFF"/>
            <w:tcMar>
              <w:top w:w="0" w:type="dxa"/>
              <w:left w:w="0" w:type="dxa"/>
              <w:bottom w:w="0" w:type="dxa"/>
              <w:right w:w="0" w:type="dxa"/>
            </w:tcMar>
            <w:vAlign w:val="center"/>
          </w:tcPr>
          <w:p>
            <w:pPr>
              <w:keepNext w:val="0"/>
              <w:keepLines w:val="0"/>
              <w:widowControl/>
              <w:suppressLineNumbers w:val="0"/>
              <w:jc w:val="left"/>
            </w:pPr>
          </w:p>
        </w:tc>
        <w:tc>
          <w:tcPr>
            <w:tcW w:w="890" w:type="dxa"/>
            <w:gridSpan w:val="2"/>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jc w:val="center"/>
            </w:pPr>
            <w:r>
              <w:rPr>
                <w:rFonts w:hint="default" w:ascii="Calibri" w:hAnsi="Calibri" w:cs="Calibri"/>
                <w:sz w:val="24"/>
                <w:szCs w:val="24"/>
              </w:rPr>
              <w:t>1-2-17</w:t>
            </w:r>
          </w:p>
        </w:tc>
        <w:tc>
          <w:tcPr>
            <w:tcW w:w="887"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pPr>
            <w:r>
              <w:rPr>
                <w:rFonts w:hint="eastAsia" w:ascii="宋体" w:hAnsi="宋体" w:eastAsia="宋体" w:cs="宋体"/>
                <w:sz w:val="24"/>
                <w:szCs w:val="24"/>
              </w:rPr>
              <w:t>投影机</w:t>
            </w:r>
          </w:p>
        </w:tc>
        <w:tc>
          <w:tcPr>
            <w:tcW w:w="529"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jc w:val="center"/>
            </w:pPr>
            <w:r>
              <w:rPr>
                <w:rFonts w:hint="eastAsia" w:ascii="宋体" w:hAnsi="宋体" w:eastAsia="宋体" w:cs="宋体"/>
                <w:sz w:val="24"/>
                <w:szCs w:val="24"/>
              </w:rPr>
              <w:t>台</w:t>
            </w:r>
          </w:p>
        </w:tc>
        <w:tc>
          <w:tcPr>
            <w:tcW w:w="530"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jc w:val="center"/>
            </w:pPr>
            <w:r>
              <w:rPr>
                <w:rFonts w:hint="eastAsia" w:ascii="宋体" w:hAnsi="宋体" w:eastAsia="宋体" w:cs="宋体"/>
                <w:sz w:val="24"/>
                <w:szCs w:val="24"/>
              </w:rPr>
              <w:t>2</w:t>
            </w:r>
          </w:p>
        </w:tc>
        <w:tc>
          <w:tcPr>
            <w:tcW w:w="6395"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pPr>
            <w:r>
              <w:rPr>
                <w:rFonts w:hint="eastAsia" w:ascii="宋体" w:hAnsi="宋体" w:eastAsia="宋体" w:cs="宋体"/>
                <w:sz w:val="24"/>
                <w:szCs w:val="24"/>
              </w:rPr>
              <w:t>5000流明，支持高清输出</w:t>
            </w:r>
          </w:p>
        </w:tc>
        <w:tc>
          <w:tcPr>
            <w:tcW w:w="497" w:type="dxa"/>
            <w:gridSpan w:val="2"/>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top"/>
          </w:tcPr>
          <w:p>
            <w:pPr>
              <w:keepNext w:val="0"/>
              <w:keepLines w:val="0"/>
              <w:widowControl/>
              <w:suppressLineNumbers w:val="0"/>
              <w:jc w:val="left"/>
            </w:pPr>
          </w:p>
        </w:tc>
      </w:tr>
      <w:tr>
        <w:trPr>
          <w:trHeight w:val="645" w:hRule="atLeast"/>
          <w:tblCellSpacing w:w="15" w:type="dxa"/>
        </w:trPr>
        <w:tc>
          <w:tcPr>
            <w:tcW w:w="36" w:type="dxa"/>
            <w:tcBorders>
              <w:top w:val="nil"/>
              <w:left w:val="single" w:color="auto" w:sz="6" w:space="0"/>
              <w:bottom w:val="single" w:color="auto" w:sz="6" w:space="0"/>
              <w:right w:val="single" w:color="auto" w:sz="6" w:space="0"/>
            </w:tcBorders>
            <w:shd w:val="clear" w:color="auto" w:fill="FFFFFF"/>
            <w:tcMar>
              <w:top w:w="0" w:type="dxa"/>
              <w:left w:w="0" w:type="dxa"/>
              <w:bottom w:w="0" w:type="dxa"/>
              <w:right w:w="0" w:type="dxa"/>
            </w:tcMar>
            <w:vAlign w:val="center"/>
          </w:tcPr>
          <w:p>
            <w:pPr>
              <w:keepNext w:val="0"/>
              <w:keepLines w:val="0"/>
              <w:widowControl/>
              <w:suppressLineNumbers w:val="0"/>
              <w:jc w:val="left"/>
            </w:pPr>
          </w:p>
        </w:tc>
        <w:tc>
          <w:tcPr>
            <w:tcW w:w="890" w:type="dxa"/>
            <w:gridSpan w:val="2"/>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jc w:val="center"/>
            </w:pPr>
            <w:r>
              <w:rPr>
                <w:rFonts w:hint="default" w:ascii="Calibri" w:hAnsi="Calibri" w:cs="Calibri"/>
                <w:sz w:val="24"/>
                <w:szCs w:val="24"/>
              </w:rPr>
              <w:t>1-2-18</w:t>
            </w:r>
          </w:p>
        </w:tc>
        <w:tc>
          <w:tcPr>
            <w:tcW w:w="887"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pPr>
            <w:r>
              <w:rPr>
                <w:rFonts w:hint="eastAsia" w:ascii="宋体" w:hAnsi="宋体" w:eastAsia="宋体" w:cs="宋体"/>
                <w:sz w:val="24"/>
                <w:szCs w:val="24"/>
              </w:rPr>
              <w:t>电动屏幕</w:t>
            </w:r>
          </w:p>
        </w:tc>
        <w:tc>
          <w:tcPr>
            <w:tcW w:w="529"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jc w:val="center"/>
            </w:pPr>
            <w:r>
              <w:rPr>
                <w:rFonts w:hint="eastAsia" w:ascii="宋体" w:hAnsi="宋体" w:eastAsia="宋体" w:cs="宋体"/>
                <w:sz w:val="24"/>
                <w:szCs w:val="24"/>
              </w:rPr>
              <w:t>块</w:t>
            </w:r>
          </w:p>
        </w:tc>
        <w:tc>
          <w:tcPr>
            <w:tcW w:w="530"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jc w:val="center"/>
            </w:pPr>
            <w:r>
              <w:rPr>
                <w:rFonts w:hint="eastAsia" w:ascii="宋体" w:hAnsi="宋体" w:eastAsia="宋体" w:cs="宋体"/>
                <w:sz w:val="24"/>
                <w:szCs w:val="24"/>
              </w:rPr>
              <w:t>2</w:t>
            </w:r>
          </w:p>
        </w:tc>
        <w:tc>
          <w:tcPr>
            <w:tcW w:w="6395"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pPr>
            <w:r>
              <w:rPr>
                <w:rFonts w:hint="eastAsia" w:ascii="宋体" w:hAnsi="宋体" w:eastAsia="宋体" w:cs="宋体"/>
                <w:sz w:val="24"/>
                <w:szCs w:val="24"/>
              </w:rPr>
              <w:t>120寸</w:t>
            </w:r>
          </w:p>
        </w:tc>
        <w:tc>
          <w:tcPr>
            <w:tcW w:w="497" w:type="dxa"/>
            <w:gridSpan w:val="2"/>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top"/>
          </w:tcPr>
          <w:p>
            <w:pPr>
              <w:keepNext w:val="0"/>
              <w:keepLines w:val="0"/>
              <w:widowControl/>
              <w:suppressLineNumbers w:val="0"/>
              <w:jc w:val="left"/>
            </w:pPr>
          </w:p>
        </w:tc>
      </w:tr>
      <w:tr>
        <w:trPr>
          <w:trHeight w:val="3480" w:hRule="atLeast"/>
          <w:tblCellSpacing w:w="15" w:type="dxa"/>
        </w:trPr>
        <w:tc>
          <w:tcPr>
            <w:tcW w:w="36" w:type="dxa"/>
            <w:tcBorders>
              <w:top w:val="nil"/>
              <w:left w:val="single" w:color="auto" w:sz="6" w:space="0"/>
              <w:bottom w:val="single" w:color="auto" w:sz="6" w:space="0"/>
              <w:right w:val="single" w:color="auto" w:sz="6" w:space="0"/>
            </w:tcBorders>
            <w:shd w:val="clear" w:color="auto" w:fill="FFFFFF"/>
            <w:tcMar>
              <w:top w:w="0" w:type="dxa"/>
              <w:left w:w="0" w:type="dxa"/>
              <w:bottom w:w="0" w:type="dxa"/>
              <w:right w:w="0" w:type="dxa"/>
            </w:tcMar>
            <w:vAlign w:val="center"/>
          </w:tcPr>
          <w:p>
            <w:pPr>
              <w:keepNext w:val="0"/>
              <w:keepLines w:val="0"/>
              <w:widowControl/>
              <w:suppressLineNumbers w:val="0"/>
              <w:jc w:val="left"/>
            </w:pPr>
          </w:p>
        </w:tc>
        <w:tc>
          <w:tcPr>
            <w:tcW w:w="890" w:type="dxa"/>
            <w:gridSpan w:val="2"/>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jc w:val="center"/>
            </w:pPr>
            <w:r>
              <w:rPr>
                <w:rFonts w:hint="default" w:ascii="Calibri" w:hAnsi="Calibri" w:cs="Calibri"/>
                <w:sz w:val="24"/>
                <w:szCs w:val="24"/>
              </w:rPr>
              <w:t>1-2-19</w:t>
            </w:r>
          </w:p>
        </w:tc>
        <w:tc>
          <w:tcPr>
            <w:tcW w:w="887"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pPr>
            <w:r>
              <w:rPr>
                <w:rFonts w:hint="eastAsia" w:ascii="宋体" w:hAnsi="宋体" w:eastAsia="宋体" w:cs="宋体"/>
                <w:sz w:val="24"/>
                <w:szCs w:val="24"/>
              </w:rPr>
              <w:t>专业音箱</w:t>
            </w:r>
          </w:p>
        </w:tc>
        <w:tc>
          <w:tcPr>
            <w:tcW w:w="529"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jc w:val="center"/>
            </w:pPr>
            <w:r>
              <w:rPr>
                <w:rFonts w:hint="eastAsia" w:ascii="宋体" w:hAnsi="宋体" w:eastAsia="宋体" w:cs="宋体"/>
                <w:sz w:val="24"/>
                <w:szCs w:val="24"/>
              </w:rPr>
              <w:t>只</w:t>
            </w:r>
          </w:p>
        </w:tc>
        <w:tc>
          <w:tcPr>
            <w:tcW w:w="530"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jc w:val="center"/>
            </w:pPr>
            <w:r>
              <w:rPr>
                <w:rFonts w:hint="eastAsia" w:ascii="宋体" w:hAnsi="宋体" w:eastAsia="宋体" w:cs="宋体"/>
                <w:sz w:val="24"/>
                <w:szCs w:val="24"/>
              </w:rPr>
              <w:t>2</w:t>
            </w:r>
          </w:p>
        </w:tc>
        <w:tc>
          <w:tcPr>
            <w:tcW w:w="6395"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pPr>
            <w:r>
              <w:rPr>
                <w:rFonts w:hint="eastAsia" w:ascii="宋体" w:hAnsi="宋体" w:eastAsia="宋体" w:cs="宋体"/>
                <w:sz w:val="24"/>
                <w:szCs w:val="24"/>
              </w:rPr>
              <w:t>技术参数：</w:t>
            </w:r>
            <w:r>
              <w:rPr>
                <w:rFonts w:hint="eastAsia" w:ascii="宋体" w:hAnsi="宋体" w:eastAsia="宋体" w:cs="宋体"/>
                <w:sz w:val="24"/>
                <w:szCs w:val="24"/>
              </w:rPr>
              <w:br w:type="textWrapping"/>
            </w:r>
            <w:r>
              <w:rPr>
                <w:rFonts w:hint="eastAsia" w:ascii="宋体" w:hAnsi="宋体" w:eastAsia="宋体" w:cs="宋体"/>
                <w:sz w:val="24"/>
                <w:szCs w:val="24"/>
              </w:rPr>
              <w:t>  1.单元组成:低音 8英寸低音</w:t>
            </w:r>
            <w:r>
              <w:rPr>
                <w:rFonts w:hint="eastAsia" w:ascii="宋体" w:hAnsi="宋体" w:eastAsia="宋体" w:cs="宋体"/>
                <w:sz w:val="24"/>
                <w:szCs w:val="24"/>
              </w:rPr>
              <w:br w:type="textWrapping"/>
            </w:r>
            <w:r>
              <w:rPr>
                <w:rFonts w:hint="eastAsia" w:ascii="宋体" w:hAnsi="宋体" w:eastAsia="宋体" w:cs="宋体"/>
                <w:sz w:val="24"/>
                <w:szCs w:val="24"/>
              </w:rPr>
              <w:t>  2.单元组成:高音 3英寸高音</w:t>
            </w:r>
            <w:r>
              <w:rPr>
                <w:rFonts w:hint="eastAsia" w:ascii="宋体" w:hAnsi="宋体" w:eastAsia="宋体" w:cs="宋体"/>
                <w:sz w:val="24"/>
                <w:szCs w:val="24"/>
              </w:rPr>
              <w:br w:type="textWrapping"/>
            </w:r>
            <w:r>
              <w:rPr>
                <w:rFonts w:hint="eastAsia" w:ascii="宋体" w:hAnsi="宋体" w:eastAsia="宋体" w:cs="宋体"/>
                <w:sz w:val="24"/>
                <w:szCs w:val="24"/>
              </w:rPr>
              <w:t>  3.频率响应(±3dB) 70Hz-17KHz</w:t>
            </w:r>
            <w:r>
              <w:rPr>
                <w:rFonts w:hint="eastAsia" w:ascii="宋体" w:hAnsi="宋体" w:eastAsia="宋体" w:cs="宋体"/>
                <w:sz w:val="24"/>
                <w:szCs w:val="24"/>
              </w:rPr>
              <w:br w:type="textWrapping"/>
            </w:r>
            <w:r>
              <w:rPr>
                <w:rFonts w:hint="eastAsia" w:ascii="宋体" w:hAnsi="宋体" w:eastAsia="宋体" w:cs="宋体"/>
                <w:sz w:val="24"/>
                <w:szCs w:val="24"/>
              </w:rPr>
              <w:t>  4.频率响应(±10dB) 60Hz-18KHz</w:t>
            </w:r>
            <w:r>
              <w:rPr>
                <w:rFonts w:hint="eastAsia" w:ascii="宋体" w:hAnsi="宋体" w:eastAsia="宋体" w:cs="宋体"/>
                <w:sz w:val="24"/>
                <w:szCs w:val="24"/>
              </w:rPr>
              <w:br w:type="textWrapping"/>
            </w:r>
            <w:r>
              <w:rPr>
                <w:rFonts w:hint="eastAsia" w:ascii="宋体" w:hAnsi="宋体" w:eastAsia="宋体" w:cs="宋体"/>
                <w:sz w:val="24"/>
                <w:szCs w:val="24"/>
              </w:rPr>
              <w:t>  5.覆盖角度(-6dB) 90度(H)×60度(V)</w:t>
            </w:r>
            <w:r>
              <w:rPr>
                <w:rFonts w:hint="eastAsia" w:ascii="宋体" w:hAnsi="宋体" w:eastAsia="宋体" w:cs="宋体"/>
                <w:sz w:val="24"/>
                <w:szCs w:val="24"/>
              </w:rPr>
              <w:br w:type="textWrapping"/>
            </w:r>
            <w:r>
              <w:rPr>
                <w:rFonts w:hint="eastAsia" w:ascii="宋体" w:hAnsi="宋体" w:eastAsia="宋体" w:cs="宋体"/>
                <w:sz w:val="24"/>
                <w:szCs w:val="24"/>
              </w:rPr>
              <w:t>  6.灵敏度(1W/1m) 93dB/1W1米</w:t>
            </w:r>
            <w:r>
              <w:rPr>
                <w:rFonts w:hint="eastAsia" w:ascii="宋体" w:hAnsi="宋体" w:eastAsia="宋体" w:cs="宋体"/>
                <w:sz w:val="24"/>
                <w:szCs w:val="24"/>
              </w:rPr>
              <w:br w:type="textWrapping"/>
            </w:r>
            <w:r>
              <w:rPr>
                <w:rFonts w:hint="eastAsia" w:ascii="宋体" w:hAnsi="宋体" w:eastAsia="宋体" w:cs="宋体"/>
                <w:sz w:val="24"/>
                <w:szCs w:val="24"/>
              </w:rPr>
              <w:t>  7.连续声压级 121dB</w:t>
            </w:r>
            <w:r>
              <w:rPr>
                <w:rFonts w:hint="eastAsia" w:ascii="宋体" w:hAnsi="宋体" w:eastAsia="宋体" w:cs="宋体"/>
                <w:sz w:val="24"/>
                <w:szCs w:val="24"/>
              </w:rPr>
              <w:br w:type="textWrapping"/>
            </w:r>
            <w:r>
              <w:rPr>
                <w:rFonts w:hint="eastAsia" w:ascii="宋体" w:hAnsi="宋体" w:eastAsia="宋体" w:cs="宋体"/>
                <w:sz w:val="24"/>
                <w:szCs w:val="24"/>
              </w:rPr>
              <w:t>  8.峰值声压级 127dB</w:t>
            </w:r>
            <w:r>
              <w:rPr>
                <w:rFonts w:hint="eastAsia" w:ascii="宋体" w:hAnsi="宋体" w:eastAsia="宋体" w:cs="宋体"/>
                <w:sz w:val="24"/>
                <w:szCs w:val="24"/>
              </w:rPr>
              <w:br w:type="textWrapping"/>
            </w:r>
            <w:r>
              <w:rPr>
                <w:rFonts w:hint="eastAsia" w:ascii="宋体" w:hAnsi="宋体" w:eastAsia="宋体" w:cs="宋体"/>
                <w:sz w:val="24"/>
                <w:szCs w:val="24"/>
              </w:rPr>
              <w:t>  9.标准阻抗 8Ω</w:t>
            </w:r>
            <w:r>
              <w:rPr>
                <w:rFonts w:hint="eastAsia" w:ascii="宋体" w:hAnsi="宋体" w:eastAsia="宋体" w:cs="宋体"/>
                <w:sz w:val="24"/>
                <w:szCs w:val="24"/>
              </w:rPr>
              <w:br w:type="textWrapping"/>
            </w:r>
            <w:r>
              <w:rPr>
                <w:rFonts w:hint="eastAsia" w:ascii="宋体" w:hAnsi="宋体" w:eastAsia="宋体" w:cs="宋体"/>
                <w:sz w:val="24"/>
                <w:szCs w:val="24"/>
              </w:rPr>
              <w:t>  10.输入功率 150W(额定)/300W(峰值)</w:t>
            </w:r>
          </w:p>
        </w:tc>
        <w:tc>
          <w:tcPr>
            <w:tcW w:w="497" w:type="dxa"/>
            <w:gridSpan w:val="2"/>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top"/>
          </w:tcPr>
          <w:p>
            <w:pPr>
              <w:keepNext w:val="0"/>
              <w:keepLines w:val="0"/>
              <w:widowControl/>
              <w:suppressLineNumbers w:val="0"/>
              <w:jc w:val="left"/>
            </w:pPr>
          </w:p>
        </w:tc>
      </w:tr>
      <w:tr>
        <w:trPr>
          <w:trHeight w:val="960" w:hRule="atLeast"/>
          <w:tblCellSpacing w:w="15" w:type="dxa"/>
        </w:trPr>
        <w:tc>
          <w:tcPr>
            <w:tcW w:w="36" w:type="dxa"/>
            <w:tcBorders>
              <w:top w:val="nil"/>
              <w:left w:val="single" w:color="auto" w:sz="6" w:space="0"/>
              <w:bottom w:val="single" w:color="auto" w:sz="6" w:space="0"/>
              <w:right w:val="single" w:color="auto" w:sz="6" w:space="0"/>
            </w:tcBorders>
            <w:shd w:val="clear" w:color="auto" w:fill="FFFFFF"/>
            <w:tcMar>
              <w:top w:w="0" w:type="dxa"/>
              <w:left w:w="0" w:type="dxa"/>
              <w:bottom w:w="0" w:type="dxa"/>
              <w:right w:w="0" w:type="dxa"/>
            </w:tcMar>
            <w:vAlign w:val="center"/>
          </w:tcPr>
          <w:p>
            <w:pPr>
              <w:keepNext w:val="0"/>
              <w:keepLines w:val="0"/>
              <w:widowControl/>
              <w:suppressLineNumbers w:val="0"/>
              <w:jc w:val="left"/>
            </w:pPr>
          </w:p>
        </w:tc>
        <w:tc>
          <w:tcPr>
            <w:tcW w:w="890" w:type="dxa"/>
            <w:gridSpan w:val="2"/>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jc w:val="center"/>
            </w:pPr>
            <w:r>
              <w:rPr>
                <w:rFonts w:hint="default" w:ascii="Calibri" w:hAnsi="Calibri" w:cs="Calibri"/>
                <w:sz w:val="24"/>
                <w:szCs w:val="24"/>
              </w:rPr>
              <w:t>1-2-20</w:t>
            </w:r>
          </w:p>
        </w:tc>
        <w:tc>
          <w:tcPr>
            <w:tcW w:w="887"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pPr>
            <w:r>
              <w:rPr>
                <w:rFonts w:hint="eastAsia" w:ascii="宋体" w:hAnsi="宋体" w:eastAsia="宋体" w:cs="宋体"/>
                <w:sz w:val="24"/>
                <w:szCs w:val="24"/>
              </w:rPr>
              <w:t>专业功放</w:t>
            </w:r>
          </w:p>
        </w:tc>
        <w:tc>
          <w:tcPr>
            <w:tcW w:w="529"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jc w:val="center"/>
            </w:pPr>
            <w:r>
              <w:rPr>
                <w:rFonts w:hint="eastAsia" w:ascii="宋体" w:hAnsi="宋体" w:eastAsia="宋体" w:cs="宋体"/>
                <w:sz w:val="24"/>
                <w:szCs w:val="24"/>
              </w:rPr>
              <w:t>台</w:t>
            </w:r>
          </w:p>
        </w:tc>
        <w:tc>
          <w:tcPr>
            <w:tcW w:w="530"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jc w:val="center"/>
            </w:pPr>
            <w:r>
              <w:rPr>
                <w:rFonts w:hint="eastAsia" w:ascii="宋体" w:hAnsi="宋体" w:eastAsia="宋体" w:cs="宋体"/>
                <w:sz w:val="24"/>
                <w:szCs w:val="24"/>
              </w:rPr>
              <w:t>1</w:t>
            </w:r>
          </w:p>
        </w:tc>
        <w:tc>
          <w:tcPr>
            <w:tcW w:w="6395"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pPr>
            <w:r>
              <w:rPr>
                <w:rFonts w:hint="eastAsia" w:ascii="宋体" w:hAnsi="宋体" w:eastAsia="宋体" w:cs="宋体"/>
                <w:sz w:val="24"/>
                <w:szCs w:val="24"/>
              </w:rPr>
              <w:t>技术参数：</w:t>
            </w:r>
            <w:r>
              <w:rPr>
                <w:rFonts w:hint="eastAsia" w:ascii="宋体" w:hAnsi="宋体" w:eastAsia="宋体" w:cs="宋体"/>
                <w:sz w:val="24"/>
                <w:szCs w:val="24"/>
              </w:rPr>
              <w:br w:type="textWrapping"/>
            </w:r>
            <w:r>
              <w:rPr>
                <w:rFonts w:hint="eastAsia" w:ascii="宋体" w:hAnsi="宋体" w:eastAsia="宋体" w:cs="宋体"/>
                <w:sz w:val="24"/>
                <w:szCs w:val="24"/>
              </w:rPr>
              <w:t xml:space="preserve">  1.输出功率@立体声8Ω(失真≤1%时) 2×250W </w:t>
            </w:r>
            <w:r>
              <w:rPr>
                <w:rFonts w:hint="eastAsia" w:ascii="宋体" w:hAnsi="宋体" w:eastAsia="宋体" w:cs="宋体"/>
                <w:sz w:val="24"/>
                <w:szCs w:val="24"/>
              </w:rPr>
              <w:br w:type="textWrapping"/>
            </w:r>
            <w:r>
              <w:rPr>
                <w:rFonts w:hint="eastAsia" w:ascii="宋体" w:hAnsi="宋体" w:eastAsia="宋体" w:cs="宋体"/>
                <w:sz w:val="24"/>
                <w:szCs w:val="24"/>
              </w:rPr>
              <w:t xml:space="preserve">  2.输出功率@立体声4Ω(失真≤1%时) 2×460W </w:t>
            </w:r>
            <w:r>
              <w:rPr>
                <w:rFonts w:hint="eastAsia" w:ascii="宋体" w:hAnsi="宋体" w:eastAsia="宋体" w:cs="宋体"/>
                <w:sz w:val="24"/>
                <w:szCs w:val="24"/>
              </w:rPr>
              <w:br w:type="textWrapping"/>
            </w:r>
            <w:r>
              <w:rPr>
                <w:rFonts w:hint="eastAsia" w:ascii="宋体" w:hAnsi="宋体" w:eastAsia="宋体" w:cs="宋体"/>
                <w:sz w:val="24"/>
                <w:szCs w:val="24"/>
              </w:rPr>
              <w:t xml:space="preserve">  3.输出功率@桥接8Ω(失真≤1%时) 760W </w:t>
            </w:r>
            <w:r>
              <w:rPr>
                <w:rFonts w:hint="eastAsia" w:ascii="宋体" w:hAnsi="宋体" w:eastAsia="宋体" w:cs="宋体"/>
                <w:sz w:val="24"/>
                <w:szCs w:val="24"/>
              </w:rPr>
              <w:br w:type="textWrapping"/>
            </w:r>
            <w:r>
              <w:rPr>
                <w:rFonts w:hint="eastAsia" w:ascii="宋体" w:hAnsi="宋体" w:eastAsia="宋体" w:cs="宋体"/>
                <w:sz w:val="24"/>
                <w:szCs w:val="24"/>
              </w:rPr>
              <w:t xml:space="preserve">  4.输出功率@桥接4Ω(失真≤1%时) 950W </w:t>
            </w:r>
            <w:r>
              <w:rPr>
                <w:rFonts w:hint="eastAsia" w:ascii="宋体" w:hAnsi="宋体" w:eastAsia="宋体" w:cs="宋体"/>
                <w:sz w:val="24"/>
                <w:szCs w:val="24"/>
              </w:rPr>
              <w:br w:type="textWrapping"/>
            </w:r>
            <w:r>
              <w:rPr>
                <w:rFonts w:hint="eastAsia" w:ascii="宋体" w:hAnsi="宋体" w:eastAsia="宋体" w:cs="宋体"/>
                <w:sz w:val="24"/>
                <w:szCs w:val="24"/>
              </w:rPr>
              <w:t>  5.频率响应 20Hz～20KHz±0.35dB</w:t>
            </w:r>
            <w:r>
              <w:rPr>
                <w:rFonts w:hint="eastAsia" w:ascii="宋体" w:hAnsi="宋体" w:eastAsia="宋体" w:cs="宋体"/>
                <w:sz w:val="24"/>
                <w:szCs w:val="24"/>
              </w:rPr>
              <w:br w:type="textWrapping"/>
            </w:r>
            <w:r>
              <w:rPr>
                <w:rFonts w:hint="eastAsia" w:ascii="宋体" w:hAnsi="宋体" w:eastAsia="宋体" w:cs="宋体"/>
                <w:sz w:val="24"/>
                <w:szCs w:val="24"/>
              </w:rPr>
              <w:t>  6.总谐波失真 ≤0.05%</w:t>
            </w:r>
            <w:r>
              <w:rPr>
                <w:rFonts w:hint="eastAsia" w:ascii="宋体" w:hAnsi="宋体" w:eastAsia="宋体" w:cs="宋体"/>
                <w:sz w:val="24"/>
                <w:szCs w:val="24"/>
              </w:rPr>
              <w:br w:type="textWrapping"/>
            </w:r>
            <w:r>
              <w:rPr>
                <w:rFonts w:hint="eastAsia" w:ascii="宋体" w:hAnsi="宋体" w:eastAsia="宋体" w:cs="宋体"/>
                <w:sz w:val="24"/>
                <w:szCs w:val="24"/>
              </w:rPr>
              <w:t>  7.互调失真≤0.05%</w:t>
            </w:r>
            <w:r>
              <w:rPr>
                <w:rFonts w:hint="eastAsia" w:ascii="宋体" w:hAnsi="宋体" w:eastAsia="宋体" w:cs="宋体"/>
                <w:sz w:val="24"/>
                <w:szCs w:val="24"/>
              </w:rPr>
              <w:br w:type="textWrapping"/>
            </w:r>
            <w:r>
              <w:rPr>
                <w:rFonts w:hint="eastAsia" w:ascii="宋体" w:hAnsi="宋体" w:eastAsia="宋体" w:cs="宋体"/>
                <w:sz w:val="24"/>
                <w:szCs w:val="24"/>
              </w:rPr>
              <w:t>  8.信噪比 ≥102dB</w:t>
            </w:r>
            <w:r>
              <w:rPr>
                <w:rFonts w:hint="eastAsia" w:ascii="宋体" w:hAnsi="宋体" w:eastAsia="宋体" w:cs="宋体"/>
                <w:sz w:val="24"/>
                <w:szCs w:val="24"/>
              </w:rPr>
              <w:br w:type="textWrapping"/>
            </w:r>
            <w:r>
              <w:rPr>
                <w:rFonts w:hint="eastAsia" w:ascii="宋体" w:hAnsi="宋体" w:eastAsia="宋体" w:cs="宋体"/>
                <w:sz w:val="24"/>
                <w:szCs w:val="24"/>
              </w:rPr>
              <w:t>  9.输入共抑制比@1KHz ≥78dB</w:t>
            </w:r>
            <w:r>
              <w:rPr>
                <w:rFonts w:hint="eastAsia" w:ascii="宋体" w:hAnsi="宋体" w:eastAsia="宋体" w:cs="宋体"/>
                <w:sz w:val="24"/>
                <w:szCs w:val="24"/>
              </w:rPr>
              <w:br w:type="textWrapping"/>
            </w:r>
            <w:r>
              <w:rPr>
                <w:rFonts w:hint="eastAsia" w:ascii="宋体" w:hAnsi="宋体" w:eastAsia="宋体" w:cs="宋体"/>
                <w:sz w:val="24"/>
                <w:szCs w:val="24"/>
              </w:rPr>
              <w:t>  10.通道分离度@1KHz ≥78dB</w:t>
            </w:r>
            <w:r>
              <w:rPr>
                <w:rFonts w:hint="eastAsia" w:ascii="宋体" w:hAnsi="宋体" w:eastAsia="宋体" w:cs="宋体"/>
                <w:sz w:val="24"/>
                <w:szCs w:val="24"/>
              </w:rPr>
              <w:br w:type="textWrapping"/>
            </w:r>
            <w:r>
              <w:rPr>
                <w:rFonts w:hint="eastAsia" w:ascii="宋体" w:hAnsi="宋体" w:eastAsia="宋体" w:cs="宋体"/>
                <w:sz w:val="24"/>
                <w:szCs w:val="24"/>
              </w:rPr>
              <w:t>  11.阻尼系数@8Ω,≤1KHz ≥200</w:t>
            </w:r>
          </w:p>
        </w:tc>
        <w:tc>
          <w:tcPr>
            <w:tcW w:w="497" w:type="dxa"/>
            <w:gridSpan w:val="2"/>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top"/>
          </w:tcPr>
          <w:p>
            <w:pPr>
              <w:keepNext w:val="0"/>
              <w:keepLines w:val="0"/>
              <w:widowControl/>
              <w:suppressLineNumbers w:val="0"/>
              <w:jc w:val="left"/>
            </w:pPr>
          </w:p>
        </w:tc>
      </w:tr>
      <w:tr>
        <w:trPr>
          <w:trHeight w:val="5055" w:hRule="atLeast"/>
          <w:tblCellSpacing w:w="15" w:type="dxa"/>
        </w:trPr>
        <w:tc>
          <w:tcPr>
            <w:tcW w:w="36" w:type="dxa"/>
            <w:tcBorders>
              <w:top w:val="nil"/>
              <w:left w:val="single" w:color="auto" w:sz="6" w:space="0"/>
              <w:bottom w:val="single" w:color="auto" w:sz="6" w:space="0"/>
              <w:right w:val="single" w:color="auto" w:sz="6" w:space="0"/>
            </w:tcBorders>
            <w:shd w:val="clear" w:color="auto" w:fill="FFFFFF"/>
            <w:tcMar>
              <w:top w:w="0" w:type="dxa"/>
              <w:left w:w="0" w:type="dxa"/>
              <w:bottom w:w="0" w:type="dxa"/>
              <w:right w:w="0" w:type="dxa"/>
            </w:tcMar>
            <w:vAlign w:val="center"/>
          </w:tcPr>
          <w:p>
            <w:pPr>
              <w:keepNext w:val="0"/>
              <w:keepLines w:val="0"/>
              <w:widowControl/>
              <w:suppressLineNumbers w:val="0"/>
              <w:jc w:val="left"/>
            </w:pPr>
          </w:p>
        </w:tc>
        <w:tc>
          <w:tcPr>
            <w:tcW w:w="890" w:type="dxa"/>
            <w:gridSpan w:val="2"/>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jc w:val="center"/>
            </w:pPr>
            <w:r>
              <w:rPr>
                <w:rFonts w:hint="default" w:ascii="Calibri" w:hAnsi="Calibri" w:cs="Calibri"/>
                <w:sz w:val="24"/>
                <w:szCs w:val="24"/>
              </w:rPr>
              <w:t>1-2-21</w:t>
            </w:r>
          </w:p>
        </w:tc>
        <w:tc>
          <w:tcPr>
            <w:tcW w:w="887"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pPr>
            <w:r>
              <w:rPr>
                <w:rFonts w:hint="eastAsia" w:ascii="宋体" w:hAnsi="宋体" w:eastAsia="宋体" w:cs="宋体"/>
                <w:sz w:val="24"/>
                <w:szCs w:val="24"/>
              </w:rPr>
              <w:t>调音台</w:t>
            </w:r>
          </w:p>
        </w:tc>
        <w:tc>
          <w:tcPr>
            <w:tcW w:w="529"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jc w:val="center"/>
            </w:pPr>
            <w:r>
              <w:rPr>
                <w:rFonts w:hint="eastAsia" w:ascii="宋体" w:hAnsi="宋体" w:eastAsia="宋体" w:cs="宋体"/>
                <w:sz w:val="24"/>
                <w:szCs w:val="24"/>
              </w:rPr>
              <w:t>台</w:t>
            </w:r>
          </w:p>
        </w:tc>
        <w:tc>
          <w:tcPr>
            <w:tcW w:w="530"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jc w:val="center"/>
            </w:pPr>
            <w:r>
              <w:rPr>
                <w:rFonts w:hint="eastAsia" w:ascii="宋体" w:hAnsi="宋体" w:eastAsia="宋体" w:cs="宋体"/>
                <w:sz w:val="24"/>
                <w:szCs w:val="24"/>
              </w:rPr>
              <w:t>1</w:t>
            </w:r>
          </w:p>
        </w:tc>
        <w:tc>
          <w:tcPr>
            <w:tcW w:w="6395"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pPr>
            <w:r>
              <w:rPr>
                <w:rFonts w:hint="eastAsia" w:ascii="宋体" w:hAnsi="宋体" w:eastAsia="宋体" w:cs="宋体"/>
                <w:sz w:val="24"/>
                <w:szCs w:val="24"/>
              </w:rPr>
              <w:t>技术参数：</w:t>
            </w:r>
            <w:r>
              <w:rPr>
                <w:rFonts w:hint="eastAsia" w:ascii="宋体" w:hAnsi="宋体" w:eastAsia="宋体" w:cs="宋体"/>
                <w:sz w:val="24"/>
                <w:szCs w:val="24"/>
              </w:rPr>
              <w:br w:type="textWrapping"/>
            </w:r>
            <w:r>
              <w:rPr>
                <w:rFonts w:hint="eastAsia" w:ascii="宋体" w:hAnsi="宋体" w:eastAsia="宋体" w:cs="宋体"/>
                <w:sz w:val="24"/>
                <w:szCs w:val="24"/>
              </w:rPr>
              <w:t>  1.机架式，便于机柜安装，机架角度为70度与20度，方便用户操作。</w:t>
            </w:r>
            <w:r>
              <w:rPr>
                <w:rFonts w:hint="eastAsia" w:ascii="宋体" w:hAnsi="宋体" w:eastAsia="宋体" w:cs="宋体"/>
                <w:sz w:val="24"/>
                <w:szCs w:val="24"/>
              </w:rPr>
              <w:br w:type="textWrapping"/>
            </w:r>
            <w:r>
              <w:rPr>
                <w:rFonts w:hint="eastAsia" w:ascii="宋体" w:hAnsi="宋体" w:eastAsia="宋体" w:cs="宋体"/>
                <w:sz w:val="24"/>
                <w:szCs w:val="24"/>
              </w:rPr>
              <w:t>  2.五路话筒，四路立体声线路输入。</w:t>
            </w:r>
            <w:r>
              <w:rPr>
                <w:rFonts w:hint="eastAsia" w:ascii="宋体" w:hAnsi="宋体" w:eastAsia="宋体" w:cs="宋体"/>
                <w:sz w:val="24"/>
                <w:szCs w:val="24"/>
              </w:rPr>
              <w:br w:type="textWrapping"/>
            </w:r>
            <w:r>
              <w:rPr>
                <w:rFonts w:hint="eastAsia" w:ascii="宋体" w:hAnsi="宋体" w:eastAsia="宋体" w:cs="宋体"/>
                <w:sz w:val="24"/>
                <w:szCs w:val="24"/>
              </w:rPr>
              <w:t>  3.两路主输出，一路辅助输出，一路监听输出，两路录音输出。</w:t>
            </w:r>
            <w:r>
              <w:rPr>
                <w:rFonts w:hint="eastAsia" w:ascii="宋体" w:hAnsi="宋体" w:eastAsia="宋体" w:cs="宋体"/>
                <w:sz w:val="24"/>
                <w:szCs w:val="24"/>
              </w:rPr>
              <w:br w:type="textWrapping"/>
            </w:r>
            <w:r>
              <w:rPr>
                <w:rFonts w:hint="eastAsia" w:ascii="宋体" w:hAnsi="宋体" w:eastAsia="宋体" w:cs="宋体"/>
                <w:sz w:val="24"/>
                <w:szCs w:val="24"/>
              </w:rPr>
              <w:t>  4.输入三段均衡，输入输出60mm调节推杆。</w:t>
            </w:r>
            <w:r>
              <w:rPr>
                <w:rFonts w:hint="eastAsia" w:ascii="宋体" w:hAnsi="宋体" w:eastAsia="宋体" w:cs="宋体"/>
                <w:sz w:val="24"/>
                <w:szCs w:val="24"/>
              </w:rPr>
              <w:br w:type="textWrapping"/>
            </w:r>
            <w:r>
              <w:rPr>
                <w:rFonts w:hint="eastAsia" w:ascii="宋体" w:hAnsi="宋体" w:eastAsia="宋体" w:cs="宋体"/>
                <w:sz w:val="24"/>
                <w:szCs w:val="24"/>
              </w:rPr>
              <w:t>  5.内置数字效果器，内置32个DSP数字效果，数字效果通过推子调节。</w:t>
            </w:r>
            <w:r>
              <w:rPr>
                <w:rFonts w:hint="eastAsia" w:ascii="宋体" w:hAnsi="宋体" w:eastAsia="宋体" w:cs="宋体"/>
                <w:sz w:val="24"/>
                <w:szCs w:val="24"/>
              </w:rPr>
              <w:br w:type="textWrapping"/>
            </w:r>
            <w:r>
              <w:rPr>
                <w:rFonts w:hint="eastAsia" w:ascii="宋体" w:hAnsi="宋体" w:eastAsia="宋体" w:cs="宋体"/>
                <w:sz w:val="24"/>
                <w:szCs w:val="24"/>
              </w:rPr>
              <w:t>  6.内置MP3功能，支持SD卡、U盘，带记忆播放功能。</w:t>
            </w:r>
            <w:r>
              <w:rPr>
                <w:rFonts w:hint="eastAsia" w:ascii="宋体" w:hAnsi="宋体" w:eastAsia="宋体" w:cs="宋体"/>
                <w:sz w:val="24"/>
                <w:szCs w:val="24"/>
              </w:rPr>
              <w:br w:type="textWrapping"/>
            </w:r>
            <w:r>
              <w:rPr>
                <w:rFonts w:hint="eastAsia" w:ascii="宋体" w:hAnsi="宋体" w:eastAsia="宋体" w:cs="宋体"/>
                <w:sz w:val="24"/>
                <w:szCs w:val="24"/>
              </w:rPr>
              <w:t>  7.内置收音机频率范围88MHz-108MHz调频电台。</w:t>
            </w:r>
            <w:r>
              <w:rPr>
                <w:rFonts w:hint="eastAsia" w:ascii="宋体" w:hAnsi="宋体" w:eastAsia="宋体" w:cs="宋体"/>
                <w:sz w:val="24"/>
                <w:szCs w:val="24"/>
              </w:rPr>
              <w:br w:type="textWrapping"/>
            </w:r>
            <w:r>
              <w:rPr>
                <w:rFonts w:hint="eastAsia" w:ascii="宋体" w:hAnsi="宋体" w:eastAsia="宋体" w:cs="宋体"/>
                <w:sz w:val="24"/>
                <w:szCs w:val="24"/>
              </w:rPr>
              <w:t>  8.带蓝牙无线连接模块，音频播放、身份管理、触摸式开关切换。</w:t>
            </w:r>
            <w:r>
              <w:rPr>
                <w:rFonts w:hint="eastAsia" w:ascii="宋体" w:hAnsi="宋体" w:eastAsia="宋体" w:cs="宋体"/>
                <w:sz w:val="24"/>
                <w:szCs w:val="24"/>
              </w:rPr>
              <w:br w:type="textWrapping"/>
            </w:r>
            <w:r>
              <w:rPr>
                <w:rFonts w:hint="eastAsia" w:ascii="宋体" w:hAnsi="宋体" w:eastAsia="宋体" w:cs="宋体"/>
                <w:sz w:val="24"/>
                <w:szCs w:val="24"/>
              </w:rPr>
              <w:t>  9.内置+48V幻像电源，每路具有独立控制开关及指示灯。</w:t>
            </w:r>
            <w:r>
              <w:rPr>
                <w:rFonts w:hint="eastAsia" w:ascii="宋体" w:hAnsi="宋体" w:eastAsia="宋体" w:cs="宋体"/>
                <w:sz w:val="24"/>
                <w:szCs w:val="24"/>
              </w:rPr>
              <w:br w:type="textWrapping"/>
            </w:r>
            <w:r>
              <w:rPr>
                <w:rFonts w:hint="eastAsia" w:ascii="宋体" w:hAnsi="宋体" w:eastAsia="宋体" w:cs="宋体"/>
                <w:sz w:val="24"/>
                <w:szCs w:val="24"/>
              </w:rPr>
              <w:t>  10.电源供应及功耗 ：AC 220V/50Hz,≤35W</w:t>
            </w:r>
          </w:p>
        </w:tc>
        <w:tc>
          <w:tcPr>
            <w:tcW w:w="497" w:type="dxa"/>
            <w:gridSpan w:val="2"/>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top"/>
          </w:tcPr>
          <w:p>
            <w:pPr>
              <w:keepNext w:val="0"/>
              <w:keepLines w:val="0"/>
              <w:widowControl/>
              <w:suppressLineNumbers w:val="0"/>
              <w:jc w:val="left"/>
            </w:pPr>
          </w:p>
        </w:tc>
      </w:tr>
      <w:tr>
        <w:trPr>
          <w:trHeight w:val="2535" w:hRule="atLeast"/>
          <w:tblCellSpacing w:w="15" w:type="dxa"/>
        </w:trPr>
        <w:tc>
          <w:tcPr>
            <w:tcW w:w="36" w:type="dxa"/>
            <w:tcBorders>
              <w:top w:val="nil"/>
              <w:left w:val="single" w:color="auto" w:sz="6" w:space="0"/>
              <w:bottom w:val="single" w:color="auto" w:sz="6" w:space="0"/>
              <w:right w:val="single" w:color="auto" w:sz="6" w:space="0"/>
            </w:tcBorders>
            <w:shd w:val="clear" w:color="auto" w:fill="FFFFFF"/>
            <w:tcMar>
              <w:top w:w="0" w:type="dxa"/>
              <w:left w:w="0" w:type="dxa"/>
              <w:bottom w:w="0" w:type="dxa"/>
              <w:right w:w="0" w:type="dxa"/>
            </w:tcMar>
            <w:vAlign w:val="center"/>
          </w:tcPr>
          <w:p>
            <w:pPr>
              <w:keepNext w:val="0"/>
              <w:keepLines w:val="0"/>
              <w:widowControl/>
              <w:suppressLineNumbers w:val="0"/>
              <w:jc w:val="left"/>
            </w:pPr>
          </w:p>
        </w:tc>
        <w:tc>
          <w:tcPr>
            <w:tcW w:w="890" w:type="dxa"/>
            <w:gridSpan w:val="2"/>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jc w:val="center"/>
            </w:pPr>
            <w:r>
              <w:rPr>
                <w:rFonts w:hint="default" w:ascii="Calibri" w:hAnsi="Calibri" w:cs="Calibri"/>
                <w:sz w:val="24"/>
                <w:szCs w:val="24"/>
              </w:rPr>
              <w:t>1-2-22</w:t>
            </w:r>
          </w:p>
        </w:tc>
        <w:tc>
          <w:tcPr>
            <w:tcW w:w="887"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pPr>
            <w:r>
              <w:rPr>
                <w:rFonts w:hint="eastAsia" w:ascii="宋体" w:hAnsi="宋体" w:eastAsia="宋体" w:cs="宋体"/>
                <w:sz w:val="24"/>
                <w:szCs w:val="24"/>
              </w:rPr>
              <w:t>均衡器</w:t>
            </w:r>
          </w:p>
        </w:tc>
        <w:tc>
          <w:tcPr>
            <w:tcW w:w="529"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jc w:val="center"/>
            </w:pPr>
            <w:r>
              <w:rPr>
                <w:rFonts w:hint="eastAsia" w:ascii="宋体" w:hAnsi="宋体" w:eastAsia="宋体" w:cs="宋体"/>
                <w:sz w:val="24"/>
                <w:szCs w:val="24"/>
              </w:rPr>
              <w:t>台</w:t>
            </w:r>
          </w:p>
        </w:tc>
        <w:tc>
          <w:tcPr>
            <w:tcW w:w="530"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jc w:val="center"/>
            </w:pPr>
            <w:r>
              <w:rPr>
                <w:rFonts w:hint="eastAsia" w:ascii="宋体" w:hAnsi="宋体" w:eastAsia="宋体" w:cs="宋体"/>
                <w:sz w:val="24"/>
                <w:szCs w:val="24"/>
              </w:rPr>
              <w:t>1</w:t>
            </w:r>
          </w:p>
        </w:tc>
        <w:tc>
          <w:tcPr>
            <w:tcW w:w="6395"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pPr>
            <w:r>
              <w:rPr>
                <w:rFonts w:hint="eastAsia" w:ascii="宋体" w:hAnsi="宋体" w:eastAsia="宋体" w:cs="宋体"/>
                <w:sz w:val="24"/>
                <w:szCs w:val="24"/>
              </w:rPr>
              <w:t xml:space="preserve">1.输入阻抗   平衡：40KΩ；非平衡：20KΩ </w:t>
            </w:r>
            <w:r>
              <w:rPr>
                <w:rFonts w:hint="eastAsia" w:ascii="宋体" w:hAnsi="宋体" w:eastAsia="宋体" w:cs="宋体"/>
                <w:sz w:val="24"/>
                <w:szCs w:val="24"/>
              </w:rPr>
              <w:br w:type="textWrapping"/>
            </w:r>
            <w:r>
              <w:rPr>
                <w:rFonts w:hint="eastAsia" w:ascii="宋体" w:hAnsi="宋体" w:eastAsia="宋体" w:cs="宋体"/>
                <w:sz w:val="24"/>
                <w:szCs w:val="24"/>
              </w:rPr>
              <w:t xml:space="preserve">  2.输入范围 ≤+18dB </w:t>
            </w:r>
            <w:r>
              <w:rPr>
                <w:rFonts w:hint="eastAsia" w:ascii="宋体" w:hAnsi="宋体" w:eastAsia="宋体" w:cs="宋体"/>
                <w:sz w:val="24"/>
                <w:szCs w:val="24"/>
              </w:rPr>
              <w:br w:type="textWrapping"/>
            </w:r>
            <w:r>
              <w:rPr>
                <w:rFonts w:hint="eastAsia" w:ascii="宋体" w:hAnsi="宋体" w:eastAsia="宋体" w:cs="宋体"/>
                <w:sz w:val="24"/>
                <w:szCs w:val="24"/>
              </w:rPr>
              <w:t xml:space="preserve">  3.输出阻抗范围 平衡：300Ω；非平衡：150Ω </w:t>
            </w:r>
            <w:r>
              <w:rPr>
                <w:rFonts w:hint="eastAsia" w:ascii="宋体" w:hAnsi="宋体" w:eastAsia="宋体" w:cs="宋体"/>
                <w:sz w:val="24"/>
                <w:szCs w:val="24"/>
              </w:rPr>
              <w:br w:type="textWrapping"/>
            </w:r>
            <w:r>
              <w:rPr>
                <w:rFonts w:hint="eastAsia" w:ascii="宋体" w:hAnsi="宋体" w:eastAsia="宋体" w:cs="宋体"/>
                <w:sz w:val="24"/>
                <w:szCs w:val="24"/>
              </w:rPr>
              <w:t>  4.频率响应 20Hz-20KHz±1dB</w:t>
            </w:r>
            <w:r>
              <w:rPr>
                <w:rFonts w:hint="eastAsia" w:ascii="宋体" w:hAnsi="宋体" w:eastAsia="宋体" w:cs="宋体"/>
                <w:sz w:val="24"/>
                <w:szCs w:val="24"/>
              </w:rPr>
              <w:br w:type="textWrapping"/>
            </w:r>
            <w:r>
              <w:rPr>
                <w:rFonts w:hint="eastAsia" w:ascii="宋体" w:hAnsi="宋体" w:eastAsia="宋体" w:cs="宋体"/>
                <w:sz w:val="24"/>
                <w:szCs w:val="24"/>
              </w:rPr>
              <w:t>  5.信噪比  ≥90dB</w:t>
            </w:r>
            <w:r>
              <w:rPr>
                <w:rFonts w:hint="eastAsia" w:ascii="宋体" w:hAnsi="宋体" w:eastAsia="宋体" w:cs="宋体"/>
                <w:sz w:val="24"/>
                <w:szCs w:val="24"/>
              </w:rPr>
              <w:br w:type="textWrapping"/>
            </w:r>
            <w:r>
              <w:rPr>
                <w:rFonts w:hint="eastAsia" w:ascii="宋体" w:hAnsi="宋体" w:eastAsia="宋体" w:cs="宋体"/>
                <w:sz w:val="24"/>
                <w:szCs w:val="24"/>
              </w:rPr>
              <w:t xml:space="preserve">  6.最大输出 +22dB平衡；+16dB非平衡 </w:t>
            </w:r>
            <w:r>
              <w:rPr>
                <w:rFonts w:hint="eastAsia" w:ascii="宋体" w:hAnsi="宋体" w:eastAsia="宋体" w:cs="宋体"/>
                <w:sz w:val="24"/>
                <w:szCs w:val="24"/>
              </w:rPr>
              <w:br w:type="textWrapping"/>
            </w:r>
            <w:r>
              <w:rPr>
                <w:rFonts w:hint="eastAsia" w:ascii="宋体" w:hAnsi="宋体" w:eastAsia="宋体" w:cs="宋体"/>
                <w:sz w:val="24"/>
                <w:szCs w:val="24"/>
              </w:rPr>
              <w:t xml:space="preserve">  7.失真度 ≤0.01%(0dB，1KHz) </w:t>
            </w:r>
            <w:r>
              <w:rPr>
                <w:rFonts w:hint="eastAsia" w:ascii="宋体" w:hAnsi="宋体" w:eastAsia="宋体" w:cs="宋体"/>
                <w:sz w:val="24"/>
                <w:szCs w:val="24"/>
              </w:rPr>
              <w:br w:type="textWrapping"/>
            </w:r>
            <w:r>
              <w:rPr>
                <w:rFonts w:hint="eastAsia" w:ascii="宋体" w:hAnsi="宋体" w:eastAsia="宋体" w:cs="宋体"/>
                <w:sz w:val="24"/>
                <w:szCs w:val="24"/>
              </w:rPr>
              <w:t>  8.功耗 ≤15W</w:t>
            </w:r>
          </w:p>
        </w:tc>
        <w:tc>
          <w:tcPr>
            <w:tcW w:w="497" w:type="dxa"/>
            <w:gridSpan w:val="2"/>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top"/>
          </w:tcPr>
          <w:p>
            <w:pPr>
              <w:keepNext w:val="0"/>
              <w:keepLines w:val="0"/>
              <w:widowControl/>
              <w:suppressLineNumbers w:val="0"/>
              <w:jc w:val="left"/>
            </w:pPr>
          </w:p>
        </w:tc>
      </w:tr>
      <w:tr>
        <w:trPr>
          <w:trHeight w:val="2535" w:hRule="atLeast"/>
          <w:tblCellSpacing w:w="15" w:type="dxa"/>
        </w:trPr>
        <w:tc>
          <w:tcPr>
            <w:tcW w:w="36" w:type="dxa"/>
            <w:tcBorders>
              <w:top w:val="nil"/>
              <w:left w:val="single" w:color="auto" w:sz="6" w:space="0"/>
              <w:bottom w:val="single" w:color="auto" w:sz="6" w:space="0"/>
              <w:right w:val="single" w:color="auto" w:sz="6" w:space="0"/>
            </w:tcBorders>
            <w:shd w:val="clear" w:color="auto" w:fill="FFFFFF"/>
            <w:tcMar>
              <w:top w:w="0" w:type="dxa"/>
              <w:left w:w="0" w:type="dxa"/>
              <w:bottom w:w="0" w:type="dxa"/>
              <w:right w:w="0" w:type="dxa"/>
            </w:tcMar>
            <w:vAlign w:val="center"/>
          </w:tcPr>
          <w:p>
            <w:pPr>
              <w:keepNext w:val="0"/>
              <w:keepLines w:val="0"/>
              <w:widowControl/>
              <w:suppressLineNumbers w:val="0"/>
              <w:jc w:val="left"/>
            </w:pPr>
          </w:p>
        </w:tc>
        <w:tc>
          <w:tcPr>
            <w:tcW w:w="890" w:type="dxa"/>
            <w:gridSpan w:val="2"/>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jc w:val="center"/>
            </w:pPr>
            <w:r>
              <w:rPr>
                <w:rFonts w:hint="default" w:ascii="Calibri" w:hAnsi="Calibri" w:cs="Calibri"/>
                <w:sz w:val="24"/>
                <w:szCs w:val="24"/>
              </w:rPr>
              <w:t>1-2-23</w:t>
            </w:r>
          </w:p>
        </w:tc>
        <w:tc>
          <w:tcPr>
            <w:tcW w:w="887"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pPr>
            <w:r>
              <w:rPr>
                <w:rFonts w:hint="eastAsia" w:ascii="宋体" w:hAnsi="宋体" w:eastAsia="宋体" w:cs="宋体"/>
                <w:sz w:val="24"/>
                <w:szCs w:val="24"/>
              </w:rPr>
              <w:t>数字反馈抑制器</w:t>
            </w:r>
          </w:p>
        </w:tc>
        <w:tc>
          <w:tcPr>
            <w:tcW w:w="529"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jc w:val="center"/>
            </w:pPr>
            <w:r>
              <w:rPr>
                <w:rFonts w:hint="eastAsia" w:ascii="宋体" w:hAnsi="宋体" w:eastAsia="宋体" w:cs="宋体"/>
                <w:sz w:val="24"/>
                <w:szCs w:val="24"/>
              </w:rPr>
              <w:t>台</w:t>
            </w:r>
          </w:p>
        </w:tc>
        <w:tc>
          <w:tcPr>
            <w:tcW w:w="530"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jc w:val="center"/>
            </w:pPr>
            <w:r>
              <w:rPr>
                <w:rFonts w:hint="eastAsia" w:ascii="宋体" w:hAnsi="宋体" w:eastAsia="宋体" w:cs="宋体"/>
                <w:sz w:val="24"/>
                <w:szCs w:val="24"/>
              </w:rPr>
              <w:t>1</w:t>
            </w:r>
          </w:p>
        </w:tc>
        <w:tc>
          <w:tcPr>
            <w:tcW w:w="6395"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pPr>
            <w:r>
              <w:rPr>
                <w:rFonts w:hint="eastAsia" w:ascii="宋体" w:hAnsi="宋体" w:eastAsia="宋体" w:cs="宋体"/>
                <w:sz w:val="24"/>
                <w:szCs w:val="24"/>
              </w:rPr>
              <w:t>技术参数：</w:t>
            </w:r>
            <w:r>
              <w:rPr>
                <w:rFonts w:hint="eastAsia" w:ascii="宋体" w:hAnsi="宋体" w:eastAsia="宋体" w:cs="宋体"/>
                <w:sz w:val="24"/>
                <w:szCs w:val="24"/>
              </w:rPr>
              <w:br w:type="textWrapping"/>
            </w:r>
            <w:r>
              <w:rPr>
                <w:rFonts w:hint="eastAsia" w:ascii="宋体" w:hAnsi="宋体" w:eastAsia="宋体" w:cs="宋体"/>
                <w:sz w:val="24"/>
                <w:szCs w:val="24"/>
              </w:rPr>
              <w:t>  1.采用高性能24Bit A/D和D/A转换器，48K采样率。</w:t>
            </w:r>
            <w:r>
              <w:rPr>
                <w:rFonts w:hint="eastAsia" w:ascii="宋体" w:hAnsi="宋体" w:eastAsia="宋体" w:cs="宋体"/>
                <w:sz w:val="24"/>
                <w:szCs w:val="24"/>
              </w:rPr>
              <w:br w:type="textWrapping"/>
            </w:r>
            <w:r>
              <w:rPr>
                <w:rFonts w:hint="eastAsia" w:ascii="宋体" w:hAnsi="宋体" w:eastAsia="宋体" w:cs="宋体"/>
                <w:sz w:val="24"/>
                <w:szCs w:val="24"/>
              </w:rPr>
              <w:t>  2.每通道有12段反馈自动搜索频率。</w:t>
            </w:r>
            <w:r>
              <w:rPr>
                <w:rFonts w:hint="eastAsia" w:ascii="宋体" w:hAnsi="宋体" w:eastAsia="宋体" w:cs="宋体"/>
                <w:sz w:val="24"/>
                <w:szCs w:val="24"/>
              </w:rPr>
              <w:br w:type="textWrapping"/>
            </w:r>
            <w:r>
              <w:rPr>
                <w:rFonts w:hint="eastAsia" w:ascii="宋体" w:hAnsi="宋体" w:eastAsia="宋体" w:cs="宋体"/>
                <w:sz w:val="24"/>
                <w:szCs w:val="24"/>
              </w:rPr>
              <w:t>  3.手动模式可设置2×12个滤波器，包括频率，Q值。</w:t>
            </w:r>
            <w:r>
              <w:rPr>
                <w:rFonts w:hint="eastAsia" w:ascii="宋体" w:hAnsi="宋体" w:eastAsia="宋体" w:cs="宋体"/>
                <w:sz w:val="24"/>
                <w:szCs w:val="24"/>
              </w:rPr>
              <w:br w:type="textWrapping"/>
            </w:r>
            <w:r>
              <w:rPr>
                <w:rFonts w:hint="eastAsia" w:ascii="宋体" w:hAnsi="宋体" w:eastAsia="宋体" w:cs="宋体"/>
                <w:sz w:val="24"/>
                <w:szCs w:val="24"/>
              </w:rPr>
              <w:t>  4.单点模式自动搜索反馈频点进行陷波处理。</w:t>
            </w:r>
            <w:r>
              <w:rPr>
                <w:rFonts w:hint="eastAsia" w:ascii="宋体" w:hAnsi="宋体" w:eastAsia="宋体" w:cs="宋体"/>
                <w:sz w:val="24"/>
                <w:szCs w:val="24"/>
              </w:rPr>
              <w:br w:type="textWrapping"/>
            </w:r>
            <w:r>
              <w:rPr>
                <w:rFonts w:hint="eastAsia" w:ascii="宋体" w:hAnsi="宋体" w:eastAsia="宋体" w:cs="宋体"/>
                <w:sz w:val="24"/>
                <w:szCs w:val="24"/>
              </w:rPr>
              <w:t>  5.开启电源软启动，无冲击声，带噪声门功能。</w:t>
            </w:r>
            <w:r>
              <w:rPr>
                <w:rFonts w:hint="eastAsia" w:ascii="宋体" w:hAnsi="宋体" w:eastAsia="宋体" w:cs="宋体"/>
                <w:sz w:val="24"/>
                <w:szCs w:val="24"/>
              </w:rPr>
              <w:br w:type="textWrapping"/>
            </w:r>
            <w:r>
              <w:rPr>
                <w:rFonts w:hint="eastAsia" w:ascii="宋体" w:hAnsi="宋体" w:eastAsia="宋体" w:cs="宋体"/>
                <w:sz w:val="24"/>
                <w:szCs w:val="24"/>
              </w:rPr>
              <w:t>  6.TRS或XLR差分平衡入和输出；</w:t>
            </w:r>
            <w:r>
              <w:rPr>
                <w:rFonts w:hint="eastAsia" w:ascii="宋体" w:hAnsi="宋体" w:eastAsia="宋体" w:cs="宋体"/>
                <w:sz w:val="24"/>
                <w:szCs w:val="24"/>
              </w:rPr>
              <w:br w:type="textWrapping"/>
            </w:r>
            <w:r>
              <w:rPr>
                <w:rFonts w:hint="eastAsia" w:ascii="宋体" w:hAnsi="宋体" w:eastAsia="宋体" w:cs="宋体"/>
                <w:sz w:val="24"/>
                <w:szCs w:val="24"/>
              </w:rPr>
              <w:t>  7.电源：3 pin IEC，AC90～250V @ 50/60Hz 10W</w:t>
            </w:r>
          </w:p>
        </w:tc>
        <w:tc>
          <w:tcPr>
            <w:tcW w:w="497" w:type="dxa"/>
            <w:gridSpan w:val="2"/>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top"/>
          </w:tcPr>
          <w:p>
            <w:pPr>
              <w:keepNext w:val="0"/>
              <w:keepLines w:val="0"/>
              <w:widowControl/>
              <w:suppressLineNumbers w:val="0"/>
              <w:jc w:val="left"/>
            </w:pPr>
          </w:p>
        </w:tc>
      </w:tr>
      <w:tr>
        <w:trPr>
          <w:trHeight w:val="960" w:hRule="atLeast"/>
          <w:tblCellSpacing w:w="15" w:type="dxa"/>
        </w:trPr>
        <w:tc>
          <w:tcPr>
            <w:tcW w:w="36" w:type="dxa"/>
            <w:tcBorders>
              <w:top w:val="nil"/>
              <w:left w:val="single" w:color="auto" w:sz="6" w:space="0"/>
              <w:bottom w:val="single" w:color="auto" w:sz="6" w:space="0"/>
              <w:right w:val="single" w:color="auto" w:sz="6" w:space="0"/>
            </w:tcBorders>
            <w:shd w:val="clear" w:color="auto" w:fill="FFFFFF"/>
            <w:tcMar>
              <w:top w:w="0" w:type="dxa"/>
              <w:left w:w="0" w:type="dxa"/>
              <w:bottom w:w="0" w:type="dxa"/>
              <w:right w:w="0" w:type="dxa"/>
            </w:tcMar>
            <w:vAlign w:val="center"/>
          </w:tcPr>
          <w:p>
            <w:pPr>
              <w:keepNext w:val="0"/>
              <w:keepLines w:val="0"/>
              <w:widowControl/>
              <w:suppressLineNumbers w:val="0"/>
              <w:jc w:val="left"/>
            </w:pPr>
          </w:p>
        </w:tc>
        <w:tc>
          <w:tcPr>
            <w:tcW w:w="890" w:type="dxa"/>
            <w:gridSpan w:val="2"/>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jc w:val="center"/>
            </w:pPr>
            <w:r>
              <w:rPr>
                <w:rFonts w:hint="default" w:ascii="Calibri" w:hAnsi="Calibri" w:cs="Calibri"/>
                <w:sz w:val="24"/>
                <w:szCs w:val="24"/>
              </w:rPr>
              <w:t>1-2-24</w:t>
            </w:r>
          </w:p>
        </w:tc>
        <w:tc>
          <w:tcPr>
            <w:tcW w:w="887"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pPr>
            <w:r>
              <w:rPr>
                <w:rFonts w:hint="eastAsia" w:ascii="宋体" w:hAnsi="宋体" w:eastAsia="宋体" w:cs="宋体"/>
                <w:sz w:val="24"/>
                <w:szCs w:val="24"/>
              </w:rPr>
              <w:t>话筒增益处理器</w:t>
            </w:r>
          </w:p>
        </w:tc>
        <w:tc>
          <w:tcPr>
            <w:tcW w:w="529"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jc w:val="center"/>
            </w:pPr>
            <w:r>
              <w:rPr>
                <w:rFonts w:hint="eastAsia" w:ascii="宋体" w:hAnsi="宋体" w:eastAsia="宋体" w:cs="宋体"/>
                <w:sz w:val="24"/>
                <w:szCs w:val="24"/>
              </w:rPr>
              <w:t>台</w:t>
            </w:r>
          </w:p>
        </w:tc>
        <w:tc>
          <w:tcPr>
            <w:tcW w:w="530"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jc w:val="center"/>
            </w:pPr>
            <w:r>
              <w:rPr>
                <w:rFonts w:hint="eastAsia" w:ascii="宋体" w:hAnsi="宋体" w:eastAsia="宋体" w:cs="宋体"/>
                <w:sz w:val="24"/>
                <w:szCs w:val="24"/>
              </w:rPr>
              <w:t>1</w:t>
            </w:r>
          </w:p>
        </w:tc>
        <w:tc>
          <w:tcPr>
            <w:tcW w:w="6395"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pPr>
            <w:r>
              <w:rPr>
                <w:rFonts w:hint="eastAsia" w:ascii="宋体" w:hAnsi="宋体" w:eastAsia="宋体" w:cs="宋体"/>
                <w:sz w:val="24"/>
                <w:szCs w:val="24"/>
              </w:rPr>
              <w:t>1.用于音频扩声系统，有效提高拾音器拾音距离20-50CM；</w:t>
            </w:r>
            <w:r>
              <w:rPr>
                <w:rFonts w:hint="eastAsia" w:ascii="宋体" w:hAnsi="宋体" w:eastAsia="宋体" w:cs="宋体"/>
                <w:sz w:val="24"/>
                <w:szCs w:val="24"/>
              </w:rPr>
              <w:br w:type="textWrapping"/>
            </w:r>
            <w:r>
              <w:rPr>
                <w:rFonts w:hint="eastAsia" w:ascii="宋体" w:hAnsi="宋体" w:eastAsia="宋体" w:cs="宋体"/>
                <w:sz w:val="24"/>
                <w:szCs w:val="24"/>
              </w:rPr>
              <w:t>  2.采用先进高速浮点数字信号处理，内置先进音频处理芯片；</w:t>
            </w:r>
            <w:r>
              <w:rPr>
                <w:rFonts w:hint="eastAsia" w:ascii="宋体" w:hAnsi="宋体" w:eastAsia="宋体" w:cs="宋体"/>
                <w:sz w:val="24"/>
                <w:szCs w:val="24"/>
              </w:rPr>
              <w:br w:type="textWrapping"/>
            </w:r>
            <w:r>
              <w:rPr>
                <w:rFonts w:hint="eastAsia" w:ascii="宋体" w:hAnsi="宋体" w:eastAsia="宋体" w:cs="宋体"/>
                <w:sz w:val="24"/>
                <w:szCs w:val="24"/>
              </w:rPr>
              <w:t>  3.采用第三代数字反馈消除器，32位浮点DSP，有效处理话筒啸叫问题；</w:t>
            </w:r>
            <w:r>
              <w:rPr>
                <w:rFonts w:hint="eastAsia" w:ascii="宋体" w:hAnsi="宋体" w:eastAsia="宋体" w:cs="宋体"/>
                <w:sz w:val="24"/>
                <w:szCs w:val="24"/>
              </w:rPr>
              <w:br w:type="textWrapping"/>
            </w:r>
            <w:r>
              <w:rPr>
                <w:rFonts w:hint="eastAsia" w:ascii="宋体" w:hAnsi="宋体" w:eastAsia="宋体" w:cs="宋体"/>
                <w:sz w:val="24"/>
                <w:szCs w:val="24"/>
              </w:rPr>
              <w:t>  4.保证信号频谱不改变，增益提升6-15dB，频响更宽、音质高保真；</w:t>
            </w:r>
            <w:r>
              <w:rPr>
                <w:rFonts w:hint="eastAsia" w:ascii="宋体" w:hAnsi="宋体" w:eastAsia="宋体" w:cs="宋体"/>
                <w:sz w:val="24"/>
                <w:szCs w:val="24"/>
              </w:rPr>
              <w:br w:type="textWrapping"/>
            </w:r>
            <w:r>
              <w:rPr>
                <w:rFonts w:hint="eastAsia" w:ascii="宋体" w:hAnsi="宋体" w:eastAsia="宋体" w:cs="宋体"/>
                <w:sz w:val="24"/>
                <w:szCs w:val="24"/>
              </w:rPr>
              <w:t>  5.采用快速自动FFT算法，一键旁通，傻瓜式操作，无需任何调节；</w:t>
            </w:r>
          </w:p>
        </w:tc>
        <w:tc>
          <w:tcPr>
            <w:tcW w:w="497" w:type="dxa"/>
            <w:gridSpan w:val="2"/>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top"/>
          </w:tcPr>
          <w:p>
            <w:pPr>
              <w:keepNext w:val="0"/>
              <w:keepLines w:val="0"/>
              <w:widowControl/>
              <w:suppressLineNumbers w:val="0"/>
              <w:jc w:val="left"/>
            </w:pPr>
          </w:p>
        </w:tc>
      </w:tr>
      <w:tr>
        <w:trPr>
          <w:trHeight w:val="5985" w:hRule="atLeast"/>
          <w:tblCellSpacing w:w="15" w:type="dxa"/>
        </w:trPr>
        <w:tc>
          <w:tcPr>
            <w:tcW w:w="36" w:type="dxa"/>
            <w:tcBorders>
              <w:top w:val="nil"/>
              <w:left w:val="single" w:color="auto" w:sz="6" w:space="0"/>
              <w:bottom w:val="single" w:color="auto" w:sz="6" w:space="0"/>
              <w:right w:val="single" w:color="auto" w:sz="6" w:space="0"/>
            </w:tcBorders>
            <w:shd w:val="clear" w:color="auto" w:fill="FFFFFF"/>
            <w:tcMar>
              <w:top w:w="0" w:type="dxa"/>
              <w:left w:w="0" w:type="dxa"/>
              <w:bottom w:w="0" w:type="dxa"/>
              <w:right w:w="0" w:type="dxa"/>
            </w:tcMar>
            <w:vAlign w:val="center"/>
          </w:tcPr>
          <w:p>
            <w:pPr>
              <w:keepNext w:val="0"/>
              <w:keepLines w:val="0"/>
              <w:widowControl/>
              <w:suppressLineNumbers w:val="0"/>
              <w:jc w:val="left"/>
            </w:pPr>
          </w:p>
        </w:tc>
        <w:tc>
          <w:tcPr>
            <w:tcW w:w="890" w:type="dxa"/>
            <w:gridSpan w:val="2"/>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jc w:val="center"/>
            </w:pPr>
            <w:r>
              <w:rPr>
                <w:rFonts w:hint="default" w:ascii="Calibri" w:hAnsi="Calibri" w:cs="Calibri"/>
                <w:sz w:val="24"/>
                <w:szCs w:val="24"/>
              </w:rPr>
              <w:t>1-2-25</w:t>
            </w:r>
          </w:p>
        </w:tc>
        <w:tc>
          <w:tcPr>
            <w:tcW w:w="887"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pPr>
            <w:r>
              <w:rPr>
                <w:rFonts w:hint="eastAsia" w:ascii="宋体" w:hAnsi="宋体" w:eastAsia="宋体" w:cs="宋体"/>
                <w:sz w:val="24"/>
                <w:szCs w:val="24"/>
              </w:rPr>
              <w:t xml:space="preserve">U段无线话筒   </w:t>
            </w:r>
          </w:p>
        </w:tc>
        <w:tc>
          <w:tcPr>
            <w:tcW w:w="529"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jc w:val="center"/>
            </w:pPr>
            <w:r>
              <w:rPr>
                <w:rFonts w:hint="eastAsia" w:ascii="宋体" w:hAnsi="宋体" w:eastAsia="宋体" w:cs="宋体"/>
                <w:sz w:val="24"/>
                <w:szCs w:val="24"/>
              </w:rPr>
              <w:t>套</w:t>
            </w:r>
          </w:p>
        </w:tc>
        <w:tc>
          <w:tcPr>
            <w:tcW w:w="530"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jc w:val="center"/>
            </w:pPr>
            <w:r>
              <w:rPr>
                <w:rFonts w:hint="eastAsia" w:ascii="宋体" w:hAnsi="宋体" w:eastAsia="宋体" w:cs="宋体"/>
                <w:sz w:val="24"/>
                <w:szCs w:val="24"/>
              </w:rPr>
              <w:t>1</w:t>
            </w:r>
          </w:p>
        </w:tc>
        <w:tc>
          <w:tcPr>
            <w:tcW w:w="6395"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pPr>
            <w:r>
              <w:rPr>
                <w:rFonts w:hint="eastAsia" w:ascii="宋体" w:hAnsi="宋体" w:eastAsia="宋体" w:cs="宋体"/>
                <w:sz w:val="24"/>
                <w:szCs w:val="24"/>
              </w:rPr>
              <w:t>主机技术参数：</w:t>
            </w:r>
            <w:r>
              <w:rPr>
                <w:rFonts w:hint="eastAsia" w:ascii="宋体" w:hAnsi="宋体" w:eastAsia="宋体" w:cs="宋体"/>
                <w:sz w:val="24"/>
                <w:szCs w:val="24"/>
              </w:rPr>
              <w:br w:type="textWrapping"/>
            </w:r>
            <w:r>
              <w:rPr>
                <w:rFonts w:hint="eastAsia" w:ascii="宋体" w:hAnsi="宋体" w:eastAsia="宋体" w:cs="宋体"/>
                <w:sz w:val="24"/>
                <w:szCs w:val="24"/>
              </w:rPr>
              <w:t>  1.采用高档1U金属面板，具有手持式、头戴式、领夹式3种类型话筒可选。</w:t>
            </w:r>
            <w:r>
              <w:rPr>
                <w:rFonts w:hint="eastAsia" w:ascii="宋体" w:hAnsi="宋体" w:eastAsia="宋体" w:cs="宋体"/>
                <w:sz w:val="24"/>
                <w:szCs w:val="24"/>
              </w:rPr>
              <w:br w:type="textWrapping"/>
            </w:r>
            <w:r>
              <w:rPr>
                <w:rFonts w:hint="eastAsia" w:ascii="宋体" w:hAnsi="宋体" w:eastAsia="宋体" w:cs="宋体"/>
                <w:sz w:val="24"/>
                <w:szCs w:val="24"/>
              </w:rPr>
              <w:t>  2.每个接收通道预设32个频点，300个调谐频点可选。</w:t>
            </w:r>
            <w:r>
              <w:rPr>
                <w:rFonts w:hint="eastAsia" w:ascii="宋体" w:hAnsi="宋体" w:eastAsia="宋体" w:cs="宋体"/>
                <w:sz w:val="24"/>
                <w:szCs w:val="24"/>
              </w:rPr>
              <w:br w:type="textWrapping"/>
            </w:r>
            <w:r>
              <w:rPr>
                <w:rFonts w:hint="eastAsia" w:ascii="宋体" w:hAnsi="宋体" w:eastAsia="宋体" w:cs="宋体"/>
                <w:sz w:val="24"/>
                <w:szCs w:val="24"/>
              </w:rPr>
              <w:t>  3.发射器采用超宽频的PLL相位锁定频率振荡电路，方便工程维护与使用。</w:t>
            </w:r>
            <w:r>
              <w:rPr>
                <w:rFonts w:hint="eastAsia" w:ascii="宋体" w:hAnsi="宋体" w:eastAsia="宋体" w:cs="宋体"/>
                <w:sz w:val="24"/>
                <w:szCs w:val="24"/>
              </w:rPr>
              <w:br w:type="textWrapping"/>
            </w:r>
            <w:r>
              <w:rPr>
                <w:rFonts w:hint="eastAsia" w:ascii="宋体" w:hAnsi="宋体" w:eastAsia="宋体" w:cs="宋体"/>
                <w:sz w:val="24"/>
                <w:szCs w:val="24"/>
              </w:rPr>
              <w:t>  4.具有身份认证功能，有效阻止干扰信号将主机音频输出打开，同时主机实时显示发射器的电池电量。</w:t>
            </w:r>
            <w:r>
              <w:rPr>
                <w:rFonts w:hint="eastAsia" w:ascii="宋体" w:hAnsi="宋体" w:eastAsia="宋体" w:cs="宋体"/>
                <w:sz w:val="24"/>
                <w:szCs w:val="24"/>
              </w:rPr>
              <w:br w:type="textWrapping"/>
            </w:r>
            <w:r>
              <w:rPr>
                <w:rFonts w:hint="eastAsia" w:ascii="宋体" w:hAnsi="宋体" w:eastAsia="宋体" w:cs="宋体"/>
                <w:sz w:val="24"/>
                <w:szCs w:val="24"/>
              </w:rPr>
              <w:t>  5.本系统通过对声音的集中处理、放大和合理的分配，使声音还原性好、清晰度高、背景噪音小，并能使会议的气氛比较集中。</w:t>
            </w:r>
            <w:r>
              <w:rPr>
                <w:rFonts w:hint="eastAsia" w:ascii="宋体" w:hAnsi="宋体" w:eastAsia="宋体" w:cs="宋体"/>
                <w:sz w:val="24"/>
                <w:szCs w:val="24"/>
              </w:rPr>
              <w:br w:type="textWrapping"/>
            </w:r>
            <w:r>
              <w:rPr>
                <w:rFonts w:hint="eastAsia" w:ascii="宋体" w:hAnsi="宋体" w:eastAsia="宋体" w:cs="宋体"/>
                <w:sz w:val="24"/>
                <w:szCs w:val="24"/>
              </w:rPr>
              <w:t>  6.采用高可靠的贴片元件生产，通过8小时老化试验出厂。</w:t>
            </w:r>
            <w:r>
              <w:rPr>
                <w:rFonts w:hint="eastAsia" w:ascii="宋体" w:hAnsi="宋体" w:eastAsia="宋体" w:cs="宋体"/>
                <w:sz w:val="24"/>
                <w:szCs w:val="24"/>
              </w:rPr>
              <w:br w:type="textWrapping"/>
            </w:r>
            <w:r>
              <w:rPr>
                <w:rFonts w:hint="eastAsia" w:ascii="宋体" w:hAnsi="宋体" w:eastAsia="宋体" w:cs="宋体"/>
                <w:sz w:val="24"/>
                <w:szCs w:val="24"/>
              </w:rPr>
              <w:t>  7.该系统使用UHF520-850MHz频段，应用PLL频率合成锁相环技术，频率可调，发射功率可调，避免干扰频率。</w:t>
            </w:r>
            <w:r>
              <w:rPr>
                <w:rFonts w:hint="eastAsia" w:ascii="宋体" w:hAnsi="宋体" w:eastAsia="宋体" w:cs="宋体"/>
                <w:sz w:val="24"/>
                <w:szCs w:val="24"/>
              </w:rPr>
              <w:br w:type="textWrapping"/>
            </w:r>
            <w:r>
              <w:rPr>
                <w:rFonts w:hint="eastAsia" w:ascii="宋体" w:hAnsi="宋体" w:eastAsia="宋体" w:cs="宋体"/>
                <w:sz w:val="24"/>
                <w:szCs w:val="24"/>
              </w:rPr>
              <w:t>  8.采用多级带高频及中频选频滤波，充分消除干扰信号。</w:t>
            </w:r>
            <w:r>
              <w:rPr>
                <w:rFonts w:hint="eastAsia" w:ascii="宋体" w:hAnsi="宋体" w:eastAsia="宋体" w:cs="宋体"/>
                <w:sz w:val="24"/>
                <w:szCs w:val="24"/>
              </w:rPr>
              <w:br w:type="textWrapping"/>
            </w:r>
            <w:r>
              <w:rPr>
                <w:rFonts w:hint="eastAsia" w:ascii="宋体" w:hAnsi="宋体" w:eastAsia="宋体" w:cs="宋体"/>
                <w:sz w:val="24"/>
                <w:szCs w:val="24"/>
              </w:rPr>
              <w:t>  9.采用音频压缩扩展技术，噪音大大减少，动态范围加大。</w:t>
            </w:r>
          </w:p>
        </w:tc>
        <w:tc>
          <w:tcPr>
            <w:tcW w:w="497" w:type="dxa"/>
            <w:gridSpan w:val="2"/>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top"/>
          </w:tcPr>
          <w:p>
            <w:pPr>
              <w:keepNext w:val="0"/>
              <w:keepLines w:val="0"/>
              <w:widowControl/>
              <w:suppressLineNumbers w:val="0"/>
              <w:jc w:val="left"/>
            </w:pPr>
          </w:p>
        </w:tc>
      </w:tr>
      <w:tr>
        <w:trPr>
          <w:trHeight w:val="2535" w:hRule="atLeast"/>
          <w:tblCellSpacing w:w="15" w:type="dxa"/>
        </w:trPr>
        <w:tc>
          <w:tcPr>
            <w:tcW w:w="36" w:type="dxa"/>
            <w:tcBorders>
              <w:top w:val="nil"/>
              <w:left w:val="single" w:color="auto" w:sz="6" w:space="0"/>
              <w:bottom w:val="single" w:color="auto" w:sz="6" w:space="0"/>
              <w:right w:val="single" w:color="auto" w:sz="6" w:space="0"/>
            </w:tcBorders>
            <w:shd w:val="clear" w:color="auto" w:fill="FFFFFF"/>
            <w:tcMar>
              <w:top w:w="0" w:type="dxa"/>
              <w:left w:w="0" w:type="dxa"/>
              <w:bottom w:w="0" w:type="dxa"/>
              <w:right w:w="0" w:type="dxa"/>
            </w:tcMar>
            <w:vAlign w:val="center"/>
          </w:tcPr>
          <w:p>
            <w:pPr>
              <w:keepNext w:val="0"/>
              <w:keepLines w:val="0"/>
              <w:widowControl/>
              <w:suppressLineNumbers w:val="0"/>
              <w:jc w:val="left"/>
            </w:pPr>
          </w:p>
        </w:tc>
        <w:tc>
          <w:tcPr>
            <w:tcW w:w="890" w:type="dxa"/>
            <w:gridSpan w:val="2"/>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jc w:val="center"/>
            </w:pPr>
            <w:r>
              <w:rPr>
                <w:rFonts w:hint="default" w:ascii="Calibri" w:hAnsi="Calibri" w:cs="Calibri"/>
                <w:sz w:val="24"/>
                <w:szCs w:val="24"/>
              </w:rPr>
              <w:t>1-2-26</w:t>
            </w:r>
          </w:p>
        </w:tc>
        <w:tc>
          <w:tcPr>
            <w:tcW w:w="887"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pPr>
            <w:r>
              <w:rPr>
                <w:rFonts w:hint="eastAsia" w:ascii="宋体" w:hAnsi="宋体" w:eastAsia="宋体" w:cs="宋体"/>
                <w:sz w:val="24"/>
                <w:szCs w:val="24"/>
              </w:rPr>
              <w:t>电源时序器</w:t>
            </w:r>
          </w:p>
        </w:tc>
        <w:tc>
          <w:tcPr>
            <w:tcW w:w="529"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jc w:val="center"/>
            </w:pPr>
            <w:r>
              <w:rPr>
                <w:rFonts w:hint="eastAsia" w:ascii="宋体" w:hAnsi="宋体" w:eastAsia="宋体" w:cs="宋体"/>
                <w:sz w:val="24"/>
                <w:szCs w:val="24"/>
              </w:rPr>
              <w:t>台</w:t>
            </w:r>
          </w:p>
        </w:tc>
        <w:tc>
          <w:tcPr>
            <w:tcW w:w="530"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jc w:val="center"/>
            </w:pPr>
            <w:r>
              <w:rPr>
                <w:rFonts w:hint="eastAsia" w:ascii="宋体" w:hAnsi="宋体" w:eastAsia="宋体" w:cs="宋体"/>
                <w:sz w:val="24"/>
                <w:szCs w:val="24"/>
              </w:rPr>
              <w:t>1</w:t>
            </w:r>
          </w:p>
        </w:tc>
        <w:tc>
          <w:tcPr>
            <w:tcW w:w="6395"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pPr>
            <w:r>
              <w:rPr>
                <w:rFonts w:hint="eastAsia" w:ascii="宋体" w:hAnsi="宋体" w:eastAsia="宋体" w:cs="宋体"/>
                <w:sz w:val="24"/>
                <w:szCs w:val="24"/>
              </w:rPr>
              <w:t>1大电流，8路供电输出，每路采用30A继电器，每路输出采用16A万能插座，适用大功率使用场合；</w:t>
            </w:r>
            <w:r>
              <w:rPr>
                <w:rFonts w:hint="eastAsia" w:ascii="宋体" w:hAnsi="宋体" w:eastAsia="宋体" w:cs="宋体"/>
                <w:sz w:val="24"/>
                <w:szCs w:val="24"/>
              </w:rPr>
              <w:br w:type="textWrapping"/>
            </w:r>
            <w:r>
              <w:rPr>
                <w:rFonts w:hint="eastAsia" w:ascii="宋体" w:hAnsi="宋体" w:eastAsia="宋体" w:cs="宋体"/>
                <w:sz w:val="24"/>
                <w:szCs w:val="24"/>
              </w:rPr>
              <w:t>  2具有50A空气开关保护装置，同时具备数字电压表显示工作电压；</w:t>
            </w:r>
            <w:r>
              <w:rPr>
                <w:rFonts w:hint="eastAsia" w:ascii="宋体" w:hAnsi="宋体" w:eastAsia="宋体" w:cs="宋体"/>
                <w:sz w:val="24"/>
                <w:szCs w:val="24"/>
              </w:rPr>
              <w:br w:type="textWrapping"/>
            </w:r>
            <w:r>
              <w:rPr>
                <w:rFonts w:hint="eastAsia" w:ascii="宋体" w:hAnsi="宋体" w:eastAsia="宋体" w:cs="宋体"/>
                <w:sz w:val="24"/>
                <w:szCs w:val="24"/>
              </w:rPr>
              <w:t>  3可选配20A净化模块，清除电流涌流干扰，可有效防止系统电流声干扰问题；</w:t>
            </w:r>
            <w:r>
              <w:rPr>
                <w:rFonts w:hint="eastAsia" w:ascii="宋体" w:hAnsi="宋体" w:eastAsia="宋体" w:cs="宋体"/>
                <w:sz w:val="24"/>
                <w:szCs w:val="24"/>
              </w:rPr>
              <w:br w:type="textWrapping"/>
            </w:r>
            <w:r>
              <w:rPr>
                <w:rFonts w:hint="eastAsia" w:ascii="宋体" w:hAnsi="宋体" w:eastAsia="宋体" w:cs="宋体"/>
                <w:sz w:val="24"/>
                <w:szCs w:val="24"/>
              </w:rPr>
              <w:t>  4控制接口：以太网口、RS485串口、DC5～24V电压启动接口、状态输出口；</w:t>
            </w:r>
          </w:p>
        </w:tc>
        <w:tc>
          <w:tcPr>
            <w:tcW w:w="497" w:type="dxa"/>
            <w:gridSpan w:val="2"/>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top"/>
          </w:tcPr>
          <w:p>
            <w:pPr>
              <w:keepNext w:val="0"/>
              <w:keepLines w:val="0"/>
              <w:widowControl/>
              <w:suppressLineNumbers w:val="0"/>
              <w:jc w:val="left"/>
            </w:pPr>
          </w:p>
        </w:tc>
      </w:tr>
      <w:tr>
        <w:trPr>
          <w:trHeight w:val="3165" w:hRule="atLeast"/>
          <w:tblCellSpacing w:w="15" w:type="dxa"/>
        </w:trPr>
        <w:tc>
          <w:tcPr>
            <w:tcW w:w="36" w:type="dxa"/>
            <w:tcBorders>
              <w:top w:val="nil"/>
              <w:left w:val="single" w:color="auto" w:sz="6" w:space="0"/>
              <w:bottom w:val="single" w:color="auto" w:sz="6" w:space="0"/>
              <w:right w:val="single" w:color="auto" w:sz="6" w:space="0"/>
            </w:tcBorders>
            <w:shd w:val="clear" w:color="auto" w:fill="FFFFFF"/>
            <w:tcMar>
              <w:top w:w="0" w:type="dxa"/>
              <w:left w:w="0" w:type="dxa"/>
              <w:bottom w:w="0" w:type="dxa"/>
              <w:right w:w="0" w:type="dxa"/>
            </w:tcMar>
            <w:vAlign w:val="center"/>
          </w:tcPr>
          <w:p>
            <w:pPr>
              <w:keepNext w:val="0"/>
              <w:keepLines w:val="0"/>
              <w:widowControl/>
              <w:suppressLineNumbers w:val="0"/>
              <w:jc w:val="left"/>
            </w:pPr>
          </w:p>
        </w:tc>
        <w:tc>
          <w:tcPr>
            <w:tcW w:w="890" w:type="dxa"/>
            <w:gridSpan w:val="2"/>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jc w:val="center"/>
            </w:pPr>
            <w:r>
              <w:rPr>
                <w:rFonts w:hint="default" w:ascii="Calibri" w:hAnsi="Calibri" w:cs="Calibri"/>
                <w:sz w:val="24"/>
                <w:szCs w:val="24"/>
              </w:rPr>
              <w:t>1-2-27</w:t>
            </w:r>
          </w:p>
        </w:tc>
        <w:tc>
          <w:tcPr>
            <w:tcW w:w="887"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pPr>
            <w:r>
              <w:rPr>
                <w:rFonts w:hint="eastAsia" w:ascii="宋体" w:hAnsi="宋体" w:eastAsia="宋体" w:cs="宋体"/>
                <w:sz w:val="24"/>
                <w:szCs w:val="24"/>
              </w:rPr>
              <w:t>讨论型会议主机</w:t>
            </w:r>
          </w:p>
        </w:tc>
        <w:tc>
          <w:tcPr>
            <w:tcW w:w="529"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jc w:val="center"/>
            </w:pPr>
            <w:r>
              <w:rPr>
                <w:rFonts w:hint="eastAsia" w:ascii="宋体" w:hAnsi="宋体" w:eastAsia="宋体" w:cs="宋体"/>
                <w:sz w:val="24"/>
                <w:szCs w:val="24"/>
              </w:rPr>
              <w:t>台</w:t>
            </w:r>
          </w:p>
        </w:tc>
        <w:tc>
          <w:tcPr>
            <w:tcW w:w="530"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jc w:val="center"/>
            </w:pPr>
            <w:r>
              <w:rPr>
                <w:rFonts w:hint="eastAsia" w:ascii="宋体" w:hAnsi="宋体" w:eastAsia="宋体" w:cs="宋体"/>
                <w:sz w:val="24"/>
                <w:szCs w:val="24"/>
              </w:rPr>
              <w:t>1</w:t>
            </w:r>
          </w:p>
        </w:tc>
        <w:tc>
          <w:tcPr>
            <w:tcW w:w="6395"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wordWrap w:val="0"/>
              <w:spacing w:line="315" w:lineRule="atLeast"/>
            </w:pPr>
            <w:r>
              <w:rPr>
                <w:rFonts w:hint="eastAsia" w:ascii="宋体" w:hAnsi="宋体" w:eastAsia="宋体" w:cs="宋体"/>
                <w:sz w:val="24"/>
                <w:szCs w:val="24"/>
              </w:rPr>
              <w:t>技术参数：</w:t>
            </w:r>
            <w:r>
              <w:rPr>
                <w:rFonts w:hint="eastAsia" w:ascii="宋体" w:hAnsi="宋体" w:eastAsia="宋体" w:cs="宋体"/>
                <w:sz w:val="24"/>
                <w:szCs w:val="24"/>
              </w:rPr>
              <w:br w:type="textWrapping"/>
            </w:r>
            <w:r>
              <w:rPr>
                <w:rFonts w:hint="eastAsia" w:ascii="宋体" w:hAnsi="宋体" w:eastAsia="宋体" w:cs="宋体"/>
                <w:sz w:val="24"/>
                <w:szCs w:val="24"/>
              </w:rPr>
              <w:t>  1.主面板庄重设  计，带液晶显示屏和6个多功能按键。</w:t>
            </w:r>
            <w:r>
              <w:rPr>
                <w:rFonts w:hint="eastAsia" w:ascii="宋体" w:hAnsi="宋体" w:eastAsia="宋体" w:cs="宋体"/>
                <w:sz w:val="24"/>
                <w:szCs w:val="24"/>
              </w:rPr>
              <w:br w:type="textWrapping"/>
            </w:r>
            <w:r>
              <w:rPr>
                <w:rFonts w:hint="eastAsia" w:ascii="宋体" w:hAnsi="宋体" w:eastAsia="宋体" w:cs="宋体"/>
                <w:sz w:val="24"/>
                <w:szCs w:val="24"/>
              </w:rPr>
              <w:t>  2.采用高速嵌入式数字处理硬件架构，使系统运行速度和稳 定 性达到空前水平。</w:t>
            </w:r>
            <w:r>
              <w:rPr>
                <w:rFonts w:hint="eastAsia" w:ascii="宋体" w:hAnsi="宋体" w:eastAsia="宋体" w:cs="宋体"/>
                <w:sz w:val="24"/>
                <w:szCs w:val="24"/>
              </w:rPr>
              <w:br w:type="textWrapping"/>
            </w:r>
            <w:r>
              <w:rPr>
                <w:rFonts w:hint="eastAsia" w:ascii="宋体" w:hAnsi="宋体" w:eastAsia="宋体" w:cs="宋体"/>
                <w:sz w:val="24"/>
                <w:szCs w:val="24"/>
              </w:rPr>
              <w:t>  3.具备强有力的机械结构，易于安装且不会因外力过大而损坏。</w:t>
            </w:r>
            <w:r>
              <w:rPr>
                <w:rFonts w:hint="eastAsia" w:ascii="宋体" w:hAnsi="宋体" w:eastAsia="宋体" w:cs="宋体"/>
                <w:sz w:val="24"/>
                <w:szCs w:val="24"/>
              </w:rPr>
              <w:br w:type="textWrapping"/>
            </w:r>
            <w:r>
              <w:rPr>
                <w:rFonts w:hint="eastAsia" w:ascii="宋体" w:hAnsi="宋体" w:eastAsia="宋体" w:cs="宋体"/>
                <w:sz w:val="24"/>
                <w:szCs w:val="24"/>
              </w:rPr>
              <w:t>  4.主机外壳采用金属材料，线路与外壳都加强与地线的连接，不会被周边设备受干扰，保证具备可抗静电8000V以上的能力。</w:t>
            </w:r>
            <w:r>
              <w:rPr>
                <w:rFonts w:hint="eastAsia" w:ascii="宋体" w:hAnsi="宋体" w:eastAsia="宋体" w:cs="宋体"/>
                <w:sz w:val="24"/>
                <w:szCs w:val="24"/>
              </w:rPr>
              <w:br w:type="textWrapping"/>
            </w:r>
            <w:r>
              <w:rPr>
                <w:rFonts w:hint="eastAsia" w:ascii="宋体" w:hAnsi="宋体" w:eastAsia="宋体" w:cs="宋体"/>
                <w:sz w:val="24"/>
                <w:szCs w:val="24"/>
              </w:rPr>
              <w:t>  5.系统采用音频和数字控制技术的结合，采用高还原电路并配合防啸叫，有效防止啸叫现象的出现，并实现音质的高度还原。</w:t>
            </w:r>
            <w:r>
              <w:rPr>
                <w:rFonts w:hint="eastAsia" w:ascii="宋体" w:hAnsi="宋体" w:eastAsia="宋体" w:cs="宋体"/>
                <w:sz w:val="24"/>
                <w:szCs w:val="24"/>
              </w:rPr>
              <w:br w:type="textWrapping"/>
            </w:r>
            <w:r>
              <w:rPr>
                <w:rFonts w:hint="eastAsia" w:ascii="宋体" w:hAnsi="宋体" w:eastAsia="宋体" w:cs="宋体"/>
                <w:sz w:val="24"/>
                <w:szCs w:val="24"/>
              </w:rPr>
              <w:t>  6.本系统语音清晰，频响宽广，系统具有多组音量可供调节，调节后可自动保存。</w:t>
            </w:r>
          </w:p>
        </w:tc>
        <w:tc>
          <w:tcPr>
            <w:tcW w:w="497" w:type="dxa"/>
            <w:gridSpan w:val="2"/>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top"/>
          </w:tcPr>
          <w:p>
            <w:pPr>
              <w:keepNext w:val="0"/>
              <w:keepLines w:val="0"/>
              <w:widowControl/>
              <w:suppressLineNumbers w:val="0"/>
              <w:jc w:val="left"/>
            </w:pPr>
          </w:p>
        </w:tc>
      </w:tr>
      <w:tr>
        <w:trPr>
          <w:trHeight w:val="2220" w:hRule="atLeast"/>
          <w:tblCellSpacing w:w="15" w:type="dxa"/>
        </w:trPr>
        <w:tc>
          <w:tcPr>
            <w:tcW w:w="36" w:type="dxa"/>
            <w:tcBorders>
              <w:top w:val="nil"/>
              <w:left w:val="single" w:color="auto" w:sz="6" w:space="0"/>
              <w:bottom w:val="single" w:color="auto" w:sz="6" w:space="0"/>
              <w:right w:val="single" w:color="auto" w:sz="6" w:space="0"/>
            </w:tcBorders>
            <w:shd w:val="clear" w:color="auto" w:fill="FFFFFF"/>
            <w:tcMar>
              <w:top w:w="0" w:type="dxa"/>
              <w:left w:w="0" w:type="dxa"/>
              <w:bottom w:w="0" w:type="dxa"/>
              <w:right w:w="0" w:type="dxa"/>
            </w:tcMar>
            <w:vAlign w:val="center"/>
          </w:tcPr>
          <w:p>
            <w:pPr>
              <w:keepNext w:val="0"/>
              <w:keepLines w:val="0"/>
              <w:widowControl/>
              <w:suppressLineNumbers w:val="0"/>
              <w:jc w:val="left"/>
            </w:pPr>
          </w:p>
        </w:tc>
        <w:tc>
          <w:tcPr>
            <w:tcW w:w="890" w:type="dxa"/>
            <w:gridSpan w:val="2"/>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jc w:val="center"/>
            </w:pPr>
            <w:r>
              <w:rPr>
                <w:rFonts w:hint="default" w:ascii="Calibri" w:hAnsi="Calibri" w:cs="Calibri"/>
                <w:sz w:val="24"/>
                <w:szCs w:val="24"/>
              </w:rPr>
              <w:t>1-2-28</w:t>
            </w:r>
          </w:p>
        </w:tc>
        <w:tc>
          <w:tcPr>
            <w:tcW w:w="887"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pPr>
            <w:r>
              <w:rPr>
                <w:rFonts w:hint="eastAsia" w:ascii="宋体" w:hAnsi="宋体" w:eastAsia="宋体" w:cs="宋体"/>
                <w:sz w:val="24"/>
                <w:szCs w:val="24"/>
              </w:rPr>
              <w:t>主席发言单元</w:t>
            </w:r>
          </w:p>
        </w:tc>
        <w:tc>
          <w:tcPr>
            <w:tcW w:w="529"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jc w:val="center"/>
            </w:pPr>
            <w:r>
              <w:rPr>
                <w:rFonts w:hint="eastAsia" w:ascii="宋体" w:hAnsi="宋体" w:eastAsia="宋体" w:cs="宋体"/>
                <w:sz w:val="24"/>
                <w:szCs w:val="24"/>
              </w:rPr>
              <w:t>台</w:t>
            </w:r>
          </w:p>
        </w:tc>
        <w:tc>
          <w:tcPr>
            <w:tcW w:w="530"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jc w:val="center"/>
            </w:pPr>
            <w:r>
              <w:rPr>
                <w:rFonts w:hint="eastAsia" w:ascii="宋体" w:hAnsi="宋体" w:eastAsia="宋体" w:cs="宋体"/>
                <w:sz w:val="24"/>
                <w:szCs w:val="24"/>
              </w:rPr>
              <w:t>1</w:t>
            </w:r>
          </w:p>
        </w:tc>
        <w:tc>
          <w:tcPr>
            <w:tcW w:w="6395"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pPr>
            <w:r>
              <w:rPr>
                <w:rFonts w:hint="eastAsia" w:ascii="宋体" w:hAnsi="宋体" w:eastAsia="宋体" w:cs="宋体"/>
                <w:sz w:val="24"/>
                <w:szCs w:val="24"/>
              </w:rPr>
              <w:t>技术参数：</w:t>
            </w:r>
            <w:r>
              <w:rPr>
                <w:rFonts w:hint="eastAsia" w:ascii="宋体" w:hAnsi="宋体" w:eastAsia="宋体" w:cs="宋体"/>
                <w:sz w:val="24"/>
                <w:szCs w:val="24"/>
              </w:rPr>
              <w:br w:type="textWrapping"/>
            </w:r>
            <w:r>
              <w:rPr>
                <w:rFonts w:hint="eastAsia" w:ascii="宋体" w:hAnsi="宋体" w:eastAsia="宋体" w:cs="宋体"/>
                <w:sz w:val="24"/>
                <w:szCs w:val="24"/>
              </w:rPr>
              <w:t>  1.锌合金材料外观底座，整体精致庄重。</w:t>
            </w:r>
            <w:r>
              <w:rPr>
                <w:rFonts w:hint="eastAsia" w:ascii="宋体" w:hAnsi="宋体" w:eastAsia="宋体" w:cs="宋体"/>
                <w:sz w:val="24"/>
                <w:szCs w:val="24"/>
              </w:rPr>
              <w:br w:type="textWrapping"/>
            </w:r>
            <w:r>
              <w:rPr>
                <w:rFonts w:hint="eastAsia" w:ascii="宋体" w:hAnsi="宋体" w:eastAsia="宋体" w:cs="宋体"/>
                <w:sz w:val="24"/>
                <w:szCs w:val="24"/>
              </w:rPr>
              <w:t>  2.红色灯环显示话筒工作状态。</w:t>
            </w:r>
            <w:r>
              <w:rPr>
                <w:rFonts w:hint="eastAsia" w:ascii="宋体" w:hAnsi="宋体" w:eastAsia="宋体" w:cs="宋体"/>
                <w:sz w:val="24"/>
                <w:szCs w:val="24"/>
              </w:rPr>
              <w:br w:type="textWrapping"/>
            </w:r>
            <w:r>
              <w:rPr>
                <w:rFonts w:hint="eastAsia" w:ascii="宋体" w:hAnsi="宋体" w:eastAsia="宋体" w:cs="宋体"/>
                <w:sz w:val="24"/>
                <w:szCs w:val="24"/>
              </w:rPr>
              <w:t>  3.咪头外壳根据声学空间学原理设 计，配合超指向性电容咪芯，实现高度的人声还原。</w:t>
            </w:r>
            <w:r>
              <w:rPr>
                <w:rFonts w:hint="eastAsia" w:ascii="宋体" w:hAnsi="宋体" w:eastAsia="宋体" w:cs="宋体"/>
                <w:sz w:val="24"/>
                <w:szCs w:val="24"/>
              </w:rPr>
              <w:br w:type="textWrapping"/>
            </w:r>
            <w:r>
              <w:rPr>
                <w:rFonts w:hint="eastAsia" w:ascii="宋体" w:hAnsi="宋体" w:eastAsia="宋体" w:cs="宋体"/>
                <w:sz w:val="24"/>
                <w:szCs w:val="24"/>
              </w:rPr>
              <w:t>  4.采用防干扰电路设  计，可防止手机等电子产品的干扰。</w:t>
            </w:r>
          </w:p>
        </w:tc>
        <w:tc>
          <w:tcPr>
            <w:tcW w:w="497" w:type="dxa"/>
            <w:gridSpan w:val="2"/>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top"/>
          </w:tcPr>
          <w:p>
            <w:pPr>
              <w:keepNext w:val="0"/>
              <w:keepLines w:val="0"/>
              <w:widowControl/>
              <w:suppressLineNumbers w:val="0"/>
              <w:jc w:val="left"/>
            </w:pPr>
          </w:p>
        </w:tc>
      </w:tr>
      <w:tr>
        <w:trPr>
          <w:trHeight w:val="2220" w:hRule="atLeast"/>
          <w:tblCellSpacing w:w="15" w:type="dxa"/>
        </w:trPr>
        <w:tc>
          <w:tcPr>
            <w:tcW w:w="36" w:type="dxa"/>
            <w:tcBorders>
              <w:top w:val="nil"/>
              <w:left w:val="single" w:color="auto" w:sz="6" w:space="0"/>
              <w:bottom w:val="single" w:color="auto" w:sz="6" w:space="0"/>
              <w:right w:val="single" w:color="auto" w:sz="6" w:space="0"/>
            </w:tcBorders>
            <w:shd w:val="clear" w:color="auto" w:fill="FFFFFF"/>
            <w:tcMar>
              <w:top w:w="0" w:type="dxa"/>
              <w:left w:w="0" w:type="dxa"/>
              <w:bottom w:w="0" w:type="dxa"/>
              <w:right w:w="0" w:type="dxa"/>
            </w:tcMar>
            <w:vAlign w:val="center"/>
          </w:tcPr>
          <w:p>
            <w:pPr>
              <w:keepNext w:val="0"/>
              <w:keepLines w:val="0"/>
              <w:widowControl/>
              <w:suppressLineNumbers w:val="0"/>
              <w:jc w:val="left"/>
            </w:pPr>
          </w:p>
        </w:tc>
        <w:tc>
          <w:tcPr>
            <w:tcW w:w="890" w:type="dxa"/>
            <w:gridSpan w:val="2"/>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jc w:val="center"/>
            </w:pPr>
            <w:r>
              <w:rPr>
                <w:rFonts w:hint="default" w:ascii="Calibri" w:hAnsi="Calibri" w:cs="Calibri"/>
                <w:sz w:val="24"/>
                <w:szCs w:val="24"/>
              </w:rPr>
              <w:t>1-2-29</w:t>
            </w:r>
          </w:p>
        </w:tc>
        <w:tc>
          <w:tcPr>
            <w:tcW w:w="887"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pPr>
            <w:r>
              <w:rPr>
                <w:rFonts w:hint="eastAsia" w:ascii="宋体" w:hAnsi="宋体" w:eastAsia="宋体" w:cs="宋体"/>
                <w:sz w:val="24"/>
                <w:szCs w:val="24"/>
              </w:rPr>
              <w:t>代表发言单元</w:t>
            </w:r>
          </w:p>
        </w:tc>
        <w:tc>
          <w:tcPr>
            <w:tcW w:w="529"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jc w:val="center"/>
            </w:pPr>
            <w:r>
              <w:rPr>
                <w:rFonts w:hint="eastAsia" w:ascii="宋体" w:hAnsi="宋体" w:eastAsia="宋体" w:cs="宋体"/>
                <w:sz w:val="24"/>
                <w:szCs w:val="24"/>
              </w:rPr>
              <w:t>台</w:t>
            </w:r>
          </w:p>
        </w:tc>
        <w:tc>
          <w:tcPr>
            <w:tcW w:w="530"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jc w:val="center"/>
            </w:pPr>
            <w:r>
              <w:rPr>
                <w:rFonts w:hint="eastAsia" w:ascii="宋体" w:hAnsi="宋体" w:eastAsia="宋体" w:cs="宋体"/>
                <w:sz w:val="24"/>
                <w:szCs w:val="24"/>
              </w:rPr>
              <w:t>19</w:t>
            </w:r>
          </w:p>
        </w:tc>
        <w:tc>
          <w:tcPr>
            <w:tcW w:w="6395"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wordWrap w:val="0"/>
              <w:spacing w:line="315" w:lineRule="atLeast"/>
            </w:pPr>
            <w:r>
              <w:rPr>
                <w:rFonts w:hint="eastAsia" w:ascii="宋体" w:hAnsi="宋体" w:eastAsia="宋体" w:cs="宋体"/>
                <w:sz w:val="24"/>
                <w:szCs w:val="24"/>
              </w:rPr>
              <w:t>技术参数：</w:t>
            </w:r>
            <w:r>
              <w:rPr>
                <w:rFonts w:hint="eastAsia" w:ascii="宋体" w:hAnsi="宋体" w:eastAsia="宋体" w:cs="宋体"/>
                <w:sz w:val="24"/>
                <w:szCs w:val="24"/>
              </w:rPr>
              <w:br w:type="textWrapping"/>
            </w:r>
            <w:r>
              <w:rPr>
                <w:rFonts w:hint="eastAsia" w:ascii="宋体" w:hAnsi="宋体" w:eastAsia="宋体" w:cs="宋体"/>
                <w:sz w:val="24"/>
                <w:szCs w:val="24"/>
              </w:rPr>
              <w:t>  1.锌合金材料外观底座，整体精致庄重。</w:t>
            </w:r>
            <w:r>
              <w:rPr>
                <w:rFonts w:hint="eastAsia" w:ascii="宋体" w:hAnsi="宋体" w:eastAsia="宋体" w:cs="宋体"/>
                <w:sz w:val="24"/>
                <w:szCs w:val="24"/>
              </w:rPr>
              <w:br w:type="textWrapping"/>
            </w:r>
            <w:r>
              <w:rPr>
                <w:rFonts w:hint="eastAsia" w:ascii="宋体" w:hAnsi="宋体" w:eastAsia="宋体" w:cs="宋体"/>
                <w:sz w:val="24"/>
                <w:szCs w:val="24"/>
              </w:rPr>
              <w:t>  2.红色灯环显示话筒工作状态。</w:t>
            </w:r>
            <w:r>
              <w:rPr>
                <w:rFonts w:hint="eastAsia" w:ascii="宋体" w:hAnsi="宋体" w:eastAsia="宋体" w:cs="宋体"/>
                <w:sz w:val="24"/>
                <w:szCs w:val="24"/>
              </w:rPr>
              <w:br w:type="textWrapping"/>
            </w:r>
            <w:r>
              <w:rPr>
                <w:rFonts w:hint="eastAsia" w:ascii="宋体" w:hAnsi="宋体" w:eastAsia="宋体" w:cs="宋体"/>
                <w:sz w:val="24"/>
                <w:szCs w:val="24"/>
              </w:rPr>
              <w:t>  3.咪头外壳根据声学空间学原理设  计，配合超指向性电容咪芯，实现高度的人声还原。</w:t>
            </w:r>
            <w:r>
              <w:rPr>
                <w:rFonts w:hint="eastAsia" w:ascii="宋体" w:hAnsi="宋体" w:eastAsia="宋体" w:cs="宋体"/>
                <w:sz w:val="24"/>
                <w:szCs w:val="24"/>
              </w:rPr>
              <w:br w:type="textWrapping"/>
            </w:r>
            <w:r>
              <w:rPr>
                <w:rFonts w:hint="eastAsia" w:ascii="宋体" w:hAnsi="宋体" w:eastAsia="宋体" w:cs="宋体"/>
                <w:sz w:val="24"/>
                <w:szCs w:val="24"/>
              </w:rPr>
              <w:t>  4.采用防干扰电路设  计，可防止手机等电子产品的干扰。</w:t>
            </w:r>
          </w:p>
        </w:tc>
        <w:tc>
          <w:tcPr>
            <w:tcW w:w="497" w:type="dxa"/>
            <w:gridSpan w:val="2"/>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top"/>
          </w:tcPr>
          <w:p>
            <w:pPr>
              <w:keepNext w:val="0"/>
              <w:keepLines w:val="0"/>
              <w:widowControl/>
              <w:suppressLineNumbers w:val="0"/>
              <w:jc w:val="left"/>
            </w:pPr>
          </w:p>
        </w:tc>
      </w:tr>
      <w:tr>
        <w:trPr>
          <w:trHeight w:val="1590" w:hRule="atLeast"/>
          <w:tblCellSpacing w:w="15" w:type="dxa"/>
        </w:trPr>
        <w:tc>
          <w:tcPr>
            <w:tcW w:w="36" w:type="dxa"/>
            <w:tcBorders>
              <w:top w:val="nil"/>
              <w:left w:val="single" w:color="auto" w:sz="6" w:space="0"/>
              <w:bottom w:val="single" w:color="auto" w:sz="6" w:space="0"/>
              <w:right w:val="single" w:color="auto" w:sz="6" w:space="0"/>
            </w:tcBorders>
            <w:shd w:val="clear" w:color="auto" w:fill="FFFFFF"/>
            <w:tcMar>
              <w:top w:w="0" w:type="dxa"/>
              <w:left w:w="0" w:type="dxa"/>
              <w:bottom w:w="0" w:type="dxa"/>
              <w:right w:w="0" w:type="dxa"/>
            </w:tcMar>
            <w:vAlign w:val="center"/>
          </w:tcPr>
          <w:p>
            <w:pPr>
              <w:keepNext w:val="0"/>
              <w:keepLines w:val="0"/>
              <w:widowControl/>
              <w:suppressLineNumbers w:val="0"/>
              <w:jc w:val="left"/>
            </w:pPr>
          </w:p>
        </w:tc>
        <w:tc>
          <w:tcPr>
            <w:tcW w:w="890" w:type="dxa"/>
            <w:gridSpan w:val="2"/>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jc w:val="center"/>
            </w:pPr>
            <w:r>
              <w:rPr>
                <w:rFonts w:hint="default" w:ascii="Calibri" w:hAnsi="Calibri" w:cs="Calibri"/>
                <w:sz w:val="24"/>
                <w:szCs w:val="24"/>
              </w:rPr>
              <w:t>1-2-30</w:t>
            </w:r>
          </w:p>
        </w:tc>
        <w:tc>
          <w:tcPr>
            <w:tcW w:w="887"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pPr>
            <w:r>
              <w:rPr>
                <w:rFonts w:hint="eastAsia" w:ascii="宋体" w:hAnsi="宋体" w:eastAsia="宋体" w:cs="宋体"/>
                <w:sz w:val="24"/>
                <w:szCs w:val="24"/>
              </w:rPr>
              <w:t>延长电缆</w:t>
            </w:r>
          </w:p>
        </w:tc>
        <w:tc>
          <w:tcPr>
            <w:tcW w:w="529"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jc w:val="center"/>
            </w:pPr>
            <w:r>
              <w:rPr>
                <w:rFonts w:hint="eastAsia" w:ascii="宋体" w:hAnsi="宋体" w:eastAsia="宋体" w:cs="宋体"/>
                <w:sz w:val="24"/>
                <w:szCs w:val="24"/>
              </w:rPr>
              <w:t>条</w:t>
            </w:r>
          </w:p>
        </w:tc>
        <w:tc>
          <w:tcPr>
            <w:tcW w:w="530"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jc w:val="center"/>
            </w:pPr>
            <w:r>
              <w:rPr>
                <w:rFonts w:hint="eastAsia" w:ascii="宋体" w:hAnsi="宋体" w:eastAsia="宋体" w:cs="宋体"/>
                <w:sz w:val="24"/>
                <w:szCs w:val="24"/>
              </w:rPr>
              <w:t>1</w:t>
            </w:r>
          </w:p>
        </w:tc>
        <w:tc>
          <w:tcPr>
            <w:tcW w:w="6395"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pPr>
            <w:r>
              <w:rPr>
                <w:rFonts w:hint="eastAsia" w:ascii="宋体" w:hAnsi="宋体" w:eastAsia="宋体" w:cs="宋体"/>
                <w:sz w:val="24"/>
                <w:szCs w:val="24"/>
              </w:rPr>
              <w:t>产品特性：</w:t>
            </w:r>
            <w:r>
              <w:rPr>
                <w:rFonts w:hint="eastAsia" w:ascii="宋体" w:hAnsi="宋体" w:eastAsia="宋体" w:cs="宋体"/>
                <w:sz w:val="24"/>
                <w:szCs w:val="24"/>
              </w:rPr>
              <w:br w:type="textWrapping"/>
            </w:r>
            <w:r>
              <w:rPr>
                <w:rFonts w:hint="eastAsia" w:ascii="宋体" w:hAnsi="宋体" w:eastAsia="宋体" w:cs="宋体"/>
                <w:sz w:val="24"/>
                <w:szCs w:val="24"/>
              </w:rPr>
              <w:t>  1.用于系统主机与会议单元之间的延长连接。</w:t>
            </w:r>
            <w:r>
              <w:rPr>
                <w:rFonts w:hint="eastAsia" w:ascii="宋体" w:hAnsi="宋体" w:eastAsia="宋体" w:cs="宋体"/>
                <w:sz w:val="24"/>
                <w:szCs w:val="24"/>
              </w:rPr>
              <w:br w:type="textWrapping"/>
            </w:r>
            <w:r>
              <w:rPr>
                <w:rFonts w:hint="eastAsia" w:ascii="宋体" w:hAnsi="宋体" w:eastAsia="宋体" w:cs="宋体"/>
                <w:sz w:val="24"/>
                <w:szCs w:val="24"/>
              </w:rPr>
              <w:t>  2.两端分别为公头和母座各一个。</w:t>
            </w:r>
            <w:r>
              <w:rPr>
                <w:rFonts w:hint="eastAsia" w:ascii="宋体" w:hAnsi="宋体" w:eastAsia="宋体" w:cs="宋体"/>
                <w:sz w:val="24"/>
                <w:szCs w:val="24"/>
              </w:rPr>
              <w:br w:type="textWrapping"/>
            </w:r>
            <w:r>
              <w:rPr>
                <w:rFonts w:hint="eastAsia" w:ascii="宋体" w:hAnsi="宋体" w:eastAsia="宋体" w:cs="宋体"/>
                <w:sz w:val="24"/>
                <w:szCs w:val="24"/>
              </w:rPr>
              <w:t>  3.具有10米、20米，50米，101米，等长度可供选择。</w:t>
            </w:r>
          </w:p>
        </w:tc>
        <w:tc>
          <w:tcPr>
            <w:tcW w:w="497" w:type="dxa"/>
            <w:gridSpan w:val="2"/>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top"/>
          </w:tcPr>
          <w:p>
            <w:pPr>
              <w:keepNext w:val="0"/>
              <w:keepLines w:val="0"/>
              <w:widowControl/>
              <w:suppressLineNumbers w:val="0"/>
              <w:jc w:val="left"/>
            </w:pPr>
          </w:p>
        </w:tc>
      </w:tr>
      <w:tr>
        <w:trPr>
          <w:trHeight w:val="960" w:hRule="atLeast"/>
          <w:tblCellSpacing w:w="15" w:type="dxa"/>
        </w:trPr>
        <w:tc>
          <w:tcPr>
            <w:tcW w:w="36" w:type="dxa"/>
            <w:tcBorders>
              <w:top w:val="nil"/>
              <w:left w:val="single" w:color="auto" w:sz="6" w:space="0"/>
              <w:bottom w:val="single" w:color="auto" w:sz="6" w:space="0"/>
              <w:right w:val="single" w:color="auto" w:sz="6" w:space="0"/>
            </w:tcBorders>
            <w:shd w:val="clear" w:color="auto" w:fill="FFFFFF"/>
            <w:tcMar>
              <w:top w:w="0" w:type="dxa"/>
              <w:left w:w="0" w:type="dxa"/>
              <w:bottom w:w="0" w:type="dxa"/>
              <w:right w:w="0" w:type="dxa"/>
            </w:tcMar>
            <w:vAlign w:val="center"/>
          </w:tcPr>
          <w:p>
            <w:pPr>
              <w:keepNext w:val="0"/>
              <w:keepLines w:val="0"/>
              <w:widowControl/>
              <w:suppressLineNumbers w:val="0"/>
              <w:jc w:val="left"/>
            </w:pPr>
          </w:p>
        </w:tc>
        <w:tc>
          <w:tcPr>
            <w:tcW w:w="890" w:type="dxa"/>
            <w:gridSpan w:val="2"/>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jc w:val="center"/>
            </w:pPr>
            <w:r>
              <w:rPr>
                <w:rFonts w:hint="default" w:ascii="Calibri" w:hAnsi="Calibri" w:cs="Calibri"/>
                <w:sz w:val="24"/>
                <w:szCs w:val="24"/>
              </w:rPr>
              <w:t>1-2-31</w:t>
            </w:r>
          </w:p>
        </w:tc>
        <w:tc>
          <w:tcPr>
            <w:tcW w:w="887"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pPr>
            <w:r>
              <w:rPr>
                <w:rFonts w:hint="eastAsia" w:ascii="宋体" w:hAnsi="宋体" w:eastAsia="宋体" w:cs="宋体"/>
                <w:sz w:val="24"/>
                <w:szCs w:val="24"/>
              </w:rPr>
              <w:t>会议专用地插</w:t>
            </w:r>
          </w:p>
        </w:tc>
        <w:tc>
          <w:tcPr>
            <w:tcW w:w="529"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jc w:val="center"/>
            </w:pPr>
            <w:r>
              <w:rPr>
                <w:rFonts w:hint="eastAsia" w:ascii="宋体" w:hAnsi="宋体" w:eastAsia="宋体" w:cs="宋体"/>
                <w:sz w:val="24"/>
                <w:szCs w:val="24"/>
              </w:rPr>
              <w:t>只</w:t>
            </w:r>
          </w:p>
        </w:tc>
        <w:tc>
          <w:tcPr>
            <w:tcW w:w="530"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jc w:val="center"/>
            </w:pPr>
            <w:r>
              <w:rPr>
                <w:rFonts w:hint="eastAsia" w:ascii="宋体" w:hAnsi="宋体" w:eastAsia="宋体" w:cs="宋体"/>
                <w:sz w:val="24"/>
                <w:szCs w:val="24"/>
              </w:rPr>
              <w:t>1</w:t>
            </w:r>
          </w:p>
        </w:tc>
        <w:tc>
          <w:tcPr>
            <w:tcW w:w="6395"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pPr>
            <w:r>
              <w:rPr>
                <w:rFonts w:hint="eastAsia" w:ascii="宋体" w:hAnsi="宋体" w:eastAsia="宋体" w:cs="宋体"/>
                <w:sz w:val="24"/>
                <w:szCs w:val="24"/>
              </w:rPr>
              <w:t>8芯地接盒，标准电工插座，用于连接会议系统话筒单元</w:t>
            </w:r>
          </w:p>
        </w:tc>
        <w:tc>
          <w:tcPr>
            <w:tcW w:w="497" w:type="dxa"/>
            <w:gridSpan w:val="2"/>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top"/>
          </w:tcPr>
          <w:p>
            <w:pPr>
              <w:keepNext w:val="0"/>
              <w:keepLines w:val="0"/>
              <w:widowControl/>
              <w:suppressLineNumbers w:val="0"/>
              <w:jc w:val="left"/>
            </w:pPr>
          </w:p>
        </w:tc>
      </w:tr>
      <w:tr>
        <w:trPr>
          <w:trHeight w:val="330" w:hRule="atLeast"/>
          <w:tblCellSpacing w:w="15" w:type="dxa"/>
        </w:trPr>
        <w:tc>
          <w:tcPr>
            <w:tcW w:w="36" w:type="dxa"/>
            <w:tcBorders>
              <w:top w:val="nil"/>
              <w:left w:val="single" w:color="auto" w:sz="6" w:space="0"/>
              <w:bottom w:val="single" w:color="auto" w:sz="6" w:space="0"/>
              <w:right w:val="single" w:color="auto" w:sz="6" w:space="0"/>
            </w:tcBorders>
            <w:shd w:val="clear" w:color="auto" w:fill="FFFFFF"/>
            <w:tcMar>
              <w:top w:w="0" w:type="dxa"/>
              <w:left w:w="0" w:type="dxa"/>
              <w:bottom w:w="0" w:type="dxa"/>
              <w:right w:w="0" w:type="dxa"/>
            </w:tcMar>
            <w:vAlign w:val="center"/>
          </w:tcPr>
          <w:p>
            <w:pPr>
              <w:keepNext w:val="0"/>
              <w:keepLines w:val="0"/>
              <w:widowControl/>
              <w:suppressLineNumbers w:val="0"/>
              <w:jc w:val="left"/>
            </w:pPr>
          </w:p>
        </w:tc>
        <w:tc>
          <w:tcPr>
            <w:tcW w:w="890" w:type="dxa"/>
            <w:gridSpan w:val="2"/>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jc w:val="center"/>
            </w:pPr>
            <w:r>
              <w:rPr>
                <w:rFonts w:hint="default" w:ascii="Calibri" w:hAnsi="Calibri" w:cs="Calibri"/>
                <w:sz w:val="24"/>
                <w:szCs w:val="24"/>
              </w:rPr>
              <w:t>1-2-32</w:t>
            </w:r>
          </w:p>
        </w:tc>
        <w:tc>
          <w:tcPr>
            <w:tcW w:w="887"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pPr>
            <w:r>
              <w:rPr>
                <w:rFonts w:hint="eastAsia" w:ascii="宋体" w:hAnsi="宋体" w:eastAsia="宋体" w:cs="宋体"/>
                <w:sz w:val="24"/>
                <w:szCs w:val="24"/>
              </w:rPr>
              <w:t>机柜</w:t>
            </w:r>
          </w:p>
        </w:tc>
        <w:tc>
          <w:tcPr>
            <w:tcW w:w="529"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jc w:val="center"/>
            </w:pPr>
            <w:r>
              <w:rPr>
                <w:rFonts w:hint="eastAsia" w:ascii="宋体" w:hAnsi="宋体" w:eastAsia="宋体" w:cs="宋体"/>
                <w:sz w:val="24"/>
                <w:szCs w:val="24"/>
              </w:rPr>
              <w:t>套</w:t>
            </w:r>
          </w:p>
        </w:tc>
        <w:tc>
          <w:tcPr>
            <w:tcW w:w="530"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jc w:val="center"/>
            </w:pPr>
            <w:r>
              <w:rPr>
                <w:rFonts w:hint="eastAsia" w:ascii="宋体" w:hAnsi="宋体" w:eastAsia="宋体" w:cs="宋体"/>
                <w:sz w:val="24"/>
                <w:szCs w:val="24"/>
              </w:rPr>
              <w:t>1</w:t>
            </w:r>
          </w:p>
        </w:tc>
        <w:tc>
          <w:tcPr>
            <w:tcW w:w="6395"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pPr>
            <w:r>
              <w:rPr>
                <w:rFonts w:hint="eastAsia" w:ascii="宋体" w:hAnsi="宋体" w:eastAsia="宋体" w:cs="宋体"/>
                <w:sz w:val="24"/>
                <w:szCs w:val="24"/>
              </w:rPr>
              <w:t>27U</w:t>
            </w:r>
          </w:p>
        </w:tc>
        <w:tc>
          <w:tcPr>
            <w:tcW w:w="497" w:type="dxa"/>
            <w:gridSpan w:val="2"/>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top"/>
          </w:tcPr>
          <w:p>
            <w:pPr>
              <w:keepNext w:val="0"/>
              <w:keepLines w:val="0"/>
              <w:widowControl/>
              <w:suppressLineNumbers w:val="0"/>
              <w:jc w:val="left"/>
            </w:pPr>
          </w:p>
        </w:tc>
      </w:tr>
      <w:tr>
        <w:trPr>
          <w:trHeight w:val="1275" w:hRule="atLeast"/>
          <w:tblCellSpacing w:w="15" w:type="dxa"/>
        </w:trPr>
        <w:tc>
          <w:tcPr>
            <w:tcW w:w="36" w:type="dxa"/>
            <w:tcBorders>
              <w:top w:val="nil"/>
              <w:left w:val="single" w:color="auto" w:sz="6" w:space="0"/>
              <w:bottom w:val="single" w:color="auto" w:sz="6" w:space="0"/>
              <w:right w:val="single" w:color="auto" w:sz="6" w:space="0"/>
            </w:tcBorders>
            <w:shd w:val="clear" w:color="auto" w:fill="FFFFFF"/>
            <w:tcMar>
              <w:top w:w="0" w:type="dxa"/>
              <w:left w:w="0" w:type="dxa"/>
              <w:bottom w:w="0" w:type="dxa"/>
              <w:right w:w="0" w:type="dxa"/>
            </w:tcMar>
            <w:vAlign w:val="center"/>
          </w:tcPr>
          <w:p>
            <w:pPr>
              <w:keepNext w:val="0"/>
              <w:keepLines w:val="0"/>
              <w:widowControl/>
              <w:suppressLineNumbers w:val="0"/>
              <w:jc w:val="left"/>
            </w:pPr>
          </w:p>
        </w:tc>
        <w:tc>
          <w:tcPr>
            <w:tcW w:w="890" w:type="dxa"/>
            <w:gridSpan w:val="2"/>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jc w:val="center"/>
            </w:pPr>
            <w:r>
              <w:rPr>
                <w:rFonts w:hint="default" w:ascii="Calibri" w:hAnsi="Calibri" w:cs="Calibri"/>
                <w:sz w:val="24"/>
                <w:szCs w:val="24"/>
              </w:rPr>
              <w:t>1-2-33</w:t>
            </w:r>
          </w:p>
        </w:tc>
        <w:tc>
          <w:tcPr>
            <w:tcW w:w="887"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pPr>
            <w:r>
              <w:rPr>
                <w:rFonts w:hint="eastAsia" w:ascii="宋体" w:hAnsi="宋体" w:eastAsia="宋体" w:cs="宋体"/>
                <w:sz w:val="24"/>
                <w:szCs w:val="24"/>
              </w:rPr>
              <w:t>卡侬公对母信号线</w:t>
            </w:r>
          </w:p>
        </w:tc>
        <w:tc>
          <w:tcPr>
            <w:tcW w:w="529"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jc w:val="center"/>
            </w:pPr>
            <w:r>
              <w:rPr>
                <w:rFonts w:hint="eastAsia" w:ascii="宋体" w:hAnsi="宋体" w:eastAsia="宋体" w:cs="宋体"/>
                <w:sz w:val="24"/>
                <w:szCs w:val="24"/>
              </w:rPr>
              <w:t>条</w:t>
            </w:r>
          </w:p>
        </w:tc>
        <w:tc>
          <w:tcPr>
            <w:tcW w:w="530"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jc w:val="center"/>
            </w:pPr>
            <w:r>
              <w:rPr>
                <w:rFonts w:hint="eastAsia" w:ascii="宋体" w:hAnsi="宋体" w:eastAsia="宋体" w:cs="宋体"/>
                <w:sz w:val="24"/>
                <w:szCs w:val="24"/>
              </w:rPr>
              <w:t>8</w:t>
            </w:r>
          </w:p>
        </w:tc>
        <w:tc>
          <w:tcPr>
            <w:tcW w:w="6395"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pPr>
            <w:r>
              <w:rPr>
                <w:rFonts w:hint="eastAsia" w:ascii="宋体" w:hAnsi="宋体" w:eastAsia="宋体" w:cs="宋体"/>
                <w:sz w:val="24"/>
                <w:szCs w:val="24"/>
              </w:rPr>
              <w:t>产品概述：</w:t>
            </w:r>
            <w:r>
              <w:rPr>
                <w:rFonts w:hint="eastAsia" w:ascii="宋体" w:hAnsi="宋体" w:eastAsia="宋体" w:cs="宋体"/>
                <w:sz w:val="24"/>
                <w:szCs w:val="24"/>
              </w:rPr>
              <w:br w:type="textWrapping"/>
            </w:r>
            <w:r>
              <w:rPr>
                <w:rFonts w:hint="eastAsia" w:ascii="宋体" w:hAnsi="宋体" w:eastAsia="宋体" w:cs="宋体"/>
                <w:sz w:val="24"/>
                <w:szCs w:val="24"/>
              </w:rPr>
              <w:t>  卡侬公、卡侬母音频信号连接电缆</w:t>
            </w:r>
          </w:p>
        </w:tc>
        <w:tc>
          <w:tcPr>
            <w:tcW w:w="497" w:type="dxa"/>
            <w:gridSpan w:val="2"/>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top"/>
          </w:tcPr>
          <w:p>
            <w:pPr>
              <w:keepNext w:val="0"/>
              <w:keepLines w:val="0"/>
              <w:widowControl/>
              <w:suppressLineNumbers w:val="0"/>
              <w:jc w:val="left"/>
            </w:pPr>
          </w:p>
        </w:tc>
      </w:tr>
      <w:tr>
        <w:trPr>
          <w:trHeight w:val="960" w:hRule="atLeast"/>
          <w:tblCellSpacing w:w="15" w:type="dxa"/>
        </w:trPr>
        <w:tc>
          <w:tcPr>
            <w:tcW w:w="36" w:type="dxa"/>
            <w:tcBorders>
              <w:top w:val="nil"/>
              <w:left w:val="single" w:color="auto" w:sz="6" w:space="0"/>
              <w:bottom w:val="single" w:color="auto" w:sz="6" w:space="0"/>
              <w:right w:val="single" w:color="auto" w:sz="6" w:space="0"/>
            </w:tcBorders>
            <w:shd w:val="clear" w:color="auto" w:fill="FFFFFF"/>
            <w:tcMar>
              <w:top w:w="0" w:type="dxa"/>
              <w:left w:w="0" w:type="dxa"/>
              <w:bottom w:w="0" w:type="dxa"/>
              <w:right w:w="0" w:type="dxa"/>
            </w:tcMar>
            <w:vAlign w:val="center"/>
          </w:tcPr>
          <w:p>
            <w:pPr>
              <w:keepNext w:val="0"/>
              <w:keepLines w:val="0"/>
              <w:widowControl/>
              <w:suppressLineNumbers w:val="0"/>
              <w:jc w:val="left"/>
            </w:pPr>
          </w:p>
        </w:tc>
        <w:tc>
          <w:tcPr>
            <w:tcW w:w="890" w:type="dxa"/>
            <w:gridSpan w:val="2"/>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jc w:val="center"/>
            </w:pPr>
            <w:r>
              <w:rPr>
                <w:rFonts w:hint="default" w:ascii="Calibri" w:hAnsi="Calibri" w:cs="Calibri"/>
                <w:sz w:val="24"/>
                <w:szCs w:val="24"/>
              </w:rPr>
              <w:t>1-2-34</w:t>
            </w:r>
          </w:p>
        </w:tc>
        <w:tc>
          <w:tcPr>
            <w:tcW w:w="887"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pPr>
            <w:r>
              <w:rPr>
                <w:rFonts w:hint="eastAsia" w:ascii="宋体" w:hAnsi="宋体" w:eastAsia="宋体" w:cs="宋体"/>
                <w:sz w:val="24"/>
                <w:szCs w:val="24"/>
              </w:rPr>
              <w:t>专业音响线</w:t>
            </w:r>
          </w:p>
        </w:tc>
        <w:tc>
          <w:tcPr>
            <w:tcW w:w="529"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jc w:val="center"/>
            </w:pPr>
            <w:r>
              <w:rPr>
                <w:rFonts w:hint="eastAsia" w:ascii="宋体" w:hAnsi="宋体" w:eastAsia="宋体" w:cs="宋体"/>
                <w:sz w:val="24"/>
                <w:szCs w:val="24"/>
              </w:rPr>
              <w:t>批</w:t>
            </w:r>
          </w:p>
        </w:tc>
        <w:tc>
          <w:tcPr>
            <w:tcW w:w="530"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jc w:val="center"/>
            </w:pPr>
            <w:r>
              <w:rPr>
                <w:rFonts w:hint="eastAsia" w:ascii="宋体" w:hAnsi="宋体" w:eastAsia="宋体" w:cs="宋体"/>
                <w:sz w:val="24"/>
                <w:szCs w:val="24"/>
              </w:rPr>
              <w:t>1</w:t>
            </w:r>
          </w:p>
        </w:tc>
        <w:tc>
          <w:tcPr>
            <w:tcW w:w="6395"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pPr>
            <w:r>
              <w:rPr>
                <w:rFonts w:hint="eastAsia" w:ascii="宋体" w:hAnsi="宋体" w:eastAsia="宋体" w:cs="宋体"/>
                <w:sz w:val="24"/>
                <w:szCs w:val="24"/>
              </w:rPr>
              <w:t>长度按现场布线距离而定</w:t>
            </w:r>
          </w:p>
        </w:tc>
        <w:tc>
          <w:tcPr>
            <w:tcW w:w="497" w:type="dxa"/>
            <w:gridSpan w:val="2"/>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top"/>
          </w:tcPr>
          <w:p>
            <w:pPr>
              <w:keepNext w:val="0"/>
              <w:keepLines w:val="0"/>
              <w:widowControl/>
              <w:suppressLineNumbers w:val="0"/>
              <w:jc w:val="left"/>
            </w:pPr>
          </w:p>
        </w:tc>
      </w:tr>
      <w:tr>
        <w:trPr>
          <w:trHeight w:val="2535" w:hRule="atLeast"/>
          <w:tblCellSpacing w:w="15" w:type="dxa"/>
        </w:trPr>
        <w:tc>
          <w:tcPr>
            <w:tcW w:w="36" w:type="dxa"/>
            <w:tcBorders>
              <w:top w:val="nil"/>
              <w:left w:val="single" w:color="auto" w:sz="6" w:space="0"/>
              <w:bottom w:val="single" w:color="auto" w:sz="6" w:space="0"/>
              <w:right w:val="single" w:color="auto" w:sz="6" w:space="0"/>
            </w:tcBorders>
            <w:shd w:val="clear" w:color="auto" w:fill="FFFFFF"/>
            <w:tcMar>
              <w:top w:w="0" w:type="dxa"/>
              <w:left w:w="0" w:type="dxa"/>
              <w:bottom w:w="0" w:type="dxa"/>
              <w:right w:w="0" w:type="dxa"/>
            </w:tcMar>
            <w:vAlign w:val="center"/>
          </w:tcPr>
          <w:p>
            <w:pPr>
              <w:keepNext w:val="0"/>
              <w:keepLines w:val="0"/>
              <w:widowControl/>
              <w:suppressLineNumbers w:val="0"/>
              <w:jc w:val="left"/>
            </w:pPr>
          </w:p>
        </w:tc>
        <w:tc>
          <w:tcPr>
            <w:tcW w:w="890" w:type="dxa"/>
            <w:gridSpan w:val="2"/>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jc w:val="center"/>
            </w:pPr>
            <w:r>
              <w:rPr>
                <w:rFonts w:hint="default" w:ascii="Calibri" w:hAnsi="Calibri" w:cs="Calibri"/>
                <w:sz w:val="24"/>
                <w:szCs w:val="24"/>
              </w:rPr>
              <w:t>1-2-35</w:t>
            </w:r>
          </w:p>
        </w:tc>
        <w:tc>
          <w:tcPr>
            <w:tcW w:w="887"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pPr>
            <w:r>
              <w:rPr>
                <w:rFonts w:hint="eastAsia" w:ascii="宋体" w:hAnsi="宋体" w:eastAsia="宋体" w:cs="宋体"/>
                <w:sz w:val="24"/>
                <w:szCs w:val="24"/>
              </w:rPr>
              <w:t>音箱壁挂架</w:t>
            </w:r>
          </w:p>
        </w:tc>
        <w:tc>
          <w:tcPr>
            <w:tcW w:w="529"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jc w:val="center"/>
            </w:pPr>
            <w:r>
              <w:rPr>
                <w:rFonts w:hint="eastAsia" w:ascii="宋体" w:hAnsi="宋体" w:eastAsia="宋体" w:cs="宋体"/>
                <w:sz w:val="24"/>
                <w:szCs w:val="24"/>
              </w:rPr>
              <w:t>对</w:t>
            </w:r>
          </w:p>
        </w:tc>
        <w:tc>
          <w:tcPr>
            <w:tcW w:w="530"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jc w:val="center"/>
            </w:pPr>
            <w:r>
              <w:rPr>
                <w:rFonts w:hint="eastAsia" w:ascii="宋体" w:hAnsi="宋体" w:eastAsia="宋体" w:cs="宋体"/>
                <w:sz w:val="24"/>
                <w:szCs w:val="24"/>
              </w:rPr>
              <w:t>1</w:t>
            </w:r>
          </w:p>
        </w:tc>
        <w:tc>
          <w:tcPr>
            <w:tcW w:w="6395"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pPr>
            <w:r>
              <w:rPr>
                <w:rFonts w:hint="eastAsia" w:ascii="宋体" w:hAnsi="宋体" w:eastAsia="宋体" w:cs="宋体"/>
                <w:sz w:val="24"/>
                <w:szCs w:val="24"/>
              </w:rPr>
              <w:t>技术参数：</w:t>
            </w:r>
            <w:r>
              <w:rPr>
                <w:rFonts w:hint="eastAsia" w:ascii="宋体" w:hAnsi="宋体" w:eastAsia="宋体" w:cs="宋体"/>
                <w:sz w:val="24"/>
                <w:szCs w:val="24"/>
              </w:rPr>
              <w:br w:type="textWrapping"/>
            </w:r>
            <w:r>
              <w:rPr>
                <w:rFonts w:hint="eastAsia" w:ascii="宋体" w:hAnsi="宋体" w:eastAsia="宋体" w:cs="宋体"/>
                <w:sz w:val="24"/>
                <w:szCs w:val="24"/>
              </w:rPr>
              <w:t>  颜色:黑色</w:t>
            </w:r>
            <w:r>
              <w:rPr>
                <w:rFonts w:hint="eastAsia" w:ascii="宋体" w:hAnsi="宋体" w:eastAsia="宋体" w:cs="宋体"/>
                <w:sz w:val="24"/>
                <w:szCs w:val="24"/>
              </w:rPr>
              <w:br w:type="textWrapping"/>
            </w:r>
            <w:r>
              <w:rPr>
                <w:rFonts w:hint="eastAsia" w:ascii="宋体" w:hAnsi="宋体" w:eastAsia="宋体" w:cs="宋体"/>
                <w:sz w:val="24"/>
                <w:szCs w:val="24"/>
              </w:rPr>
              <w:t>  表面处理:超高温静电喷粉(比普通水柒防锈耐久高三倍以上)。</w:t>
            </w:r>
            <w:r>
              <w:rPr>
                <w:rFonts w:hint="eastAsia" w:ascii="宋体" w:hAnsi="宋体" w:eastAsia="宋体" w:cs="宋体"/>
                <w:sz w:val="24"/>
                <w:szCs w:val="24"/>
              </w:rPr>
              <w:br w:type="textWrapping"/>
            </w:r>
            <w:r>
              <w:rPr>
                <w:rFonts w:hint="eastAsia" w:ascii="宋体" w:hAnsi="宋体" w:eastAsia="宋体" w:cs="宋体"/>
                <w:sz w:val="24"/>
                <w:szCs w:val="24"/>
              </w:rPr>
              <w:t>  金属:优秀钢铁(非市面上劣质中性铁管可比)。</w:t>
            </w:r>
            <w:r>
              <w:rPr>
                <w:rFonts w:hint="eastAsia" w:ascii="宋体" w:hAnsi="宋体" w:eastAsia="宋体" w:cs="宋体"/>
                <w:sz w:val="24"/>
                <w:szCs w:val="24"/>
              </w:rPr>
              <w:br w:type="textWrapping"/>
            </w:r>
            <w:r>
              <w:rPr>
                <w:rFonts w:hint="eastAsia" w:ascii="宋体" w:hAnsi="宋体" w:eastAsia="宋体" w:cs="宋体"/>
                <w:sz w:val="24"/>
                <w:szCs w:val="24"/>
              </w:rPr>
              <w:t>  区别:钢铁的质地坚韧密度高，中性铁质软易弯曲变形密度低。</w:t>
            </w:r>
            <w:r>
              <w:rPr>
                <w:rFonts w:hint="eastAsia" w:ascii="宋体" w:hAnsi="宋体" w:eastAsia="宋体" w:cs="宋体"/>
                <w:sz w:val="24"/>
                <w:szCs w:val="24"/>
              </w:rPr>
              <w:br w:type="textWrapping"/>
            </w:r>
            <w:r>
              <w:rPr>
                <w:rFonts w:hint="eastAsia" w:ascii="宋体" w:hAnsi="宋体" w:eastAsia="宋体" w:cs="宋体"/>
                <w:sz w:val="24"/>
                <w:szCs w:val="24"/>
              </w:rPr>
              <w:t>  塑料:全新台化原料，硬而韧有弹性,不易暴裂。</w:t>
            </w:r>
          </w:p>
        </w:tc>
        <w:tc>
          <w:tcPr>
            <w:tcW w:w="497" w:type="dxa"/>
            <w:gridSpan w:val="2"/>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top"/>
          </w:tcPr>
          <w:p>
            <w:pPr>
              <w:keepNext w:val="0"/>
              <w:keepLines w:val="0"/>
              <w:widowControl/>
              <w:suppressLineNumbers w:val="0"/>
              <w:jc w:val="left"/>
            </w:pPr>
          </w:p>
        </w:tc>
      </w:tr>
      <w:tr>
        <w:trPr>
          <w:trHeight w:val="13755" w:hRule="atLeast"/>
          <w:tblCellSpacing w:w="15" w:type="dxa"/>
        </w:trPr>
        <w:tc>
          <w:tcPr>
            <w:tcW w:w="36" w:type="dxa"/>
            <w:tcBorders>
              <w:top w:val="nil"/>
              <w:left w:val="single" w:color="auto" w:sz="6" w:space="0"/>
              <w:bottom w:val="single" w:color="auto" w:sz="6" w:space="0"/>
              <w:right w:val="single" w:color="auto" w:sz="6" w:space="0"/>
            </w:tcBorders>
            <w:shd w:val="clear" w:color="auto" w:fill="FFFFFF"/>
            <w:tcMar>
              <w:top w:w="0" w:type="dxa"/>
              <w:left w:w="0" w:type="dxa"/>
              <w:bottom w:w="0" w:type="dxa"/>
              <w:right w:w="0" w:type="dxa"/>
            </w:tcMar>
            <w:vAlign w:val="center"/>
          </w:tcPr>
          <w:p>
            <w:pPr>
              <w:keepNext w:val="0"/>
              <w:keepLines w:val="0"/>
              <w:widowControl/>
              <w:suppressLineNumbers w:val="0"/>
              <w:jc w:val="left"/>
            </w:pPr>
          </w:p>
        </w:tc>
        <w:tc>
          <w:tcPr>
            <w:tcW w:w="890" w:type="dxa"/>
            <w:gridSpan w:val="2"/>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jc w:val="center"/>
            </w:pPr>
            <w:r>
              <w:rPr>
                <w:rFonts w:hint="default" w:ascii="Calibri" w:hAnsi="Calibri" w:cs="Calibri"/>
                <w:sz w:val="24"/>
                <w:szCs w:val="24"/>
              </w:rPr>
              <w:t>1-2-36</w:t>
            </w:r>
          </w:p>
        </w:tc>
        <w:tc>
          <w:tcPr>
            <w:tcW w:w="887"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pPr>
            <w:r>
              <w:rPr>
                <w:rFonts w:hint="eastAsia" w:ascii="宋体" w:hAnsi="宋体" w:eastAsia="宋体" w:cs="宋体"/>
                <w:sz w:val="24"/>
                <w:szCs w:val="24"/>
              </w:rPr>
              <w:t>液晶显示单元</w:t>
            </w:r>
          </w:p>
        </w:tc>
        <w:tc>
          <w:tcPr>
            <w:tcW w:w="529"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jc w:val="center"/>
            </w:pPr>
            <w:r>
              <w:rPr>
                <w:rFonts w:hint="eastAsia" w:ascii="宋体" w:hAnsi="宋体" w:eastAsia="宋体" w:cs="宋体"/>
                <w:sz w:val="24"/>
                <w:szCs w:val="24"/>
              </w:rPr>
              <w:t>套</w:t>
            </w:r>
          </w:p>
        </w:tc>
        <w:tc>
          <w:tcPr>
            <w:tcW w:w="530"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jc w:val="center"/>
            </w:pPr>
            <w:r>
              <w:rPr>
                <w:rFonts w:hint="eastAsia" w:ascii="宋体" w:hAnsi="宋体" w:eastAsia="宋体" w:cs="宋体"/>
                <w:sz w:val="24"/>
                <w:szCs w:val="24"/>
              </w:rPr>
              <w:t>4</w:t>
            </w:r>
          </w:p>
        </w:tc>
        <w:tc>
          <w:tcPr>
            <w:tcW w:w="6395"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before="0" w:beforeAutospacing="1" w:after="0" w:afterAutospacing="1" w:line="315" w:lineRule="atLeast"/>
              <w:ind w:left="0" w:right="0" w:firstLine="0"/>
            </w:pPr>
            <w:r>
              <w:rPr>
                <w:rFonts w:hint="eastAsia" w:ascii="宋体" w:hAnsi="宋体" w:eastAsia="宋体" w:cs="宋体"/>
                <w:sz w:val="24"/>
                <w:szCs w:val="24"/>
              </w:rPr>
              <w:t>1.</w:t>
            </w:r>
            <w:r>
              <w:rPr>
                <w:rFonts w:hint="default" w:ascii="Times New Roman" w:hAnsi="Times New Roman" w:cs="Times New Roman"/>
                <w:sz w:val="13"/>
                <w:szCs w:val="13"/>
              </w:rPr>
              <w:t xml:space="preserve">     </w:t>
            </w:r>
            <w:r>
              <w:rPr>
                <w:rFonts w:hint="eastAsia" w:ascii="宋体" w:hAnsi="宋体" w:eastAsia="宋体" w:cs="宋体"/>
                <w:sz w:val="24"/>
                <w:szCs w:val="24"/>
              </w:rPr>
              <w:t>尺寸：≥55吋（对角线），光源类型：LED，拼缝：≤1.7mm，响应速度≤8ms   ；</w:t>
            </w:r>
          </w:p>
          <w:p>
            <w:pPr>
              <w:pStyle w:val="4"/>
              <w:keepNext w:val="0"/>
              <w:keepLines w:val="0"/>
              <w:widowControl/>
              <w:suppressLineNumbers w:val="0"/>
              <w:spacing w:before="0" w:beforeAutospacing="1" w:after="0" w:afterAutospacing="1" w:line="315" w:lineRule="atLeast"/>
              <w:ind w:left="0" w:right="0" w:firstLine="0"/>
            </w:pPr>
            <w:r>
              <w:rPr>
                <w:rFonts w:hint="eastAsia" w:ascii="宋体" w:hAnsi="宋体" w:eastAsia="宋体" w:cs="宋体"/>
                <w:sz w:val="24"/>
                <w:szCs w:val="24"/>
              </w:rPr>
              <w:t>2.</w:t>
            </w:r>
            <w:r>
              <w:rPr>
                <w:rFonts w:hint="default" w:ascii="Times New Roman" w:hAnsi="Times New Roman" w:cs="Times New Roman"/>
                <w:sz w:val="13"/>
                <w:szCs w:val="13"/>
              </w:rPr>
              <w:t xml:space="preserve">     </w:t>
            </w:r>
            <w:r>
              <w:rPr>
                <w:rFonts w:hint="eastAsia" w:ascii="宋体" w:hAnsi="宋体" w:eastAsia="宋体" w:cs="宋体"/>
                <w:sz w:val="24"/>
                <w:szCs w:val="24"/>
              </w:rPr>
              <w:t>分辨率：1920×1080，亮度：≥500cd/m2，对比度：≥3500:1，须提供工信部或其直属机构出具的检测报告复印件；</w:t>
            </w:r>
          </w:p>
          <w:p>
            <w:pPr>
              <w:pStyle w:val="4"/>
              <w:keepNext w:val="0"/>
              <w:keepLines w:val="0"/>
              <w:widowControl/>
              <w:suppressLineNumbers w:val="0"/>
              <w:spacing w:before="0" w:beforeAutospacing="1" w:after="0" w:afterAutospacing="1" w:line="315" w:lineRule="atLeast"/>
              <w:ind w:left="0" w:right="0" w:firstLine="0"/>
            </w:pPr>
            <w:r>
              <w:rPr>
                <w:rFonts w:hint="eastAsia" w:ascii="宋体" w:hAnsi="宋体" w:eastAsia="宋体" w:cs="宋体"/>
                <w:sz w:val="24"/>
                <w:szCs w:val="24"/>
              </w:rPr>
              <w:t>3.</w:t>
            </w:r>
            <w:r>
              <w:rPr>
                <w:rFonts w:hint="default" w:ascii="Times New Roman" w:hAnsi="Times New Roman" w:cs="Times New Roman"/>
                <w:sz w:val="13"/>
                <w:szCs w:val="13"/>
              </w:rPr>
              <w:t xml:space="preserve">     </w:t>
            </w:r>
            <w:r>
              <w:rPr>
                <w:rFonts w:hint="eastAsia" w:ascii="宋体" w:hAnsi="宋体" w:eastAsia="宋体" w:cs="宋体"/>
                <w:sz w:val="24"/>
                <w:szCs w:val="24"/>
              </w:rPr>
              <w:t>LCD显示单元支持智能开机延时，显示单元根据自己的ID按照预定规则，顺序启动，减小瞬间脉冲电流，增强系统稳   定 性。</w:t>
            </w:r>
          </w:p>
          <w:p>
            <w:pPr>
              <w:pStyle w:val="4"/>
              <w:keepNext w:val="0"/>
              <w:keepLines w:val="0"/>
              <w:widowControl/>
              <w:suppressLineNumbers w:val="0"/>
              <w:spacing w:before="0" w:beforeAutospacing="1" w:after="0" w:afterAutospacing="1" w:line="315" w:lineRule="atLeast"/>
              <w:ind w:left="0" w:right="0" w:firstLine="0"/>
            </w:pPr>
            <w:r>
              <w:rPr>
                <w:rFonts w:hint="eastAsia" w:ascii="宋体" w:hAnsi="宋体" w:eastAsia="宋体" w:cs="宋体"/>
                <w:sz w:val="24"/>
                <w:szCs w:val="24"/>
              </w:rPr>
              <w:t>4.</w:t>
            </w:r>
            <w:r>
              <w:rPr>
                <w:rFonts w:hint="default" w:ascii="Times New Roman" w:hAnsi="Times New Roman" w:cs="Times New Roman"/>
                <w:sz w:val="13"/>
                <w:szCs w:val="13"/>
              </w:rPr>
              <w:t xml:space="preserve">     </w:t>
            </w:r>
            <w:r>
              <w:rPr>
                <w:rFonts w:hint="eastAsia" w:ascii="宋体" w:hAnsi="宋体" w:eastAsia="宋体" w:cs="宋体"/>
                <w:sz w:val="24"/>
                <w:szCs w:val="24"/>
              </w:rPr>
              <w:t>内置面板运行时间及OSD显示运行时间，可通过OSD增强DVI输入信号，获取稳定的信号画质；</w:t>
            </w:r>
          </w:p>
          <w:p>
            <w:pPr>
              <w:pStyle w:val="4"/>
              <w:keepNext w:val="0"/>
              <w:keepLines w:val="0"/>
              <w:widowControl/>
              <w:suppressLineNumbers w:val="0"/>
              <w:spacing w:before="0" w:beforeAutospacing="1" w:after="0" w:afterAutospacing="1" w:line="315" w:lineRule="atLeast"/>
              <w:ind w:left="0" w:right="0" w:firstLine="0"/>
            </w:pPr>
            <w:r>
              <w:rPr>
                <w:rFonts w:hint="eastAsia" w:ascii="宋体" w:hAnsi="宋体" w:eastAsia="宋体" w:cs="宋体"/>
                <w:sz w:val="24"/>
                <w:szCs w:val="24"/>
              </w:rPr>
              <w:t>5.</w:t>
            </w:r>
            <w:r>
              <w:rPr>
                <w:rFonts w:hint="default" w:ascii="Times New Roman" w:hAnsi="Times New Roman" w:cs="Times New Roman"/>
                <w:sz w:val="13"/>
                <w:szCs w:val="13"/>
              </w:rPr>
              <w:t xml:space="preserve">     </w:t>
            </w:r>
            <w:r>
              <w:rPr>
                <w:rFonts w:hint="eastAsia" w:ascii="宋体" w:hAnsi="宋体" w:eastAsia="宋体" w:cs="宋体"/>
                <w:sz w:val="24"/>
                <w:szCs w:val="24"/>
              </w:rPr>
              <w:t>采用可编程12-bit RGB gamma 校正技术。具有Mstar ACE-5自动彩色及图像增强引擎，改善图像的对比度、细节、肤色、边缘等；</w:t>
            </w:r>
          </w:p>
          <w:p>
            <w:pPr>
              <w:pStyle w:val="4"/>
              <w:keepNext w:val="0"/>
              <w:keepLines w:val="0"/>
              <w:widowControl/>
              <w:suppressLineNumbers w:val="0"/>
              <w:spacing w:before="0" w:beforeAutospacing="1" w:after="0" w:afterAutospacing="1" w:line="315" w:lineRule="atLeast"/>
              <w:ind w:left="0" w:right="0" w:firstLine="0"/>
            </w:pPr>
            <w:r>
              <w:rPr>
                <w:rFonts w:hint="eastAsia" w:ascii="宋体" w:hAnsi="宋体" w:eastAsia="宋体" w:cs="宋体"/>
                <w:sz w:val="24"/>
                <w:szCs w:val="24"/>
              </w:rPr>
              <w:t>6.</w:t>
            </w:r>
            <w:r>
              <w:rPr>
                <w:rFonts w:hint="default" w:ascii="Times New Roman" w:hAnsi="Times New Roman" w:cs="Times New Roman"/>
                <w:sz w:val="13"/>
                <w:szCs w:val="13"/>
              </w:rPr>
              <w:t xml:space="preserve">     </w:t>
            </w:r>
            <w:r>
              <w:rPr>
                <w:rFonts w:hint="eastAsia" w:ascii="宋体" w:hAnsi="宋体" w:eastAsia="宋体" w:cs="宋体"/>
                <w:sz w:val="24"/>
                <w:szCs w:val="24"/>
              </w:rPr>
              <w:t>智能温度控制，过热屏幕告警，环境光侦测，具备屏幕输出亮度自动适应功能</w:t>
            </w:r>
          </w:p>
          <w:p>
            <w:pPr>
              <w:pStyle w:val="4"/>
              <w:keepNext w:val="0"/>
              <w:keepLines w:val="0"/>
              <w:widowControl/>
              <w:suppressLineNumbers w:val="0"/>
              <w:spacing w:before="0" w:beforeAutospacing="1" w:after="0" w:afterAutospacing="1" w:line="315" w:lineRule="atLeast"/>
              <w:ind w:left="0" w:right="0" w:firstLine="0"/>
            </w:pPr>
            <w:r>
              <w:rPr>
                <w:rFonts w:hint="eastAsia" w:ascii="宋体" w:hAnsi="宋体" w:eastAsia="宋体" w:cs="宋体"/>
                <w:sz w:val="24"/>
                <w:szCs w:val="24"/>
              </w:rPr>
              <w:t>7.</w:t>
            </w:r>
            <w:r>
              <w:rPr>
                <w:rFonts w:hint="default" w:ascii="Times New Roman" w:hAnsi="Times New Roman" w:cs="Times New Roman"/>
                <w:sz w:val="13"/>
                <w:szCs w:val="13"/>
              </w:rPr>
              <w:t xml:space="preserve">     </w:t>
            </w:r>
            <w:r>
              <w:rPr>
                <w:rFonts w:hint="eastAsia" w:ascii="宋体" w:hAnsi="宋体" w:eastAsia="宋体" w:cs="宋体"/>
                <w:sz w:val="24"/>
                <w:szCs w:val="24"/>
              </w:rPr>
              <w:t>支持快速ID设置，色彩范围可选（0~255，16~235），保存并调用通道及拼接模式</w:t>
            </w:r>
          </w:p>
          <w:p>
            <w:pPr>
              <w:pStyle w:val="4"/>
              <w:keepNext w:val="0"/>
              <w:keepLines w:val="0"/>
              <w:widowControl/>
              <w:suppressLineNumbers w:val="0"/>
              <w:spacing w:before="0" w:beforeAutospacing="1" w:after="0" w:afterAutospacing="1" w:line="315" w:lineRule="atLeast"/>
              <w:ind w:left="0" w:right="0" w:firstLine="0"/>
            </w:pPr>
            <w:r>
              <w:rPr>
                <w:rFonts w:hint="eastAsia" w:ascii="宋体" w:hAnsi="宋体" w:eastAsia="宋体" w:cs="宋体"/>
                <w:sz w:val="24"/>
                <w:szCs w:val="24"/>
              </w:rPr>
              <w:t>8.</w:t>
            </w:r>
            <w:r>
              <w:rPr>
                <w:rFonts w:hint="default" w:ascii="Times New Roman" w:hAnsi="Times New Roman" w:cs="Times New Roman"/>
                <w:sz w:val="13"/>
                <w:szCs w:val="13"/>
              </w:rPr>
              <w:t xml:space="preserve">     </w:t>
            </w:r>
            <w:r>
              <w:rPr>
                <w:rFonts w:hint="eastAsia" w:ascii="宋体" w:hAnsi="宋体" w:eastAsia="宋体" w:cs="宋体"/>
                <w:sz w:val="24"/>
                <w:szCs w:val="24"/>
              </w:rPr>
              <w:t>支持智能信号检测，无信号时自动进入低功耗模式，节能环保，支持各信号独立色温调整，确保各信号的整墙颜色一致性</w:t>
            </w:r>
          </w:p>
          <w:p>
            <w:pPr>
              <w:pStyle w:val="4"/>
              <w:keepNext w:val="0"/>
              <w:keepLines w:val="0"/>
              <w:widowControl/>
              <w:suppressLineNumbers w:val="0"/>
              <w:spacing w:before="0" w:beforeAutospacing="1" w:after="0" w:afterAutospacing="1" w:line="315" w:lineRule="atLeast"/>
              <w:ind w:left="0" w:right="0" w:firstLine="0"/>
            </w:pPr>
            <w:r>
              <w:rPr>
                <w:rFonts w:hint="eastAsia" w:ascii="宋体" w:hAnsi="宋体" w:eastAsia="宋体" w:cs="宋体"/>
                <w:sz w:val="24"/>
                <w:szCs w:val="24"/>
              </w:rPr>
              <w:t>9.</w:t>
            </w:r>
            <w:r>
              <w:rPr>
                <w:rFonts w:hint="default" w:ascii="Times New Roman" w:hAnsi="Times New Roman" w:cs="Times New Roman"/>
                <w:sz w:val="13"/>
                <w:szCs w:val="13"/>
              </w:rPr>
              <w:t xml:space="preserve">     </w:t>
            </w:r>
            <w:r>
              <w:rPr>
                <w:rFonts w:hint="eastAsia" w:ascii="宋体" w:hAnsi="宋体" w:eastAsia="宋体" w:cs="宋体"/>
                <w:sz w:val="24"/>
                <w:szCs w:val="24"/>
              </w:rPr>
              <w:t>背光源采用LED光源，使用寿命≥60000小时，信号接口支持Video\YPbPr\VGA\DVI\HDMI等丰富信号源接入；须提供工信部或其直属机构出具的检测报告复印件；</w:t>
            </w:r>
          </w:p>
          <w:p>
            <w:pPr>
              <w:pStyle w:val="4"/>
              <w:keepNext w:val="0"/>
              <w:keepLines w:val="0"/>
              <w:widowControl/>
              <w:suppressLineNumbers w:val="0"/>
              <w:spacing w:before="0" w:beforeAutospacing="1" w:after="0" w:afterAutospacing="1" w:line="315" w:lineRule="atLeast"/>
              <w:ind w:left="0" w:right="0" w:firstLine="0"/>
            </w:pPr>
            <w:r>
              <w:rPr>
                <w:rFonts w:hint="eastAsia" w:ascii="宋体" w:hAnsi="宋体" w:eastAsia="宋体" w:cs="宋体"/>
                <w:sz w:val="24"/>
                <w:szCs w:val="24"/>
              </w:rPr>
              <w:t>10.</w:t>
            </w:r>
            <w:r>
              <w:rPr>
                <w:rFonts w:hint="default" w:ascii="Times New Roman" w:hAnsi="Times New Roman" w:cs="Times New Roman"/>
                <w:sz w:val="13"/>
                <w:szCs w:val="13"/>
              </w:rPr>
              <w:t xml:space="preserve">  </w:t>
            </w:r>
            <w:r>
              <w:rPr>
                <w:rFonts w:hint="eastAsia" w:ascii="宋体" w:hAnsi="宋体" w:eastAsia="宋体" w:cs="宋体"/>
                <w:sz w:val="24"/>
                <w:szCs w:val="24"/>
              </w:rPr>
              <w:t>控制输入输出接口：RS232(主控)、红外环接控制（支持单屏及广播整墙控制）；</w:t>
            </w:r>
          </w:p>
          <w:p>
            <w:pPr>
              <w:pStyle w:val="4"/>
              <w:keepNext w:val="0"/>
              <w:keepLines w:val="0"/>
              <w:widowControl/>
              <w:suppressLineNumbers w:val="0"/>
              <w:spacing w:before="0" w:beforeAutospacing="1" w:after="0" w:afterAutospacing="1" w:line="315" w:lineRule="atLeast"/>
              <w:ind w:left="0" w:right="0" w:firstLine="0"/>
            </w:pPr>
            <w:r>
              <w:rPr>
                <w:rFonts w:hint="eastAsia" w:ascii="宋体" w:hAnsi="宋体" w:eastAsia="宋体" w:cs="宋体"/>
                <w:sz w:val="24"/>
                <w:szCs w:val="24"/>
              </w:rPr>
              <w:t>11.</w:t>
            </w:r>
            <w:r>
              <w:rPr>
                <w:rFonts w:hint="default" w:ascii="Times New Roman" w:hAnsi="Times New Roman" w:cs="Times New Roman"/>
                <w:sz w:val="13"/>
                <w:szCs w:val="13"/>
              </w:rPr>
              <w:t xml:space="preserve">  </w:t>
            </w:r>
            <w:r>
              <w:rPr>
                <w:rFonts w:hint="eastAsia" w:ascii="宋体" w:hAnsi="宋体" w:eastAsia="宋体" w:cs="宋体"/>
                <w:sz w:val="24"/>
                <w:szCs w:val="24"/>
              </w:rPr>
              <w:t>支持拼缝补偿功能，可在控制端对LCD拼接时的缝隙进行屏幕数据补偿、几何修正，解决拼接墙图像边框处不连续现象；须提供工信部或其直属机构出具的检测报告复印件；</w:t>
            </w:r>
          </w:p>
          <w:p>
            <w:pPr>
              <w:pStyle w:val="4"/>
              <w:keepNext w:val="0"/>
              <w:keepLines w:val="0"/>
              <w:widowControl/>
              <w:suppressLineNumbers w:val="0"/>
              <w:spacing w:before="0" w:beforeAutospacing="1" w:after="0" w:afterAutospacing="1" w:line="315" w:lineRule="atLeast"/>
              <w:ind w:left="0" w:right="0" w:firstLine="0"/>
            </w:pPr>
            <w:r>
              <w:rPr>
                <w:rFonts w:hint="eastAsia" w:ascii="宋体" w:hAnsi="宋体" w:eastAsia="宋体" w:cs="宋体"/>
                <w:sz w:val="24"/>
                <w:szCs w:val="24"/>
              </w:rPr>
              <w:t>12.采用铝型材支架，安装灵活多变，可根据客户需要在项目现场进行改装。支持电动前维护，液压前维护、后维护，壁挂等多种维护方式，</w:t>
            </w:r>
          </w:p>
          <w:p>
            <w:pPr>
              <w:pStyle w:val="4"/>
              <w:keepNext w:val="0"/>
              <w:keepLines w:val="0"/>
              <w:widowControl/>
              <w:suppressLineNumbers w:val="0"/>
              <w:spacing w:before="0" w:beforeAutospacing="1" w:after="0" w:afterAutospacing="1" w:line="315" w:lineRule="atLeast"/>
              <w:ind w:left="0" w:right="0" w:firstLine="0"/>
            </w:pPr>
            <w:r>
              <w:rPr>
                <w:rFonts w:hint="eastAsia" w:ascii="宋体" w:hAnsi="宋体" w:eastAsia="宋体" w:cs="宋体"/>
                <w:sz w:val="24"/>
                <w:szCs w:val="24"/>
              </w:rPr>
              <w:t>12.</w:t>
            </w:r>
            <w:r>
              <w:rPr>
                <w:rFonts w:hint="default" w:ascii="Times New Roman" w:hAnsi="Times New Roman" w:cs="Times New Roman"/>
                <w:sz w:val="13"/>
                <w:szCs w:val="13"/>
              </w:rPr>
              <w:t xml:space="preserve">  </w:t>
            </w:r>
            <w:r>
              <w:rPr>
                <w:rFonts w:hint="eastAsia" w:ascii="宋体" w:hAnsi="宋体" w:eastAsia="宋体" w:cs="宋体"/>
                <w:sz w:val="24"/>
                <w:szCs w:val="24"/>
              </w:rPr>
              <w:t>低噪音，不影响正常工作；工作噪音不得高30dB(A)，要求显示单元通过IP5X防尘认证。需提供有效的第三方检测机构检测报告复印件；</w:t>
            </w:r>
          </w:p>
          <w:p>
            <w:pPr>
              <w:pStyle w:val="4"/>
              <w:keepNext w:val="0"/>
              <w:keepLines w:val="0"/>
              <w:widowControl/>
              <w:suppressLineNumbers w:val="0"/>
              <w:spacing w:before="0" w:beforeAutospacing="1" w:after="0" w:afterAutospacing="1" w:line="315" w:lineRule="atLeast"/>
              <w:ind w:left="0" w:right="0" w:firstLine="0"/>
            </w:pPr>
            <w:r>
              <w:rPr>
                <w:rFonts w:hint="eastAsia" w:ascii="宋体" w:hAnsi="宋体" w:eastAsia="宋体" w:cs="宋体"/>
                <w:sz w:val="24"/>
                <w:szCs w:val="24"/>
              </w:rPr>
              <w:t>13.</w:t>
            </w:r>
            <w:r>
              <w:rPr>
                <w:rFonts w:hint="default" w:ascii="Times New Roman" w:hAnsi="Times New Roman" w:cs="Times New Roman"/>
                <w:sz w:val="13"/>
                <w:szCs w:val="13"/>
              </w:rPr>
              <w:t xml:space="preserve">  </w:t>
            </w:r>
            <w:r>
              <w:rPr>
                <w:rFonts w:hint="eastAsia" w:ascii="宋体" w:hAnsi="宋体" w:eastAsia="宋体" w:cs="宋体"/>
                <w:sz w:val="24"/>
                <w:szCs w:val="24"/>
              </w:rPr>
              <w:t>为保证系统所采用的支架具有环保功能支架需通过RoHS认证满足支架外表喷漆游离甲醛含量≤1.5mg/L检测。需提供支架的ROHS认证证书复印件，杜绝不符合RoHS检验规范的产品进场，为保证所提供的支架符合国家安全标准规范，须提供工信部或其直属机构出具的检测报告复印件；</w:t>
            </w:r>
          </w:p>
          <w:p>
            <w:pPr>
              <w:pStyle w:val="4"/>
              <w:keepNext w:val="0"/>
              <w:keepLines w:val="0"/>
              <w:widowControl/>
              <w:suppressLineNumbers w:val="0"/>
              <w:spacing w:before="210" w:beforeAutospacing="0" w:after="210" w:afterAutospacing="0" w:line="315" w:lineRule="atLeast"/>
              <w:ind w:left="0" w:right="0"/>
            </w:pPr>
            <w:r>
              <w:rPr>
                <w:rFonts w:hint="eastAsia" w:ascii="宋体" w:hAnsi="宋体" w:eastAsia="宋体" w:cs="宋体"/>
                <w:color w:val="000000"/>
                <w:sz w:val="24"/>
                <w:szCs w:val="24"/>
              </w:rPr>
              <w:t>14.后盖支持简易维护</w:t>
            </w:r>
            <w:r>
              <w:rPr>
                <w:rFonts w:hint="eastAsia" w:ascii="宋体" w:hAnsi="宋体" w:eastAsia="宋体" w:cs="宋体"/>
                <w:sz w:val="24"/>
                <w:szCs w:val="24"/>
              </w:rPr>
              <w:t>，支持墙上对电源、板卡和线缆等直接维护修理，无需拆解大屏系统和整机；EMC测试等级达到B级(CLASS   B)辐射标准，提供工信部或其直属机构出具的检测报告复印件。</w:t>
            </w:r>
          </w:p>
          <w:p>
            <w:pPr>
              <w:pStyle w:val="4"/>
              <w:keepNext w:val="0"/>
              <w:keepLines w:val="0"/>
              <w:widowControl/>
              <w:suppressLineNumbers w:val="0"/>
              <w:spacing w:before="0" w:beforeAutospacing="1" w:after="0" w:afterAutospacing="1" w:line="315" w:lineRule="atLeast"/>
              <w:ind w:left="0" w:right="0" w:firstLine="0"/>
            </w:pPr>
            <w:r>
              <w:rPr>
                <w:rFonts w:hint="eastAsia" w:ascii="宋体" w:hAnsi="宋体" w:eastAsia="宋体" w:cs="宋体"/>
                <w:sz w:val="24"/>
                <w:szCs w:val="24"/>
              </w:rPr>
              <w:t>15.</w:t>
            </w:r>
            <w:r>
              <w:rPr>
                <w:rFonts w:hint="default" w:ascii="Times New Roman" w:hAnsi="Times New Roman" w:cs="Times New Roman"/>
                <w:sz w:val="13"/>
                <w:szCs w:val="13"/>
              </w:rPr>
              <w:t xml:space="preserve">  </w:t>
            </w:r>
            <w:r>
              <w:rPr>
                <w:rFonts w:hint="eastAsia" w:ascii="宋体" w:hAnsi="宋体" w:eastAsia="宋体" w:cs="宋体"/>
                <w:sz w:val="24"/>
                <w:szCs w:val="24"/>
              </w:rPr>
              <w:t>含定制前维护支架</w:t>
            </w:r>
          </w:p>
          <w:p>
            <w:pPr>
              <w:pStyle w:val="4"/>
              <w:keepNext w:val="0"/>
              <w:keepLines w:val="0"/>
              <w:widowControl/>
              <w:suppressLineNumbers w:val="0"/>
              <w:spacing w:before="0" w:beforeAutospacing="1" w:after="0" w:afterAutospacing="1" w:line="315" w:lineRule="atLeast"/>
              <w:ind w:left="0" w:right="0" w:firstLine="0"/>
            </w:pPr>
            <w:r>
              <w:rPr>
                <w:rFonts w:hint="eastAsia" w:ascii="宋体" w:hAnsi="宋体" w:eastAsia="宋体" w:cs="宋体"/>
                <w:sz w:val="24"/>
                <w:szCs w:val="24"/>
              </w:rPr>
              <w:t>16.</w:t>
            </w:r>
            <w:r>
              <w:rPr>
                <w:rFonts w:hint="default" w:ascii="Times New Roman" w:hAnsi="Times New Roman" w:cs="Times New Roman"/>
                <w:sz w:val="13"/>
                <w:szCs w:val="13"/>
              </w:rPr>
              <w:t xml:space="preserve">  </w:t>
            </w:r>
            <w:r>
              <w:rPr>
                <w:rFonts w:hint="eastAsia" w:ascii="宋体" w:hAnsi="宋体" w:eastAsia="宋体" w:cs="宋体"/>
                <w:sz w:val="24"/>
                <w:szCs w:val="24"/>
              </w:rPr>
              <w:t>含相关配套电缆</w:t>
            </w:r>
          </w:p>
          <w:p>
            <w:pPr>
              <w:pStyle w:val="4"/>
              <w:keepNext w:val="0"/>
              <w:keepLines w:val="0"/>
              <w:widowControl/>
              <w:suppressLineNumbers w:val="0"/>
              <w:spacing w:before="0" w:beforeAutospacing="1" w:after="0" w:afterAutospacing="1" w:line="315" w:lineRule="atLeast"/>
              <w:ind w:left="0" w:right="0" w:firstLine="0"/>
            </w:pPr>
            <w:r>
              <w:rPr>
                <w:rFonts w:hint="eastAsia" w:ascii="宋体" w:hAnsi="宋体" w:eastAsia="宋体" w:cs="宋体"/>
                <w:sz w:val="24"/>
                <w:szCs w:val="24"/>
              </w:rPr>
              <w:t>17.</w:t>
            </w:r>
            <w:r>
              <w:rPr>
                <w:rFonts w:hint="default" w:ascii="Times New Roman" w:hAnsi="Times New Roman" w:cs="Times New Roman"/>
                <w:sz w:val="13"/>
                <w:szCs w:val="13"/>
              </w:rPr>
              <w:t xml:space="preserve">  </w:t>
            </w:r>
            <w:r>
              <w:rPr>
                <w:rFonts w:hint="eastAsia" w:ascii="宋体" w:hAnsi="宋体" w:eastAsia="宋体" w:cs="宋体"/>
                <w:sz w:val="24"/>
                <w:szCs w:val="24"/>
              </w:rPr>
              <w:t>产品需要通过CCC、CE、CB认证，且提供的以上认证中的委托人名   称、地址，生产者（制造商）名 称、地址，生产企业名 称、地址需一致，逐一提供上述认证证书复印件。</w:t>
            </w:r>
          </w:p>
        </w:tc>
        <w:tc>
          <w:tcPr>
            <w:tcW w:w="497" w:type="dxa"/>
            <w:gridSpan w:val="2"/>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top"/>
          </w:tcPr>
          <w:p>
            <w:pPr>
              <w:keepNext w:val="0"/>
              <w:keepLines w:val="0"/>
              <w:widowControl/>
              <w:suppressLineNumbers w:val="0"/>
              <w:jc w:val="left"/>
            </w:pPr>
          </w:p>
        </w:tc>
      </w:tr>
      <w:tr>
        <w:trPr>
          <w:trHeight w:val="6765" w:hRule="atLeast"/>
          <w:tblCellSpacing w:w="15" w:type="dxa"/>
        </w:trPr>
        <w:tc>
          <w:tcPr>
            <w:tcW w:w="36" w:type="dxa"/>
            <w:tcBorders>
              <w:top w:val="nil"/>
              <w:left w:val="single" w:color="auto" w:sz="6" w:space="0"/>
              <w:bottom w:val="single" w:color="auto" w:sz="6" w:space="0"/>
              <w:right w:val="single" w:color="auto" w:sz="6" w:space="0"/>
            </w:tcBorders>
            <w:shd w:val="clear" w:color="auto" w:fill="FFFFFF"/>
            <w:tcMar>
              <w:top w:w="0" w:type="dxa"/>
              <w:left w:w="0" w:type="dxa"/>
              <w:bottom w:w="0" w:type="dxa"/>
              <w:right w:w="0" w:type="dxa"/>
            </w:tcMar>
            <w:vAlign w:val="center"/>
          </w:tcPr>
          <w:p>
            <w:pPr>
              <w:keepNext w:val="0"/>
              <w:keepLines w:val="0"/>
              <w:widowControl/>
              <w:suppressLineNumbers w:val="0"/>
              <w:jc w:val="left"/>
            </w:pPr>
          </w:p>
        </w:tc>
        <w:tc>
          <w:tcPr>
            <w:tcW w:w="890" w:type="dxa"/>
            <w:gridSpan w:val="2"/>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jc w:val="center"/>
            </w:pPr>
            <w:r>
              <w:rPr>
                <w:rFonts w:hint="default" w:ascii="Calibri" w:hAnsi="Calibri" w:cs="Calibri"/>
                <w:sz w:val="24"/>
                <w:szCs w:val="24"/>
              </w:rPr>
              <w:t>1-2-37</w:t>
            </w:r>
          </w:p>
        </w:tc>
        <w:tc>
          <w:tcPr>
            <w:tcW w:w="887"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pPr>
            <w:r>
              <w:rPr>
                <w:rFonts w:hint="eastAsia" w:ascii="宋体" w:hAnsi="宋体" w:eastAsia="宋体" w:cs="宋体"/>
                <w:sz w:val="24"/>
                <w:szCs w:val="24"/>
              </w:rPr>
              <w:t>图像拼接控制器</w:t>
            </w:r>
          </w:p>
        </w:tc>
        <w:tc>
          <w:tcPr>
            <w:tcW w:w="529"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jc w:val="center"/>
            </w:pPr>
            <w:r>
              <w:rPr>
                <w:rFonts w:hint="eastAsia" w:ascii="宋体" w:hAnsi="宋体" w:eastAsia="宋体" w:cs="宋体"/>
                <w:sz w:val="24"/>
                <w:szCs w:val="24"/>
              </w:rPr>
              <w:t>套</w:t>
            </w:r>
          </w:p>
        </w:tc>
        <w:tc>
          <w:tcPr>
            <w:tcW w:w="530"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jc w:val="center"/>
            </w:pPr>
            <w:r>
              <w:rPr>
                <w:rFonts w:hint="eastAsia" w:ascii="宋体" w:hAnsi="宋体" w:eastAsia="宋体" w:cs="宋体"/>
                <w:sz w:val="24"/>
                <w:szCs w:val="24"/>
              </w:rPr>
              <w:t>1</w:t>
            </w:r>
          </w:p>
        </w:tc>
        <w:tc>
          <w:tcPr>
            <w:tcW w:w="6395"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wordWrap w:val="0"/>
              <w:spacing w:before="0" w:beforeAutospacing="1" w:after="0" w:afterAutospacing="1" w:line="315" w:lineRule="atLeast"/>
              <w:ind w:left="420" w:right="0"/>
            </w:pPr>
            <w:r>
              <w:rPr>
                <w:rFonts w:hint="eastAsia" w:ascii="宋体" w:hAnsi="宋体" w:eastAsia="宋体" w:cs="宋体"/>
                <w:sz w:val="24"/>
                <w:szCs w:val="24"/>
              </w:rPr>
              <w:t>1.</w:t>
            </w:r>
            <w:r>
              <w:rPr>
                <w:rFonts w:hint="default" w:ascii="Times New Roman" w:hAnsi="Times New Roman" w:cs="Times New Roman"/>
                <w:sz w:val="13"/>
                <w:szCs w:val="13"/>
              </w:rPr>
              <w:t xml:space="preserve">     </w:t>
            </w:r>
            <w:r>
              <w:rPr>
                <w:rFonts w:hint="eastAsia" w:ascii="宋体" w:hAnsi="宋体" w:eastAsia="宋体" w:cs="宋体"/>
                <w:sz w:val="24"/>
                <w:szCs w:val="24"/>
              </w:rPr>
              <w:t>采用纯硬件架构，无需操作系统，完全杜绝计算机病毒侵扰。</w:t>
            </w:r>
          </w:p>
          <w:p>
            <w:pPr>
              <w:pStyle w:val="4"/>
              <w:keepNext w:val="0"/>
              <w:keepLines w:val="0"/>
              <w:widowControl/>
              <w:suppressLineNumbers w:val="0"/>
              <w:wordWrap w:val="0"/>
              <w:spacing w:before="0" w:beforeAutospacing="1" w:after="0" w:afterAutospacing="1" w:line="315" w:lineRule="atLeast"/>
              <w:ind w:left="0" w:right="0" w:firstLine="0"/>
            </w:pPr>
            <w:r>
              <w:rPr>
                <w:rFonts w:hint="eastAsia" w:ascii="宋体" w:hAnsi="宋体" w:eastAsia="宋体" w:cs="宋体"/>
                <w:sz w:val="24"/>
                <w:szCs w:val="24"/>
              </w:rPr>
              <w:t>2.</w:t>
            </w:r>
            <w:r>
              <w:rPr>
                <w:rFonts w:hint="default" w:ascii="Times New Roman" w:hAnsi="Times New Roman" w:cs="Times New Roman"/>
                <w:sz w:val="13"/>
                <w:szCs w:val="13"/>
              </w:rPr>
              <w:t xml:space="preserve">     </w:t>
            </w:r>
            <w:r>
              <w:rPr>
                <w:rFonts w:hint="eastAsia" w:ascii="宋体" w:hAnsi="宋体" w:eastAsia="宋体" w:cs="宋体"/>
                <w:sz w:val="24"/>
                <w:szCs w:val="24"/>
              </w:rPr>
              <w:t>系统总带宽：≥200Gbps，信号开窗速度单窗口小于30ms,72窗口小于2s。须提供工信部或其直属机构出具的检测报告复印件；</w:t>
            </w:r>
          </w:p>
          <w:p>
            <w:pPr>
              <w:pStyle w:val="4"/>
              <w:keepNext w:val="0"/>
              <w:keepLines w:val="0"/>
              <w:widowControl/>
              <w:suppressLineNumbers w:val="0"/>
              <w:wordWrap w:val="0"/>
              <w:spacing w:before="0" w:beforeAutospacing="1" w:after="0" w:afterAutospacing="1" w:line="315" w:lineRule="atLeast"/>
              <w:ind w:left="0" w:right="0" w:firstLine="0"/>
            </w:pPr>
            <w:r>
              <w:rPr>
                <w:rFonts w:hint="eastAsia" w:ascii="宋体" w:hAnsi="宋体" w:eastAsia="宋体" w:cs="宋体"/>
                <w:sz w:val="24"/>
                <w:szCs w:val="24"/>
              </w:rPr>
              <w:t>3.</w:t>
            </w:r>
            <w:r>
              <w:rPr>
                <w:rFonts w:hint="default" w:ascii="Times New Roman" w:hAnsi="Times New Roman" w:cs="Times New Roman"/>
                <w:sz w:val="13"/>
                <w:szCs w:val="13"/>
              </w:rPr>
              <w:t xml:space="preserve">     </w:t>
            </w:r>
            <w:r>
              <w:rPr>
                <w:rFonts w:hint="eastAsia" w:ascii="宋体" w:hAnsi="宋体" w:eastAsia="宋体" w:cs="宋体"/>
                <w:sz w:val="24"/>
                <w:szCs w:val="24"/>
              </w:rPr>
              <w:t>必须采用全中文平台，并完全具有对各种不同软件信号源输入窗口的汉字正确显示的能力。</w:t>
            </w:r>
          </w:p>
          <w:p>
            <w:pPr>
              <w:pStyle w:val="4"/>
              <w:keepNext w:val="0"/>
              <w:keepLines w:val="0"/>
              <w:widowControl/>
              <w:suppressLineNumbers w:val="0"/>
              <w:wordWrap w:val="0"/>
              <w:spacing w:before="0" w:beforeAutospacing="1" w:after="0" w:afterAutospacing="1" w:line="315" w:lineRule="atLeast"/>
              <w:ind w:left="0" w:right="0" w:firstLine="0"/>
            </w:pPr>
            <w:r>
              <w:rPr>
                <w:rFonts w:hint="eastAsia" w:ascii="宋体" w:hAnsi="宋体" w:eastAsia="宋体" w:cs="宋体"/>
                <w:sz w:val="24"/>
                <w:szCs w:val="24"/>
              </w:rPr>
              <w:t>4.</w:t>
            </w:r>
            <w:r>
              <w:rPr>
                <w:rFonts w:hint="default" w:ascii="Times New Roman" w:hAnsi="Times New Roman" w:cs="Times New Roman"/>
                <w:sz w:val="13"/>
                <w:szCs w:val="13"/>
              </w:rPr>
              <w:t xml:space="preserve">     </w:t>
            </w:r>
            <w:r>
              <w:rPr>
                <w:rFonts w:hint="eastAsia" w:ascii="宋体" w:hAnsi="宋体" w:eastAsia="宋体" w:cs="宋体"/>
                <w:sz w:val="24"/>
                <w:szCs w:val="24"/>
              </w:rPr>
              <w:t>必须支持分辨率叠加：2×4全屏分辨率应达到(1920×4) × (1080×2) =7680×2160</w:t>
            </w:r>
          </w:p>
          <w:p>
            <w:pPr>
              <w:pStyle w:val="4"/>
              <w:keepNext w:val="0"/>
              <w:keepLines w:val="0"/>
              <w:widowControl/>
              <w:suppressLineNumbers w:val="0"/>
              <w:wordWrap w:val="0"/>
              <w:spacing w:before="0" w:beforeAutospacing="1" w:after="0" w:afterAutospacing="1" w:line="315" w:lineRule="atLeast"/>
              <w:ind w:left="0" w:right="0" w:firstLine="0"/>
            </w:pPr>
            <w:r>
              <w:rPr>
                <w:rFonts w:hint="eastAsia" w:ascii="宋体" w:hAnsi="宋体" w:eastAsia="宋体" w:cs="宋体"/>
                <w:sz w:val="24"/>
                <w:szCs w:val="24"/>
              </w:rPr>
              <w:t>5.</w:t>
            </w:r>
            <w:r>
              <w:rPr>
                <w:rFonts w:hint="default" w:ascii="Times New Roman" w:hAnsi="Times New Roman" w:cs="Times New Roman"/>
                <w:sz w:val="13"/>
                <w:szCs w:val="13"/>
              </w:rPr>
              <w:t xml:space="preserve">     </w:t>
            </w:r>
            <w:r>
              <w:rPr>
                <w:rFonts w:hint="eastAsia" w:ascii="宋体" w:hAnsi="宋体" w:eastAsia="宋体" w:cs="宋体"/>
                <w:sz w:val="24"/>
                <w:szCs w:val="24"/>
              </w:rPr>
              <w:t>支持静态高分辨率底图加载功能，支持通过处理器内嵌WEB保存、调用。多屏处理器输出通道为纯数字DVI-D接口，支持分辨率为1024×768@60Hz ~1920×1200@60Hz；输出通道本次配置8路，最大可扩展至36路；配置8路DVI信号输入。</w:t>
            </w:r>
          </w:p>
          <w:p>
            <w:pPr>
              <w:pStyle w:val="4"/>
              <w:keepNext w:val="0"/>
              <w:keepLines w:val="0"/>
              <w:widowControl/>
              <w:suppressLineNumbers w:val="0"/>
              <w:wordWrap w:val="0"/>
              <w:spacing w:before="0" w:beforeAutospacing="1" w:after="0" w:afterAutospacing="1" w:line="315" w:lineRule="atLeast"/>
              <w:ind w:left="0" w:right="0" w:firstLine="0"/>
            </w:pPr>
            <w:r>
              <w:rPr>
                <w:rFonts w:hint="eastAsia" w:ascii="宋体" w:hAnsi="宋体" w:eastAsia="宋体" w:cs="宋体"/>
                <w:sz w:val="24"/>
                <w:szCs w:val="24"/>
              </w:rPr>
              <w:t>6.</w:t>
            </w:r>
            <w:r>
              <w:rPr>
                <w:rFonts w:hint="default" w:ascii="Times New Roman" w:hAnsi="Times New Roman" w:cs="Times New Roman"/>
                <w:sz w:val="13"/>
                <w:szCs w:val="13"/>
              </w:rPr>
              <w:t xml:space="preserve">     </w:t>
            </w:r>
            <w:r>
              <w:rPr>
                <w:rFonts w:hint="eastAsia" w:ascii="宋体" w:hAnsi="宋体" w:eastAsia="宋体" w:cs="宋体"/>
                <w:sz w:val="24"/>
                <w:szCs w:val="24"/>
              </w:rPr>
              <w:t>必须支持同时显示多种视频信号：最大1920×1200@60Hz的PC机和工作站的   RGB（DVI或VGA或RGBHV）信号，全制式标准 Video(视盘机、DVD、录像机和摄像机等)视频信号，   Full HD 1080p全高清HDMI数字视频信号（信号标准：HDMI V1.3a、1.4a版本），高清SDI信号（支持SDI标准：SD/HD/   3G-SDI），1080P或D1或CIF制式的IP数字视频信号（标准H.264码流，RTSP协议）；所有信号可以切换成整屏一路显示，多路分屏和跨屏显示；输入数字显示拼墙系统多屏处理器系统的任一信号都可在M×N的全墙显示范围内任意放大、缩小、移动显示。须提供工信部或其直属机构出具的检测报告复印件；</w:t>
            </w:r>
          </w:p>
          <w:p>
            <w:pPr>
              <w:pStyle w:val="4"/>
              <w:keepNext w:val="0"/>
              <w:keepLines w:val="0"/>
              <w:widowControl/>
              <w:suppressLineNumbers w:val="0"/>
              <w:wordWrap w:val="0"/>
              <w:spacing w:before="0" w:beforeAutospacing="1" w:after="0" w:afterAutospacing="1" w:line="315" w:lineRule="atLeast"/>
              <w:ind w:left="0" w:right="0" w:firstLine="0"/>
            </w:pPr>
            <w:r>
              <w:rPr>
                <w:rFonts w:hint="eastAsia" w:ascii="宋体" w:hAnsi="宋体" w:eastAsia="宋体" w:cs="宋体"/>
                <w:sz w:val="24"/>
                <w:szCs w:val="24"/>
              </w:rPr>
              <w:t>7.</w:t>
            </w:r>
            <w:r>
              <w:rPr>
                <w:rFonts w:hint="default" w:ascii="Times New Roman" w:hAnsi="Times New Roman" w:cs="Times New Roman"/>
                <w:sz w:val="13"/>
                <w:szCs w:val="13"/>
              </w:rPr>
              <w:t xml:space="preserve">     </w:t>
            </w:r>
            <w:r>
              <w:rPr>
                <w:rFonts w:hint="eastAsia" w:ascii="宋体" w:hAnsi="宋体" w:eastAsia="宋体" w:cs="宋体"/>
                <w:sz w:val="24"/>
                <w:szCs w:val="24"/>
              </w:rPr>
              <w:t>可扩展支持预览显示及全墙回显显示功能，最大支持32路输入信号预览显示和全墙回显，回显帧率不低于25帧/秒。须提供工信部或其直属机构出具的检测报告复印件；</w:t>
            </w:r>
          </w:p>
          <w:p>
            <w:pPr>
              <w:pStyle w:val="4"/>
              <w:keepNext w:val="0"/>
              <w:keepLines w:val="0"/>
              <w:widowControl/>
              <w:suppressLineNumbers w:val="0"/>
              <w:wordWrap w:val="0"/>
              <w:spacing w:before="0" w:beforeAutospacing="1" w:after="0" w:afterAutospacing="1" w:line="315" w:lineRule="atLeast"/>
              <w:ind w:left="0" w:right="0" w:firstLine="0"/>
            </w:pPr>
            <w:r>
              <w:rPr>
                <w:rFonts w:hint="eastAsia" w:ascii="宋体" w:hAnsi="宋体" w:eastAsia="宋体" w:cs="宋体"/>
                <w:sz w:val="24"/>
                <w:szCs w:val="24"/>
              </w:rPr>
              <w:t>8.</w:t>
            </w:r>
            <w:r>
              <w:rPr>
                <w:rFonts w:hint="default" w:ascii="Times New Roman" w:hAnsi="Times New Roman" w:cs="Times New Roman"/>
                <w:sz w:val="13"/>
                <w:szCs w:val="13"/>
              </w:rPr>
              <w:t xml:space="preserve">     </w:t>
            </w:r>
            <w:r>
              <w:rPr>
                <w:rFonts w:hint="eastAsia" w:ascii="宋体" w:hAnsi="宋体" w:eastAsia="宋体" w:cs="宋体"/>
                <w:sz w:val="24"/>
                <w:szCs w:val="24"/>
              </w:rPr>
              <w:t>为保证系统安全性能及时监控要求设备具备“网络远程实时监控系统运行状态”功能。须提供工信部或其直属机构出具的检测报告复印件；</w:t>
            </w:r>
          </w:p>
          <w:p>
            <w:pPr>
              <w:pStyle w:val="4"/>
              <w:keepNext w:val="0"/>
              <w:keepLines w:val="0"/>
              <w:widowControl/>
              <w:suppressLineNumbers w:val="0"/>
              <w:wordWrap w:val="0"/>
              <w:spacing w:before="0" w:beforeAutospacing="1" w:after="0" w:afterAutospacing="1" w:line="315" w:lineRule="atLeast"/>
              <w:ind w:left="0" w:right="0" w:firstLine="0"/>
            </w:pPr>
            <w:r>
              <w:rPr>
                <w:rFonts w:hint="eastAsia" w:ascii="宋体" w:hAnsi="宋体" w:eastAsia="宋体" w:cs="宋体"/>
                <w:sz w:val="24"/>
                <w:szCs w:val="24"/>
              </w:rPr>
              <w:t>9.</w:t>
            </w:r>
            <w:r>
              <w:rPr>
                <w:rFonts w:hint="default" w:ascii="Times New Roman" w:hAnsi="Times New Roman" w:cs="Times New Roman"/>
                <w:sz w:val="13"/>
                <w:szCs w:val="13"/>
              </w:rPr>
              <w:t xml:space="preserve">     </w:t>
            </w:r>
            <w:r>
              <w:rPr>
                <w:rFonts w:hint="eastAsia" w:ascii="宋体" w:hAnsi="宋体" w:eastAsia="宋体" w:cs="宋体"/>
                <w:sz w:val="24"/>
                <w:szCs w:val="24"/>
              </w:rPr>
              <w:t>为保证系统具有良好的工作噪音环境，要求设备采用低噪音设  计，前后左右4个方位的噪声指标均不大于45dB(A)。须提供工信部或其直属机构出具的检测报告复印件；</w:t>
            </w:r>
          </w:p>
          <w:p>
            <w:pPr>
              <w:pStyle w:val="4"/>
              <w:keepNext w:val="0"/>
              <w:keepLines w:val="0"/>
              <w:widowControl/>
              <w:suppressLineNumbers w:val="0"/>
              <w:wordWrap w:val="0"/>
              <w:spacing w:before="0" w:beforeAutospacing="1" w:after="0" w:afterAutospacing="1" w:line="315" w:lineRule="atLeast"/>
              <w:ind w:left="0" w:right="0" w:firstLine="0"/>
            </w:pPr>
            <w:r>
              <w:rPr>
                <w:rFonts w:hint="eastAsia" w:ascii="宋体" w:hAnsi="宋体" w:eastAsia="宋体" w:cs="宋体"/>
                <w:sz w:val="24"/>
                <w:szCs w:val="24"/>
              </w:rPr>
              <w:t>10.</w:t>
            </w:r>
            <w:r>
              <w:rPr>
                <w:rFonts w:hint="default" w:ascii="Times New Roman" w:hAnsi="Times New Roman" w:cs="Times New Roman"/>
                <w:sz w:val="13"/>
                <w:szCs w:val="13"/>
              </w:rPr>
              <w:t xml:space="preserve">  </w:t>
            </w:r>
            <w:r>
              <w:rPr>
                <w:rFonts w:hint="eastAsia" w:ascii="宋体" w:hAnsi="宋体" w:eastAsia="宋体" w:cs="宋体"/>
                <w:sz w:val="24"/>
                <w:szCs w:val="24"/>
              </w:rPr>
              <w:t>采用抗高温高湿低温设   计，满足在恶劣环境下稳定工作，须提供工信部或其直属机构出具的有关高低温检测报告复印件；</w:t>
            </w:r>
          </w:p>
          <w:p>
            <w:pPr>
              <w:pStyle w:val="4"/>
              <w:keepNext w:val="0"/>
              <w:keepLines w:val="0"/>
              <w:widowControl/>
              <w:suppressLineNumbers w:val="0"/>
              <w:wordWrap w:val="0"/>
              <w:spacing w:before="0" w:beforeAutospacing="1" w:after="0" w:afterAutospacing="1" w:line="315" w:lineRule="atLeast"/>
              <w:ind w:left="0" w:right="0" w:firstLine="0"/>
            </w:pPr>
            <w:r>
              <w:rPr>
                <w:rFonts w:hint="eastAsia" w:ascii="宋体" w:hAnsi="宋体" w:eastAsia="宋体" w:cs="宋体"/>
                <w:sz w:val="24"/>
                <w:szCs w:val="24"/>
              </w:rPr>
              <w:t>11.</w:t>
            </w:r>
            <w:r>
              <w:rPr>
                <w:rFonts w:hint="default" w:ascii="Times New Roman" w:hAnsi="Times New Roman" w:cs="Times New Roman"/>
                <w:sz w:val="13"/>
                <w:szCs w:val="13"/>
              </w:rPr>
              <w:t xml:space="preserve">  </w:t>
            </w:r>
            <w:r>
              <w:rPr>
                <w:rFonts w:hint="eastAsia" w:ascii="宋体" w:hAnsi="宋体" w:eastAsia="宋体" w:cs="宋体"/>
                <w:sz w:val="24"/>
                <w:szCs w:val="24"/>
              </w:rPr>
              <w:t>支持可扩IP视频信号接入，支持可扩200万像素以上的信号源，支持可扩72路D1格式信号同时显示。须提供工信部或其直属机构出具的检测报告复印件；</w:t>
            </w:r>
          </w:p>
          <w:p>
            <w:pPr>
              <w:pStyle w:val="4"/>
              <w:keepNext w:val="0"/>
              <w:keepLines w:val="0"/>
              <w:widowControl/>
              <w:suppressLineNumbers w:val="0"/>
              <w:wordWrap w:val="0"/>
              <w:spacing w:before="0" w:beforeAutospacing="1" w:after="0" w:afterAutospacing="1" w:line="315" w:lineRule="atLeast"/>
              <w:ind w:left="0" w:right="0" w:firstLine="0"/>
            </w:pPr>
            <w:r>
              <w:rPr>
                <w:rFonts w:hint="eastAsia" w:ascii="宋体" w:hAnsi="宋体" w:eastAsia="宋体" w:cs="宋体"/>
                <w:sz w:val="24"/>
                <w:szCs w:val="24"/>
              </w:rPr>
              <w:t>12.</w:t>
            </w:r>
            <w:r>
              <w:rPr>
                <w:rFonts w:hint="default" w:ascii="Times New Roman" w:hAnsi="Times New Roman" w:cs="Times New Roman"/>
                <w:sz w:val="13"/>
                <w:szCs w:val="13"/>
              </w:rPr>
              <w:t xml:space="preserve">  </w:t>
            </w:r>
            <w:r>
              <w:rPr>
                <w:rFonts w:hint="eastAsia" w:ascii="宋体" w:hAnsi="宋体" w:eastAsia="宋体" w:cs="宋体"/>
                <w:sz w:val="24"/>
                <w:szCs w:val="24"/>
              </w:rPr>
              <w:t>★多屏处理器核心板卡热拔插技术，支持双电网：核心信号处理、控制、输入、输出板块具备不停机热插拔功能，一模块的故障或异常、甚至拆卸更换过程均不会影响系统其它模块的正常运行，满足热插拔业务自动恢复时间小于25秒。须提供工信部或其直属机构出具的检测报告复印件；</w:t>
            </w:r>
          </w:p>
          <w:p>
            <w:pPr>
              <w:pStyle w:val="4"/>
              <w:keepNext w:val="0"/>
              <w:keepLines w:val="0"/>
              <w:widowControl/>
              <w:suppressLineNumbers w:val="0"/>
              <w:wordWrap w:val="0"/>
              <w:spacing w:before="0" w:beforeAutospacing="1" w:after="0" w:afterAutospacing="1" w:line="315" w:lineRule="atLeast"/>
              <w:ind w:left="0" w:right="0" w:firstLine="0"/>
            </w:pPr>
            <w:r>
              <w:rPr>
                <w:rFonts w:hint="eastAsia" w:ascii="宋体" w:hAnsi="宋体" w:eastAsia="宋体" w:cs="宋体"/>
                <w:sz w:val="24"/>
                <w:szCs w:val="24"/>
              </w:rPr>
              <w:t>13.</w:t>
            </w:r>
            <w:r>
              <w:rPr>
                <w:rFonts w:hint="default" w:ascii="Times New Roman" w:hAnsi="Times New Roman" w:cs="Times New Roman"/>
                <w:sz w:val="13"/>
                <w:szCs w:val="13"/>
              </w:rPr>
              <w:t xml:space="preserve">  </w:t>
            </w:r>
            <w:r>
              <w:rPr>
                <w:rFonts w:hint="eastAsia" w:ascii="宋体" w:hAnsi="宋体" w:eastAsia="宋体" w:cs="宋体"/>
                <w:sz w:val="24"/>
                <w:szCs w:val="24"/>
              </w:rPr>
              <w:t>自带≥4英寸液晶显示面板，实现设备运行状态可视化。需提供带液晶显示面板的产品实物照片和提供工信部或其直属机构出具的检测报告复印件；</w:t>
            </w:r>
          </w:p>
          <w:p>
            <w:pPr>
              <w:pStyle w:val="4"/>
              <w:keepNext w:val="0"/>
              <w:keepLines w:val="0"/>
              <w:widowControl/>
              <w:suppressLineNumbers w:val="0"/>
              <w:wordWrap w:val="0"/>
              <w:spacing w:before="0" w:beforeAutospacing="1" w:after="0" w:afterAutospacing="1" w:line="315" w:lineRule="atLeast"/>
              <w:ind w:left="0" w:right="0" w:firstLine="0"/>
            </w:pPr>
            <w:r>
              <w:rPr>
                <w:rFonts w:hint="eastAsia" w:ascii="宋体" w:hAnsi="宋体" w:eastAsia="宋体" w:cs="宋体"/>
                <w:sz w:val="24"/>
                <w:szCs w:val="24"/>
              </w:rPr>
              <w:t>14.</w:t>
            </w:r>
            <w:r>
              <w:rPr>
                <w:rFonts w:hint="default" w:ascii="Times New Roman" w:hAnsi="Times New Roman" w:cs="Times New Roman"/>
                <w:sz w:val="13"/>
                <w:szCs w:val="13"/>
              </w:rPr>
              <w:t xml:space="preserve">  </w:t>
            </w:r>
            <w:r>
              <w:rPr>
                <w:rFonts w:hint="eastAsia" w:ascii="宋体" w:hAnsi="宋体" w:eastAsia="宋体" w:cs="宋体"/>
                <w:sz w:val="24"/>
                <w:szCs w:val="24"/>
              </w:rPr>
              <w:t>具备7×24小时的连续工作能力，保证系统工作的稳定与安全。具备高可靠性和高维护性的特点，电源采用1+1热冗余电源，并且所有电源模块、风扇、图形卡、信号处理板卡均可以支持在不停机的状态下进行带电热插拔维护工作。具备业务智能自动恢复功能，更换后无需任何设置，就可以回复到原来正常的工作状态。需提供冗余电源实物照片和须提供工信部或其直属机构出具的检测报告复印件；</w:t>
            </w:r>
          </w:p>
          <w:p>
            <w:pPr>
              <w:pStyle w:val="4"/>
              <w:keepNext w:val="0"/>
              <w:keepLines w:val="0"/>
              <w:widowControl/>
              <w:suppressLineNumbers w:val="0"/>
              <w:wordWrap w:val="0"/>
              <w:spacing w:before="0" w:beforeAutospacing="1" w:after="0" w:afterAutospacing="1" w:line="315" w:lineRule="atLeast"/>
              <w:ind w:left="0" w:right="0" w:firstLine="0"/>
            </w:pPr>
            <w:r>
              <w:rPr>
                <w:rFonts w:hint="eastAsia" w:ascii="宋体" w:hAnsi="宋体" w:eastAsia="宋体" w:cs="宋体"/>
                <w:sz w:val="24"/>
                <w:szCs w:val="24"/>
              </w:rPr>
              <w:t>15.</w:t>
            </w:r>
            <w:r>
              <w:rPr>
                <w:rFonts w:hint="default" w:ascii="Times New Roman" w:hAnsi="Times New Roman" w:cs="Times New Roman"/>
                <w:sz w:val="13"/>
                <w:szCs w:val="13"/>
              </w:rPr>
              <w:t xml:space="preserve">  </w:t>
            </w:r>
            <w:r>
              <w:rPr>
                <w:rFonts w:hint="eastAsia" w:ascii="宋体" w:hAnsi="宋体" w:eastAsia="宋体" w:cs="宋体"/>
                <w:sz w:val="24"/>
                <w:szCs w:val="24"/>
              </w:rPr>
              <w:t>采用环保低功耗，系统满配情况下功耗不大于300W。须提供工信部或其直属机构出具的检测报告复印件；</w:t>
            </w:r>
          </w:p>
          <w:p>
            <w:pPr>
              <w:pStyle w:val="4"/>
              <w:keepNext w:val="0"/>
              <w:keepLines w:val="0"/>
              <w:widowControl/>
              <w:suppressLineNumbers w:val="0"/>
              <w:wordWrap w:val="0"/>
              <w:spacing w:line="315" w:lineRule="atLeast"/>
              <w:ind w:left="0" w:firstLine="0"/>
            </w:pPr>
            <w:r>
              <w:rPr>
                <w:rFonts w:hint="eastAsia" w:ascii="宋体" w:hAnsi="宋体" w:eastAsia="宋体" w:cs="宋体"/>
                <w:sz w:val="24"/>
                <w:szCs w:val="24"/>
              </w:rPr>
              <w:t>16.</w:t>
            </w:r>
            <w:r>
              <w:rPr>
                <w:rFonts w:hint="default" w:ascii="Times New Roman" w:hAnsi="Times New Roman" w:cs="Times New Roman"/>
                <w:sz w:val="13"/>
                <w:szCs w:val="13"/>
              </w:rPr>
              <w:t xml:space="preserve">    </w:t>
            </w:r>
            <w:r>
              <w:rPr>
                <w:rFonts w:hint="eastAsia" w:ascii="宋体" w:hAnsi="宋体" w:eastAsia="宋体" w:cs="宋体"/>
                <w:sz w:val="24"/>
                <w:szCs w:val="24"/>
              </w:rPr>
              <w:t> </w:t>
            </w:r>
          </w:p>
        </w:tc>
        <w:tc>
          <w:tcPr>
            <w:tcW w:w="497" w:type="dxa"/>
            <w:gridSpan w:val="2"/>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top"/>
          </w:tcPr>
          <w:p>
            <w:pPr>
              <w:keepNext w:val="0"/>
              <w:keepLines w:val="0"/>
              <w:widowControl/>
              <w:suppressLineNumbers w:val="0"/>
              <w:jc w:val="left"/>
            </w:pPr>
          </w:p>
        </w:tc>
      </w:tr>
      <w:tr>
        <w:trPr>
          <w:trHeight w:val="10470" w:hRule="atLeast"/>
          <w:tblCellSpacing w:w="15" w:type="dxa"/>
        </w:trPr>
        <w:tc>
          <w:tcPr>
            <w:tcW w:w="36" w:type="dxa"/>
            <w:tcBorders>
              <w:top w:val="nil"/>
              <w:left w:val="single" w:color="auto" w:sz="6" w:space="0"/>
              <w:bottom w:val="single" w:color="auto" w:sz="6" w:space="0"/>
              <w:right w:val="single" w:color="auto" w:sz="6" w:space="0"/>
            </w:tcBorders>
            <w:shd w:val="clear" w:color="auto" w:fill="FFFFFF"/>
            <w:tcMar>
              <w:top w:w="0" w:type="dxa"/>
              <w:left w:w="0" w:type="dxa"/>
              <w:bottom w:w="0" w:type="dxa"/>
              <w:right w:w="0" w:type="dxa"/>
            </w:tcMar>
            <w:vAlign w:val="center"/>
          </w:tcPr>
          <w:p>
            <w:pPr>
              <w:keepNext w:val="0"/>
              <w:keepLines w:val="0"/>
              <w:widowControl/>
              <w:suppressLineNumbers w:val="0"/>
              <w:jc w:val="left"/>
            </w:pPr>
          </w:p>
        </w:tc>
        <w:tc>
          <w:tcPr>
            <w:tcW w:w="890" w:type="dxa"/>
            <w:gridSpan w:val="2"/>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jc w:val="center"/>
            </w:pPr>
            <w:r>
              <w:rPr>
                <w:rFonts w:hint="default" w:ascii="Calibri" w:hAnsi="Calibri" w:cs="Calibri"/>
                <w:sz w:val="24"/>
                <w:szCs w:val="24"/>
              </w:rPr>
              <w:t>1-2-38</w:t>
            </w:r>
          </w:p>
        </w:tc>
        <w:tc>
          <w:tcPr>
            <w:tcW w:w="887"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pPr>
            <w:r>
              <w:rPr>
                <w:rFonts w:hint="eastAsia" w:ascii="宋体" w:hAnsi="宋体" w:eastAsia="宋体" w:cs="宋体"/>
                <w:sz w:val="24"/>
                <w:szCs w:val="24"/>
              </w:rPr>
              <w:t>数字拼接墙显示应用管理系统</w:t>
            </w:r>
          </w:p>
        </w:tc>
        <w:tc>
          <w:tcPr>
            <w:tcW w:w="529"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jc w:val="center"/>
            </w:pPr>
            <w:r>
              <w:rPr>
                <w:rFonts w:hint="eastAsia" w:ascii="宋体" w:hAnsi="宋体" w:eastAsia="宋体" w:cs="宋体"/>
                <w:sz w:val="24"/>
                <w:szCs w:val="24"/>
              </w:rPr>
              <w:t>套</w:t>
            </w:r>
          </w:p>
        </w:tc>
        <w:tc>
          <w:tcPr>
            <w:tcW w:w="530"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jc w:val="center"/>
            </w:pPr>
            <w:r>
              <w:rPr>
                <w:rFonts w:hint="eastAsia" w:ascii="宋体" w:hAnsi="宋体" w:eastAsia="宋体" w:cs="宋体"/>
                <w:sz w:val="24"/>
                <w:szCs w:val="24"/>
              </w:rPr>
              <w:t>1</w:t>
            </w:r>
          </w:p>
        </w:tc>
        <w:tc>
          <w:tcPr>
            <w:tcW w:w="6395"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before="0" w:beforeAutospacing="1" w:after="0" w:afterAutospacing="1" w:line="315" w:lineRule="atLeast"/>
              <w:ind w:left="0" w:right="0" w:firstLine="0"/>
            </w:pPr>
            <w:r>
              <w:rPr>
                <w:rFonts w:hint="eastAsia" w:ascii="宋体" w:hAnsi="宋体" w:eastAsia="宋体" w:cs="宋体"/>
                <w:sz w:val="24"/>
                <w:szCs w:val="24"/>
              </w:rPr>
              <w:t>1.</w:t>
            </w:r>
            <w:r>
              <w:rPr>
                <w:rFonts w:hint="default" w:ascii="Times New Roman" w:hAnsi="Times New Roman" w:cs="Times New Roman"/>
                <w:sz w:val="13"/>
                <w:szCs w:val="13"/>
              </w:rPr>
              <w:t xml:space="preserve">     </w:t>
            </w:r>
            <w:r>
              <w:rPr>
                <w:rFonts w:hint="eastAsia" w:ascii="宋体" w:hAnsi="宋体" w:eastAsia="宋体" w:cs="宋体"/>
                <w:sz w:val="24"/>
                <w:szCs w:val="24"/>
              </w:rPr>
              <w:t>数字拼接墙显示应用管理系统提供中文操作、控制和维护界面；软件与窄边液晶显示单元为同一品 牌。必须具备方便直观的中文界面，可实现多用户操作管理，网络远程遥控管理，并能与集中控制系统一起实现一体化操作管理，提供管理软件的计算机软件著作权登记证书复印件。</w:t>
            </w:r>
          </w:p>
          <w:p>
            <w:pPr>
              <w:pStyle w:val="4"/>
              <w:keepNext w:val="0"/>
              <w:keepLines w:val="0"/>
              <w:widowControl/>
              <w:suppressLineNumbers w:val="0"/>
              <w:spacing w:before="0" w:beforeAutospacing="1" w:after="0" w:afterAutospacing="1" w:line="315" w:lineRule="atLeast"/>
              <w:ind w:left="0" w:right="0" w:firstLine="0"/>
            </w:pPr>
            <w:r>
              <w:rPr>
                <w:rFonts w:hint="eastAsia" w:ascii="宋体" w:hAnsi="宋体" w:eastAsia="宋体" w:cs="宋体"/>
                <w:sz w:val="24"/>
                <w:szCs w:val="24"/>
              </w:rPr>
              <w:t>2.</w:t>
            </w:r>
            <w:r>
              <w:rPr>
                <w:rFonts w:hint="default" w:ascii="Times New Roman" w:hAnsi="Times New Roman" w:cs="Times New Roman"/>
                <w:sz w:val="13"/>
                <w:szCs w:val="13"/>
              </w:rPr>
              <w:t xml:space="preserve">     </w:t>
            </w:r>
            <w:r>
              <w:rPr>
                <w:rFonts w:hint="eastAsia" w:ascii="宋体" w:hAnsi="宋体" w:eastAsia="宋体" w:cs="宋体"/>
                <w:sz w:val="24"/>
                <w:szCs w:val="24"/>
              </w:rPr>
              <w:t>数字拼接墙显示应用管理系统具备C/S和B/S结构，可以通过WEB浏览方式在IE浏览器上远程登录控制软件管理大屏幕系统；</w:t>
            </w:r>
          </w:p>
          <w:p>
            <w:pPr>
              <w:pStyle w:val="4"/>
              <w:keepNext w:val="0"/>
              <w:keepLines w:val="0"/>
              <w:widowControl/>
              <w:suppressLineNumbers w:val="0"/>
              <w:spacing w:before="0" w:beforeAutospacing="1" w:after="0" w:afterAutospacing="1" w:line="315" w:lineRule="atLeast"/>
              <w:ind w:left="0" w:right="0" w:firstLine="0"/>
            </w:pPr>
            <w:r>
              <w:rPr>
                <w:rFonts w:hint="eastAsia" w:ascii="宋体" w:hAnsi="宋体" w:eastAsia="宋体" w:cs="宋体"/>
                <w:sz w:val="24"/>
                <w:szCs w:val="24"/>
              </w:rPr>
              <w:t>3.</w:t>
            </w:r>
            <w:r>
              <w:rPr>
                <w:rFonts w:hint="default" w:ascii="Times New Roman" w:hAnsi="Times New Roman" w:cs="Times New Roman"/>
                <w:sz w:val="13"/>
                <w:szCs w:val="13"/>
              </w:rPr>
              <w:t xml:space="preserve">     </w:t>
            </w:r>
            <w:r>
              <w:rPr>
                <w:rFonts w:hint="eastAsia" w:ascii="宋体" w:hAnsi="宋体" w:eastAsia="宋体" w:cs="宋体"/>
                <w:sz w:val="24"/>
                <w:szCs w:val="24"/>
              </w:rPr>
              <w:t>系统的各种功能操作实行全计算机控制、网络控制。所有显示单元的开关、参数配置和控制、信号调用、远程监控维护均在同一套控制软件上统一实现，这些功能可以通过网络授权在其它计算机上实现；</w:t>
            </w:r>
          </w:p>
          <w:p>
            <w:pPr>
              <w:pStyle w:val="4"/>
              <w:keepNext w:val="0"/>
              <w:keepLines w:val="0"/>
              <w:widowControl/>
              <w:suppressLineNumbers w:val="0"/>
              <w:spacing w:before="0" w:beforeAutospacing="1" w:after="0" w:afterAutospacing="1" w:line="315" w:lineRule="atLeast"/>
              <w:ind w:left="0" w:right="0" w:firstLine="0"/>
            </w:pPr>
            <w:r>
              <w:rPr>
                <w:rFonts w:hint="eastAsia" w:ascii="宋体" w:hAnsi="宋体" w:eastAsia="宋体" w:cs="宋体"/>
                <w:sz w:val="24"/>
                <w:szCs w:val="24"/>
              </w:rPr>
              <w:t>4.</w:t>
            </w:r>
            <w:r>
              <w:rPr>
                <w:rFonts w:hint="default" w:ascii="Times New Roman" w:hAnsi="Times New Roman" w:cs="Times New Roman"/>
                <w:sz w:val="13"/>
                <w:szCs w:val="13"/>
              </w:rPr>
              <w:t xml:space="preserve">     </w:t>
            </w:r>
            <w:r>
              <w:rPr>
                <w:rFonts w:hint="eastAsia" w:ascii="宋体" w:hAnsi="宋体" w:eastAsia="宋体" w:cs="宋体"/>
                <w:sz w:val="24"/>
                <w:szCs w:val="24"/>
              </w:rPr>
              <w:t xml:space="preserve">用户可根据需要设置多个含有不同信号窗口组合的模式，不同模式间切换迅速，切换时间不大于2秒。  </w:t>
            </w:r>
          </w:p>
          <w:p>
            <w:pPr>
              <w:pStyle w:val="4"/>
              <w:keepNext w:val="0"/>
              <w:keepLines w:val="0"/>
              <w:widowControl/>
              <w:suppressLineNumbers w:val="0"/>
              <w:spacing w:before="0" w:beforeAutospacing="1" w:after="0" w:afterAutospacing="1" w:line="315" w:lineRule="atLeast"/>
              <w:ind w:left="0" w:right="0" w:firstLine="0"/>
            </w:pPr>
            <w:r>
              <w:rPr>
                <w:rFonts w:hint="eastAsia" w:ascii="宋体" w:hAnsi="宋体" w:eastAsia="宋体" w:cs="宋体"/>
                <w:sz w:val="24"/>
                <w:szCs w:val="24"/>
              </w:rPr>
              <w:t>5.</w:t>
            </w:r>
            <w:r>
              <w:rPr>
                <w:rFonts w:hint="default" w:ascii="Times New Roman" w:hAnsi="Times New Roman" w:cs="Times New Roman"/>
                <w:sz w:val="13"/>
                <w:szCs w:val="13"/>
              </w:rPr>
              <w:t xml:space="preserve">     </w:t>
            </w:r>
            <w:r>
              <w:rPr>
                <w:rFonts w:hint="eastAsia" w:ascii="宋体" w:hAnsi="宋体" w:eastAsia="宋体" w:cs="宋体"/>
                <w:sz w:val="24"/>
                <w:szCs w:val="24"/>
              </w:rPr>
              <w:t xml:space="preserve">系统可执行显示事先编辑的预案（如：定时显示画面以及自动显示某些画面等）；支持直通窗口、处理器窗口混合显示的预案。 </w:t>
            </w:r>
          </w:p>
          <w:p>
            <w:pPr>
              <w:pStyle w:val="4"/>
              <w:keepNext w:val="0"/>
              <w:keepLines w:val="0"/>
              <w:widowControl/>
              <w:suppressLineNumbers w:val="0"/>
              <w:spacing w:before="0" w:beforeAutospacing="1" w:after="0" w:afterAutospacing="1" w:line="315" w:lineRule="atLeast"/>
              <w:ind w:left="0" w:right="0" w:firstLine="0"/>
            </w:pPr>
            <w:r>
              <w:rPr>
                <w:rFonts w:hint="eastAsia" w:ascii="宋体" w:hAnsi="宋体" w:eastAsia="宋体" w:cs="宋体"/>
                <w:sz w:val="24"/>
                <w:szCs w:val="24"/>
              </w:rPr>
              <w:t>6.</w:t>
            </w:r>
            <w:r>
              <w:rPr>
                <w:rFonts w:hint="default" w:ascii="Times New Roman" w:hAnsi="Times New Roman" w:cs="Times New Roman"/>
                <w:sz w:val="13"/>
                <w:szCs w:val="13"/>
              </w:rPr>
              <w:t xml:space="preserve">     </w:t>
            </w:r>
            <w:r>
              <w:rPr>
                <w:rFonts w:hint="eastAsia" w:ascii="宋体" w:hAnsi="宋体" w:eastAsia="宋体" w:cs="宋体"/>
                <w:sz w:val="24"/>
                <w:szCs w:val="24"/>
              </w:rPr>
              <w:t xml:space="preserve">可以实现对多种信号源定义、调度和管理；实现任意信号源窗口模式组合的定义、编辑；实现指 定信号在窗口轮询查看；实现自定义多种显示模式存储调用，支持直通窗口和处理器窗口混合显示的模式定义，支持离线状态对模式预编辑。    </w:t>
            </w:r>
          </w:p>
          <w:p>
            <w:pPr>
              <w:pStyle w:val="4"/>
              <w:keepNext w:val="0"/>
              <w:keepLines w:val="0"/>
              <w:widowControl/>
              <w:suppressLineNumbers w:val="0"/>
              <w:spacing w:before="0" w:beforeAutospacing="1" w:after="0" w:afterAutospacing="1" w:line="315" w:lineRule="atLeast"/>
              <w:ind w:left="0" w:right="0" w:firstLine="0"/>
            </w:pPr>
            <w:r>
              <w:rPr>
                <w:rFonts w:hint="eastAsia" w:ascii="宋体" w:hAnsi="宋体" w:eastAsia="宋体" w:cs="宋体"/>
                <w:sz w:val="24"/>
                <w:szCs w:val="24"/>
              </w:rPr>
              <w:t>7.</w:t>
            </w:r>
            <w:r>
              <w:rPr>
                <w:rFonts w:hint="default" w:ascii="Times New Roman" w:hAnsi="Times New Roman" w:cs="Times New Roman"/>
                <w:sz w:val="13"/>
                <w:szCs w:val="13"/>
              </w:rPr>
              <w:t xml:space="preserve">     </w:t>
            </w:r>
            <w:r>
              <w:rPr>
                <w:rFonts w:hint="eastAsia" w:ascii="宋体" w:hAnsi="宋体" w:eastAsia="宋体" w:cs="宋体"/>
                <w:sz w:val="24"/>
                <w:szCs w:val="24"/>
              </w:rPr>
              <w:t xml:space="preserve">支持显示墙状态信息可以通过SNMP协议跟用户的网管中心对接，方便用户进行统一管理。支持SNMP发送设备告警及事件功能。 </w:t>
            </w:r>
          </w:p>
          <w:p>
            <w:pPr>
              <w:pStyle w:val="4"/>
              <w:keepNext w:val="0"/>
              <w:keepLines w:val="0"/>
              <w:widowControl/>
              <w:suppressLineNumbers w:val="0"/>
              <w:spacing w:before="0" w:beforeAutospacing="1" w:after="0" w:afterAutospacing="1" w:line="315" w:lineRule="atLeast"/>
              <w:ind w:left="0" w:right="0" w:firstLine="0"/>
            </w:pPr>
            <w:r>
              <w:rPr>
                <w:rFonts w:hint="eastAsia" w:ascii="宋体" w:hAnsi="宋体" w:eastAsia="宋体" w:cs="宋体"/>
                <w:sz w:val="24"/>
                <w:szCs w:val="24"/>
              </w:rPr>
              <w:t>8.</w:t>
            </w:r>
            <w:r>
              <w:rPr>
                <w:rFonts w:hint="default" w:ascii="Times New Roman" w:hAnsi="Times New Roman" w:cs="Times New Roman"/>
                <w:sz w:val="13"/>
                <w:szCs w:val="13"/>
              </w:rPr>
              <w:t xml:space="preserve">     </w:t>
            </w:r>
            <w:r>
              <w:rPr>
                <w:rFonts w:hint="eastAsia" w:ascii="宋体" w:hAnsi="宋体" w:eastAsia="宋体" w:cs="宋体"/>
                <w:sz w:val="24"/>
                <w:szCs w:val="24"/>
              </w:rPr>
              <w:t>数字拼接墙显示应用管理系统提供多用户的认证和授权机制，管理员可对各操作员授予各种操作功能的权限，也可以根据大屏幕不同区域设定各操作员的可操作区域；支持多客户端同时在线操作，允许多台工作站同时对大屏幕进行操作，并可设定权限分级。每个用户可在本地工作站显示器运用大屏幕操作管理界面直接进行各个窗口的所有操作，如用本地鼠标直接进行窗口移动、放大缩小、隐藏，打开关闭窗口等。</w:t>
            </w:r>
          </w:p>
          <w:p>
            <w:pPr>
              <w:pStyle w:val="4"/>
              <w:keepNext w:val="0"/>
              <w:keepLines w:val="0"/>
              <w:widowControl/>
              <w:suppressLineNumbers w:val="0"/>
              <w:spacing w:before="0" w:beforeAutospacing="1" w:after="0" w:afterAutospacing="1" w:line="315" w:lineRule="atLeast"/>
              <w:ind w:left="0" w:right="0" w:firstLine="0"/>
            </w:pPr>
            <w:r>
              <w:rPr>
                <w:rFonts w:hint="eastAsia" w:ascii="宋体" w:hAnsi="宋体" w:eastAsia="宋体" w:cs="宋体"/>
                <w:sz w:val="24"/>
                <w:szCs w:val="24"/>
              </w:rPr>
              <w:t>9.</w:t>
            </w:r>
            <w:r>
              <w:rPr>
                <w:rFonts w:hint="default" w:ascii="Times New Roman" w:hAnsi="Times New Roman" w:cs="Times New Roman"/>
                <w:sz w:val="13"/>
                <w:szCs w:val="13"/>
              </w:rPr>
              <w:t xml:space="preserve">     </w:t>
            </w:r>
            <w:r>
              <w:rPr>
                <w:rFonts w:hint="eastAsia" w:ascii="宋体" w:hAnsi="宋体" w:eastAsia="宋体" w:cs="宋体"/>
                <w:sz w:val="24"/>
                <w:szCs w:val="24"/>
              </w:rPr>
              <w:t>数字拼接墙显示应用管理系统提供模式和预案的管理。操作员可对各种信号窗口的显示方式和布局保存成模式，或者根据时序定制为预案，并可通过快捷键对模式和预案进行快速调用，实现自动化控制管理功能；</w:t>
            </w:r>
          </w:p>
          <w:p>
            <w:pPr>
              <w:pStyle w:val="4"/>
              <w:keepNext w:val="0"/>
              <w:keepLines w:val="0"/>
              <w:widowControl/>
              <w:suppressLineNumbers w:val="0"/>
              <w:spacing w:before="0" w:beforeAutospacing="1" w:after="0" w:afterAutospacing="1" w:line="315" w:lineRule="atLeast"/>
              <w:ind w:left="0" w:right="0" w:firstLine="0"/>
            </w:pPr>
            <w:r>
              <w:rPr>
                <w:rFonts w:hint="eastAsia" w:ascii="宋体" w:hAnsi="宋体" w:eastAsia="宋体" w:cs="宋体"/>
                <w:sz w:val="24"/>
                <w:szCs w:val="24"/>
              </w:rPr>
              <w:t>10.</w:t>
            </w:r>
            <w:r>
              <w:rPr>
                <w:rFonts w:hint="default" w:ascii="Times New Roman" w:hAnsi="Times New Roman" w:cs="Times New Roman"/>
                <w:sz w:val="13"/>
                <w:szCs w:val="13"/>
              </w:rPr>
              <w:t xml:space="preserve">  </w:t>
            </w:r>
            <w:r>
              <w:rPr>
                <w:rFonts w:hint="eastAsia" w:ascii="宋体" w:hAnsi="宋体" w:eastAsia="宋体" w:cs="宋体"/>
                <w:sz w:val="24"/>
                <w:szCs w:val="24"/>
              </w:rPr>
              <w:t>软件可以安装在用户PC机上，并与用户系统兼容，不影响用户原来各种应用系统的运行。网络上的任意一台用户机安装控制软件后，便成为一台控制终端，既可管理控制大屏，也可同时被调用显示。</w:t>
            </w:r>
          </w:p>
          <w:p>
            <w:pPr>
              <w:pStyle w:val="4"/>
              <w:keepNext w:val="0"/>
              <w:keepLines w:val="0"/>
              <w:widowControl/>
              <w:suppressLineNumbers w:val="0"/>
              <w:spacing w:before="0" w:beforeAutospacing="1" w:after="0" w:afterAutospacing="1" w:line="315" w:lineRule="atLeast"/>
              <w:ind w:left="0" w:right="0" w:firstLine="0"/>
            </w:pPr>
            <w:r>
              <w:rPr>
                <w:rFonts w:hint="eastAsia" w:ascii="宋体" w:hAnsi="宋体" w:eastAsia="宋体" w:cs="宋体"/>
                <w:sz w:val="24"/>
                <w:szCs w:val="24"/>
              </w:rPr>
              <w:t>11.</w:t>
            </w:r>
            <w:r>
              <w:rPr>
                <w:rFonts w:hint="default" w:ascii="Times New Roman" w:hAnsi="Times New Roman" w:cs="Times New Roman"/>
                <w:sz w:val="13"/>
                <w:szCs w:val="13"/>
              </w:rPr>
              <w:t xml:space="preserve">  </w:t>
            </w:r>
            <w:r>
              <w:rPr>
                <w:rFonts w:hint="eastAsia" w:ascii="宋体" w:hAnsi="宋体" w:eastAsia="宋体" w:cs="宋体"/>
                <w:sz w:val="24"/>
                <w:szCs w:val="24"/>
              </w:rPr>
              <w:t>数字拼接墙显示应用管理系统具有完整的二次开发接口，提供对其他系统的控制接口；</w:t>
            </w:r>
          </w:p>
          <w:p>
            <w:pPr>
              <w:pStyle w:val="4"/>
              <w:keepNext w:val="0"/>
              <w:keepLines w:val="0"/>
              <w:widowControl/>
              <w:suppressLineNumbers w:val="0"/>
              <w:spacing w:before="0" w:beforeAutospacing="1" w:after="0" w:afterAutospacing="1" w:line="315" w:lineRule="atLeast"/>
              <w:ind w:left="0" w:right="0" w:firstLine="0"/>
            </w:pPr>
            <w:r>
              <w:rPr>
                <w:rFonts w:hint="eastAsia" w:ascii="宋体" w:hAnsi="宋体" w:eastAsia="宋体" w:cs="宋体"/>
                <w:sz w:val="24"/>
                <w:szCs w:val="24"/>
              </w:rPr>
              <w:t>12.</w:t>
            </w:r>
            <w:r>
              <w:rPr>
                <w:rFonts w:hint="default" w:ascii="Times New Roman" w:hAnsi="Times New Roman" w:cs="Times New Roman"/>
                <w:sz w:val="13"/>
                <w:szCs w:val="13"/>
              </w:rPr>
              <w:t xml:space="preserve">  </w:t>
            </w:r>
            <w:r>
              <w:rPr>
                <w:rFonts w:hint="eastAsia" w:ascii="宋体" w:hAnsi="宋体" w:eastAsia="宋体" w:cs="宋体"/>
                <w:sz w:val="24"/>
                <w:szCs w:val="24"/>
              </w:rPr>
              <w:t>为保证大屏控制软件的兼容性，软件需兼容国产麒麟操作系统，提供系统兼容国产操作系统认证证书复印件。</w:t>
            </w:r>
          </w:p>
          <w:p>
            <w:pPr>
              <w:pStyle w:val="4"/>
              <w:keepNext w:val="0"/>
              <w:keepLines w:val="0"/>
              <w:widowControl/>
              <w:suppressLineNumbers w:val="0"/>
              <w:spacing w:line="315" w:lineRule="atLeast"/>
              <w:ind w:left="0" w:firstLine="0"/>
            </w:pPr>
            <w:r>
              <w:rPr>
                <w:rFonts w:hint="eastAsia" w:ascii="宋体" w:hAnsi="宋体" w:eastAsia="宋体" w:cs="宋体"/>
                <w:sz w:val="24"/>
                <w:szCs w:val="24"/>
              </w:rPr>
              <w:t>13.</w:t>
            </w:r>
            <w:r>
              <w:rPr>
                <w:rFonts w:hint="default" w:ascii="Times New Roman" w:hAnsi="Times New Roman" w:cs="Times New Roman"/>
                <w:sz w:val="13"/>
                <w:szCs w:val="13"/>
              </w:rPr>
              <w:t xml:space="preserve">    </w:t>
            </w:r>
            <w:r>
              <w:rPr>
                <w:rFonts w:hint="eastAsia" w:ascii="宋体" w:hAnsi="宋体" w:eastAsia="宋体" w:cs="宋体"/>
                <w:sz w:val="24"/>
                <w:szCs w:val="24"/>
              </w:rPr>
              <w:t> </w:t>
            </w:r>
          </w:p>
        </w:tc>
        <w:tc>
          <w:tcPr>
            <w:tcW w:w="497" w:type="dxa"/>
            <w:gridSpan w:val="2"/>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top"/>
          </w:tcPr>
          <w:p>
            <w:pPr>
              <w:keepNext w:val="0"/>
              <w:keepLines w:val="0"/>
              <w:widowControl/>
              <w:suppressLineNumbers w:val="0"/>
              <w:jc w:val="left"/>
            </w:pPr>
          </w:p>
        </w:tc>
      </w:tr>
      <w:tr>
        <w:trPr>
          <w:trHeight w:val="6165" w:hRule="atLeast"/>
          <w:tblCellSpacing w:w="15" w:type="dxa"/>
        </w:trPr>
        <w:tc>
          <w:tcPr>
            <w:tcW w:w="36" w:type="dxa"/>
            <w:tcBorders>
              <w:top w:val="nil"/>
              <w:left w:val="single" w:color="auto" w:sz="6" w:space="0"/>
              <w:bottom w:val="single" w:color="auto" w:sz="6" w:space="0"/>
              <w:right w:val="single" w:color="auto" w:sz="6" w:space="0"/>
            </w:tcBorders>
            <w:shd w:val="clear" w:color="auto" w:fill="FFFFFF"/>
            <w:tcMar>
              <w:top w:w="0" w:type="dxa"/>
              <w:left w:w="0" w:type="dxa"/>
              <w:bottom w:w="0" w:type="dxa"/>
              <w:right w:w="0" w:type="dxa"/>
            </w:tcMar>
            <w:vAlign w:val="center"/>
          </w:tcPr>
          <w:p>
            <w:pPr>
              <w:keepNext w:val="0"/>
              <w:keepLines w:val="0"/>
              <w:widowControl/>
              <w:suppressLineNumbers w:val="0"/>
              <w:jc w:val="left"/>
            </w:pPr>
          </w:p>
        </w:tc>
        <w:tc>
          <w:tcPr>
            <w:tcW w:w="890" w:type="dxa"/>
            <w:gridSpan w:val="2"/>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jc w:val="center"/>
            </w:pPr>
            <w:r>
              <w:rPr>
                <w:rFonts w:hint="default" w:ascii="Calibri" w:hAnsi="Calibri" w:cs="Calibri"/>
                <w:sz w:val="24"/>
                <w:szCs w:val="24"/>
              </w:rPr>
              <w:t>1-2-39</w:t>
            </w:r>
          </w:p>
        </w:tc>
        <w:tc>
          <w:tcPr>
            <w:tcW w:w="887"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pPr>
            <w:r>
              <w:rPr>
                <w:rFonts w:hint="eastAsia" w:ascii="宋体" w:hAnsi="宋体" w:eastAsia="宋体" w:cs="宋体"/>
                <w:sz w:val="24"/>
                <w:szCs w:val="24"/>
              </w:rPr>
              <w:t>多媒体信息分享与协同软件</w:t>
            </w:r>
          </w:p>
        </w:tc>
        <w:tc>
          <w:tcPr>
            <w:tcW w:w="529"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jc w:val="center"/>
            </w:pPr>
            <w:r>
              <w:rPr>
                <w:rFonts w:hint="eastAsia" w:ascii="宋体" w:hAnsi="宋体" w:eastAsia="宋体" w:cs="宋体"/>
                <w:sz w:val="24"/>
                <w:szCs w:val="24"/>
              </w:rPr>
              <w:t>套</w:t>
            </w:r>
          </w:p>
        </w:tc>
        <w:tc>
          <w:tcPr>
            <w:tcW w:w="530"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jc w:val="center"/>
            </w:pPr>
            <w:r>
              <w:rPr>
                <w:rFonts w:hint="eastAsia" w:ascii="宋体" w:hAnsi="宋体" w:eastAsia="宋体" w:cs="宋体"/>
                <w:sz w:val="24"/>
                <w:szCs w:val="24"/>
              </w:rPr>
              <w:t>1</w:t>
            </w:r>
          </w:p>
        </w:tc>
        <w:tc>
          <w:tcPr>
            <w:tcW w:w="6395"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before="0" w:beforeAutospacing="1" w:after="0" w:afterAutospacing="1" w:line="315" w:lineRule="atLeast"/>
              <w:ind w:left="0" w:right="0"/>
            </w:pPr>
            <w:r>
              <w:rPr>
                <w:rFonts w:hint="eastAsia" w:ascii="宋体" w:hAnsi="宋体" w:eastAsia="宋体" w:cs="宋体"/>
                <w:sz w:val="24"/>
                <w:szCs w:val="24"/>
              </w:rPr>
              <w:t>1.</w:t>
            </w:r>
            <w:r>
              <w:rPr>
                <w:rFonts w:hint="default" w:ascii="Times New Roman" w:hAnsi="Times New Roman" w:cs="Times New Roman"/>
                <w:sz w:val="13"/>
                <w:szCs w:val="13"/>
              </w:rPr>
              <w:t xml:space="preserve">     </w:t>
            </w:r>
            <w:r>
              <w:rPr>
                <w:rFonts w:hint="eastAsia" w:ascii="宋体" w:hAnsi="宋体" w:eastAsia="宋体" w:cs="宋体"/>
                <w:sz w:val="24"/>
                <w:szCs w:val="24"/>
              </w:rPr>
              <w:t>系统支持1/2/4分屏显示各种PC、平板等设备投影的内容，视频显示帧率10~30帧，整体界面自适应3840x2160、1920x1080及以下分辨率投影终端输出显示。（需提供软件功能界面截图）</w:t>
            </w:r>
          </w:p>
          <w:p>
            <w:pPr>
              <w:pStyle w:val="4"/>
              <w:keepNext w:val="0"/>
              <w:keepLines w:val="0"/>
              <w:widowControl/>
              <w:suppressLineNumbers w:val="0"/>
              <w:spacing w:before="0" w:beforeAutospacing="1" w:after="0" w:afterAutospacing="1" w:line="315" w:lineRule="atLeast"/>
              <w:ind w:left="0" w:right="0" w:firstLine="0"/>
            </w:pPr>
            <w:r>
              <w:rPr>
                <w:rFonts w:hint="eastAsia" w:ascii="宋体" w:hAnsi="宋体" w:eastAsia="宋体" w:cs="宋体"/>
                <w:sz w:val="24"/>
                <w:szCs w:val="24"/>
              </w:rPr>
              <w:t>2.</w:t>
            </w:r>
            <w:r>
              <w:rPr>
                <w:rFonts w:hint="default" w:ascii="Times New Roman" w:hAnsi="Times New Roman" w:cs="Times New Roman"/>
                <w:sz w:val="13"/>
                <w:szCs w:val="13"/>
              </w:rPr>
              <w:t xml:space="preserve">     </w:t>
            </w:r>
            <w:r>
              <w:rPr>
                <w:rFonts w:hint="eastAsia" w:ascii="宋体" w:hAnsi="宋体" w:eastAsia="宋体" w:cs="宋体"/>
                <w:sz w:val="24"/>
                <w:szCs w:val="24"/>
              </w:rPr>
              <w:t>系统支持对某一客户端进程远程控制，远程标注，远程标注同时支持多客户端标注。（需提供软件功能界面截图）</w:t>
            </w:r>
          </w:p>
          <w:p>
            <w:pPr>
              <w:pStyle w:val="4"/>
              <w:keepNext w:val="0"/>
              <w:keepLines w:val="0"/>
              <w:widowControl/>
              <w:suppressLineNumbers w:val="0"/>
              <w:spacing w:before="0" w:beforeAutospacing="1" w:after="0" w:afterAutospacing="1" w:line="315" w:lineRule="atLeast"/>
              <w:ind w:left="0" w:right="0" w:firstLine="0"/>
            </w:pPr>
            <w:r>
              <w:rPr>
                <w:rFonts w:hint="eastAsia" w:ascii="宋体" w:hAnsi="宋体" w:eastAsia="宋体" w:cs="宋体"/>
                <w:sz w:val="24"/>
                <w:szCs w:val="24"/>
              </w:rPr>
              <w:t>3.</w:t>
            </w:r>
            <w:r>
              <w:rPr>
                <w:rFonts w:hint="default" w:ascii="Times New Roman" w:hAnsi="Times New Roman" w:cs="Times New Roman"/>
                <w:sz w:val="13"/>
                <w:szCs w:val="13"/>
              </w:rPr>
              <w:t xml:space="preserve">     </w:t>
            </w:r>
            <w:r>
              <w:rPr>
                <w:rFonts w:hint="eastAsia" w:ascii="宋体" w:hAnsi="宋体" w:eastAsia="宋体" w:cs="宋体"/>
                <w:sz w:val="24"/>
                <w:szCs w:val="24"/>
              </w:rPr>
              <w:t>系统支持简单的电子白板功能，在有触控系统的支持下，可直接在投影信号上进行数字标注，并可保存标注。（需提供软件功能界面截图）</w:t>
            </w:r>
          </w:p>
          <w:p>
            <w:pPr>
              <w:pStyle w:val="4"/>
              <w:keepNext w:val="0"/>
              <w:keepLines w:val="0"/>
              <w:widowControl/>
              <w:suppressLineNumbers w:val="0"/>
              <w:spacing w:before="0" w:beforeAutospacing="1" w:after="0" w:afterAutospacing="1" w:line="315" w:lineRule="atLeast"/>
              <w:ind w:left="0" w:right="0" w:firstLine="0"/>
            </w:pPr>
            <w:r>
              <w:rPr>
                <w:rFonts w:hint="eastAsia" w:ascii="宋体" w:hAnsi="宋体" w:eastAsia="宋体" w:cs="宋体"/>
                <w:sz w:val="24"/>
                <w:szCs w:val="24"/>
              </w:rPr>
              <w:t>4.</w:t>
            </w:r>
            <w:r>
              <w:rPr>
                <w:rFonts w:hint="default" w:ascii="Times New Roman" w:hAnsi="Times New Roman" w:cs="Times New Roman"/>
                <w:sz w:val="13"/>
                <w:szCs w:val="13"/>
              </w:rPr>
              <w:t xml:space="preserve">     </w:t>
            </w:r>
            <w:r>
              <w:rPr>
                <w:rFonts w:hint="eastAsia" w:ascii="宋体" w:hAnsi="宋体" w:eastAsia="宋体" w:cs="宋体"/>
                <w:sz w:val="24"/>
                <w:szCs w:val="24"/>
              </w:rPr>
              <w:t>系统支持观看模式，在硬件服务器支持下，可同时支持8个Android或ios客户端查看服务端显示的画面。（需提供软件功能界面截图）</w:t>
            </w:r>
          </w:p>
          <w:p>
            <w:pPr>
              <w:pStyle w:val="4"/>
              <w:keepNext w:val="0"/>
              <w:keepLines w:val="0"/>
              <w:widowControl/>
              <w:suppressLineNumbers w:val="0"/>
              <w:spacing w:before="0" w:beforeAutospacing="1" w:after="0" w:afterAutospacing="1" w:line="315" w:lineRule="atLeast"/>
              <w:ind w:left="0" w:right="0" w:firstLine="0"/>
            </w:pPr>
            <w:r>
              <w:rPr>
                <w:rFonts w:hint="eastAsia" w:ascii="宋体" w:hAnsi="宋体" w:eastAsia="宋体" w:cs="宋体"/>
                <w:sz w:val="24"/>
                <w:szCs w:val="24"/>
              </w:rPr>
              <w:t>5.</w:t>
            </w:r>
            <w:r>
              <w:rPr>
                <w:rFonts w:hint="default" w:ascii="Times New Roman" w:hAnsi="Times New Roman" w:cs="Times New Roman"/>
                <w:sz w:val="13"/>
                <w:szCs w:val="13"/>
              </w:rPr>
              <w:t xml:space="preserve">     </w:t>
            </w:r>
            <w:r>
              <w:rPr>
                <w:rFonts w:hint="eastAsia" w:ascii="宋体" w:hAnsi="宋体" w:eastAsia="宋体" w:cs="宋体"/>
                <w:sz w:val="24"/>
                <w:szCs w:val="24"/>
              </w:rPr>
              <w:t>支持电子席位主动推送功能，将任意一个席位显示画面推送给主显示终端和其他席位终端显示，还支持信号标注功能，将标注共享给其他与会人员。（需提供软件功能界面截图）</w:t>
            </w:r>
          </w:p>
          <w:p>
            <w:pPr>
              <w:pStyle w:val="4"/>
              <w:keepNext w:val="0"/>
              <w:keepLines w:val="0"/>
              <w:widowControl/>
              <w:suppressLineNumbers w:val="0"/>
              <w:spacing w:before="0" w:beforeAutospacing="1" w:after="0" w:afterAutospacing="1" w:line="315" w:lineRule="atLeast"/>
              <w:ind w:left="0" w:right="0" w:firstLine="0"/>
            </w:pPr>
            <w:r>
              <w:rPr>
                <w:rFonts w:hint="eastAsia" w:ascii="宋体" w:hAnsi="宋体" w:eastAsia="宋体" w:cs="宋体"/>
                <w:sz w:val="24"/>
                <w:szCs w:val="24"/>
              </w:rPr>
              <w:t>6.</w:t>
            </w:r>
            <w:r>
              <w:rPr>
                <w:rFonts w:hint="default" w:ascii="Times New Roman" w:hAnsi="Times New Roman" w:cs="Times New Roman"/>
                <w:sz w:val="13"/>
                <w:szCs w:val="13"/>
              </w:rPr>
              <w:t xml:space="preserve">     </w:t>
            </w:r>
            <w:r>
              <w:rPr>
                <w:rFonts w:hint="eastAsia" w:ascii="宋体" w:hAnsi="宋体" w:eastAsia="宋体" w:cs="宋体"/>
                <w:sz w:val="24"/>
                <w:szCs w:val="24"/>
              </w:rPr>
              <w:t>桌面信息共享：支持实现将多种设备的桌面信号采集、编码、传输、解码、显示；通过网络将一个显示内容发送到多个显示设备上显示，或在同一显示设备上显示多个不同设备的内容，实现设备间显示内容的互联互通互控。（需提供软件功能界面截图）</w:t>
            </w:r>
          </w:p>
          <w:p>
            <w:pPr>
              <w:pStyle w:val="4"/>
              <w:keepNext w:val="0"/>
              <w:keepLines w:val="0"/>
              <w:widowControl/>
              <w:suppressLineNumbers w:val="0"/>
              <w:spacing w:before="0" w:beforeAutospacing="1" w:after="0" w:afterAutospacing="1" w:line="315" w:lineRule="atLeast"/>
              <w:ind w:left="0" w:right="0" w:firstLine="0"/>
            </w:pPr>
            <w:r>
              <w:rPr>
                <w:rFonts w:hint="eastAsia" w:ascii="宋体" w:hAnsi="宋体" w:eastAsia="宋体" w:cs="宋体"/>
                <w:sz w:val="24"/>
                <w:szCs w:val="24"/>
              </w:rPr>
              <w:t>7.</w:t>
            </w:r>
            <w:r>
              <w:rPr>
                <w:rFonts w:hint="default" w:ascii="Times New Roman" w:hAnsi="Times New Roman" w:cs="Times New Roman"/>
                <w:sz w:val="13"/>
                <w:szCs w:val="13"/>
              </w:rPr>
              <w:t xml:space="preserve">     </w:t>
            </w:r>
            <w:r>
              <w:rPr>
                <w:rFonts w:hint="eastAsia" w:ascii="宋体" w:hAnsi="宋体" w:eastAsia="宋体" w:cs="宋体"/>
                <w:sz w:val="24"/>
                <w:szCs w:val="24"/>
              </w:rPr>
              <w:t>应用程序窗口共享：支持在windows电脑上仅选择需要共享的应用程序画面进行推送显示共享，电脑上的桌面、以及所有其他不愿意被共享的程序画面均不会被</w:t>
            </w:r>
            <w:r>
              <w:rPr>
                <w:rStyle w:val="6"/>
                <w:rFonts w:hint="eastAsia" w:ascii="宋体" w:hAnsi="宋体" w:eastAsia="宋体" w:cs="宋体"/>
                <w:b/>
              </w:rPr>
              <w:t>名   称</w:t>
            </w:r>
            <w:r>
              <w:rPr>
                <w:rFonts w:hint="eastAsia" w:ascii="宋体" w:hAnsi="宋体" w:eastAsia="宋体" w:cs="宋体"/>
                <w:sz w:val="24"/>
                <w:szCs w:val="24"/>
              </w:rPr>
              <w:t>共享显示，切实保护信息安全及私隐。（需提供软件功能界面截图）</w:t>
            </w:r>
          </w:p>
          <w:p>
            <w:pPr>
              <w:pStyle w:val="4"/>
              <w:keepNext w:val="0"/>
              <w:keepLines w:val="0"/>
              <w:widowControl/>
              <w:suppressLineNumbers w:val="0"/>
              <w:spacing w:before="0" w:beforeAutospacing="1" w:after="0" w:afterAutospacing="1" w:line="315" w:lineRule="atLeast"/>
              <w:ind w:left="0" w:right="0" w:firstLine="0"/>
            </w:pPr>
            <w:r>
              <w:rPr>
                <w:rFonts w:hint="eastAsia" w:ascii="宋体" w:hAnsi="宋体" w:eastAsia="宋体" w:cs="宋体"/>
                <w:sz w:val="24"/>
                <w:szCs w:val="24"/>
              </w:rPr>
              <w:t>8.</w:t>
            </w:r>
            <w:r>
              <w:rPr>
                <w:rFonts w:hint="default" w:ascii="Times New Roman" w:hAnsi="Times New Roman" w:cs="Times New Roman"/>
                <w:sz w:val="13"/>
                <w:szCs w:val="13"/>
              </w:rPr>
              <w:t xml:space="preserve">     </w:t>
            </w:r>
            <w:r>
              <w:rPr>
                <w:rFonts w:hint="eastAsia" w:ascii="宋体" w:hAnsi="宋体" w:eastAsia="宋体" w:cs="宋体"/>
                <w:sz w:val="24"/>
                <w:szCs w:val="24"/>
              </w:rPr>
              <w:t>支持移动信号（windows和MAC笔记本、IOS和Android平板及手机）的接入。支持windows笔记本、Mac笔记本、Android平板直接桌面投影，IOS支持图片、摄像头采集投影。</w:t>
            </w:r>
          </w:p>
          <w:p>
            <w:pPr>
              <w:pStyle w:val="4"/>
              <w:keepNext w:val="0"/>
              <w:keepLines w:val="0"/>
              <w:widowControl/>
              <w:suppressLineNumbers w:val="0"/>
              <w:spacing w:before="0" w:beforeAutospacing="1" w:after="0" w:afterAutospacing="1" w:line="315" w:lineRule="atLeast"/>
              <w:ind w:left="0" w:right="0" w:firstLine="0"/>
            </w:pPr>
            <w:r>
              <w:rPr>
                <w:rFonts w:hint="eastAsia" w:ascii="宋体" w:hAnsi="宋体" w:eastAsia="宋体" w:cs="宋体"/>
                <w:sz w:val="24"/>
                <w:szCs w:val="24"/>
              </w:rPr>
              <w:t>9.</w:t>
            </w:r>
            <w:r>
              <w:rPr>
                <w:rFonts w:hint="default" w:ascii="Times New Roman" w:hAnsi="Times New Roman" w:cs="Times New Roman"/>
                <w:sz w:val="13"/>
                <w:szCs w:val="13"/>
              </w:rPr>
              <w:t xml:space="preserve">     </w:t>
            </w:r>
            <w:r>
              <w:rPr>
                <w:rFonts w:hint="eastAsia" w:ascii="宋体" w:hAnsi="宋体" w:eastAsia="宋体" w:cs="宋体"/>
                <w:sz w:val="24"/>
                <w:szCs w:val="24"/>
              </w:rPr>
              <w:t>支持通过平板、手机等移动设备收看其他设备共享的信息。（需提供加盖制造厂商公章的软件功能界面截图）</w:t>
            </w:r>
          </w:p>
          <w:p>
            <w:pPr>
              <w:pStyle w:val="4"/>
              <w:keepNext w:val="0"/>
              <w:keepLines w:val="0"/>
              <w:widowControl/>
              <w:suppressLineNumbers w:val="0"/>
            </w:pPr>
            <w:r>
              <w:rPr>
                <w:rFonts w:hint="eastAsia" w:ascii="宋体" w:hAnsi="宋体" w:eastAsia="宋体" w:cs="宋体"/>
                <w:sz w:val="21"/>
                <w:szCs w:val="21"/>
              </w:rPr>
              <w:t>10.</w:t>
            </w:r>
            <w:r>
              <w:rPr>
                <w:rFonts w:hint="default" w:ascii="Calibri" w:hAnsi="Calibri" w:cs="Calibri"/>
                <w:sz w:val="24"/>
                <w:szCs w:val="24"/>
              </w:rPr>
              <w:t xml:space="preserve">  </w:t>
            </w:r>
            <w:r>
              <w:rPr>
                <w:rFonts w:hint="default" w:ascii="Calibri" w:hAnsi="Calibri" w:cs="Calibri"/>
                <w:color w:val="000000"/>
                <w:sz w:val="24"/>
                <w:szCs w:val="24"/>
              </w:rPr>
              <w:t xml:space="preserve">  </w:t>
            </w:r>
            <w:r>
              <w:rPr>
                <w:rFonts w:hint="eastAsia" w:ascii="宋体" w:hAnsi="宋体" w:eastAsia="宋体" w:cs="宋体"/>
                <w:color w:val="000000"/>
                <w:sz w:val="24"/>
                <w:szCs w:val="24"/>
              </w:rPr>
              <w:t>★为保证系统的兼容性、整套大屏系统的售   后 服  务便利性，要求多媒体信息分享与协同软件与控制管理软件为同一品   牌，并提供软件著作权证书</w:t>
            </w:r>
          </w:p>
        </w:tc>
        <w:tc>
          <w:tcPr>
            <w:tcW w:w="497" w:type="dxa"/>
            <w:gridSpan w:val="2"/>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top"/>
          </w:tcPr>
          <w:p>
            <w:pPr>
              <w:keepNext w:val="0"/>
              <w:keepLines w:val="0"/>
              <w:widowControl/>
              <w:suppressLineNumbers w:val="0"/>
              <w:jc w:val="left"/>
            </w:pPr>
          </w:p>
        </w:tc>
      </w:tr>
      <w:tr>
        <w:trPr>
          <w:trHeight w:val="645" w:hRule="atLeast"/>
          <w:tblCellSpacing w:w="15" w:type="dxa"/>
        </w:trPr>
        <w:tc>
          <w:tcPr>
            <w:tcW w:w="36" w:type="dxa"/>
            <w:tcBorders>
              <w:top w:val="nil"/>
              <w:left w:val="single" w:color="auto" w:sz="6" w:space="0"/>
              <w:bottom w:val="single" w:color="auto" w:sz="6" w:space="0"/>
              <w:right w:val="single" w:color="auto" w:sz="6" w:space="0"/>
            </w:tcBorders>
            <w:shd w:val="clear" w:color="auto" w:fill="FFFFFF"/>
            <w:tcMar>
              <w:top w:w="0" w:type="dxa"/>
              <w:left w:w="0" w:type="dxa"/>
              <w:bottom w:w="0" w:type="dxa"/>
              <w:right w:w="0" w:type="dxa"/>
            </w:tcMar>
            <w:vAlign w:val="center"/>
          </w:tcPr>
          <w:p>
            <w:pPr>
              <w:keepNext w:val="0"/>
              <w:keepLines w:val="0"/>
              <w:widowControl/>
              <w:suppressLineNumbers w:val="0"/>
              <w:jc w:val="left"/>
            </w:pPr>
          </w:p>
        </w:tc>
        <w:tc>
          <w:tcPr>
            <w:tcW w:w="9878" w:type="dxa"/>
            <w:gridSpan w:val="16"/>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top"/>
          </w:tcPr>
          <w:p>
            <w:pPr>
              <w:pStyle w:val="4"/>
              <w:keepNext w:val="0"/>
              <w:keepLines w:val="0"/>
              <w:widowControl/>
              <w:suppressLineNumbers w:val="0"/>
            </w:pPr>
            <w:r>
              <w:rPr>
                <w:rStyle w:val="6"/>
                <w:rFonts w:hint="eastAsia" w:ascii="宋体" w:hAnsi="宋体" w:eastAsia="宋体" w:cs="宋体"/>
                <w:b/>
                <w:sz w:val="28"/>
                <w:szCs w:val="28"/>
              </w:rPr>
              <w:t>公共资源交易中心监控系统</w:t>
            </w:r>
          </w:p>
        </w:tc>
      </w:tr>
      <w:tr>
        <w:trPr>
          <w:trHeight w:val="645" w:hRule="atLeast"/>
          <w:tblCellSpacing w:w="15" w:type="dxa"/>
        </w:trPr>
        <w:tc>
          <w:tcPr>
            <w:tcW w:w="36" w:type="dxa"/>
            <w:tcBorders>
              <w:top w:val="nil"/>
              <w:left w:val="single" w:color="auto" w:sz="6" w:space="0"/>
              <w:bottom w:val="single" w:color="auto" w:sz="6" w:space="0"/>
              <w:right w:val="single" w:color="auto" w:sz="6" w:space="0"/>
            </w:tcBorders>
            <w:shd w:val="clear" w:color="auto" w:fill="FFFFFF"/>
            <w:tcMar>
              <w:top w:w="0" w:type="dxa"/>
              <w:left w:w="0" w:type="dxa"/>
              <w:bottom w:w="0" w:type="dxa"/>
              <w:right w:w="0" w:type="dxa"/>
            </w:tcMar>
            <w:vAlign w:val="center"/>
          </w:tcPr>
          <w:p>
            <w:pPr>
              <w:keepNext w:val="0"/>
              <w:keepLines w:val="0"/>
              <w:widowControl/>
              <w:suppressLineNumbers w:val="0"/>
              <w:jc w:val="left"/>
            </w:pPr>
          </w:p>
        </w:tc>
        <w:tc>
          <w:tcPr>
            <w:tcW w:w="937"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jc w:val="center"/>
            </w:pPr>
            <w:r>
              <w:rPr>
                <w:rStyle w:val="6"/>
                <w:rFonts w:hint="eastAsia" w:ascii="宋体" w:hAnsi="宋体" w:eastAsia="宋体" w:cs="宋体"/>
                <w:b/>
              </w:rPr>
              <w:t>序号</w:t>
            </w:r>
          </w:p>
        </w:tc>
        <w:tc>
          <w:tcPr>
            <w:tcW w:w="888"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jc w:val="center"/>
            </w:pPr>
            <w:r>
              <w:rPr>
                <w:rStyle w:val="6"/>
                <w:rFonts w:hint="eastAsia" w:ascii="宋体" w:hAnsi="宋体" w:eastAsia="宋体" w:cs="宋体"/>
                <w:b/>
              </w:rPr>
              <w:t>设备</w:t>
            </w:r>
          </w:p>
        </w:tc>
        <w:tc>
          <w:tcPr>
            <w:tcW w:w="529"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jc w:val="center"/>
            </w:pPr>
            <w:r>
              <w:rPr>
                <w:rStyle w:val="6"/>
                <w:rFonts w:hint="eastAsia" w:ascii="宋体" w:hAnsi="宋体" w:eastAsia="宋体" w:cs="宋体"/>
                <w:b/>
              </w:rPr>
              <w:t>单位</w:t>
            </w:r>
          </w:p>
        </w:tc>
        <w:tc>
          <w:tcPr>
            <w:tcW w:w="529"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jc w:val="center"/>
            </w:pPr>
            <w:r>
              <w:rPr>
                <w:rStyle w:val="6"/>
                <w:rFonts w:hint="eastAsia" w:ascii="宋体" w:hAnsi="宋体" w:eastAsia="宋体" w:cs="宋体"/>
                <w:b/>
              </w:rPr>
              <w:t>数量</w:t>
            </w:r>
          </w:p>
        </w:tc>
        <w:tc>
          <w:tcPr>
            <w:tcW w:w="6378"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jc w:val="center"/>
            </w:pPr>
            <w:r>
              <w:rPr>
                <w:rStyle w:val="6"/>
                <w:rFonts w:hint="eastAsia" w:ascii="宋体" w:hAnsi="宋体" w:eastAsia="宋体" w:cs="宋体"/>
                <w:b/>
              </w:rPr>
              <w:t>技术参数</w:t>
            </w:r>
          </w:p>
        </w:tc>
        <w:tc>
          <w:tcPr>
            <w:tcW w:w="467"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jc w:val="center"/>
            </w:pPr>
            <w:r>
              <w:rPr>
                <w:rStyle w:val="6"/>
                <w:rFonts w:hint="eastAsia" w:ascii="宋体" w:hAnsi="宋体" w:eastAsia="宋体" w:cs="宋体"/>
                <w:b/>
              </w:rPr>
              <w:t>备注</w:t>
            </w:r>
          </w:p>
        </w:tc>
      </w:tr>
      <w:tr>
        <w:trPr>
          <w:trHeight w:val="4635" w:hRule="atLeast"/>
          <w:tblCellSpacing w:w="15" w:type="dxa"/>
        </w:trPr>
        <w:tc>
          <w:tcPr>
            <w:tcW w:w="36" w:type="dxa"/>
            <w:tcBorders>
              <w:top w:val="nil"/>
              <w:left w:val="single" w:color="auto" w:sz="6" w:space="0"/>
              <w:bottom w:val="single" w:color="auto" w:sz="6" w:space="0"/>
              <w:right w:val="single" w:color="auto" w:sz="6" w:space="0"/>
            </w:tcBorders>
            <w:shd w:val="clear" w:color="auto" w:fill="FFFFFF"/>
            <w:tcMar>
              <w:top w:w="0" w:type="dxa"/>
              <w:left w:w="0" w:type="dxa"/>
              <w:bottom w:w="0" w:type="dxa"/>
              <w:right w:w="0" w:type="dxa"/>
            </w:tcMar>
            <w:vAlign w:val="center"/>
          </w:tcPr>
          <w:p>
            <w:pPr>
              <w:keepNext w:val="0"/>
              <w:keepLines w:val="0"/>
              <w:widowControl/>
              <w:suppressLineNumbers w:val="0"/>
              <w:jc w:val="left"/>
            </w:pPr>
          </w:p>
        </w:tc>
        <w:tc>
          <w:tcPr>
            <w:tcW w:w="937"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jc w:val="center"/>
            </w:pPr>
            <w:r>
              <w:rPr>
                <w:rFonts w:hint="default" w:ascii="Calibri" w:hAnsi="Calibri" w:cs="Calibri"/>
                <w:sz w:val="24"/>
                <w:szCs w:val="24"/>
              </w:rPr>
              <w:t>1-2-40</w:t>
            </w:r>
          </w:p>
        </w:tc>
        <w:tc>
          <w:tcPr>
            <w:tcW w:w="888"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pPr>
            <w:r>
              <w:rPr>
                <w:rFonts w:hint="eastAsia" w:ascii="宋体" w:hAnsi="宋体" w:eastAsia="宋体" w:cs="宋体"/>
                <w:sz w:val="19"/>
                <w:szCs w:val="19"/>
              </w:rPr>
              <w:t>半球型网络摄像机</w:t>
            </w:r>
          </w:p>
        </w:tc>
        <w:tc>
          <w:tcPr>
            <w:tcW w:w="529"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jc w:val="center"/>
            </w:pPr>
            <w:r>
              <w:rPr>
                <w:rFonts w:hint="eastAsia" w:ascii="宋体" w:hAnsi="宋体" w:eastAsia="宋体" w:cs="宋体"/>
                <w:sz w:val="19"/>
                <w:szCs w:val="19"/>
              </w:rPr>
              <w:t>台</w:t>
            </w:r>
          </w:p>
        </w:tc>
        <w:tc>
          <w:tcPr>
            <w:tcW w:w="529"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jc w:val="center"/>
            </w:pPr>
            <w:r>
              <w:rPr>
                <w:rFonts w:hint="eastAsia" w:ascii="宋体" w:hAnsi="宋体" w:eastAsia="宋体" w:cs="宋体"/>
                <w:sz w:val="19"/>
                <w:szCs w:val="19"/>
              </w:rPr>
              <w:t>18</w:t>
            </w:r>
          </w:p>
        </w:tc>
        <w:tc>
          <w:tcPr>
            <w:tcW w:w="6378"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before="0" w:beforeAutospacing="1" w:after="0" w:afterAutospacing="1" w:line="315" w:lineRule="atLeast"/>
              <w:ind w:left="0" w:right="0" w:firstLine="0"/>
            </w:pPr>
            <w:r>
              <w:rPr>
                <w:rFonts w:hint="default" w:ascii="Calibri" w:hAnsi="Calibri" w:cs="Calibri"/>
                <w:sz w:val="24"/>
                <w:szCs w:val="24"/>
              </w:rPr>
              <w:t>1.</w:t>
            </w:r>
            <w:r>
              <w:rPr>
                <w:rFonts w:hint="default" w:ascii="Times New Roman" w:hAnsi="Times New Roman" w:cs="Times New Roman"/>
                <w:sz w:val="13"/>
                <w:szCs w:val="13"/>
              </w:rPr>
              <w:t xml:space="preserve">           </w:t>
            </w:r>
            <w:r>
              <w:rPr>
                <w:rFonts w:hint="eastAsia" w:ascii="宋体" w:hAnsi="宋体" w:eastAsia="宋体" w:cs="宋体"/>
                <w:sz w:val="24"/>
                <w:szCs w:val="24"/>
              </w:rPr>
              <w:t>具有</w:t>
            </w:r>
            <w:r>
              <w:rPr>
                <w:rFonts w:hint="default" w:ascii="Calibri" w:hAnsi="Calibri" w:cs="Calibri"/>
                <w:sz w:val="24"/>
                <w:szCs w:val="24"/>
              </w:rPr>
              <w:t>200</w:t>
            </w:r>
            <w:r>
              <w:rPr>
                <w:rFonts w:hint="eastAsia" w:ascii="宋体" w:hAnsi="宋体" w:eastAsia="宋体" w:cs="宋体"/>
                <w:sz w:val="24"/>
                <w:szCs w:val="24"/>
              </w:rPr>
              <w:t>万像素</w:t>
            </w:r>
            <w:r>
              <w:rPr>
                <w:rFonts w:hint="default" w:ascii="Calibri" w:hAnsi="Calibri" w:cs="Calibri"/>
                <w:sz w:val="24"/>
                <w:szCs w:val="24"/>
              </w:rPr>
              <w:t>CMOS</w:t>
            </w:r>
            <w:r>
              <w:rPr>
                <w:rFonts w:hint="eastAsia" w:ascii="宋体" w:hAnsi="宋体" w:eastAsia="宋体" w:cs="宋体"/>
                <w:sz w:val="24"/>
                <w:szCs w:val="24"/>
              </w:rPr>
              <w:t>传感器；最大分辨率</w:t>
            </w:r>
            <w:r>
              <w:rPr>
                <w:rFonts w:hint="default" w:ascii="Calibri" w:hAnsi="Calibri" w:cs="Calibri"/>
                <w:sz w:val="24"/>
                <w:szCs w:val="24"/>
              </w:rPr>
              <w:t>1920x1080</w:t>
            </w:r>
            <w:r>
              <w:rPr>
                <w:rFonts w:hint="eastAsia" w:ascii="宋体" w:hAnsi="宋体" w:eastAsia="宋体" w:cs="宋体"/>
                <w:sz w:val="24"/>
                <w:szCs w:val="24"/>
              </w:rPr>
              <w:t>；需具有</w:t>
            </w:r>
            <w:r>
              <w:rPr>
                <w:rFonts w:hint="default" w:ascii="Calibri" w:hAnsi="Calibri" w:cs="Calibri"/>
                <w:sz w:val="24"/>
                <w:szCs w:val="24"/>
              </w:rPr>
              <w:t>20</w:t>
            </w:r>
            <w:r>
              <w:rPr>
                <w:rFonts w:hint="eastAsia" w:ascii="宋体" w:hAnsi="宋体" w:eastAsia="宋体" w:cs="宋体"/>
                <w:sz w:val="24"/>
                <w:szCs w:val="24"/>
              </w:rPr>
              <w:t>路取流路数能力，以满足更多用户同时在线访问摄像机视频；</w:t>
            </w:r>
            <w:r>
              <w:rPr>
                <w:rFonts w:hint="default" w:ascii="Calibri" w:hAnsi="Calibri" w:cs="Calibri"/>
                <w:sz w:val="24"/>
                <w:szCs w:val="24"/>
              </w:rPr>
              <w:t> </w:t>
            </w:r>
          </w:p>
          <w:p>
            <w:pPr>
              <w:pStyle w:val="4"/>
              <w:keepNext w:val="0"/>
              <w:keepLines w:val="0"/>
              <w:widowControl/>
              <w:suppressLineNumbers w:val="0"/>
              <w:spacing w:before="0" w:beforeAutospacing="1" w:after="0" w:afterAutospacing="1" w:line="315" w:lineRule="atLeast"/>
              <w:ind w:left="0" w:right="0" w:firstLine="0"/>
            </w:pPr>
            <w:r>
              <w:rPr>
                <w:rFonts w:hint="default" w:ascii="Calibri" w:hAnsi="Calibri" w:cs="Calibri"/>
                <w:sz w:val="24"/>
                <w:szCs w:val="24"/>
              </w:rPr>
              <w:t>2.</w:t>
            </w:r>
            <w:r>
              <w:rPr>
                <w:rFonts w:hint="default" w:ascii="Times New Roman" w:hAnsi="Times New Roman" w:cs="Times New Roman"/>
                <w:sz w:val="13"/>
                <w:szCs w:val="13"/>
              </w:rPr>
              <w:t xml:space="preserve">           </w:t>
            </w:r>
            <w:r>
              <w:rPr>
                <w:rFonts w:hint="eastAsia" w:ascii="宋体" w:hAnsi="宋体" w:eastAsia="宋体" w:cs="宋体"/>
                <w:sz w:val="24"/>
                <w:szCs w:val="24"/>
              </w:rPr>
              <w:t>最低照度彩色≤</w:t>
            </w:r>
            <w:r>
              <w:rPr>
                <w:rFonts w:hint="default" w:ascii="Calibri" w:hAnsi="Calibri" w:cs="Calibri"/>
                <w:sz w:val="24"/>
                <w:szCs w:val="24"/>
              </w:rPr>
              <w:t>0.01lx(AGC</w:t>
            </w:r>
            <w:r>
              <w:rPr>
                <w:rFonts w:hint="eastAsia" w:ascii="宋体" w:hAnsi="宋体" w:eastAsia="宋体" w:cs="宋体"/>
                <w:sz w:val="24"/>
                <w:szCs w:val="24"/>
              </w:rPr>
              <w:t>开，</w:t>
            </w:r>
            <w:r>
              <w:rPr>
                <w:rFonts w:hint="default" w:ascii="Calibri" w:hAnsi="Calibri" w:cs="Calibri"/>
                <w:sz w:val="24"/>
                <w:szCs w:val="24"/>
              </w:rPr>
              <w:t>RJ45</w:t>
            </w:r>
            <w:r>
              <w:rPr>
                <w:rFonts w:hint="eastAsia" w:ascii="宋体" w:hAnsi="宋体" w:eastAsia="宋体" w:cs="宋体"/>
                <w:sz w:val="24"/>
                <w:szCs w:val="24"/>
              </w:rPr>
              <w:t>输出</w:t>
            </w:r>
            <w:r>
              <w:rPr>
                <w:rFonts w:hint="default" w:ascii="Calibri" w:hAnsi="Calibri" w:cs="Calibri"/>
                <w:sz w:val="24"/>
                <w:szCs w:val="24"/>
              </w:rPr>
              <w:t>)</w:t>
            </w:r>
            <w:r>
              <w:rPr>
                <w:rFonts w:hint="eastAsia" w:ascii="宋体" w:hAnsi="宋体" w:eastAsia="宋体" w:cs="宋体"/>
                <w:sz w:val="24"/>
                <w:szCs w:val="24"/>
              </w:rPr>
              <w:t>，黑白≤</w:t>
            </w:r>
            <w:r>
              <w:rPr>
                <w:rFonts w:hint="default" w:ascii="Calibri" w:hAnsi="Calibri" w:cs="Calibri"/>
                <w:sz w:val="24"/>
                <w:szCs w:val="24"/>
              </w:rPr>
              <w:t>0.001lx(AGC</w:t>
            </w:r>
            <w:r>
              <w:rPr>
                <w:rFonts w:hint="eastAsia" w:ascii="宋体" w:hAnsi="宋体" w:eastAsia="宋体" w:cs="宋体"/>
                <w:sz w:val="24"/>
                <w:szCs w:val="24"/>
              </w:rPr>
              <w:t>开，</w:t>
            </w:r>
            <w:r>
              <w:rPr>
                <w:rFonts w:hint="default" w:ascii="Calibri" w:hAnsi="Calibri" w:cs="Calibri"/>
                <w:sz w:val="24"/>
                <w:szCs w:val="24"/>
              </w:rPr>
              <w:t>RJ45</w:t>
            </w:r>
            <w:r>
              <w:rPr>
                <w:rFonts w:hint="eastAsia" w:ascii="宋体" w:hAnsi="宋体" w:eastAsia="宋体" w:cs="宋体"/>
                <w:sz w:val="24"/>
                <w:szCs w:val="24"/>
              </w:rPr>
              <w:t>输出</w:t>
            </w:r>
            <w:r>
              <w:rPr>
                <w:rFonts w:hint="default" w:ascii="Calibri" w:hAnsi="Calibri" w:cs="Calibri"/>
                <w:sz w:val="24"/>
                <w:szCs w:val="24"/>
              </w:rPr>
              <w:t>)</w:t>
            </w:r>
            <w:r>
              <w:rPr>
                <w:rFonts w:hint="eastAsia" w:ascii="宋体" w:hAnsi="宋体" w:eastAsia="宋体" w:cs="宋体"/>
                <w:sz w:val="24"/>
                <w:szCs w:val="24"/>
              </w:rPr>
              <w:t>，灰度等级≥</w:t>
            </w:r>
            <w:r>
              <w:rPr>
                <w:rFonts w:hint="default" w:ascii="Calibri" w:hAnsi="Calibri" w:cs="Calibri"/>
                <w:sz w:val="24"/>
                <w:szCs w:val="24"/>
              </w:rPr>
              <w:t>11</w:t>
            </w:r>
            <w:r>
              <w:rPr>
                <w:rFonts w:hint="eastAsia" w:ascii="宋体" w:hAnsi="宋体" w:eastAsia="宋体" w:cs="宋体"/>
                <w:sz w:val="24"/>
                <w:szCs w:val="24"/>
              </w:rPr>
              <w:t>级；红外补光距离≥</w:t>
            </w:r>
            <w:r>
              <w:rPr>
                <w:rFonts w:hint="default" w:ascii="Calibri" w:hAnsi="Calibri" w:cs="Calibri"/>
                <w:sz w:val="24"/>
                <w:szCs w:val="24"/>
              </w:rPr>
              <w:t>50</w:t>
            </w:r>
            <w:r>
              <w:rPr>
                <w:rFonts w:hint="eastAsia" w:ascii="宋体" w:hAnsi="宋体" w:eastAsia="宋体" w:cs="宋体"/>
                <w:sz w:val="24"/>
                <w:szCs w:val="24"/>
              </w:rPr>
              <w:t>米；</w:t>
            </w:r>
            <w:r>
              <w:rPr>
                <w:rFonts w:hint="default" w:ascii="Calibri" w:hAnsi="Calibri" w:cs="Calibri"/>
                <w:sz w:val="24"/>
                <w:szCs w:val="24"/>
              </w:rPr>
              <w:t> </w:t>
            </w:r>
          </w:p>
          <w:p>
            <w:pPr>
              <w:pStyle w:val="4"/>
              <w:keepNext w:val="0"/>
              <w:keepLines w:val="0"/>
              <w:widowControl/>
              <w:suppressLineNumbers w:val="0"/>
              <w:spacing w:before="0" w:beforeAutospacing="1" w:after="0" w:afterAutospacing="1" w:line="315" w:lineRule="atLeast"/>
              <w:ind w:left="0" w:right="0" w:firstLine="0"/>
            </w:pPr>
            <w:r>
              <w:rPr>
                <w:rFonts w:hint="default" w:ascii="Calibri" w:hAnsi="Calibri" w:cs="Calibri"/>
                <w:sz w:val="24"/>
                <w:szCs w:val="24"/>
              </w:rPr>
              <w:t>3.</w:t>
            </w:r>
            <w:r>
              <w:rPr>
                <w:rFonts w:hint="default" w:ascii="Times New Roman" w:hAnsi="Times New Roman" w:cs="Times New Roman"/>
                <w:sz w:val="13"/>
                <w:szCs w:val="13"/>
              </w:rPr>
              <w:t>    </w:t>
            </w:r>
            <w:r>
              <w:rPr>
                <w:rFonts w:hint="default" w:ascii="Times New Roman" w:hAnsi="Times New Roman" w:cs="Times New Roman"/>
                <w:sz w:val="24"/>
                <w:szCs w:val="24"/>
              </w:rPr>
              <w:t> </w:t>
            </w:r>
            <w:r>
              <w:rPr>
                <w:rFonts w:hint="eastAsia" w:ascii="宋体" w:hAnsi="宋体" w:eastAsia="宋体" w:cs="宋体"/>
                <w:sz w:val="24"/>
                <w:szCs w:val="24"/>
              </w:rPr>
              <w:t>★</w:t>
            </w:r>
            <w:r>
              <w:rPr>
                <w:rFonts w:hint="default" w:ascii="Times New Roman" w:hAnsi="Times New Roman" w:cs="Times New Roman"/>
                <w:sz w:val="13"/>
                <w:szCs w:val="13"/>
              </w:rPr>
              <w:t xml:space="preserve">  </w:t>
            </w:r>
            <w:r>
              <w:rPr>
                <w:rFonts w:hint="eastAsia" w:ascii="宋体" w:hAnsi="宋体" w:eastAsia="宋体" w:cs="宋体"/>
                <w:sz w:val="24"/>
                <w:szCs w:val="24"/>
              </w:rPr>
              <w:t>需支持三码流技术，可同时输出三路码流，主码流最高</w:t>
            </w:r>
            <w:r>
              <w:rPr>
                <w:rFonts w:hint="default" w:ascii="Calibri" w:hAnsi="Calibri" w:cs="Calibri"/>
                <w:sz w:val="24"/>
                <w:szCs w:val="24"/>
              </w:rPr>
              <w:t>1920x1080@30fps</w:t>
            </w:r>
            <w:r>
              <w:rPr>
                <w:rFonts w:hint="eastAsia" w:ascii="宋体" w:hAnsi="宋体" w:eastAsia="宋体" w:cs="宋体"/>
                <w:sz w:val="24"/>
                <w:szCs w:val="24"/>
              </w:rPr>
              <w:t>，第三码流最大</w:t>
            </w:r>
            <w:r>
              <w:rPr>
                <w:rFonts w:hint="default" w:ascii="Calibri" w:hAnsi="Calibri" w:cs="Calibri"/>
                <w:sz w:val="24"/>
                <w:szCs w:val="24"/>
              </w:rPr>
              <w:t>1920x1080@30fps</w:t>
            </w:r>
            <w:r>
              <w:rPr>
                <w:rFonts w:hint="eastAsia" w:ascii="宋体" w:hAnsi="宋体" w:eastAsia="宋体" w:cs="宋体"/>
                <w:sz w:val="24"/>
                <w:szCs w:val="24"/>
              </w:rPr>
              <w:t>，子码流</w:t>
            </w:r>
            <w:r>
              <w:rPr>
                <w:rFonts w:hint="default" w:ascii="Calibri" w:hAnsi="Calibri" w:cs="Calibri"/>
                <w:sz w:val="24"/>
                <w:szCs w:val="24"/>
              </w:rPr>
              <w:t>704x576@30fps</w:t>
            </w:r>
            <w:r>
              <w:rPr>
                <w:rFonts w:hint="eastAsia" w:ascii="宋体" w:hAnsi="宋体" w:eastAsia="宋体" w:cs="宋体"/>
                <w:sz w:val="24"/>
                <w:szCs w:val="24"/>
              </w:rPr>
              <w:t>；在</w:t>
            </w:r>
            <w:r>
              <w:rPr>
                <w:rFonts w:hint="default" w:ascii="Calibri" w:hAnsi="Calibri" w:cs="Calibri"/>
                <w:sz w:val="24"/>
                <w:szCs w:val="24"/>
              </w:rPr>
              <w:t>1920x1080@25fps</w:t>
            </w:r>
            <w:r>
              <w:rPr>
                <w:rFonts w:hint="eastAsia" w:ascii="宋体" w:hAnsi="宋体" w:eastAsia="宋体" w:cs="宋体"/>
                <w:sz w:val="24"/>
                <w:szCs w:val="24"/>
              </w:rPr>
              <w:t>下，清晰度≥</w:t>
            </w:r>
            <w:r>
              <w:rPr>
                <w:rFonts w:hint="default" w:ascii="Calibri" w:hAnsi="Calibri" w:cs="Calibri"/>
                <w:sz w:val="24"/>
                <w:szCs w:val="24"/>
              </w:rPr>
              <w:t>1000TVL</w:t>
            </w:r>
            <w:r>
              <w:rPr>
                <w:rFonts w:hint="eastAsia" w:ascii="宋体" w:hAnsi="宋体" w:eastAsia="宋体" w:cs="宋体"/>
                <w:sz w:val="24"/>
                <w:szCs w:val="24"/>
              </w:rPr>
              <w:t>；</w:t>
            </w:r>
            <w:r>
              <w:rPr>
                <w:rFonts w:hint="default" w:ascii="Calibri" w:hAnsi="Calibri" w:cs="Calibri"/>
                <w:sz w:val="24"/>
                <w:szCs w:val="24"/>
              </w:rPr>
              <w:t> </w:t>
            </w:r>
          </w:p>
          <w:p>
            <w:pPr>
              <w:pStyle w:val="4"/>
              <w:keepNext w:val="0"/>
              <w:keepLines w:val="0"/>
              <w:widowControl/>
              <w:suppressLineNumbers w:val="0"/>
              <w:spacing w:before="0" w:beforeAutospacing="1" w:after="0" w:afterAutospacing="1" w:line="315" w:lineRule="atLeast"/>
              <w:ind w:left="0" w:right="0" w:firstLine="0"/>
            </w:pPr>
            <w:r>
              <w:rPr>
                <w:rFonts w:hint="default" w:ascii="Calibri" w:hAnsi="Calibri" w:cs="Calibri"/>
                <w:sz w:val="24"/>
                <w:szCs w:val="24"/>
              </w:rPr>
              <w:t>4.</w:t>
            </w:r>
            <w:r>
              <w:rPr>
                <w:rFonts w:hint="default" w:ascii="Times New Roman" w:hAnsi="Times New Roman" w:cs="Times New Roman"/>
                <w:sz w:val="13"/>
                <w:szCs w:val="13"/>
              </w:rPr>
              <w:t xml:space="preserve">           </w:t>
            </w:r>
            <w:r>
              <w:rPr>
                <w:rFonts w:hint="eastAsia" w:ascii="宋体" w:hAnsi="宋体" w:eastAsia="宋体" w:cs="宋体"/>
                <w:sz w:val="24"/>
                <w:szCs w:val="24"/>
              </w:rPr>
              <w:t>支持</w:t>
            </w:r>
            <w:r>
              <w:rPr>
                <w:rFonts w:hint="default" w:ascii="Calibri" w:hAnsi="Calibri" w:cs="Calibri"/>
                <w:sz w:val="24"/>
                <w:szCs w:val="24"/>
              </w:rPr>
              <w:t>H.264</w:t>
            </w:r>
            <w:r>
              <w:rPr>
                <w:rFonts w:hint="eastAsia" w:ascii="宋体" w:hAnsi="宋体" w:eastAsia="宋体" w:cs="宋体"/>
                <w:sz w:val="24"/>
                <w:szCs w:val="24"/>
              </w:rPr>
              <w:t>、</w:t>
            </w:r>
            <w:r>
              <w:rPr>
                <w:rFonts w:hint="default" w:ascii="Calibri" w:hAnsi="Calibri" w:cs="Calibri"/>
                <w:sz w:val="24"/>
                <w:szCs w:val="24"/>
              </w:rPr>
              <w:t>H.265</w:t>
            </w:r>
            <w:r>
              <w:rPr>
                <w:rFonts w:hint="eastAsia" w:ascii="宋体" w:hAnsi="宋体" w:eastAsia="宋体" w:cs="宋体"/>
                <w:sz w:val="24"/>
                <w:szCs w:val="24"/>
              </w:rPr>
              <w:t>、</w:t>
            </w:r>
            <w:r>
              <w:rPr>
                <w:rFonts w:hint="default" w:ascii="Calibri" w:hAnsi="Calibri" w:cs="Calibri"/>
                <w:sz w:val="24"/>
                <w:szCs w:val="24"/>
              </w:rPr>
              <w:t>MJPEG</w:t>
            </w:r>
            <w:r>
              <w:rPr>
                <w:rFonts w:hint="eastAsia" w:ascii="宋体" w:hAnsi="宋体" w:eastAsia="宋体" w:cs="宋体"/>
                <w:sz w:val="24"/>
                <w:szCs w:val="24"/>
              </w:rPr>
              <w:t>视频编码格式，且具有</w:t>
            </w:r>
            <w:r>
              <w:rPr>
                <w:rFonts w:hint="default" w:ascii="Calibri" w:hAnsi="Calibri" w:cs="Calibri"/>
                <w:sz w:val="24"/>
                <w:szCs w:val="24"/>
              </w:rPr>
              <w:t>HighProfile</w:t>
            </w:r>
            <w:r>
              <w:rPr>
                <w:rFonts w:hint="eastAsia" w:ascii="宋体" w:hAnsi="宋体" w:eastAsia="宋体" w:cs="宋体"/>
                <w:sz w:val="24"/>
                <w:szCs w:val="24"/>
              </w:rPr>
              <w:t>编码能力；信噪比≥</w:t>
            </w:r>
            <w:r>
              <w:rPr>
                <w:rFonts w:hint="default" w:ascii="Calibri" w:hAnsi="Calibri" w:cs="Calibri"/>
                <w:sz w:val="24"/>
                <w:szCs w:val="24"/>
              </w:rPr>
              <w:t>55dB</w:t>
            </w:r>
            <w:r>
              <w:rPr>
                <w:rFonts w:hint="eastAsia" w:ascii="宋体" w:hAnsi="宋体" w:eastAsia="宋体" w:cs="宋体"/>
                <w:sz w:val="24"/>
                <w:szCs w:val="24"/>
              </w:rPr>
              <w:t>；需具≥</w:t>
            </w:r>
            <w:r>
              <w:rPr>
                <w:rFonts w:hint="default" w:ascii="Calibri" w:hAnsi="Calibri" w:cs="Calibri"/>
                <w:sz w:val="24"/>
                <w:szCs w:val="24"/>
              </w:rPr>
              <w:t>100dB</w:t>
            </w:r>
            <w:r>
              <w:rPr>
                <w:rFonts w:hint="eastAsia" w:ascii="宋体" w:hAnsi="宋体" w:eastAsia="宋体" w:cs="宋体"/>
                <w:sz w:val="24"/>
                <w:szCs w:val="24"/>
              </w:rPr>
              <w:t>宽动态；</w:t>
            </w:r>
            <w:r>
              <w:rPr>
                <w:rFonts w:hint="default" w:ascii="Calibri" w:hAnsi="Calibri" w:cs="Calibri"/>
                <w:sz w:val="24"/>
                <w:szCs w:val="24"/>
              </w:rPr>
              <w:t> </w:t>
            </w:r>
          </w:p>
          <w:p>
            <w:pPr>
              <w:pStyle w:val="4"/>
              <w:keepNext w:val="0"/>
              <w:keepLines w:val="0"/>
              <w:widowControl/>
              <w:suppressLineNumbers w:val="0"/>
              <w:spacing w:before="0" w:beforeAutospacing="1" w:after="0" w:afterAutospacing="1" w:line="315" w:lineRule="atLeast"/>
              <w:ind w:left="0" w:right="0" w:firstLine="0"/>
            </w:pPr>
            <w:r>
              <w:rPr>
                <w:rFonts w:hint="default" w:ascii="Calibri" w:hAnsi="Calibri" w:cs="Calibri"/>
                <w:sz w:val="24"/>
                <w:szCs w:val="24"/>
              </w:rPr>
              <w:t>5.</w:t>
            </w:r>
            <w:r>
              <w:rPr>
                <w:rFonts w:hint="default" w:ascii="Times New Roman" w:hAnsi="Times New Roman" w:cs="Times New Roman"/>
                <w:sz w:val="13"/>
                <w:szCs w:val="13"/>
              </w:rPr>
              <w:t xml:space="preserve">           </w:t>
            </w:r>
            <w:r>
              <w:rPr>
                <w:rFonts w:hint="eastAsia" w:ascii="宋体" w:hAnsi="宋体" w:eastAsia="宋体" w:cs="宋体"/>
                <w:sz w:val="24"/>
                <w:szCs w:val="24"/>
              </w:rPr>
              <w:t>需支持≤</w:t>
            </w:r>
            <w:r>
              <w:rPr>
                <w:rFonts w:hint="default" w:ascii="Calibri" w:hAnsi="Calibri" w:cs="Calibri"/>
                <w:sz w:val="24"/>
                <w:szCs w:val="24"/>
              </w:rPr>
              <w:t>8</w:t>
            </w:r>
            <w:r>
              <w:rPr>
                <w:rFonts w:hint="eastAsia" w:ascii="宋体" w:hAnsi="宋体" w:eastAsia="宋体" w:cs="宋体"/>
                <w:sz w:val="24"/>
                <w:szCs w:val="24"/>
              </w:rPr>
              <w:t>行字符显示，字体颜色可设置，需具有图片叠加到视频画面功能；支持区域遮盖功能，并能支持≤</w:t>
            </w:r>
            <w:r>
              <w:rPr>
                <w:rFonts w:hint="default" w:ascii="Calibri" w:hAnsi="Calibri" w:cs="Calibri"/>
                <w:sz w:val="24"/>
                <w:szCs w:val="24"/>
              </w:rPr>
              <w:t>8</w:t>
            </w:r>
            <w:r>
              <w:rPr>
                <w:rFonts w:hint="eastAsia" w:ascii="宋体" w:hAnsi="宋体" w:eastAsia="宋体" w:cs="宋体"/>
                <w:sz w:val="24"/>
                <w:szCs w:val="24"/>
              </w:rPr>
              <w:t>块区域；</w:t>
            </w:r>
            <w:r>
              <w:rPr>
                <w:rFonts w:hint="default" w:ascii="Calibri" w:hAnsi="Calibri" w:cs="Calibri"/>
                <w:sz w:val="24"/>
                <w:szCs w:val="24"/>
              </w:rPr>
              <w:t> </w:t>
            </w:r>
            <w:r>
              <w:rPr>
                <w:rFonts w:hint="eastAsia" w:ascii="宋体" w:hAnsi="宋体" w:eastAsia="宋体" w:cs="宋体"/>
                <w:sz w:val="24"/>
                <w:szCs w:val="24"/>
              </w:rPr>
              <w:t>需具有黑白名单功能，其中白名单可添加≥</w:t>
            </w:r>
            <w:r>
              <w:rPr>
                <w:rFonts w:hint="default" w:ascii="Calibri" w:hAnsi="Calibri" w:cs="Calibri"/>
                <w:sz w:val="24"/>
                <w:szCs w:val="24"/>
              </w:rPr>
              <w:t>10</w:t>
            </w:r>
            <w:r>
              <w:rPr>
                <w:rFonts w:hint="eastAsia" w:ascii="宋体" w:hAnsi="宋体" w:eastAsia="宋体" w:cs="宋体"/>
                <w:sz w:val="24"/>
                <w:szCs w:val="24"/>
              </w:rPr>
              <w:t>个</w:t>
            </w:r>
            <w:r>
              <w:rPr>
                <w:rFonts w:hint="default" w:ascii="Calibri" w:hAnsi="Calibri" w:cs="Calibri"/>
                <w:sz w:val="24"/>
                <w:szCs w:val="24"/>
              </w:rPr>
              <w:t>IP</w:t>
            </w:r>
            <w:r>
              <w:rPr>
                <w:rFonts w:hint="eastAsia" w:ascii="宋体" w:hAnsi="宋体" w:eastAsia="宋体" w:cs="宋体"/>
                <w:sz w:val="24"/>
                <w:szCs w:val="24"/>
              </w:rPr>
              <w:t>地址；</w:t>
            </w:r>
          </w:p>
          <w:p>
            <w:pPr>
              <w:pStyle w:val="4"/>
              <w:keepNext w:val="0"/>
              <w:keepLines w:val="0"/>
              <w:widowControl/>
              <w:suppressLineNumbers w:val="0"/>
              <w:spacing w:before="0" w:beforeAutospacing="1" w:after="0" w:afterAutospacing="1" w:line="315" w:lineRule="atLeast"/>
              <w:ind w:left="0" w:right="0" w:firstLine="0"/>
            </w:pPr>
            <w:r>
              <w:rPr>
                <w:rFonts w:hint="default" w:ascii="Calibri" w:hAnsi="Calibri" w:cs="Calibri"/>
                <w:sz w:val="24"/>
                <w:szCs w:val="24"/>
              </w:rPr>
              <w:t>6.</w:t>
            </w:r>
            <w:r>
              <w:rPr>
                <w:rFonts w:hint="default" w:ascii="Times New Roman" w:hAnsi="Times New Roman" w:cs="Times New Roman"/>
                <w:sz w:val="13"/>
                <w:szCs w:val="13"/>
              </w:rPr>
              <w:t xml:space="preserve">           </w:t>
            </w:r>
            <w:r>
              <w:rPr>
                <w:rFonts w:hint="eastAsia" w:ascii="宋体" w:hAnsi="宋体" w:eastAsia="宋体" w:cs="宋体"/>
                <w:sz w:val="24"/>
                <w:szCs w:val="24"/>
              </w:rPr>
              <w:t>需具备人脸检测、区域入侵检测、越界检测、虚焦检测、进入区域、离开区域、徘徊、人员聚集、逆行、场景变更等功能；可开启或关闭智能后检索功能；</w:t>
            </w:r>
            <w:r>
              <w:rPr>
                <w:rFonts w:hint="default" w:ascii="Calibri" w:hAnsi="Calibri" w:cs="Calibri"/>
                <w:sz w:val="24"/>
                <w:szCs w:val="24"/>
              </w:rPr>
              <w:t>  </w:t>
            </w:r>
          </w:p>
          <w:p>
            <w:pPr>
              <w:pStyle w:val="4"/>
              <w:keepNext w:val="0"/>
              <w:keepLines w:val="0"/>
              <w:widowControl/>
              <w:suppressLineNumbers w:val="0"/>
              <w:spacing w:before="0" w:beforeAutospacing="1" w:after="0" w:afterAutospacing="1" w:line="315" w:lineRule="atLeast"/>
              <w:ind w:left="0" w:right="0" w:firstLine="0"/>
            </w:pPr>
            <w:r>
              <w:rPr>
                <w:rFonts w:hint="default" w:ascii="Calibri" w:hAnsi="Calibri" w:cs="Calibri"/>
                <w:sz w:val="24"/>
                <w:szCs w:val="24"/>
              </w:rPr>
              <w:t>7.</w:t>
            </w:r>
            <w:r>
              <w:rPr>
                <w:rFonts w:hint="default" w:ascii="Times New Roman" w:hAnsi="Times New Roman" w:cs="Times New Roman"/>
                <w:sz w:val="13"/>
                <w:szCs w:val="13"/>
              </w:rPr>
              <w:t xml:space="preserve">           </w:t>
            </w:r>
            <w:r>
              <w:rPr>
                <w:rFonts w:hint="eastAsia" w:ascii="宋体" w:hAnsi="宋体" w:eastAsia="宋体" w:cs="宋体"/>
                <w:sz w:val="24"/>
                <w:szCs w:val="24"/>
              </w:rPr>
              <w:t>需具有电子防抖、</w:t>
            </w:r>
            <w:r>
              <w:rPr>
                <w:rFonts w:hint="default" w:ascii="Calibri" w:hAnsi="Calibri" w:cs="Calibri"/>
                <w:sz w:val="24"/>
                <w:szCs w:val="24"/>
              </w:rPr>
              <w:t>ROI</w:t>
            </w:r>
            <w:r>
              <w:rPr>
                <w:rFonts w:hint="eastAsia" w:ascii="宋体" w:hAnsi="宋体" w:eastAsia="宋体" w:cs="宋体"/>
                <w:sz w:val="24"/>
                <w:szCs w:val="24"/>
              </w:rPr>
              <w:t>感兴趣区域、</w:t>
            </w:r>
            <w:r>
              <w:rPr>
                <w:rFonts w:hint="default" w:ascii="Calibri" w:hAnsi="Calibri" w:cs="Calibri"/>
                <w:sz w:val="24"/>
                <w:szCs w:val="24"/>
              </w:rPr>
              <w:t>SVC</w:t>
            </w:r>
            <w:r>
              <w:rPr>
                <w:rFonts w:hint="eastAsia" w:ascii="宋体" w:hAnsi="宋体" w:eastAsia="宋体" w:cs="宋体"/>
                <w:sz w:val="24"/>
                <w:szCs w:val="24"/>
              </w:rPr>
              <w:t>可伸缩编码、自动增益、背光补偿、数字降噪、强光抑制、防红外过曝、走廊模式等功能；摄像机能够在</w:t>
            </w:r>
            <w:r>
              <w:rPr>
                <w:rFonts w:hint="default" w:ascii="Calibri" w:hAnsi="Calibri" w:cs="Calibri"/>
                <w:sz w:val="24"/>
                <w:szCs w:val="24"/>
              </w:rPr>
              <w:t>-30~60</w:t>
            </w:r>
            <w:r>
              <w:rPr>
                <w:rFonts w:hint="eastAsia" w:ascii="宋体" w:hAnsi="宋体" w:eastAsia="宋体" w:cs="宋体"/>
                <w:sz w:val="24"/>
                <w:szCs w:val="24"/>
              </w:rPr>
              <w:t>摄氏度，湿度≤</w:t>
            </w:r>
            <w:r>
              <w:rPr>
                <w:rFonts w:hint="default" w:ascii="Calibri" w:hAnsi="Calibri" w:cs="Calibri"/>
                <w:sz w:val="24"/>
                <w:szCs w:val="24"/>
              </w:rPr>
              <w:t>93%</w:t>
            </w:r>
            <w:r>
              <w:rPr>
                <w:rFonts w:hint="eastAsia" w:ascii="宋体" w:hAnsi="宋体" w:eastAsia="宋体" w:cs="宋体"/>
                <w:sz w:val="24"/>
                <w:szCs w:val="24"/>
              </w:rPr>
              <w:t>环境下稳定工作；</w:t>
            </w:r>
            <w:r>
              <w:rPr>
                <w:rFonts w:hint="default" w:ascii="Calibri" w:hAnsi="Calibri" w:cs="Calibri"/>
                <w:sz w:val="24"/>
                <w:szCs w:val="24"/>
              </w:rPr>
              <w:t> </w:t>
            </w:r>
          </w:p>
          <w:p>
            <w:pPr>
              <w:pStyle w:val="4"/>
              <w:keepNext w:val="0"/>
              <w:keepLines w:val="0"/>
              <w:widowControl/>
              <w:suppressLineNumbers w:val="0"/>
              <w:spacing w:before="0" w:beforeAutospacing="1" w:after="0" w:afterAutospacing="1" w:line="315" w:lineRule="atLeast"/>
              <w:ind w:left="0" w:right="0" w:firstLine="0"/>
            </w:pPr>
            <w:r>
              <w:rPr>
                <w:rFonts w:hint="default" w:ascii="Calibri" w:hAnsi="Calibri" w:cs="Calibri"/>
                <w:sz w:val="24"/>
                <w:szCs w:val="24"/>
              </w:rPr>
              <w:t>8.</w:t>
            </w:r>
            <w:r>
              <w:rPr>
                <w:rFonts w:hint="default" w:ascii="Times New Roman" w:hAnsi="Times New Roman" w:cs="Times New Roman"/>
                <w:sz w:val="13"/>
                <w:szCs w:val="13"/>
              </w:rPr>
              <w:t xml:space="preserve">           </w:t>
            </w:r>
            <w:r>
              <w:rPr>
                <w:rFonts w:hint="eastAsia" w:ascii="宋体" w:hAnsi="宋体" w:eastAsia="宋体" w:cs="宋体"/>
                <w:sz w:val="24"/>
                <w:szCs w:val="24"/>
              </w:rPr>
              <w:t>≥</w:t>
            </w:r>
            <w:r>
              <w:rPr>
                <w:rFonts w:hint="default" w:ascii="Calibri" w:hAnsi="Calibri" w:cs="Calibri"/>
                <w:sz w:val="24"/>
                <w:szCs w:val="24"/>
              </w:rPr>
              <w:t>IP67</w:t>
            </w:r>
            <w:r>
              <w:rPr>
                <w:rFonts w:hint="eastAsia" w:ascii="宋体" w:hAnsi="宋体" w:eastAsia="宋体" w:cs="宋体"/>
                <w:sz w:val="24"/>
                <w:szCs w:val="24"/>
              </w:rPr>
              <w:t>防尘防水等级；需支持</w:t>
            </w:r>
            <w:r>
              <w:rPr>
                <w:rFonts w:hint="default" w:ascii="Calibri" w:hAnsi="Calibri" w:cs="Calibri"/>
                <w:sz w:val="24"/>
                <w:szCs w:val="24"/>
              </w:rPr>
              <w:t>DC12V</w:t>
            </w:r>
            <w:r>
              <w:rPr>
                <w:rFonts w:hint="eastAsia" w:ascii="宋体" w:hAnsi="宋体" w:eastAsia="宋体" w:cs="宋体"/>
                <w:sz w:val="24"/>
                <w:szCs w:val="24"/>
              </w:rPr>
              <w:t>供电，且在≥</w:t>
            </w:r>
            <w:r>
              <w:rPr>
                <w:rFonts w:hint="default" w:ascii="Calibri" w:hAnsi="Calibri" w:cs="Calibri"/>
                <w:sz w:val="24"/>
                <w:szCs w:val="24"/>
              </w:rPr>
              <w:t>DC12V</w:t>
            </w:r>
            <w:r>
              <w:rPr>
                <w:rFonts w:hint="eastAsia" w:ascii="宋体" w:hAnsi="宋体" w:eastAsia="宋体" w:cs="宋体"/>
                <w:sz w:val="24"/>
                <w:szCs w:val="24"/>
              </w:rPr>
              <w:t>±</w:t>
            </w:r>
            <w:r>
              <w:rPr>
                <w:rFonts w:hint="default" w:ascii="Calibri" w:hAnsi="Calibri" w:cs="Calibri"/>
                <w:sz w:val="24"/>
                <w:szCs w:val="24"/>
              </w:rPr>
              <w:t>30%</w:t>
            </w:r>
            <w:r>
              <w:rPr>
                <w:rFonts w:hint="eastAsia" w:ascii="宋体" w:hAnsi="宋体" w:eastAsia="宋体" w:cs="宋体"/>
                <w:sz w:val="24"/>
                <w:szCs w:val="24"/>
              </w:rPr>
              <w:t>范围内变化时可以正常工作；</w:t>
            </w:r>
          </w:p>
          <w:p>
            <w:pPr>
              <w:pStyle w:val="4"/>
              <w:keepNext w:val="0"/>
              <w:keepLines w:val="0"/>
              <w:widowControl/>
              <w:suppressLineNumbers w:val="0"/>
              <w:spacing w:before="0" w:beforeAutospacing="1" w:after="0" w:afterAutospacing="1" w:line="315" w:lineRule="atLeast"/>
              <w:ind w:left="0" w:right="0" w:firstLine="0"/>
            </w:pPr>
            <w:r>
              <w:rPr>
                <w:rFonts w:hint="default" w:ascii="Calibri" w:hAnsi="Calibri" w:cs="Calibri"/>
                <w:sz w:val="24"/>
                <w:szCs w:val="24"/>
              </w:rPr>
              <w:t>9.</w:t>
            </w:r>
            <w:r>
              <w:rPr>
                <w:rFonts w:hint="default" w:ascii="Times New Roman" w:hAnsi="Times New Roman" w:cs="Times New Roman"/>
                <w:sz w:val="13"/>
                <w:szCs w:val="13"/>
              </w:rPr>
              <w:t xml:space="preserve">           </w:t>
            </w:r>
            <w:r>
              <w:rPr>
                <w:rFonts w:hint="eastAsia" w:ascii="宋体" w:hAnsi="宋体" w:eastAsia="宋体" w:cs="宋体"/>
                <w:sz w:val="24"/>
                <w:szCs w:val="24"/>
              </w:rPr>
              <w:t>设备工作状态时，支持空气放电</w:t>
            </w:r>
            <w:r>
              <w:rPr>
                <w:rFonts w:hint="default" w:ascii="Calibri" w:hAnsi="Calibri" w:cs="Calibri"/>
                <w:sz w:val="24"/>
                <w:szCs w:val="24"/>
              </w:rPr>
              <w:t>8kV</w:t>
            </w:r>
            <w:r>
              <w:rPr>
                <w:rFonts w:hint="eastAsia" w:ascii="宋体" w:hAnsi="宋体" w:eastAsia="宋体" w:cs="宋体"/>
                <w:sz w:val="24"/>
                <w:szCs w:val="24"/>
              </w:rPr>
              <w:t>，接触放电</w:t>
            </w:r>
            <w:r>
              <w:rPr>
                <w:rFonts w:hint="default" w:ascii="Calibri" w:hAnsi="Calibri" w:cs="Calibri"/>
                <w:sz w:val="24"/>
                <w:szCs w:val="24"/>
              </w:rPr>
              <w:t>6kV</w:t>
            </w:r>
            <w:r>
              <w:rPr>
                <w:rFonts w:hint="eastAsia" w:ascii="宋体" w:hAnsi="宋体" w:eastAsia="宋体" w:cs="宋体"/>
                <w:sz w:val="24"/>
                <w:szCs w:val="24"/>
              </w:rPr>
              <w:t>，通讯端口支持</w:t>
            </w:r>
            <w:r>
              <w:rPr>
                <w:rFonts w:hint="default" w:ascii="Calibri" w:hAnsi="Calibri" w:cs="Calibri"/>
                <w:sz w:val="24"/>
                <w:szCs w:val="24"/>
              </w:rPr>
              <w:t>6kV</w:t>
            </w:r>
            <w:r>
              <w:rPr>
                <w:rFonts w:hint="eastAsia" w:ascii="宋体" w:hAnsi="宋体" w:eastAsia="宋体" w:cs="宋体"/>
                <w:sz w:val="24"/>
                <w:szCs w:val="24"/>
              </w:rPr>
              <w:t>峰值电压。</w:t>
            </w:r>
          </w:p>
          <w:p>
            <w:pPr>
              <w:pStyle w:val="4"/>
              <w:keepNext w:val="0"/>
              <w:keepLines w:val="0"/>
              <w:widowControl/>
              <w:suppressLineNumbers w:val="0"/>
              <w:spacing w:before="0" w:beforeAutospacing="1" w:after="0" w:afterAutospacing="1" w:line="315" w:lineRule="atLeast"/>
              <w:ind w:left="0" w:right="0" w:firstLine="0"/>
            </w:pPr>
            <w:r>
              <w:rPr>
                <w:rFonts w:hint="default" w:ascii="Calibri" w:hAnsi="Calibri" w:cs="Calibri"/>
                <w:sz w:val="24"/>
                <w:szCs w:val="24"/>
              </w:rPr>
              <w:t>10.</w:t>
            </w:r>
            <w:r>
              <w:rPr>
                <w:rFonts w:hint="default" w:ascii="Times New Roman" w:hAnsi="Times New Roman" w:cs="Times New Roman"/>
                <w:sz w:val="13"/>
                <w:szCs w:val="13"/>
              </w:rPr>
              <w:t xml:space="preserve">       </w:t>
            </w:r>
            <w:r>
              <w:rPr>
                <w:rFonts w:hint="eastAsia" w:ascii="宋体" w:hAnsi="宋体" w:eastAsia="宋体" w:cs="宋体"/>
                <w:sz w:val="24"/>
                <w:szCs w:val="24"/>
              </w:rPr>
              <w:t>含安装支架，</w:t>
            </w:r>
            <w:r>
              <w:rPr>
                <w:rFonts w:hint="eastAsia" w:ascii="宋体" w:hAnsi="宋体" w:eastAsia="宋体" w:cs="宋体"/>
                <w:sz w:val="19"/>
                <w:szCs w:val="19"/>
              </w:rPr>
              <w:t>壁装支架/φ130mm转接帽/带海螺6,8转接盘/铝/白色喷塑</w:t>
            </w:r>
          </w:p>
          <w:p>
            <w:pPr>
              <w:pStyle w:val="4"/>
              <w:keepNext w:val="0"/>
              <w:keepLines w:val="0"/>
              <w:widowControl/>
              <w:suppressLineNumbers w:val="0"/>
              <w:spacing w:before="0" w:beforeAutospacing="1" w:after="0" w:afterAutospacing="1" w:line="315" w:lineRule="atLeast"/>
              <w:ind w:left="0" w:right="0" w:firstLine="0"/>
            </w:pPr>
            <w:r>
              <w:rPr>
                <w:rFonts w:hint="default" w:ascii="Calibri" w:hAnsi="Calibri" w:cs="Calibri"/>
                <w:sz w:val="24"/>
                <w:szCs w:val="24"/>
              </w:rPr>
              <w:t>11.</w:t>
            </w:r>
            <w:r>
              <w:rPr>
                <w:rFonts w:hint="default" w:ascii="Times New Roman" w:hAnsi="Times New Roman" w:cs="Times New Roman"/>
                <w:sz w:val="13"/>
                <w:szCs w:val="13"/>
              </w:rPr>
              <w:t xml:space="preserve">       </w:t>
            </w:r>
            <w:r>
              <w:rPr>
                <w:rFonts w:hint="eastAsia" w:ascii="宋体" w:hAnsi="宋体" w:eastAsia="宋体" w:cs="宋体"/>
                <w:sz w:val="24"/>
                <w:szCs w:val="24"/>
              </w:rPr>
              <w:t>含供电电源，</w:t>
            </w:r>
            <w:r>
              <w:rPr>
                <w:rFonts w:hint="eastAsia" w:ascii="宋体" w:hAnsi="宋体" w:eastAsia="宋体" w:cs="宋体"/>
                <w:sz w:val="19"/>
                <w:szCs w:val="19"/>
              </w:rPr>
              <w:t>12V/1A圆头、插墙式，国标，输出线长1000mm</w:t>
            </w:r>
          </w:p>
        </w:tc>
        <w:tc>
          <w:tcPr>
            <w:tcW w:w="467"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tc>
      </w:tr>
      <w:tr>
        <w:trPr>
          <w:trHeight w:val="5850" w:hRule="atLeast"/>
          <w:tblCellSpacing w:w="15" w:type="dxa"/>
        </w:trPr>
        <w:tc>
          <w:tcPr>
            <w:tcW w:w="36" w:type="dxa"/>
            <w:tcBorders>
              <w:top w:val="nil"/>
              <w:left w:val="single" w:color="auto" w:sz="6" w:space="0"/>
              <w:bottom w:val="single" w:color="auto" w:sz="6" w:space="0"/>
              <w:right w:val="single" w:color="auto" w:sz="6" w:space="0"/>
            </w:tcBorders>
            <w:shd w:val="clear" w:color="auto" w:fill="FFFFFF"/>
            <w:tcMar>
              <w:top w:w="0" w:type="dxa"/>
              <w:left w:w="0" w:type="dxa"/>
              <w:bottom w:w="0" w:type="dxa"/>
              <w:right w:w="0" w:type="dxa"/>
            </w:tcMar>
            <w:vAlign w:val="center"/>
          </w:tcPr>
          <w:p>
            <w:pPr>
              <w:keepNext w:val="0"/>
              <w:keepLines w:val="0"/>
              <w:widowControl/>
              <w:suppressLineNumbers w:val="0"/>
              <w:jc w:val="left"/>
            </w:pPr>
          </w:p>
        </w:tc>
        <w:tc>
          <w:tcPr>
            <w:tcW w:w="937"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jc w:val="center"/>
            </w:pPr>
            <w:r>
              <w:rPr>
                <w:rFonts w:hint="default" w:ascii="Calibri" w:hAnsi="Calibri" w:cs="Calibri"/>
                <w:sz w:val="24"/>
                <w:szCs w:val="24"/>
              </w:rPr>
              <w:t>1-2-41</w:t>
            </w:r>
          </w:p>
        </w:tc>
        <w:tc>
          <w:tcPr>
            <w:tcW w:w="888"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pPr>
            <w:r>
              <w:rPr>
                <w:rFonts w:hint="eastAsia" w:ascii="宋体" w:hAnsi="宋体" w:eastAsia="宋体" w:cs="宋体"/>
                <w:sz w:val="19"/>
                <w:szCs w:val="19"/>
              </w:rPr>
              <w:t>网络红外球</w:t>
            </w:r>
          </w:p>
        </w:tc>
        <w:tc>
          <w:tcPr>
            <w:tcW w:w="529"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jc w:val="center"/>
            </w:pPr>
            <w:r>
              <w:rPr>
                <w:rFonts w:hint="eastAsia" w:ascii="宋体" w:hAnsi="宋体" w:eastAsia="宋体" w:cs="宋体"/>
                <w:sz w:val="19"/>
                <w:szCs w:val="19"/>
              </w:rPr>
              <w:t>台</w:t>
            </w:r>
          </w:p>
        </w:tc>
        <w:tc>
          <w:tcPr>
            <w:tcW w:w="529"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jc w:val="center"/>
            </w:pPr>
            <w:r>
              <w:rPr>
                <w:rFonts w:hint="eastAsia" w:ascii="宋体" w:hAnsi="宋体" w:eastAsia="宋体" w:cs="宋体"/>
                <w:sz w:val="19"/>
                <w:szCs w:val="19"/>
              </w:rPr>
              <w:t>2</w:t>
            </w:r>
          </w:p>
        </w:tc>
        <w:tc>
          <w:tcPr>
            <w:tcW w:w="6378"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before="0" w:beforeAutospacing="1" w:after="0" w:afterAutospacing="1" w:line="315" w:lineRule="atLeast"/>
              <w:ind w:left="0" w:right="0" w:firstLine="0"/>
            </w:pPr>
            <w:r>
              <w:rPr>
                <w:rFonts w:hint="default" w:ascii="Calibri" w:hAnsi="Calibri" w:cs="Calibri"/>
                <w:sz w:val="24"/>
                <w:szCs w:val="24"/>
              </w:rPr>
              <w:t>1.</w:t>
            </w:r>
            <w:r>
              <w:rPr>
                <w:rFonts w:hint="default" w:ascii="Times New Roman" w:hAnsi="Times New Roman" w:cs="Times New Roman"/>
                <w:sz w:val="13"/>
                <w:szCs w:val="13"/>
              </w:rPr>
              <w:t xml:space="preserve">           </w:t>
            </w:r>
            <w:r>
              <w:rPr>
                <w:rFonts w:hint="eastAsia" w:ascii="宋体" w:hAnsi="宋体" w:eastAsia="宋体" w:cs="宋体"/>
                <w:sz w:val="24"/>
                <w:szCs w:val="24"/>
              </w:rPr>
              <w:t>具备双路视频融合功能；同一镜头内具有≥</w:t>
            </w:r>
            <w:r>
              <w:rPr>
                <w:rFonts w:hint="default" w:ascii="Calibri" w:hAnsi="Calibri" w:cs="Calibri"/>
                <w:sz w:val="24"/>
                <w:szCs w:val="24"/>
              </w:rPr>
              <w:t>2</w:t>
            </w:r>
            <w:r>
              <w:rPr>
                <w:rFonts w:hint="eastAsia" w:ascii="宋体" w:hAnsi="宋体" w:eastAsia="宋体" w:cs="宋体"/>
                <w:sz w:val="24"/>
                <w:szCs w:val="24"/>
              </w:rPr>
              <w:t>个</w:t>
            </w:r>
            <w:r>
              <w:rPr>
                <w:rFonts w:hint="default" w:ascii="Calibri" w:hAnsi="Calibri" w:cs="Calibri"/>
                <w:sz w:val="24"/>
                <w:szCs w:val="24"/>
              </w:rPr>
              <w:t>Sensor</w:t>
            </w:r>
            <w:r>
              <w:rPr>
                <w:rFonts w:hint="eastAsia" w:ascii="宋体" w:hAnsi="宋体" w:eastAsia="宋体" w:cs="宋体"/>
                <w:sz w:val="24"/>
                <w:szCs w:val="24"/>
              </w:rPr>
              <w:t>传感器，一个</w:t>
            </w:r>
            <w:r>
              <w:rPr>
                <w:rFonts w:hint="default" w:ascii="Calibri" w:hAnsi="Calibri" w:cs="Calibri"/>
                <w:sz w:val="24"/>
                <w:szCs w:val="24"/>
              </w:rPr>
              <w:t>Sensor</w:t>
            </w:r>
            <w:r>
              <w:rPr>
                <w:rFonts w:hint="eastAsia" w:ascii="宋体" w:hAnsi="宋体" w:eastAsia="宋体" w:cs="宋体"/>
                <w:sz w:val="24"/>
                <w:szCs w:val="24"/>
              </w:rPr>
              <w:t>传感器采集黑白信息，一个</w:t>
            </w:r>
            <w:r>
              <w:rPr>
                <w:rFonts w:hint="default" w:ascii="Calibri" w:hAnsi="Calibri" w:cs="Calibri"/>
                <w:sz w:val="24"/>
                <w:szCs w:val="24"/>
              </w:rPr>
              <w:t>Sensor</w:t>
            </w:r>
            <w:r>
              <w:rPr>
                <w:rFonts w:hint="eastAsia" w:ascii="宋体" w:hAnsi="宋体" w:eastAsia="宋体" w:cs="宋体"/>
                <w:sz w:val="24"/>
                <w:szCs w:val="24"/>
              </w:rPr>
              <w:t>传感器采集色彩信息，球机对采集后的视频信息进行融合；内置</w:t>
            </w:r>
            <w:r>
              <w:rPr>
                <w:rFonts w:hint="default" w:ascii="Calibri" w:hAnsi="Calibri" w:cs="Calibri"/>
                <w:sz w:val="24"/>
                <w:szCs w:val="24"/>
              </w:rPr>
              <w:t>GPU</w:t>
            </w:r>
            <w:r>
              <w:rPr>
                <w:rFonts w:hint="eastAsia" w:ascii="宋体" w:hAnsi="宋体" w:eastAsia="宋体" w:cs="宋体"/>
                <w:sz w:val="24"/>
                <w:szCs w:val="24"/>
              </w:rPr>
              <w:t>芯片；</w:t>
            </w:r>
          </w:p>
          <w:p>
            <w:pPr>
              <w:pStyle w:val="4"/>
              <w:keepNext w:val="0"/>
              <w:keepLines w:val="0"/>
              <w:widowControl/>
              <w:suppressLineNumbers w:val="0"/>
              <w:spacing w:before="0" w:beforeAutospacing="1" w:after="0" w:afterAutospacing="1" w:line="315" w:lineRule="atLeast"/>
              <w:ind w:left="0" w:right="0" w:firstLine="0"/>
            </w:pPr>
            <w:r>
              <w:rPr>
                <w:rFonts w:hint="default" w:ascii="Calibri" w:hAnsi="Calibri" w:cs="Calibri"/>
                <w:sz w:val="24"/>
                <w:szCs w:val="24"/>
              </w:rPr>
              <w:t>2.</w:t>
            </w:r>
            <w:r>
              <w:rPr>
                <w:rFonts w:hint="default" w:ascii="Times New Roman" w:hAnsi="Times New Roman" w:cs="Times New Roman"/>
                <w:sz w:val="13"/>
                <w:szCs w:val="13"/>
              </w:rPr>
              <w:t xml:space="preserve">           </w:t>
            </w:r>
            <w:r>
              <w:rPr>
                <w:rFonts w:hint="eastAsia" w:ascii="宋体" w:hAnsi="宋体" w:eastAsia="宋体" w:cs="宋体"/>
                <w:sz w:val="24"/>
                <w:szCs w:val="24"/>
              </w:rPr>
              <w:t>红外距离≥</w:t>
            </w:r>
            <w:r>
              <w:rPr>
                <w:rFonts w:hint="default" w:ascii="Calibri" w:hAnsi="Calibri" w:cs="Calibri"/>
                <w:sz w:val="24"/>
                <w:szCs w:val="24"/>
              </w:rPr>
              <w:t>550</w:t>
            </w:r>
            <w:r>
              <w:rPr>
                <w:rFonts w:hint="eastAsia" w:ascii="宋体" w:hAnsi="宋体" w:eastAsia="宋体" w:cs="宋体"/>
                <w:sz w:val="24"/>
                <w:szCs w:val="24"/>
              </w:rPr>
              <w:t>米；支持同时输出≥</w:t>
            </w:r>
            <w:r>
              <w:rPr>
                <w:rFonts w:hint="default" w:ascii="Calibri" w:hAnsi="Calibri" w:cs="Calibri"/>
                <w:sz w:val="24"/>
                <w:szCs w:val="24"/>
              </w:rPr>
              <w:t>2</w:t>
            </w:r>
            <w:r>
              <w:rPr>
                <w:rFonts w:hint="eastAsia" w:ascii="宋体" w:hAnsi="宋体" w:eastAsia="宋体" w:cs="宋体"/>
                <w:sz w:val="24"/>
                <w:szCs w:val="24"/>
              </w:rPr>
              <w:t>路分辨率</w:t>
            </w:r>
            <w:r>
              <w:rPr>
                <w:rFonts w:hint="default" w:ascii="Calibri" w:hAnsi="Calibri" w:cs="Calibri"/>
                <w:sz w:val="24"/>
                <w:szCs w:val="24"/>
              </w:rPr>
              <w:t>1920</w:t>
            </w:r>
            <w:r>
              <w:rPr>
                <w:rFonts w:hint="eastAsia" w:ascii="宋体" w:hAnsi="宋体" w:eastAsia="宋体" w:cs="宋体"/>
                <w:sz w:val="24"/>
                <w:szCs w:val="24"/>
              </w:rPr>
              <w:t>×</w:t>
            </w:r>
            <w:r>
              <w:rPr>
                <w:rFonts w:hint="default" w:ascii="Calibri" w:hAnsi="Calibri" w:cs="Calibri"/>
                <w:sz w:val="24"/>
                <w:szCs w:val="24"/>
              </w:rPr>
              <w:t>1080</w:t>
            </w:r>
            <w:r>
              <w:rPr>
                <w:rFonts w:hint="eastAsia" w:ascii="宋体" w:hAnsi="宋体" w:eastAsia="宋体" w:cs="宋体"/>
                <w:sz w:val="24"/>
                <w:szCs w:val="24"/>
              </w:rPr>
              <w:t>高清图像；支持最低照度可达彩色≤</w:t>
            </w:r>
            <w:r>
              <w:rPr>
                <w:rFonts w:hint="default" w:ascii="Calibri" w:hAnsi="Calibri" w:cs="Calibri"/>
                <w:sz w:val="24"/>
                <w:szCs w:val="24"/>
              </w:rPr>
              <w:t>0.0002Lux</w:t>
            </w:r>
            <w:r>
              <w:rPr>
                <w:rFonts w:hint="eastAsia" w:ascii="宋体" w:hAnsi="宋体" w:eastAsia="宋体" w:cs="宋体"/>
                <w:sz w:val="24"/>
                <w:szCs w:val="24"/>
              </w:rPr>
              <w:t>，黑白≤</w:t>
            </w:r>
            <w:r>
              <w:rPr>
                <w:rFonts w:hint="default" w:ascii="Calibri" w:hAnsi="Calibri" w:cs="Calibri"/>
                <w:sz w:val="24"/>
                <w:szCs w:val="24"/>
              </w:rPr>
              <w:t>0.0001Lux</w:t>
            </w:r>
            <w:r>
              <w:rPr>
                <w:rFonts w:hint="eastAsia" w:ascii="宋体" w:hAnsi="宋体" w:eastAsia="宋体" w:cs="宋体"/>
                <w:sz w:val="24"/>
                <w:szCs w:val="24"/>
              </w:rPr>
              <w:t>；</w:t>
            </w:r>
          </w:p>
          <w:p>
            <w:pPr>
              <w:pStyle w:val="4"/>
              <w:keepNext w:val="0"/>
              <w:keepLines w:val="0"/>
              <w:widowControl/>
              <w:suppressLineNumbers w:val="0"/>
              <w:spacing w:before="0" w:beforeAutospacing="1" w:after="0" w:afterAutospacing="1" w:line="315" w:lineRule="atLeast"/>
              <w:ind w:left="0" w:right="0" w:firstLine="0"/>
            </w:pPr>
            <w:r>
              <w:rPr>
                <w:rFonts w:hint="eastAsia" w:ascii="宋体" w:hAnsi="宋体" w:eastAsia="宋体" w:cs="宋体"/>
                <w:sz w:val="24"/>
                <w:szCs w:val="24"/>
              </w:rPr>
              <w:t>3.</w:t>
            </w:r>
            <w:r>
              <w:rPr>
                <w:rFonts w:hint="default" w:ascii="Times New Roman" w:hAnsi="Times New Roman" w:cs="Times New Roman"/>
                <w:sz w:val="13"/>
                <w:szCs w:val="13"/>
              </w:rPr>
              <w:t xml:space="preserve">     </w:t>
            </w:r>
            <w:r>
              <w:rPr>
                <w:rFonts w:hint="eastAsia" w:ascii="宋体" w:hAnsi="宋体" w:eastAsia="宋体" w:cs="宋体"/>
                <w:sz w:val="24"/>
                <w:szCs w:val="24"/>
              </w:rPr>
              <w:t>照度适应范围≥</w:t>
            </w:r>
            <w:r>
              <w:rPr>
                <w:rFonts w:hint="default" w:ascii="Calibri" w:hAnsi="Calibri" w:cs="Calibri"/>
                <w:sz w:val="24"/>
                <w:szCs w:val="24"/>
              </w:rPr>
              <w:t>145dB</w:t>
            </w:r>
            <w:r>
              <w:rPr>
                <w:rFonts w:hint="eastAsia" w:ascii="宋体" w:hAnsi="宋体" w:eastAsia="宋体" w:cs="宋体"/>
                <w:sz w:val="24"/>
                <w:szCs w:val="24"/>
              </w:rPr>
              <w:t>，宽动态能力综合得分≥</w:t>
            </w:r>
            <w:r>
              <w:rPr>
                <w:rFonts w:hint="default" w:ascii="Calibri" w:hAnsi="Calibri" w:cs="Calibri"/>
                <w:sz w:val="24"/>
                <w:szCs w:val="24"/>
              </w:rPr>
              <w:t>139</w:t>
            </w:r>
            <w:r>
              <w:rPr>
                <w:rFonts w:hint="eastAsia" w:ascii="宋体" w:hAnsi="宋体" w:eastAsia="宋体" w:cs="宋体"/>
                <w:sz w:val="24"/>
                <w:szCs w:val="24"/>
              </w:rPr>
              <w:t>，信噪比≥</w:t>
            </w:r>
            <w:r>
              <w:rPr>
                <w:rFonts w:hint="default" w:ascii="Calibri" w:hAnsi="Calibri" w:cs="Calibri"/>
                <w:sz w:val="24"/>
                <w:szCs w:val="24"/>
              </w:rPr>
              <w:t>64dB</w:t>
            </w:r>
            <w:r>
              <w:rPr>
                <w:rFonts w:hint="eastAsia" w:ascii="宋体" w:hAnsi="宋体" w:eastAsia="宋体" w:cs="宋体"/>
                <w:sz w:val="24"/>
                <w:szCs w:val="24"/>
              </w:rPr>
              <w:t>；支持</w:t>
            </w:r>
            <w:r>
              <w:rPr>
                <w:rFonts w:hint="default" w:ascii="Calibri" w:hAnsi="Calibri" w:cs="Calibri"/>
                <w:sz w:val="24"/>
                <w:szCs w:val="24"/>
              </w:rPr>
              <w:t>300</w:t>
            </w:r>
            <w:r>
              <w:rPr>
                <w:rFonts w:hint="eastAsia" w:ascii="宋体" w:hAnsi="宋体" w:eastAsia="宋体" w:cs="宋体"/>
                <w:sz w:val="24"/>
                <w:szCs w:val="24"/>
              </w:rPr>
              <w:t>个预置位，可按照所设置的预置位完成≥</w:t>
            </w:r>
            <w:r>
              <w:rPr>
                <w:rFonts w:hint="default" w:ascii="Calibri" w:hAnsi="Calibri" w:cs="Calibri"/>
                <w:sz w:val="24"/>
                <w:szCs w:val="24"/>
              </w:rPr>
              <w:t>8</w:t>
            </w:r>
            <w:r>
              <w:rPr>
                <w:rFonts w:hint="eastAsia" w:ascii="宋体" w:hAnsi="宋体" w:eastAsia="宋体" w:cs="宋体"/>
                <w:sz w:val="24"/>
                <w:szCs w:val="24"/>
              </w:rPr>
              <w:t>条巡航路径，每条巡航路径可设置≥</w:t>
            </w:r>
            <w:r>
              <w:rPr>
                <w:rFonts w:hint="default" w:ascii="Calibri" w:hAnsi="Calibri" w:cs="Calibri"/>
                <w:sz w:val="24"/>
                <w:szCs w:val="24"/>
              </w:rPr>
              <w:t>32</w:t>
            </w:r>
            <w:r>
              <w:rPr>
                <w:rFonts w:hint="eastAsia" w:ascii="宋体" w:hAnsi="宋体" w:eastAsia="宋体" w:cs="宋体"/>
                <w:sz w:val="24"/>
                <w:szCs w:val="24"/>
              </w:rPr>
              <w:t>个预置点；支持预置位视频冻结功能；支持优先控制功能；</w:t>
            </w:r>
          </w:p>
          <w:p>
            <w:pPr>
              <w:pStyle w:val="4"/>
              <w:keepNext w:val="0"/>
              <w:keepLines w:val="0"/>
              <w:widowControl/>
              <w:suppressLineNumbers w:val="0"/>
              <w:spacing w:before="0" w:beforeAutospacing="1" w:after="0" w:afterAutospacing="1" w:line="315" w:lineRule="atLeast"/>
              <w:ind w:left="0" w:right="0" w:firstLine="0"/>
            </w:pPr>
            <w:r>
              <w:rPr>
                <w:rFonts w:hint="eastAsia" w:ascii="宋体" w:hAnsi="宋体" w:eastAsia="宋体" w:cs="宋体"/>
                <w:sz w:val="24"/>
                <w:szCs w:val="24"/>
              </w:rPr>
              <w:t>4.</w:t>
            </w:r>
            <w:r>
              <w:rPr>
                <w:rFonts w:hint="default" w:ascii="Times New Roman" w:hAnsi="Times New Roman" w:cs="Times New Roman"/>
                <w:sz w:val="13"/>
                <w:szCs w:val="13"/>
              </w:rPr>
              <w:t xml:space="preserve">     </w:t>
            </w:r>
            <w:r>
              <w:rPr>
                <w:rFonts w:hint="eastAsia" w:ascii="宋体" w:hAnsi="宋体" w:eastAsia="宋体" w:cs="宋体"/>
                <w:sz w:val="24"/>
                <w:szCs w:val="24"/>
              </w:rPr>
              <w:t>支持快速聚焦功能，当设备跟踪行人或机动车等移动目标并录像时，单帧回放录像文件，每1帧画面均应清晰可见（需提供公安部授权机构在本招标公告发布前出具的有效检测报告复印件作为考评依据，原件备查）</w:t>
            </w:r>
          </w:p>
          <w:p>
            <w:pPr>
              <w:pStyle w:val="4"/>
              <w:keepNext w:val="0"/>
              <w:keepLines w:val="0"/>
              <w:widowControl/>
              <w:suppressLineNumbers w:val="0"/>
              <w:spacing w:before="0" w:beforeAutospacing="1" w:after="0" w:afterAutospacing="1" w:line="315" w:lineRule="atLeast"/>
              <w:ind w:left="0" w:right="0" w:firstLine="0"/>
            </w:pPr>
            <w:r>
              <w:rPr>
                <w:rFonts w:hint="default" w:ascii="Calibri" w:hAnsi="Calibri" w:cs="Calibri"/>
                <w:sz w:val="24"/>
                <w:szCs w:val="24"/>
              </w:rPr>
              <w:t>5.</w:t>
            </w:r>
            <w:r>
              <w:rPr>
                <w:rFonts w:hint="default" w:ascii="Times New Roman" w:hAnsi="Times New Roman" w:cs="Times New Roman"/>
                <w:sz w:val="13"/>
                <w:szCs w:val="13"/>
              </w:rPr>
              <w:t xml:space="preserve">           </w:t>
            </w:r>
            <w:r>
              <w:rPr>
                <w:rFonts w:hint="eastAsia" w:ascii="宋体" w:hAnsi="宋体" w:eastAsia="宋体" w:cs="宋体"/>
                <w:sz w:val="24"/>
                <w:szCs w:val="24"/>
              </w:rPr>
              <w:t>网络传输能力满足设备与客户端之间用</w:t>
            </w:r>
            <w:r>
              <w:rPr>
                <w:rFonts w:hint="default" w:ascii="Calibri" w:hAnsi="Calibri" w:cs="Calibri"/>
                <w:sz w:val="24"/>
                <w:szCs w:val="24"/>
              </w:rPr>
              <w:t>350m</w:t>
            </w:r>
            <w:r>
              <w:rPr>
                <w:rFonts w:hint="eastAsia" w:ascii="宋体" w:hAnsi="宋体" w:eastAsia="宋体" w:cs="宋体"/>
                <w:sz w:val="24"/>
                <w:szCs w:val="24"/>
              </w:rPr>
              <w:t>五类非屏蔽网线直接连接，发送</w:t>
            </w:r>
            <w:r>
              <w:rPr>
                <w:rFonts w:hint="default" w:ascii="Calibri" w:hAnsi="Calibri" w:cs="Calibri"/>
                <w:sz w:val="24"/>
                <w:szCs w:val="24"/>
              </w:rPr>
              <w:t>3000</w:t>
            </w:r>
            <w:r>
              <w:rPr>
                <w:rFonts w:hint="eastAsia" w:ascii="宋体" w:hAnsi="宋体" w:eastAsia="宋体" w:cs="宋体"/>
                <w:sz w:val="24"/>
                <w:szCs w:val="24"/>
              </w:rPr>
              <w:t>个数据包，重复三次，无丢包（</w:t>
            </w:r>
            <w:r>
              <w:rPr>
                <w:rFonts w:hint="eastAsia" w:ascii="宋体" w:hAnsi="宋体" w:eastAsia="宋体" w:cs="宋体"/>
                <w:color w:val="000000"/>
                <w:sz w:val="24"/>
                <w:szCs w:val="24"/>
              </w:rPr>
              <w:t>需提供公安部授权机构在本招标公告发布前出具的有效检测报告复印件作为考评依据，原件备查</w:t>
            </w:r>
            <w:r>
              <w:rPr>
                <w:rFonts w:hint="eastAsia" w:ascii="宋体" w:hAnsi="宋体" w:eastAsia="宋体" w:cs="宋体"/>
                <w:sz w:val="24"/>
                <w:szCs w:val="24"/>
              </w:rPr>
              <w:t>）</w:t>
            </w:r>
          </w:p>
          <w:p>
            <w:pPr>
              <w:pStyle w:val="4"/>
              <w:keepNext w:val="0"/>
              <w:keepLines w:val="0"/>
              <w:widowControl/>
              <w:suppressLineNumbers w:val="0"/>
              <w:spacing w:before="0" w:beforeAutospacing="1" w:after="0" w:afterAutospacing="1" w:line="315" w:lineRule="atLeast"/>
              <w:ind w:left="0" w:right="0" w:firstLine="0"/>
            </w:pPr>
            <w:r>
              <w:rPr>
                <w:rFonts w:hint="default" w:ascii="Calibri" w:hAnsi="Calibri" w:cs="Calibri"/>
                <w:sz w:val="24"/>
                <w:szCs w:val="24"/>
              </w:rPr>
              <w:t>6.</w:t>
            </w:r>
            <w:r>
              <w:rPr>
                <w:rFonts w:hint="default" w:ascii="Times New Roman" w:hAnsi="Times New Roman" w:cs="Times New Roman"/>
                <w:sz w:val="13"/>
                <w:szCs w:val="13"/>
              </w:rPr>
              <w:t xml:space="preserve">           </w:t>
            </w:r>
            <w:r>
              <w:rPr>
                <w:rFonts w:hint="eastAsia" w:ascii="宋体" w:hAnsi="宋体" w:eastAsia="宋体" w:cs="宋体"/>
                <w:sz w:val="24"/>
                <w:szCs w:val="24"/>
              </w:rPr>
              <w:t>具备较强的网络自适应能力，在丢包率为</w:t>
            </w:r>
            <w:r>
              <w:rPr>
                <w:rFonts w:hint="default" w:ascii="Calibri" w:hAnsi="Calibri" w:cs="Calibri"/>
                <w:sz w:val="24"/>
                <w:szCs w:val="24"/>
              </w:rPr>
              <w:t>32%</w:t>
            </w:r>
            <w:r>
              <w:rPr>
                <w:rFonts w:hint="eastAsia" w:ascii="宋体" w:hAnsi="宋体" w:eastAsia="宋体" w:cs="宋体"/>
                <w:sz w:val="24"/>
                <w:szCs w:val="24"/>
              </w:rPr>
              <w:t>的网络环境下，可正常显示监视画面；</w:t>
            </w:r>
          </w:p>
          <w:p>
            <w:pPr>
              <w:pStyle w:val="4"/>
              <w:keepNext w:val="0"/>
              <w:keepLines w:val="0"/>
              <w:widowControl/>
              <w:suppressLineNumbers w:val="0"/>
              <w:spacing w:before="0" w:beforeAutospacing="1" w:after="0" w:afterAutospacing="1" w:line="315" w:lineRule="atLeast"/>
              <w:ind w:left="0" w:right="0" w:firstLine="0"/>
            </w:pPr>
            <w:r>
              <w:rPr>
                <w:rFonts w:hint="default" w:ascii="Calibri" w:hAnsi="Calibri" w:cs="Calibri"/>
                <w:sz w:val="24"/>
                <w:szCs w:val="24"/>
              </w:rPr>
              <w:t>7.</w:t>
            </w:r>
            <w:r>
              <w:rPr>
                <w:rFonts w:hint="default" w:ascii="Times New Roman" w:hAnsi="Times New Roman" w:cs="Times New Roman"/>
                <w:sz w:val="13"/>
                <w:szCs w:val="13"/>
              </w:rPr>
              <w:t xml:space="preserve">           </w:t>
            </w:r>
            <w:r>
              <w:rPr>
                <w:rFonts w:hint="eastAsia" w:ascii="宋体" w:hAnsi="宋体" w:eastAsia="宋体" w:cs="宋体"/>
                <w:sz w:val="24"/>
                <w:szCs w:val="24"/>
              </w:rPr>
              <w:t>支持采用</w:t>
            </w:r>
            <w:r>
              <w:rPr>
                <w:rFonts w:hint="default" w:ascii="Calibri" w:hAnsi="Calibri" w:cs="Calibri"/>
                <w:sz w:val="24"/>
                <w:szCs w:val="24"/>
              </w:rPr>
              <w:t>H.264</w:t>
            </w:r>
            <w:r>
              <w:rPr>
                <w:rFonts w:hint="eastAsia" w:ascii="宋体" w:hAnsi="宋体" w:eastAsia="宋体" w:cs="宋体"/>
                <w:sz w:val="24"/>
                <w:szCs w:val="24"/>
              </w:rPr>
              <w:t>、</w:t>
            </w:r>
            <w:r>
              <w:rPr>
                <w:rFonts w:hint="default" w:ascii="Calibri" w:hAnsi="Calibri" w:cs="Calibri"/>
                <w:sz w:val="24"/>
                <w:szCs w:val="24"/>
              </w:rPr>
              <w:t>MJPEG</w:t>
            </w:r>
            <w:r>
              <w:rPr>
                <w:rFonts w:hint="eastAsia" w:ascii="宋体" w:hAnsi="宋体" w:eastAsia="宋体" w:cs="宋体"/>
                <w:sz w:val="24"/>
                <w:szCs w:val="24"/>
              </w:rPr>
              <w:t>、</w:t>
            </w:r>
            <w:r>
              <w:rPr>
                <w:rFonts w:hint="default" w:ascii="Calibri" w:hAnsi="Calibri" w:cs="Calibri"/>
                <w:sz w:val="24"/>
                <w:szCs w:val="24"/>
              </w:rPr>
              <w:t>H.265</w:t>
            </w:r>
            <w:r>
              <w:rPr>
                <w:rFonts w:hint="eastAsia" w:ascii="宋体" w:hAnsi="宋体" w:eastAsia="宋体" w:cs="宋体"/>
                <w:sz w:val="24"/>
                <w:szCs w:val="24"/>
              </w:rPr>
              <w:t>视频编码标准；支持</w:t>
            </w:r>
            <w:r>
              <w:rPr>
                <w:rFonts w:hint="default" w:ascii="Calibri" w:hAnsi="Calibri" w:cs="Calibri"/>
                <w:sz w:val="24"/>
                <w:szCs w:val="24"/>
              </w:rPr>
              <w:t>smart265</w:t>
            </w:r>
            <w:r>
              <w:rPr>
                <w:rFonts w:hint="eastAsia" w:ascii="宋体" w:hAnsi="宋体" w:eastAsia="宋体" w:cs="宋体"/>
                <w:sz w:val="24"/>
                <w:szCs w:val="24"/>
              </w:rPr>
              <w:t>功能支持</w:t>
            </w:r>
            <w:r>
              <w:rPr>
                <w:rFonts w:hint="default" w:ascii="Calibri" w:hAnsi="Calibri" w:cs="Calibri"/>
                <w:sz w:val="24"/>
                <w:szCs w:val="24"/>
              </w:rPr>
              <w:t>7</w:t>
            </w:r>
            <w:r>
              <w:rPr>
                <w:rFonts w:hint="eastAsia" w:ascii="宋体" w:hAnsi="宋体" w:eastAsia="宋体" w:cs="宋体"/>
                <w:sz w:val="24"/>
                <w:szCs w:val="24"/>
              </w:rPr>
              <w:t>路报警输入接口，</w:t>
            </w:r>
            <w:r>
              <w:rPr>
                <w:rFonts w:hint="default" w:ascii="Calibri" w:hAnsi="Calibri" w:cs="Calibri"/>
                <w:sz w:val="24"/>
                <w:szCs w:val="24"/>
              </w:rPr>
              <w:t>2</w:t>
            </w:r>
            <w:r>
              <w:rPr>
                <w:rFonts w:hint="eastAsia" w:ascii="宋体" w:hAnsi="宋体" w:eastAsia="宋体" w:cs="宋体"/>
                <w:sz w:val="24"/>
                <w:szCs w:val="24"/>
              </w:rPr>
              <w:t>路报警输出接口，支持</w:t>
            </w:r>
            <w:r>
              <w:rPr>
                <w:rFonts w:hint="default" w:ascii="Calibri" w:hAnsi="Calibri" w:cs="Calibri"/>
                <w:sz w:val="24"/>
                <w:szCs w:val="24"/>
              </w:rPr>
              <w:t>1</w:t>
            </w:r>
            <w:r>
              <w:rPr>
                <w:rFonts w:hint="eastAsia" w:ascii="宋体" w:hAnsi="宋体" w:eastAsia="宋体" w:cs="宋体"/>
                <w:sz w:val="24"/>
                <w:szCs w:val="24"/>
              </w:rPr>
              <w:t>路音频输入和输出接口；有</w:t>
            </w:r>
            <w:r>
              <w:rPr>
                <w:rFonts w:hint="default" w:ascii="Calibri" w:hAnsi="Calibri" w:cs="Calibri"/>
                <w:sz w:val="24"/>
                <w:szCs w:val="24"/>
              </w:rPr>
              <w:t>SD</w:t>
            </w:r>
            <w:r>
              <w:rPr>
                <w:rFonts w:hint="eastAsia" w:ascii="宋体" w:hAnsi="宋体" w:eastAsia="宋体" w:cs="宋体"/>
                <w:sz w:val="24"/>
                <w:szCs w:val="24"/>
              </w:rPr>
              <w:t>卡槽，最大支持</w:t>
            </w:r>
            <w:r>
              <w:rPr>
                <w:rFonts w:hint="default" w:ascii="Calibri" w:hAnsi="Calibri" w:cs="Calibri"/>
                <w:sz w:val="24"/>
                <w:szCs w:val="24"/>
              </w:rPr>
              <w:t>256GB</w:t>
            </w:r>
            <w:r>
              <w:rPr>
                <w:rFonts w:hint="eastAsia" w:ascii="宋体" w:hAnsi="宋体" w:eastAsia="宋体" w:cs="宋体"/>
                <w:sz w:val="24"/>
                <w:szCs w:val="24"/>
              </w:rPr>
              <w:t>的</w:t>
            </w:r>
            <w:r>
              <w:rPr>
                <w:rFonts w:hint="default" w:ascii="Calibri" w:hAnsi="Calibri" w:cs="Calibri"/>
                <w:sz w:val="24"/>
                <w:szCs w:val="24"/>
              </w:rPr>
              <w:t>SD</w:t>
            </w:r>
            <w:r>
              <w:rPr>
                <w:rFonts w:hint="eastAsia" w:ascii="宋体" w:hAnsi="宋体" w:eastAsia="宋体" w:cs="宋体"/>
                <w:sz w:val="24"/>
                <w:szCs w:val="24"/>
              </w:rPr>
              <w:t>卡；</w:t>
            </w:r>
          </w:p>
          <w:p>
            <w:pPr>
              <w:pStyle w:val="4"/>
              <w:keepNext w:val="0"/>
              <w:keepLines w:val="0"/>
              <w:widowControl/>
              <w:suppressLineNumbers w:val="0"/>
              <w:spacing w:before="0" w:beforeAutospacing="1" w:after="0" w:afterAutospacing="1" w:line="315" w:lineRule="atLeast"/>
              <w:ind w:left="0" w:right="0" w:firstLine="0"/>
            </w:pPr>
            <w:r>
              <w:rPr>
                <w:rFonts w:hint="default" w:ascii="Calibri" w:hAnsi="Calibri" w:cs="Calibri"/>
                <w:sz w:val="24"/>
                <w:szCs w:val="24"/>
              </w:rPr>
              <w:t>8.</w:t>
            </w:r>
            <w:r>
              <w:rPr>
                <w:rFonts w:hint="default" w:ascii="Times New Roman" w:hAnsi="Times New Roman" w:cs="Times New Roman"/>
                <w:sz w:val="13"/>
                <w:szCs w:val="13"/>
              </w:rPr>
              <w:t xml:space="preserve">           </w:t>
            </w:r>
            <w:r>
              <w:rPr>
                <w:rFonts w:hint="eastAsia" w:ascii="宋体" w:hAnsi="宋体" w:eastAsia="宋体" w:cs="宋体"/>
                <w:sz w:val="24"/>
                <w:szCs w:val="24"/>
              </w:rPr>
              <w:t>可识别≥</w:t>
            </w:r>
            <w:r>
              <w:rPr>
                <w:rFonts w:hint="default" w:ascii="Calibri" w:hAnsi="Calibri" w:cs="Calibri"/>
                <w:sz w:val="24"/>
                <w:szCs w:val="24"/>
              </w:rPr>
              <w:t>170</w:t>
            </w:r>
            <w:r>
              <w:rPr>
                <w:rFonts w:hint="eastAsia" w:ascii="宋体" w:hAnsi="宋体" w:eastAsia="宋体" w:cs="宋体"/>
                <w:sz w:val="24"/>
                <w:szCs w:val="24"/>
              </w:rPr>
              <w:t>种车辆品</w:t>
            </w:r>
            <w:r>
              <w:rPr>
                <w:rFonts w:hint="default" w:ascii="Calibri" w:hAnsi="Calibri" w:cs="Calibri"/>
                <w:sz w:val="24"/>
                <w:szCs w:val="24"/>
              </w:rPr>
              <w:t> </w:t>
            </w:r>
            <w:r>
              <w:rPr>
                <w:rFonts w:hint="eastAsia" w:ascii="宋体" w:hAnsi="宋体" w:eastAsia="宋体" w:cs="宋体"/>
                <w:sz w:val="24"/>
                <w:szCs w:val="24"/>
              </w:rPr>
              <w:t>牌，车辆品</w:t>
            </w:r>
            <w:r>
              <w:rPr>
                <w:rFonts w:hint="default" w:ascii="Calibri" w:hAnsi="Calibri" w:cs="Calibri"/>
                <w:sz w:val="24"/>
                <w:szCs w:val="24"/>
              </w:rPr>
              <w:t xml:space="preserve">   </w:t>
            </w:r>
            <w:r>
              <w:rPr>
                <w:rFonts w:hint="eastAsia" w:ascii="宋体" w:hAnsi="宋体" w:eastAsia="宋体" w:cs="宋体"/>
                <w:sz w:val="24"/>
                <w:szCs w:val="24"/>
              </w:rPr>
              <w:t>牌识别白天准确率≥</w:t>
            </w:r>
            <w:r>
              <w:rPr>
                <w:rFonts w:hint="default" w:ascii="Calibri" w:hAnsi="Calibri" w:cs="Calibri"/>
                <w:sz w:val="24"/>
                <w:szCs w:val="24"/>
              </w:rPr>
              <w:t>98%</w:t>
            </w:r>
            <w:r>
              <w:rPr>
                <w:rFonts w:hint="eastAsia" w:ascii="宋体" w:hAnsi="宋体" w:eastAsia="宋体" w:cs="宋体"/>
                <w:sz w:val="24"/>
                <w:szCs w:val="24"/>
              </w:rPr>
              <w:t>，晚上准确率≥</w:t>
            </w:r>
            <w:r>
              <w:rPr>
                <w:rFonts w:hint="default" w:ascii="Calibri" w:hAnsi="Calibri" w:cs="Calibri"/>
                <w:sz w:val="24"/>
                <w:szCs w:val="24"/>
              </w:rPr>
              <w:t>97%</w:t>
            </w:r>
            <w:r>
              <w:rPr>
                <w:rFonts w:hint="eastAsia" w:ascii="宋体" w:hAnsi="宋体" w:eastAsia="宋体" w:cs="宋体"/>
                <w:sz w:val="24"/>
                <w:szCs w:val="24"/>
              </w:rPr>
              <w:t>；可识别≥</w:t>
            </w:r>
            <w:r>
              <w:rPr>
                <w:rFonts w:hint="default" w:ascii="Calibri" w:hAnsi="Calibri" w:cs="Calibri"/>
                <w:sz w:val="24"/>
                <w:szCs w:val="24"/>
              </w:rPr>
              <w:t>3600</w:t>
            </w:r>
            <w:r>
              <w:rPr>
                <w:rFonts w:hint="eastAsia" w:ascii="宋体" w:hAnsi="宋体" w:eastAsia="宋体" w:cs="宋体"/>
                <w:sz w:val="24"/>
                <w:szCs w:val="24"/>
              </w:rPr>
              <w:t>种车辆子品</w:t>
            </w:r>
            <w:r>
              <w:rPr>
                <w:rFonts w:hint="default" w:ascii="Calibri" w:hAnsi="Calibri" w:cs="Calibri"/>
                <w:sz w:val="24"/>
                <w:szCs w:val="24"/>
              </w:rPr>
              <w:t> </w:t>
            </w:r>
            <w:r>
              <w:rPr>
                <w:rFonts w:hint="eastAsia" w:ascii="宋体" w:hAnsi="宋体" w:eastAsia="宋体" w:cs="宋体"/>
                <w:sz w:val="24"/>
                <w:szCs w:val="24"/>
              </w:rPr>
              <w:t>牌，车辆子品</w:t>
            </w:r>
            <w:r>
              <w:rPr>
                <w:rFonts w:hint="default" w:ascii="Calibri" w:hAnsi="Calibri" w:cs="Calibri"/>
                <w:sz w:val="24"/>
                <w:szCs w:val="24"/>
              </w:rPr>
              <w:t> </w:t>
            </w:r>
            <w:r>
              <w:rPr>
                <w:rFonts w:hint="eastAsia" w:ascii="宋体" w:hAnsi="宋体" w:eastAsia="宋体" w:cs="宋体"/>
                <w:sz w:val="24"/>
                <w:szCs w:val="24"/>
              </w:rPr>
              <w:t>牌识别白天准确率≥</w:t>
            </w:r>
            <w:r>
              <w:rPr>
                <w:rFonts w:hint="default" w:ascii="Calibri" w:hAnsi="Calibri" w:cs="Calibri"/>
                <w:sz w:val="24"/>
                <w:szCs w:val="24"/>
              </w:rPr>
              <w:t>96%</w:t>
            </w:r>
            <w:r>
              <w:rPr>
                <w:rFonts w:hint="eastAsia" w:ascii="宋体" w:hAnsi="宋体" w:eastAsia="宋体" w:cs="宋体"/>
                <w:sz w:val="24"/>
                <w:szCs w:val="24"/>
              </w:rPr>
              <w:t>，晚上准确率≥</w:t>
            </w:r>
            <w:r>
              <w:rPr>
                <w:rFonts w:hint="default" w:ascii="Calibri" w:hAnsi="Calibri" w:cs="Calibri"/>
                <w:sz w:val="24"/>
                <w:szCs w:val="24"/>
              </w:rPr>
              <w:t>93%</w:t>
            </w:r>
            <w:r>
              <w:rPr>
                <w:rFonts w:hint="eastAsia" w:ascii="宋体" w:hAnsi="宋体" w:eastAsia="宋体" w:cs="宋体"/>
                <w:sz w:val="24"/>
                <w:szCs w:val="24"/>
              </w:rPr>
              <w:t>；</w:t>
            </w:r>
            <w:r>
              <w:rPr>
                <w:rFonts w:hint="default" w:ascii="Calibri" w:hAnsi="Calibri" w:cs="Calibri"/>
                <w:sz w:val="24"/>
                <w:szCs w:val="24"/>
              </w:rPr>
              <w:t> </w:t>
            </w:r>
          </w:p>
          <w:p>
            <w:pPr>
              <w:pStyle w:val="4"/>
              <w:keepNext w:val="0"/>
              <w:keepLines w:val="0"/>
              <w:widowControl/>
              <w:suppressLineNumbers w:val="0"/>
              <w:spacing w:before="0" w:beforeAutospacing="1" w:after="0" w:afterAutospacing="1" w:line="315" w:lineRule="atLeast"/>
              <w:ind w:left="0" w:right="0" w:firstLine="0"/>
            </w:pPr>
            <w:r>
              <w:rPr>
                <w:rFonts w:hint="default" w:ascii="Calibri" w:hAnsi="Calibri" w:cs="Calibri"/>
                <w:sz w:val="24"/>
                <w:szCs w:val="24"/>
              </w:rPr>
              <w:t>9.</w:t>
            </w:r>
            <w:r>
              <w:rPr>
                <w:rFonts w:hint="default" w:ascii="Times New Roman" w:hAnsi="Times New Roman" w:cs="Times New Roman"/>
                <w:sz w:val="13"/>
                <w:szCs w:val="13"/>
              </w:rPr>
              <w:t xml:space="preserve">           </w:t>
            </w:r>
            <w:r>
              <w:rPr>
                <w:rFonts w:hint="eastAsia" w:ascii="宋体" w:hAnsi="宋体" w:eastAsia="宋体" w:cs="宋体"/>
                <w:sz w:val="24"/>
                <w:szCs w:val="24"/>
              </w:rPr>
              <w:t>可识别</w:t>
            </w:r>
            <w:r>
              <w:rPr>
                <w:rFonts w:hint="default" w:ascii="Calibri" w:hAnsi="Calibri" w:cs="Calibri"/>
                <w:sz w:val="24"/>
                <w:szCs w:val="24"/>
              </w:rPr>
              <w:t>11</w:t>
            </w:r>
            <w:r>
              <w:rPr>
                <w:rFonts w:hint="eastAsia" w:ascii="宋体" w:hAnsi="宋体" w:eastAsia="宋体" w:cs="宋体"/>
                <w:sz w:val="24"/>
                <w:szCs w:val="24"/>
              </w:rPr>
              <w:t>种车辆颜色，车辆车身颜色识别准确率≥</w:t>
            </w:r>
            <w:r>
              <w:rPr>
                <w:rFonts w:hint="default" w:ascii="Calibri" w:hAnsi="Calibri" w:cs="Calibri"/>
                <w:sz w:val="24"/>
                <w:szCs w:val="24"/>
              </w:rPr>
              <w:t>97%</w:t>
            </w:r>
            <w:r>
              <w:rPr>
                <w:rFonts w:hint="eastAsia" w:ascii="宋体" w:hAnsi="宋体" w:eastAsia="宋体" w:cs="宋体"/>
                <w:sz w:val="24"/>
                <w:szCs w:val="24"/>
              </w:rPr>
              <w:t>；可识别</w:t>
            </w:r>
            <w:r>
              <w:rPr>
                <w:rFonts w:hint="default" w:ascii="Calibri" w:hAnsi="Calibri" w:cs="Calibri"/>
                <w:sz w:val="24"/>
                <w:szCs w:val="24"/>
              </w:rPr>
              <w:t>10</w:t>
            </w:r>
            <w:r>
              <w:rPr>
                <w:rFonts w:hint="eastAsia" w:ascii="宋体" w:hAnsi="宋体" w:eastAsia="宋体" w:cs="宋体"/>
                <w:sz w:val="24"/>
                <w:szCs w:val="24"/>
              </w:rPr>
              <w:t>种车型，包括轿车、小型轿车、微型轿车、客车、中型客车、面包车、大货车、小货车、</w:t>
            </w:r>
            <w:r>
              <w:rPr>
                <w:rFonts w:hint="default" w:ascii="Calibri" w:hAnsi="Calibri" w:cs="Calibri"/>
                <w:sz w:val="24"/>
                <w:szCs w:val="24"/>
              </w:rPr>
              <w:t>SUV-MPV</w:t>
            </w:r>
            <w:r>
              <w:rPr>
                <w:rFonts w:hint="eastAsia" w:ascii="宋体" w:hAnsi="宋体" w:eastAsia="宋体" w:cs="宋体"/>
                <w:sz w:val="24"/>
                <w:szCs w:val="24"/>
              </w:rPr>
              <w:t>、皮卡；车型识别白天准确率≥</w:t>
            </w:r>
            <w:r>
              <w:rPr>
                <w:rFonts w:hint="default" w:ascii="Calibri" w:hAnsi="Calibri" w:cs="Calibri"/>
                <w:sz w:val="24"/>
                <w:szCs w:val="24"/>
              </w:rPr>
              <w:t>98%</w:t>
            </w:r>
            <w:r>
              <w:rPr>
                <w:rFonts w:hint="eastAsia" w:ascii="宋体" w:hAnsi="宋体" w:eastAsia="宋体" w:cs="宋体"/>
                <w:sz w:val="24"/>
                <w:szCs w:val="24"/>
              </w:rPr>
              <w:t>，晚上准确率≥</w:t>
            </w:r>
            <w:r>
              <w:rPr>
                <w:rFonts w:hint="default" w:ascii="Calibri" w:hAnsi="Calibri" w:cs="Calibri"/>
                <w:sz w:val="24"/>
                <w:szCs w:val="24"/>
              </w:rPr>
              <w:t>97%</w:t>
            </w:r>
            <w:r>
              <w:rPr>
                <w:rFonts w:hint="eastAsia" w:ascii="宋体" w:hAnsi="宋体" w:eastAsia="宋体" w:cs="宋体"/>
                <w:sz w:val="24"/>
                <w:szCs w:val="24"/>
              </w:rPr>
              <w:t>；</w:t>
            </w:r>
            <w:r>
              <w:rPr>
                <w:rFonts w:hint="default" w:ascii="Calibri" w:hAnsi="Calibri" w:cs="Calibri"/>
                <w:sz w:val="24"/>
                <w:szCs w:val="24"/>
              </w:rPr>
              <w:t> </w:t>
            </w:r>
          </w:p>
          <w:p>
            <w:pPr>
              <w:pStyle w:val="4"/>
              <w:keepNext w:val="0"/>
              <w:keepLines w:val="0"/>
              <w:widowControl/>
              <w:suppressLineNumbers w:val="0"/>
              <w:spacing w:before="0" w:beforeAutospacing="1" w:after="0" w:afterAutospacing="1" w:line="315" w:lineRule="atLeast"/>
              <w:ind w:left="0" w:right="0" w:firstLine="0"/>
            </w:pPr>
            <w:r>
              <w:rPr>
                <w:rFonts w:hint="default" w:ascii="Calibri" w:hAnsi="Calibri" w:cs="Calibri"/>
                <w:sz w:val="24"/>
                <w:szCs w:val="24"/>
              </w:rPr>
              <w:t>10.</w:t>
            </w:r>
            <w:r>
              <w:rPr>
                <w:rFonts w:hint="default" w:ascii="Times New Roman" w:hAnsi="Times New Roman" w:cs="Times New Roman"/>
                <w:sz w:val="13"/>
                <w:szCs w:val="13"/>
              </w:rPr>
              <w:t xml:space="preserve">       </w:t>
            </w:r>
            <w:r>
              <w:rPr>
                <w:rFonts w:hint="eastAsia" w:ascii="宋体" w:hAnsi="宋体" w:eastAsia="宋体" w:cs="宋体"/>
                <w:sz w:val="24"/>
                <w:szCs w:val="24"/>
              </w:rPr>
              <w:t>支持区域入侵、越界入侵、徘徊、物品遗留、物品移除、人员聚集、快速移动、进入区域、离开区域等行为分析功能；人脸检测功能；音频异常侦测功能；具备较好的环境适应性，工作温度范围可达</w:t>
            </w:r>
            <w:r>
              <w:rPr>
                <w:rFonts w:hint="default" w:ascii="Calibri" w:hAnsi="Calibri" w:cs="Calibri"/>
                <w:sz w:val="24"/>
                <w:szCs w:val="24"/>
              </w:rPr>
              <w:t>-45</w:t>
            </w:r>
            <w:r>
              <w:rPr>
                <w:rFonts w:hint="eastAsia" w:ascii="宋体" w:hAnsi="宋体" w:eastAsia="宋体" w:cs="宋体"/>
                <w:sz w:val="24"/>
                <w:szCs w:val="24"/>
              </w:rPr>
              <w:t>℃到</w:t>
            </w:r>
            <w:r>
              <w:rPr>
                <w:rFonts w:hint="default" w:ascii="Calibri" w:hAnsi="Calibri" w:cs="Calibri"/>
                <w:sz w:val="24"/>
                <w:szCs w:val="24"/>
              </w:rPr>
              <w:t>70</w:t>
            </w:r>
            <w:r>
              <w:rPr>
                <w:rFonts w:hint="eastAsia" w:ascii="宋体" w:hAnsi="宋体" w:eastAsia="宋体" w:cs="宋体"/>
                <w:sz w:val="24"/>
                <w:szCs w:val="24"/>
              </w:rPr>
              <w:t>℃；</w:t>
            </w:r>
          </w:p>
          <w:p>
            <w:pPr>
              <w:pStyle w:val="4"/>
              <w:keepNext w:val="0"/>
              <w:keepLines w:val="0"/>
              <w:widowControl/>
              <w:suppressLineNumbers w:val="0"/>
              <w:spacing w:before="0" w:beforeAutospacing="1" w:after="0" w:afterAutospacing="1" w:line="315" w:lineRule="atLeast"/>
              <w:ind w:left="0" w:right="0" w:firstLine="0"/>
            </w:pPr>
            <w:r>
              <w:rPr>
                <w:rFonts w:hint="default" w:ascii="Calibri" w:hAnsi="Calibri" w:cs="Calibri"/>
                <w:sz w:val="24"/>
                <w:szCs w:val="24"/>
              </w:rPr>
              <w:t>11.</w:t>
            </w:r>
            <w:r>
              <w:rPr>
                <w:rFonts w:hint="default" w:ascii="Times New Roman" w:hAnsi="Times New Roman" w:cs="Times New Roman"/>
                <w:sz w:val="13"/>
                <w:szCs w:val="13"/>
              </w:rPr>
              <w:t xml:space="preserve">       </w:t>
            </w:r>
            <w:r>
              <w:rPr>
                <w:rFonts w:hint="eastAsia" w:ascii="宋体" w:hAnsi="宋体" w:eastAsia="宋体" w:cs="宋体"/>
                <w:sz w:val="24"/>
                <w:szCs w:val="24"/>
              </w:rPr>
              <w:t>室外球机应具备较好防护性能，支持IP67；具备较好的电磁兼容性，支持空气放电20KV，接触放电10KV，15KV防浪涌。（需提供公安部授权机构在本招标公告发布前出具的有效检测报告复印件作为考评依据，原件备查）</w:t>
            </w:r>
          </w:p>
          <w:p>
            <w:pPr>
              <w:pStyle w:val="4"/>
              <w:keepNext w:val="0"/>
              <w:keepLines w:val="0"/>
              <w:widowControl/>
              <w:suppressLineNumbers w:val="0"/>
              <w:spacing w:before="0" w:beforeAutospacing="1" w:after="0" w:afterAutospacing="1" w:line="315" w:lineRule="atLeast"/>
              <w:ind w:left="0" w:right="0" w:firstLine="0"/>
            </w:pPr>
            <w:r>
              <w:rPr>
                <w:rFonts w:hint="default" w:ascii="Calibri" w:hAnsi="Calibri" w:cs="Calibri"/>
                <w:sz w:val="24"/>
                <w:szCs w:val="24"/>
              </w:rPr>
              <w:t>12.</w:t>
            </w:r>
            <w:r>
              <w:rPr>
                <w:rFonts w:hint="default" w:ascii="Times New Roman" w:hAnsi="Times New Roman" w:cs="Times New Roman"/>
                <w:sz w:val="13"/>
                <w:szCs w:val="13"/>
              </w:rPr>
              <w:t xml:space="preserve">       </w:t>
            </w:r>
            <w:r>
              <w:rPr>
                <w:rFonts w:hint="eastAsia" w:ascii="宋体" w:hAnsi="宋体" w:eastAsia="宋体" w:cs="宋体"/>
                <w:sz w:val="24"/>
                <w:szCs w:val="24"/>
              </w:rPr>
              <w:t>含球机支架，</w:t>
            </w:r>
            <w:r>
              <w:rPr>
                <w:rFonts w:hint="eastAsia" w:ascii="宋体" w:hAnsi="宋体" w:eastAsia="宋体" w:cs="宋体"/>
                <w:sz w:val="19"/>
                <w:szCs w:val="19"/>
              </w:rPr>
              <w:t>壁装支架/铂晶灰/铝合金/97×182×305mm</w:t>
            </w:r>
          </w:p>
        </w:tc>
        <w:tc>
          <w:tcPr>
            <w:tcW w:w="467"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tc>
      </w:tr>
      <w:tr>
        <w:trPr>
          <w:trHeight w:val="1590" w:hRule="atLeast"/>
          <w:tblCellSpacing w:w="15" w:type="dxa"/>
        </w:trPr>
        <w:tc>
          <w:tcPr>
            <w:tcW w:w="36" w:type="dxa"/>
            <w:tcBorders>
              <w:top w:val="nil"/>
              <w:left w:val="single" w:color="auto" w:sz="6" w:space="0"/>
              <w:bottom w:val="single" w:color="auto" w:sz="6" w:space="0"/>
              <w:right w:val="single" w:color="auto" w:sz="6" w:space="0"/>
            </w:tcBorders>
            <w:shd w:val="clear" w:color="auto" w:fill="FFFFFF"/>
            <w:tcMar>
              <w:top w:w="0" w:type="dxa"/>
              <w:left w:w="0" w:type="dxa"/>
              <w:bottom w:w="0" w:type="dxa"/>
              <w:right w:w="0" w:type="dxa"/>
            </w:tcMar>
            <w:vAlign w:val="center"/>
          </w:tcPr>
          <w:p>
            <w:pPr>
              <w:keepNext w:val="0"/>
              <w:keepLines w:val="0"/>
              <w:widowControl/>
              <w:suppressLineNumbers w:val="0"/>
              <w:jc w:val="left"/>
            </w:pPr>
          </w:p>
        </w:tc>
        <w:tc>
          <w:tcPr>
            <w:tcW w:w="937"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jc w:val="center"/>
            </w:pPr>
            <w:r>
              <w:rPr>
                <w:rFonts w:hint="default" w:ascii="Calibri" w:hAnsi="Calibri" w:cs="Calibri"/>
                <w:sz w:val="24"/>
                <w:szCs w:val="24"/>
              </w:rPr>
              <w:t>1-2-42</w:t>
            </w:r>
          </w:p>
        </w:tc>
        <w:tc>
          <w:tcPr>
            <w:tcW w:w="888"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pPr>
            <w:r>
              <w:rPr>
                <w:rFonts w:hint="eastAsia" w:ascii="宋体" w:hAnsi="宋体" w:eastAsia="宋体" w:cs="宋体"/>
                <w:sz w:val="19"/>
                <w:szCs w:val="19"/>
              </w:rPr>
              <w:t>拾音器</w:t>
            </w:r>
          </w:p>
        </w:tc>
        <w:tc>
          <w:tcPr>
            <w:tcW w:w="529"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jc w:val="center"/>
            </w:pPr>
            <w:r>
              <w:rPr>
                <w:rFonts w:hint="eastAsia" w:ascii="宋体" w:hAnsi="宋体" w:eastAsia="宋体" w:cs="宋体"/>
                <w:sz w:val="19"/>
                <w:szCs w:val="19"/>
              </w:rPr>
              <w:t>个</w:t>
            </w:r>
          </w:p>
        </w:tc>
        <w:tc>
          <w:tcPr>
            <w:tcW w:w="529"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jc w:val="center"/>
            </w:pPr>
            <w:r>
              <w:rPr>
                <w:rFonts w:hint="eastAsia" w:ascii="宋体" w:hAnsi="宋体" w:eastAsia="宋体" w:cs="宋体"/>
                <w:sz w:val="19"/>
                <w:szCs w:val="19"/>
              </w:rPr>
              <w:t>8</w:t>
            </w:r>
          </w:p>
        </w:tc>
        <w:tc>
          <w:tcPr>
            <w:tcW w:w="6378"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pPr>
            <w:r>
              <w:rPr>
                <w:rFonts w:hint="eastAsia" w:ascii="宋体" w:hAnsi="宋体" w:eastAsia="宋体" w:cs="宋体"/>
                <w:sz w:val="19"/>
                <w:szCs w:val="19"/>
              </w:rPr>
              <w:t>全向监控拾音器；</w:t>
            </w:r>
            <w:r>
              <w:rPr>
                <w:rFonts w:hint="eastAsia" w:ascii="宋体" w:hAnsi="宋体" w:eastAsia="宋体" w:cs="宋体"/>
                <w:sz w:val="19"/>
                <w:szCs w:val="19"/>
              </w:rPr>
              <w:br w:type="textWrapping"/>
            </w:r>
            <w:r>
              <w:rPr>
                <w:rFonts w:hint="eastAsia" w:ascii="宋体" w:hAnsi="宋体" w:eastAsia="宋体" w:cs="宋体"/>
                <w:sz w:val="19"/>
                <w:szCs w:val="19"/>
              </w:rPr>
              <w:t>  拾音范围70平方米；音频传输距离3000米；灵敏度-34dB；信噪比60dB；安装方式：吸顶安装（自带底座转接盘）；连接方式 3芯导线（红-电源  黑-公共地  白-音频）；电源DC12V（9V-18V）；推荐电源：DC12V/1A，两线；</w:t>
            </w:r>
          </w:p>
        </w:tc>
        <w:tc>
          <w:tcPr>
            <w:tcW w:w="467"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tc>
      </w:tr>
      <w:tr>
        <w:trPr>
          <w:trHeight w:val="1275" w:hRule="atLeast"/>
          <w:tblCellSpacing w:w="15" w:type="dxa"/>
        </w:trPr>
        <w:tc>
          <w:tcPr>
            <w:tcW w:w="36" w:type="dxa"/>
            <w:tcBorders>
              <w:top w:val="nil"/>
              <w:left w:val="single" w:color="auto" w:sz="6" w:space="0"/>
              <w:bottom w:val="single" w:color="auto" w:sz="6" w:space="0"/>
              <w:right w:val="single" w:color="auto" w:sz="6" w:space="0"/>
            </w:tcBorders>
            <w:shd w:val="clear" w:color="auto" w:fill="FFFFFF"/>
            <w:tcMar>
              <w:top w:w="0" w:type="dxa"/>
              <w:left w:w="0" w:type="dxa"/>
              <w:bottom w:w="0" w:type="dxa"/>
              <w:right w:w="0" w:type="dxa"/>
            </w:tcMar>
            <w:vAlign w:val="center"/>
          </w:tcPr>
          <w:p>
            <w:pPr>
              <w:keepNext w:val="0"/>
              <w:keepLines w:val="0"/>
              <w:widowControl/>
              <w:suppressLineNumbers w:val="0"/>
              <w:jc w:val="left"/>
            </w:pPr>
          </w:p>
        </w:tc>
        <w:tc>
          <w:tcPr>
            <w:tcW w:w="937"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jc w:val="center"/>
            </w:pPr>
            <w:r>
              <w:rPr>
                <w:rFonts w:hint="default" w:ascii="Calibri" w:hAnsi="Calibri" w:cs="Calibri"/>
                <w:sz w:val="24"/>
                <w:szCs w:val="24"/>
              </w:rPr>
              <w:t>1-2-43</w:t>
            </w:r>
          </w:p>
        </w:tc>
        <w:tc>
          <w:tcPr>
            <w:tcW w:w="888"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pPr>
            <w:r>
              <w:rPr>
                <w:rFonts w:hint="eastAsia" w:ascii="宋体" w:hAnsi="宋体" w:eastAsia="宋体" w:cs="宋体"/>
                <w:sz w:val="19"/>
                <w:szCs w:val="19"/>
              </w:rPr>
              <w:t>LCD拼接屏</w:t>
            </w:r>
          </w:p>
        </w:tc>
        <w:tc>
          <w:tcPr>
            <w:tcW w:w="529"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jc w:val="center"/>
            </w:pPr>
            <w:r>
              <w:rPr>
                <w:rFonts w:hint="eastAsia" w:ascii="宋体" w:hAnsi="宋体" w:eastAsia="宋体" w:cs="宋体"/>
                <w:sz w:val="19"/>
                <w:szCs w:val="19"/>
              </w:rPr>
              <w:t>台</w:t>
            </w:r>
          </w:p>
        </w:tc>
        <w:tc>
          <w:tcPr>
            <w:tcW w:w="529"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jc w:val="center"/>
            </w:pPr>
            <w:r>
              <w:rPr>
                <w:rFonts w:hint="eastAsia" w:ascii="宋体" w:hAnsi="宋体" w:eastAsia="宋体" w:cs="宋体"/>
                <w:sz w:val="19"/>
                <w:szCs w:val="19"/>
              </w:rPr>
              <w:t>4</w:t>
            </w:r>
          </w:p>
        </w:tc>
        <w:tc>
          <w:tcPr>
            <w:tcW w:w="6378"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wordWrap w:val="0"/>
              <w:spacing w:before="0" w:beforeAutospacing="1" w:after="0" w:afterAutospacing="1" w:line="315" w:lineRule="atLeast"/>
              <w:ind w:left="0" w:right="0" w:firstLine="0"/>
            </w:pPr>
            <w:r>
              <w:rPr>
                <w:rFonts w:hint="default" w:ascii="Calibri" w:hAnsi="Calibri" w:cs="Calibri"/>
                <w:sz w:val="24"/>
                <w:szCs w:val="24"/>
              </w:rPr>
              <w:t>1.</w:t>
            </w:r>
            <w:r>
              <w:rPr>
                <w:rFonts w:hint="default" w:ascii="Times New Roman" w:hAnsi="Times New Roman" w:cs="Times New Roman"/>
                <w:sz w:val="13"/>
                <w:szCs w:val="13"/>
              </w:rPr>
              <w:t xml:space="preserve">           </w:t>
            </w:r>
            <w:r>
              <w:rPr>
                <w:rFonts w:hint="default" w:ascii="Calibri" w:hAnsi="Calibri" w:cs="Calibri"/>
                <w:sz w:val="24"/>
                <w:szCs w:val="24"/>
              </w:rPr>
              <w:t>LCD</w:t>
            </w:r>
            <w:r>
              <w:rPr>
                <w:rFonts w:hint="eastAsia" w:ascii="宋体" w:hAnsi="宋体" w:eastAsia="宋体" w:cs="宋体"/>
                <w:sz w:val="24"/>
                <w:szCs w:val="24"/>
              </w:rPr>
              <w:t>显示单元为：</w:t>
            </w:r>
            <w:r>
              <w:rPr>
                <w:rFonts w:hint="default" w:ascii="Calibri" w:hAnsi="Calibri" w:cs="Calibri"/>
                <w:sz w:val="24"/>
                <w:szCs w:val="24"/>
              </w:rPr>
              <w:t>46</w:t>
            </w:r>
            <w:r>
              <w:rPr>
                <w:rFonts w:hint="eastAsia" w:ascii="宋体" w:hAnsi="宋体" w:eastAsia="宋体" w:cs="宋体"/>
                <w:sz w:val="24"/>
                <w:szCs w:val="24"/>
              </w:rPr>
              <w:t>“超窄边液晶屏；物理分辨率达到</w:t>
            </w:r>
            <w:r>
              <w:rPr>
                <w:rFonts w:hint="default" w:ascii="Calibri" w:hAnsi="Calibri" w:cs="Calibri"/>
                <w:sz w:val="24"/>
                <w:szCs w:val="24"/>
              </w:rPr>
              <w:t>1920</w:t>
            </w:r>
            <w:r>
              <w:rPr>
                <w:rFonts w:hint="eastAsia" w:ascii="宋体" w:hAnsi="宋体" w:eastAsia="宋体" w:cs="宋体"/>
                <w:sz w:val="24"/>
                <w:szCs w:val="24"/>
              </w:rPr>
              <w:t>×</w:t>
            </w:r>
            <w:r>
              <w:rPr>
                <w:rFonts w:hint="default" w:ascii="Calibri" w:hAnsi="Calibri" w:cs="Calibri"/>
                <w:sz w:val="24"/>
                <w:szCs w:val="24"/>
              </w:rPr>
              <w:t>1080</w:t>
            </w:r>
            <w:r>
              <w:rPr>
                <w:rFonts w:hint="eastAsia" w:ascii="宋体" w:hAnsi="宋体" w:eastAsia="宋体" w:cs="宋体"/>
                <w:sz w:val="24"/>
                <w:szCs w:val="24"/>
              </w:rPr>
              <w:t>，物理拼缝≤</w:t>
            </w:r>
            <w:r>
              <w:rPr>
                <w:rFonts w:hint="default" w:ascii="Calibri" w:hAnsi="Calibri" w:cs="Calibri"/>
                <w:sz w:val="24"/>
                <w:szCs w:val="24"/>
              </w:rPr>
              <w:t>3.5mm</w:t>
            </w:r>
            <w:r>
              <w:rPr>
                <w:rFonts w:hint="eastAsia" w:ascii="宋体" w:hAnsi="宋体" w:eastAsia="宋体" w:cs="宋体"/>
                <w:sz w:val="24"/>
                <w:szCs w:val="24"/>
              </w:rPr>
              <w:t>，响应时间≤</w:t>
            </w:r>
            <w:r>
              <w:rPr>
                <w:rFonts w:hint="default" w:ascii="Calibri" w:hAnsi="Calibri" w:cs="Calibri"/>
                <w:sz w:val="24"/>
                <w:szCs w:val="24"/>
              </w:rPr>
              <w:t>8ms</w:t>
            </w:r>
            <w:r>
              <w:rPr>
                <w:rFonts w:hint="eastAsia" w:ascii="宋体" w:hAnsi="宋体" w:eastAsia="宋体" w:cs="宋体"/>
                <w:sz w:val="24"/>
                <w:szCs w:val="24"/>
              </w:rPr>
              <w:t>。输入接口：≥</w:t>
            </w:r>
            <w:r>
              <w:rPr>
                <w:rFonts w:hint="default" w:ascii="Calibri" w:hAnsi="Calibri" w:cs="Calibri"/>
                <w:sz w:val="24"/>
                <w:szCs w:val="24"/>
              </w:rPr>
              <w:t>VGA</w:t>
            </w:r>
            <w:r>
              <w:rPr>
                <w:rFonts w:hint="eastAsia" w:ascii="宋体" w:hAnsi="宋体" w:eastAsia="宋体" w:cs="宋体"/>
                <w:sz w:val="24"/>
                <w:szCs w:val="24"/>
              </w:rPr>
              <w:t>×</w:t>
            </w:r>
            <w:r>
              <w:rPr>
                <w:rFonts w:hint="default" w:ascii="Calibri" w:hAnsi="Calibri" w:cs="Calibri"/>
                <w:sz w:val="24"/>
                <w:szCs w:val="24"/>
              </w:rPr>
              <w:t>1</w:t>
            </w:r>
            <w:r>
              <w:rPr>
                <w:rFonts w:hint="eastAsia" w:ascii="宋体" w:hAnsi="宋体" w:eastAsia="宋体" w:cs="宋体"/>
                <w:sz w:val="24"/>
                <w:szCs w:val="24"/>
              </w:rPr>
              <w:t>，≥</w:t>
            </w:r>
            <w:r>
              <w:rPr>
                <w:rFonts w:hint="default" w:ascii="Calibri" w:hAnsi="Calibri" w:cs="Calibri"/>
                <w:sz w:val="24"/>
                <w:szCs w:val="24"/>
              </w:rPr>
              <w:t>DVI</w:t>
            </w:r>
            <w:r>
              <w:rPr>
                <w:rFonts w:hint="eastAsia" w:ascii="宋体" w:hAnsi="宋体" w:eastAsia="宋体" w:cs="宋体"/>
                <w:sz w:val="24"/>
                <w:szCs w:val="24"/>
              </w:rPr>
              <w:t>×</w:t>
            </w:r>
            <w:r>
              <w:rPr>
                <w:rFonts w:hint="default" w:ascii="Calibri" w:hAnsi="Calibri" w:cs="Calibri"/>
                <w:sz w:val="24"/>
                <w:szCs w:val="24"/>
              </w:rPr>
              <w:t>1</w:t>
            </w:r>
            <w:r>
              <w:rPr>
                <w:rFonts w:hint="eastAsia" w:ascii="宋体" w:hAnsi="宋体" w:eastAsia="宋体" w:cs="宋体"/>
                <w:sz w:val="24"/>
                <w:szCs w:val="24"/>
              </w:rPr>
              <w:t>，≥</w:t>
            </w:r>
            <w:r>
              <w:rPr>
                <w:rFonts w:hint="default" w:ascii="Calibri" w:hAnsi="Calibri" w:cs="Calibri"/>
                <w:sz w:val="24"/>
                <w:szCs w:val="24"/>
              </w:rPr>
              <w:t>BNC</w:t>
            </w:r>
            <w:r>
              <w:rPr>
                <w:rFonts w:hint="eastAsia" w:ascii="宋体" w:hAnsi="宋体" w:eastAsia="宋体" w:cs="宋体"/>
                <w:sz w:val="24"/>
                <w:szCs w:val="24"/>
              </w:rPr>
              <w:t>×</w:t>
            </w:r>
            <w:r>
              <w:rPr>
                <w:rFonts w:hint="default" w:ascii="Calibri" w:hAnsi="Calibri" w:cs="Calibri"/>
                <w:sz w:val="24"/>
                <w:szCs w:val="24"/>
              </w:rPr>
              <w:t>1</w:t>
            </w:r>
            <w:r>
              <w:rPr>
                <w:rFonts w:hint="eastAsia" w:ascii="宋体" w:hAnsi="宋体" w:eastAsia="宋体" w:cs="宋体"/>
                <w:sz w:val="24"/>
                <w:szCs w:val="24"/>
              </w:rPr>
              <w:t>，≥</w:t>
            </w:r>
            <w:r>
              <w:rPr>
                <w:rFonts w:hint="default" w:ascii="Calibri" w:hAnsi="Calibri" w:cs="Calibri"/>
                <w:sz w:val="24"/>
                <w:szCs w:val="24"/>
              </w:rPr>
              <w:t>YPbPr</w:t>
            </w:r>
            <w:r>
              <w:rPr>
                <w:rFonts w:hint="eastAsia" w:ascii="宋体" w:hAnsi="宋体" w:eastAsia="宋体" w:cs="宋体"/>
                <w:sz w:val="24"/>
                <w:szCs w:val="24"/>
              </w:rPr>
              <w:t>×</w:t>
            </w:r>
            <w:r>
              <w:rPr>
                <w:rFonts w:hint="default" w:ascii="Calibri" w:hAnsi="Calibri" w:cs="Calibri"/>
                <w:sz w:val="24"/>
                <w:szCs w:val="24"/>
              </w:rPr>
              <w:t>1</w:t>
            </w:r>
            <w:r>
              <w:rPr>
                <w:rFonts w:hint="eastAsia" w:ascii="宋体" w:hAnsi="宋体" w:eastAsia="宋体" w:cs="宋体"/>
                <w:sz w:val="24"/>
                <w:szCs w:val="24"/>
              </w:rPr>
              <w:t>，≥</w:t>
            </w:r>
            <w:r>
              <w:rPr>
                <w:rFonts w:hint="default" w:ascii="Calibri" w:hAnsi="Calibri" w:cs="Calibri"/>
                <w:sz w:val="24"/>
                <w:szCs w:val="24"/>
              </w:rPr>
              <w:t>HDMI</w:t>
            </w:r>
            <w:r>
              <w:rPr>
                <w:rFonts w:hint="eastAsia" w:ascii="宋体" w:hAnsi="宋体" w:eastAsia="宋体" w:cs="宋体"/>
                <w:sz w:val="24"/>
                <w:szCs w:val="24"/>
              </w:rPr>
              <w:t>×</w:t>
            </w:r>
            <w:r>
              <w:rPr>
                <w:rFonts w:hint="default" w:ascii="Calibri" w:hAnsi="Calibri" w:cs="Calibri"/>
                <w:sz w:val="24"/>
                <w:szCs w:val="24"/>
              </w:rPr>
              <w:t>1</w:t>
            </w:r>
            <w:r>
              <w:rPr>
                <w:rFonts w:hint="eastAsia" w:ascii="宋体" w:hAnsi="宋体" w:eastAsia="宋体" w:cs="宋体"/>
                <w:sz w:val="24"/>
                <w:szCs w:val="24"/>
              </w:rPr>
              <w:t>，≥</w:t>
            </w:r>
            <w:r>
              <w:rPr>
                <w:rFonts w:hint="default" w:ascii="Calibri" w:hAnsi="Calibri" w:cs="Calibri"/>
                <w:sz w:val="24"/>
                <w:szCs w:val="24"/>
              </w:rPr>
              <w:t>USB</w:t>
            </w:r>
            <w:r>
              <w:rPr>
                <w:rFonts w:hint="eastAsia" w:ascii="宋体" w:hAnsi="宋体" w:eastAsia="宋体" w:cs="宋体"/>
                <w:sz w:val="24"/>
                <w:szCs w:val="24"/>
              </w:rPr>
              <w:t>×</w:t>
            </w:r>
            <w:r>
              <w:rPr>
                <w:rFonts w:hint="default" w:ascii="Calibri" w:hAnsi="Calibri" w:cs="Calibri"/>
                <w:sz w:val="24"/>
                <w:szCs w:val="24"/>
              </w:rPr>
              <w:t>1</w:t>
            </w:r>
            <w:r>
              <w:rPr>
                <w:rFonts w:hint="eastAsia" w:ascii="宋体" w:hAnsi="宋体" w:eastAsia="宋体" w:cs="宋体"/>
                <w:sz w:val="24"/>
                <w:szCs w:val="24"/>
              </w:rPr>
              <w:t>；</w:t>
            </w:r>
            <w:r>
              <w:rPr>
                <w:rFonts w:hint="default" w:ascii="Calibri" w:hAnsi="Calibri" w:cs="Calibri"/>
                <w:sz w:val="24"/>
                <w:szCs w:val="24"/>
              </w:rPr>
              <w:t>LCD</w:t>
            </w:r>
            <w:r>
              <w:rPr>
                <w:rFonts w:hint="eastAsia" w:ascii="宋体" w:hAnsi="宋体" w:eastAsia="宋体" w:cs="宋体"/>
                <w:sz w:val="24"/>
                <w:szCs w:val="24"/>
              </w:rPr>
              <w:t>显示单元亮度达到</w:t>
            </w:r>
            <w:r>
              <w:rPr>
                <w:rFonts w:hint="default" w:ascii="Calibri" w:hAnsi="Calibri" w:cs="Calibri"/>
                <w:sz w:val="24"/>
                <w:szCs w:val="24"/>
              </w:rPr>
              <w:t>600cd/</w:t>
            </w:r>
            <w:r>
              <w:rPr>
                <w:rFonts w:hint="eastAsia" w:ascii="宋体" w:hAnsi="宋体" w:eastAsia="宋体" w:cs="宋体"/>
                <w:sz w:val="24"/>
                <w:szCs w:val="24"/>
              </w:rPr>
              <w:t>㎡，对比度达到</w:t>
            </w:r>
            <w:r>
              <w:rPr>
                <w:rFonts w:hint="default" w:ascii="Calibri" w:hAnsi="Calibri" w:cs="Calibri"/>
                <w:sz w:val="24"/>
                <w:szCs w:val="24"/>
              </w:rPr>
              <w:t>5000:1</w:t>
            </w:r>
            <w:r>
              <w:rPr>
                <w:rFonts w:hint="eastAsia" w:ascii="宋体" w:hAnsi="宋体" w:eastAsia="宋体" w:cs="宋体"/>
                <w:sz w:val="24"/>
                <w:szCs w:val="24"/>
              </w:rPr>
              <w:t>，图像显示清晰度为</w:t>
            </w:r>
            <w:r>
              <w:rPr>
                <w:rFonts w:hint="default" w:ascii="Calibri" w:hAnsi="Calibri" w:cs="Calibri"/>
                <w:sz w:val="24"/>
                <w:szCs w:val="24"/>
              </w:rPr>
              <w:t>950TVL</w:t>
            </w:r>
            <w:r>
              <w:rPr>
                <w:rFonts w:hint="eastAsia" w:ascii="宋体" w:hAnsi="宋体" w:eastAsia="宋体" w:cs="宋体"/>
                <w:sz w:val="24"/>
                <w:szCs w:val="24"/>
              </w:rPr>
              <w:t>，亮度鉴别等级为</w:t>
            </w:r>
            <w:r>
              <w:rPr>
                <w:rFonts w:hint="default" w:ascii="Calibri" w:hAnsi="Calibri" w:cs="Calibri"/>
                <w:sz w:val="24"/>
                <w:szCs w:val="24"/>
              </w:rPr>
              <w:t>11</w:t>
            </w:r>
            <w:r>
              <w:rPr>
                <w:rFonts w:hint="eastAsia" w:ascii="宋体" w:hAnsi="宋体" w:eastAsia="宋体" w:cs="宋体"/>
                <w:sz w:val="24"/>
                <w:szCs w:val="24"/>
              </w:rPr>
              <w:t>级；</w:t>
            </w:r>
          </w:p>
          <w:p>
            <w:pPr>
              <w:pStyle w:val="4"/>
              <w:keepNext w:val="0"/>
              <w:keepLines w:val="0"/>
              <w:widowControl/>
              <w:suppressLineNumbers w:val="0"/>
              <w:wordWrap w:val="0"/>
              <w:spacing w:before="0" w:beforeAutospacing="1" w:after="0" w:afterAutospacing="1" w:line="315" w:lineRule="atLeast"/>
              <w:ind w:left="0" w:right="0" w:firstLine="0"/>
            </w:pPr>
            <w:r>
              <w:rPr>
                <w:rFonts w:hint="default" w:ascii="Calibri" w:hAnsi="Calibri" w:cs="Calibri"/>
                <w:sz w:val="24"/>
                <w:szCs w:val="24"/>
              </w:rPr>
              <w:t>2.</w:t>
            </w:r>
            <w:r>
              <w:rPr>
                <w:rFonts w:hint="default" w:ascii="Times New Roman" w:hAnsi="Times New Roman" w:cs="Times New Roman"/>
                <w:sz w:val="13"/>
                <w:szCs w:val="13"/>
              </w:rPr>
              <w:t xml:space="preserve">           </w:t>
            </w:r>
            <w:r>
              <w:rPr>
                <w:rFonts w:hint="default" w:ascii="Calibri" w:hAnsi="Calibri" w:cs="Calibri"/>
                <w:sz w:val="24"/>
                <w:szCs w:val="24"/>
              </w:rPr>
              <w:t>LCD</w:t>
            </w:r>
            <w:r>
              <w:rPr>
                <w:rFonts w:hint="eastAsia" w:ascii="宋体" w:hAnsi="宋体" w:eastAsia="宋体" w:cs="宋体"/>
                <w:sz w:val="24"/>
                <w:szCs w:val="24"/>
              </w:rPr>
              <w:t>显示单元采用超宽视设</w:t>
            </w:r>
            <w:r>
              <w:rPr>
                <w:rFonts w:hint="default" w:ascii="Calibri" w:hAnsi="Calibri" w:cs="Calibri"/>
                <w:sz w:val="24"/>
                <w:szCs w:val="24"/>
              </w:rPr>
              <w:t xml:space="preserve">   </w:t>
            </w:r>
            <w:r>
              <w:rPr>
                <w:rFonts w:hint="eastAsia" w:ascii="宋体" w:hAnsi="宋体" w:eastAsia="宋体" w:cs="宋体"/>
                <w:sz w:val="24"/>
                <w:szCs w:val="24"/>
              </w:rPr>
              <w:t>计角液晶屏，视角可达</w:t>
            </w:r>
            <w:r>
              <w:rPr>
                <w:rFonts w:hint="default" w:ascii="Calibri" w:hAnsi="Calibri" w:cs="Calibri"/>
                <w:sz w:val="24"/>
                <w:szCs w:val="24"/>
              </w:rPr>
              <w:t>178</w:t>
            </w:r>
            <w:r>
              <w:rPr>
                <w:rFonts w:hint="eastAsia" w:ascii="宋体" w:hAnsi="宋体" w:eastAsia="宋体" w:cs="宋体"/>
                <w:sz w:val="24"/>
                <w:szCs w:val="24"/>
              </w:rPr>
              <w:t>°，画面的输出精确和稳定，色彩饱和靓丽，屏幕更加明亮；屏幕漏光度≤</w:t>
            </w:r>
            <w:r>
              <w:rPr>
                <w:rFonts w:hint="default" w:ascii="Calibri" w:hAnsi="Calibri" w:cs="Calibri"/>
                <w:sz w:val="24"/>
                <w:szCs w:val="24"/>
              </w:rPr>
              <w:t>0.01cd/</w:t>
            </w:r>
            <w:r>
              <w:rPr>
                <w:rFonts w:hint="eastAsia" w:ascii="宋体" w:hAnsi="宋体" w:eastAsia="宋体" w:cs="宋体"/>
                <w:sz w:val="24"/>
                <w:szCs w:val="24"/>
              </w:rPr>
              <w:t>㎡，可抵抗太阳光等强光干扰</w:t>
            </w:r>
            <w:r>
              <w:rPr>
                <w:rFonts w:hint="default" w:ascii="Calibri" w:hAnsi="Calibri" w:cs="Calibri"/>
                <w:sz w:val="24"/>
                <w:szCs w:val="24"/>
              </w:rPr>
              <w:t>,</w:t>
            </w:r>
            <w:r>
              <w:rPr>
                <w:rFonts w:hint="eastAsia" w:ascii="宋体" w:hAnsi="宋体" w:eastAsia="宋体" w:cs="宋体"/>
                <w:sz w:val="24"/>
                <w:szCs w:val="24"/>
              </w:rPr>
              <w:t>照度在</w:t>
            </w:r>
            <w:r>
              <w:rPr>
                <w:rFonts w:hint="default" w:ascii="Calibri" w:hAnsi="Calibri" w:cs="Calibri"/>
                <w:sz w:val="24"/>
                <w:szCs w:val="24"/>
              </w:rPr>
              <w:t>95KLux</w:t>
            </w:r>
            <w:r>
              <w:rPr>
                <w:rFonts w:hint="eastAsia" w:ascii="宋体" w:hAnsi="宋体" w:eastAsia="宋体" w:cs="宋体"/>
                <w:sz w:val="24"/>
                <w:szCs w:val="24"/>
              </w:rPr>
              <w:t>能正常工作；</w:t>
            </w:r>
            <w:r>
              <w:rPr>
                <w:rFonts w:hint="default" w:ascii="Calibri" w:hAnsi="Calibri" w:cs="Calibri"/>
                <w:sz w:val="24"/>
                <w:szCs w:val="24"/>
              </w:rPr>
              <w:t> </w:t>
            </w:r>
          </w:p>
          <w:p>
            <w:pPr>
              <w:pStyle w:val="4"/>
              <w:keepNext w:val="0"/>
              <w:keepLines w:val="0"/>
              <w:widowControl/>
              <w:suppressLineNumbers w:val="0"/>
              <w:wordWrap w:val="0"/>
              <w:spacing w:before="0" w:beforeAutospacing="1" w:after="0" w:afterAutospacing="1" w:line="315" w:lineRule="atLeast"/>
              <w:ind w:left="0" w:right="0" w:firstLine="0"/>
            </w:pPr>
            <w:r>
              <w:rPr>
                <w:rFonts w:hint="default" w:ascii="Calibri" w:hAnsi="Calibri" w:cs="Calibri"/>
                <w:sz w:val="24"/>
                <w:szCs w:val="24"/>
              </w:rPr>
              <w:t>3.</w:t>
            </w:r>
            <w:r>
              <w:rPr>
                <w:rFonts w:hint="default" w:ascii="Times New Roman" w:hAnsi="Times New Roman" w:cs="Times New Roman"/>
                <w:sz w:val="13"/>
                <w:szCs w:val="13"/>
              </w:rPr>
              <w:t xml:space="preserve">           </w:t>
            </w:r>
            <w:r>
              <w:rPr>
                <w:rFonts w:hint="eastAsia" w:ascii="宋体" w:hAnsi="宋体" w:eastAsia="宋体" w:cs="宋体"/>
                <w:sz w:val="24"/>
                <w:szCs w:val="24"/>
              </w:rPr>
              <w:t>液晶拼接屏必须采用整机，严禁使用飞线屏（供货时如果发现飞线屏，业主有权取消中标资格），显示屏具备完整后壳，不得以支架或挡板替代，无任何裸露在外的电路线，整体美观大方，而且产品符合检测规范；</w:t>
            </w:r>
          </w:p>
          <w:p>
            <w:pPr>
              <w:pStyle w:val="4"/>
              <w:keepNext w:val="0"/>
              <w:keepLines w:val="0"/>
              <w:widowControl/>
              <w:suppressLineNumbers w:val="0"/>
              <w:wordWrap w:val="0"/>
              <w:spacing w:before="0" w:beforeAutospacing="1" w:after="0" w:afterAutospacing="1" w:line="315" w:lineRule="atLeast"/>
              <w:ind w:left="0" w:right="0" w:firstLine="0"/>
            </w:pPr>
            <w:r>
              <w:rPr>
                <w:rFonts w:hint="default" w:ascii="Calibri" w:hAnsi="Calibri" w:cs="Calibri"/>
                <w:sz w:val="24"/>
                <w:szCs w:val="24"/>
              </w:rPr>
              <w:t>4.</w:t>
            </w:r>
            <w:r>
              <w:rPr>
                <w:rFonts w:hint="default" w:ascii="Times New Roman" w:hAnsi="Times New Roman" w:cs="Times New Roman"/>
                <w:sz w:val="13"/>
                <w:szCs w:val="13"/>
              </w:rPr>
              <w:t xml:space="preserve">           </w:t>
            </w:r>
            <w:r>
              <w:rPr>
                <w:rFonts w:hint="default" w:ascii="Calibri" w:hAnsi="Calibri" w:cs="Calibri"/>
                <w:sz w:val="24"/>
                <w:szCs w:val="24"/>
              </w:rPr>
              <w:t> LCD</w:t>
            </w:r>
            <w:r>
              <w:rPr>
                <w:rFonts w:hint="eastAsia" w:ascii="宋体" w:hAnsi="宋体" w:eastAsia="宋体" w:cs="宋体"/>
                <w:sz w:val="24"/>
                <w:szCs w:val="24"/>
              </w:rPr>
              <w:t>显示单元具备智能光感护眼功能</w:t>
            </w:r>
            <w:r>
              <w:rPr>
                <w:rFonts w:hint="default" w:ascii="Calibri" w:hAnsi="Calibri" w:cs="Calibri"/>
                <w:sz w:val="24"/>
                <w:szCs w:val="24"/>
              </w:rPr>
              <w:t>,</w:t>
            </w:r>
            <w:r>
              <w:rPr>
                <w:rFonts w:hint="eastAsia" w:ascii="宋体" w:hAnsi="宋体" w:eastAsia="宋体" w:cs="宋体"/>
                <w:sz w:val="24"/>
                <w:szCs w:val="24"/>
              </w:rPr>
              <w:t>液晶单元可自动识别环境光强弱</w:t>
            </w:r>
            <w:r>
              <w:rPr>
                <w:rFonts w:hint="default" w:ascii="Calibri" w:hAnsi="Calibri" w:cs="Calibri"/>
                <w:sz w:val="24"/>
                <w:szCs w:val="24"/>
              </w:rPr>
              <w:t>,</w:t>
            </w:r>
            <w:r>
              <w:rPr>
                <w:rFonts w:hint="eastAsia" w:ascii="宋体" w:hAnsi="宋体" w:eastAsia="宋体" w:cs="宋体"/>
                <w:sz w:val="24"/>
                <w:szCs w:val="24"/>
              </w:rPr>
              <w:t>根据环境光变化调节屏幕亮度；</w:t>
            </w:r>
            <w:r>
              <w:rPr>
                <w:rFonts w:hint="default" w:ascii="Calibri" w:hAnsi="Calibri" w:cs="Calibri"/>
                <w:sz w:val="24"/>
                <w:szCs w:val="24"/>
              </w:rPr>
              <w:t> </w:t>
            </w:r>
          </w:p>
          <w:p>
            <w:pPr>
              <w:pStyle w:val="4"/>
              <w:keepNext w:val="0"/>
              <w:keepLines w:val="0"/>
              <w:widowControl/>
              <w:suppressLineNumbers w:val="0"/>
              <w:wordWrap w:val="0"/>
              <w:spacing w:before="0" w:beforeAutospacing="1" w:after="0" w:afterAutospacing="1" w:line="315" w:lineRule="atLeast"/>
              <w:ind w:left="0" w:right="0" w:firstLine="0"/>
            </w:pPr>
            <w:r>
              <w:rPr>
                <w:rFonts w:hint="default" w:ascii="Calibri" w:hAnsi="Calibri" w:cs="Calibri"/>
                <w:sz w:val="24"/>
                <w:szCs w:val="24"/>
              </w:rPr>
              <w:t>5.</w:t>
            </w:r>
            <w:r>
              <w:rPr>
                <w:rFonts w:hint="default" w:ascii="Times New Roman" w:hAnsi="Times New Roman" w:cs="Times New Roman"/>
                <w:sz w:val="13"/>
                <w:szCs w:val="13"/>
              </w:rPr>
              <w:t xml:space="preserve">           </w:t>
            </w:r>
            <w:r>
              <w:rPr>
                <w:rFonts w:hint="eastAsia" w:ascii="宋体" w:hAnsi="宋体" w:eastAsia="宋体" w:cs="宋体"/>
                <w:sz w:val="24"/>
                <w:szCs w:val="24"/>
              </w:rPr>
              <w:t>具有节能功能；可以实现拼接单元的自动变频节能功能；打开“节能模式”时，对应拼接单元上会依次显示实时百分比功率、实时功率、累计功率、节能减排等直观显示项目。显示单元支持定时屏保和开启。背光手动控制功能，可以手动调节背光</w:t>
            </w:r>
            <w:r>
              <w:rPr>
                <w:rFonts w:hint="default" w:ascii="Calibri" w:hAnsi="Calibri" w:cs="Calibri"/>
                <w:sz w:val="24"/>
                <w:szCs w:val="24"/>
              </w:rPr>
              <w:t>,</w:t>
            </w:r>
            <w:r>
              <w:rPr>
                <w:rFonts w:hint="eastAsia" w:ascii="宋体" w:hAnsi="宋体" w:eastAsia="宋体" w:cs="宋体"/>
                <w:sz w:val="24"/>
                <w:szCs w:val="24"/>
              </w:rPr>
              <w:t>支持一键开启或关闭背光功能，实现节能环保效果；</w:t>
            </w:r>
          </w:p>
          <w:p>
            <w:pPr>
              <w:pStyle w:val="4"/>
              <w:keepNext w:val="0"/>
              <w:keepLines w:val="0"/>
              <w:widowControl/>
              <w:suppressLineNumbers w:val="0"/>
              <w:wordWrap w:val="0"/>
              <w:spacing w:before="0" w:beforeAutospacing="1" w:after="0" w:afterAutospacing="1" w:line="315" w:lineRule="atLeast"/>
              <w:ind w:left="0" w:right="0" w:firstLine="0"/>
            </w:pPr>
            <w:r>
              <w:rPr>
                <w:rFonts w:hint="default" w:ascii="Calibri" w:hAnsi="Calibri" w:cs="Calibri"/>
                <w:sz w:val="24"/>
                <w:szCs w:val="24"/>
              </w:rPr>
              <w:t>6.</w:t>
            </w:r>
            <w:r>
              <w:rPr>
                <w:rFonts w:hint="default" w:ascii="Times New Roman" w:hAnsi="Times New Roman" w:cs="Times New Roman"/>
                <w:sz w:val="13"/>
                <w:szCs w:val="13"/>
              </w:rPr>
              <w:t xml:space="preserve">           </w:t>
            </w:r>
            <w:r>
              <w:rPr>
                <w:rFonts w:hint="default" w:ascii="Calibri" w:hAnsi="Calibri" w:cs="Calibri"/>
                <w:sz w:val="24"/>
                <w:szCs w:val="24"/>
              </w:rPr>
              <w:t> LCD</w:t>
            </w:r>
            <w:r>
              <w:rPr>
                <w:rFonts w:hint="eastAsia" w:ascii="宋体" w:hAnsi="宋体" w:eastAsia="宋体" w:cs="宋体"/>
                <w:sz w:val="24"/>
                <w:szCs w:val="24"/>
              </w:rPr>
              <w:t>显示单元支持</w:t>
            </w:r>
            <w:r>
              <w:rPr>
                <w:rFonts w:hint="default" w:ascii="Calibri" w:hAnsi="Calibri" w:cs="Calibri"/>
                <w:sz w:val="24"/>
                <w:szCs w:val="24"/>
              </w:rPr>
              <w:t>U</w:t>
            </w:r>
            <w:r>
              <w:rPr>
                <w:rFonts w:hint="eastAsia" w:ascii="宋体" w:hAnsi="宋体" w:eastAsia="宋体" w:cs="宋体"/>
                <w:sz w:val="24"/>
                <w:szCs w:val="24"/>
              </w:rPr>
              <w:t>盘点播，内置</w:t>
            </w:r>
            <w:r>
              <w:rPr>
                <w:rFonts w:hint="default" w:ascii="Calibri" w:hAnsi="Calibri" w:cs="Calibri"/>
                <w:sz w:val="24"/>
                <w:szCs w:val="24"/>
              </w:rPr>
              <w:t>MPEG</w:t>
            </w:r>
            <w:r>
              <w:rPr>
                <w:rFonts w:hint="eastAsia" w:ascii="宋体" w:hAnsi="宋体" w:eastAsia="宋体" w:cs="宋体"/>
                <w:sz w:val="24"/>
                <w:szCs w:val="24"/>
              </w:rPr>
              <w:t>、</w:t>
            </w:r>
            <w:r>
              <w:rPr>
                <w:rFonts w:hint="default" w:ascii="Calibri" w:hAnsi="Calibri" w:cs="Calibri"/>
                <w:sz w:val="24"/>
                <w:szCs w:val="24"/>
              </w:rPr>
              <w:t>JPEG</w:t>
            </w:r>
            <w:r>
              <w:rPr>
                <w:rFonts w:hint="eastAsia" w:ascii="宋体" w:hAnsi="宋体" w:eastAsia="宋体" w:cs="宋体"/>
                <w:sz w:val="24"/>
                <w:szCs w:val="24"/>
              </w:rPr>
              <w:t>和</w:t>
            </w:r>
            <w:r>
              <w:rPr>
                <w:rFonts w:hint="default" w:ascii="Calibri" w:hAnsi="Calibri" w:cs="Calibri"/>
                <w:sz w:val="24"/>
                <w:szCs w:val="24"/>
              </w:rPr>
              <w:t>RealMedia</w:t>
            </w:r>
            <w:r>
              <w:rPr>
                <w:rFonts w:hint="eastAsia" w:ascii="宋体" w:hAnsi="宋体" w:eastAsia="宋体" w:cs="宋体"/>
                <w:sz w:val="24"/>
                <w:szCs w:val="24"/>
              </w:rPr>
              <w:t>解码器，支持点播</w:t>
            </w:r>
            <w:r>
              <w:rPr>
                <w:rFonts w:hint="default" w:ascii="Calibri" w:hAnsi="Calibri" w:cs="Calibri"/>
                <w:sz w:val="24"/>
                <w:szCs w:val="24"/>
              </w:rPr>
              <w:t>U</w:t>
            </w:r>
            <w:r>
              <w:rPr>
                <w:rFonts w:hint="eastAsia" w:ascii="宋体" w:hAnsi="宋体" w:eastAsia="宋体" w:cs="宋体"/>
                <w:sz w:val="24"/>
                <w:szCs w:val="24"/>
              </w:rPr>
              <w:t>盘、移动硬盘中的视频、图片、音频或文本资源；视频：支持</w:t>
            </w:r>
            <w:r>
              <w:rPr>
                <w:rFonts w:hint="default" w:ascii="Calibri" w:hAnsi="Calibri" w:cs="Calibri"/>
                <w:sz w:val="24"/>
                <w:szCs w:val="24"/>
              </w:rPr>
              <w:t>TS</w:t>
            </w:r>
            <w:r>
              <w:rPr>
                <w:rFonts w:hint="eastAsia" w:ascii="宋体" w:hAnsi="宋体" w:eastAsia="宋体" w:cs="宋体"/>
                <w:sz w:val="24"/>
                <w:szCs w:val="24"/>
              </w:rPr>
              <w:t>、</w:t>
            </w:r>
            <w:r>
              <w:rPr>
                <w:rFonts w:hint="default" w:ascii="Calibri" w:hAnsi="Calibri" w:cs="Calibri"/>
                <w:sz w:val="24"/>
                <w:szCs w:val="24"/>
              </w:rPr>
              <w:t>3g2</w:t>
            </w:r>
            <w:r>
              <w:rPr>
                <w:rFonts w:hint="eastAsia" w:ascii="宋体" w:hAnsi="宋体" w:eastAsia="宋体" w:cs="宋体"/>
                <w:sz w:val="24"/>
                <w:szCs w:val="24"/>
              </w:rPr>
              <w:t>、</w:t>
            </w:r>
            <w:r>
              <w:rPr>
                <w:rFonts w:hint="default" w:ascii="Calibri" w:hAnsi="Calibri" w:cs="Calibri"/>
                <w:sz w:val="24"/>
                <w:szCs w:val="24"/>
              </w:rPr>
              <w:t>avi</w:t>
            </w:r>
            <w:r>
              <w:rPr>
                <w:rFonts w:hint="eastAsia" w:ascii="宋体" w:hAnsi="宋体" w:eastAsia="宋体" w:cs="宋体"/>
                <w:sz w:val="24"/>
                <w:szCs w:val="24"/>
              </w:rPr>
              <w:t>、</w:t>
            </w:r>
            <w:r>
              <w:rPr>
                <w:rFonts w:hint="default" w:ascii="Calibri" w:hAnsi="Calibri" w:cs="Calibri"/>
                <w:sz w:val="24"/>
                <w:szCs w:val="24"/>
              </w:rPr>
              <w:t>mkv</w:t>
            </w:r>
            <w:r>
              <w:rPr>
                <w:rFonts w:hint="eastAsia" w:ascii="宋体" w:hAnsi="宋体" w:eastAsia="宋体" w:cs="宋体"/>
                <w:sz w:val="24"/>
                <w:szCs w:val="24"/>
              </w:rPr>
              <w:t>、</w:t>
            </w:r>
            <w:r>
              <w:rPr>
                <w:rFonts w:hint="default" w:ascii="Calibri" w:hAnsi="Calibri" w:cs="Calibri"/>
                <w:sz w:val="24"/>
                <w:szCs w:val="24"/>
              </w:rPr>
              <w:t>mov</w:t>
            </w:r>
            <w:r>
              <w:rPr>
                <w:rFonts w:hint="eastAsia" w:ascii="宋体" w:hAnsi="宋体" w:eastAsia="宋体" w:cs="宋体"/>
                <w:sz w:val="24"/>
                <w:szCs w:val="24"/>
              </w:rPr>
              <w:t>、</w:t>
            </w:r>
            <w:r>
              <w:rPr>
                <w:rFonts w:hint="default" w:ascii="Calibri" w:hAnsi="Calibri" w:cs="Calibri"/>
                <w:sz w:val="24"/>
                <w:szCs w:val="24"/>
              </w:rPr>
              <w:t>mp4</w:t>
            </w:r>
            <w:r>
              <w:rPr>
                <w:rFonts w:hint="eastAsia" w:ascii="宋体" w:hAnsi="宋体" w:eastAsia="宋体" w:cs="宋体"/>
                <w:sz w:val="24"/>
                <w:szCs w:val="24"/>
              </w:rPr>
              <w:t>、</w:t>
            </w:r>
            <w:r>
              <w:rPr>
                <w:rFonts w:hint="default" w:ascii="Calibri" w:hAnsi="Calibri" w:cs="Calibri"/>
                <w:sz w:val="24"/>
                <w:szCs w:val="24"/>
              </w:rPr>
              <w:t>mpg</w:t>
            </w:r>
            <w:r>
              <w:rPr>
                <w:rFonts w:hint="eastAsia" w:ascii="宋体" w:hAnsi="宋体" w:eastAsia="宋体" w:cs="宋体"/>
                <w:sz w:val="24"/>
                <w:szCs w:val="24"/>
              </w:rPr>
              <w:t>、</w:t>
            </w:r>
            <w:r>
              <w:rPr>
                <w:rFonts w:hint="default" w:ascii="Calibri" w:hAnsi="Calibri" w:cs="Calibri"/>
                <w:sz w:val="24"/>
                <w:szCs w:val="24"/>
              </w:rPr>
              <w:t>tp</w:t>
            </w:r>
            <w:r>
              <w:rPr>
                <w:rFonts w:hint="eastAsia" w:ascii="宋体" w:hAnsi="宋体" w:eastAsia="宋体" w:cs="宋体"/>
                <w:sz w:val="24"/>
                <w:szCs w:val="24"/>
              </w:rPr>
              <w:t>等文件；音频：支持</w:t>
            </w:r>
            <w:r>
              <w:rPr>
                <w:rFonts w:hint="default" w:ascii="Calibri" w:hAnsi="Calibri" w:cs="Calibri"/>
                <w:sz w:val="24"/>
                <w:szCs w:val="24"/>
              </w:rPr>
              <w:t>mp3</w:t>
            </w:r>
            <w:r>
              <w:rPr>
                <w:rFonts w:hint="eastAsia" w:ascii="宋体" w:hAnsi="宋体" w:eastAsia="宋体" w:cs="宋体"/>
                <w:sz w:val="24"/>
                <w:szCs w:val="24"/>
              </w:rPr>
              <w:t>、</w:t>
            </w:r>
            <w:r>
              <w:rPr>
                <w:rFonts w:hint="default" w:ascii="Calibri" w:hAnsi="Calibri" w:cs="Calibri"/>
                <w:sz w:val="24"/>
                <w:szCs w:val="24"/>
              </w:rPr>
              <w:t>wma</w:t>
            </w:r>
            <w:r>
              <w:rPr>
                <w:rFonts w:hint="eastAsia" w:ascii="宋体" w:hAnsi="宋体" w:eastAsia="宋体" w:cs="宋体"/>
                <w:sz w:val="24"/>
                <w:szCs w:val="24"/>
              </w:rPr>
              <w:t>、</w:t>
            </w:r>
            <w:r>
              <w:rPr>
                <w:rFonts w:hint="default" w:ascii="Calibri" w:hAnsi="Calibri" w:cs="Calibri"/>
                <w:sz w:val="24"/>
                <w:szCs w:val="24"/>
              </w:rPr>
              <w:t>m4a</w:t>
            </w:r>
            <w:r>
              <w:rPr>
                <w:rFonts w:hint="eastAsia" w:ascii="宋体" w:hAnsi="宋体" w:eastAsia="宋体" w:cs="宋体"/>
                <w:sz w:val="24"/>
                <w:szCs w:val="24"/>
              </w:rPr>
              <w:t>、</w:t>
            </w:r>
            <w:r>
              <w:rPr>
                <w:rFonts w:hint="default" w:ascii="Calibri" w:hAnsi="Calibri" w:cs="Calibri"/>
                <w:sz w:val="24"/>
                <w:szCs w:val="24"/>
              </w:rPr>
              <w:t>wav</w:t>
            </w:r>
            <w:r>
              <w:rPr>
                <w:rFonts w:hint="eastAsia" w:ascii="宋体" w:hAnsi="宋体" w:eastAsia="宋体" w:cs="宋体"/>
                <w:sz w:val="24"/>
                <w:szCs w:val="24"/>
              </w:rPr>
              <w:t>、</w:t>
            </w:r>
            <w:r>
              <w:rPr>
                <w:rFonts w:hint="default" w:ascii="Calibri" w:hAnsi="Calibri" w:cs="Calibri"/>
                <w:sz w:val="24"/>
                <w:szCs w:val="24"/>
              </w:rPr>
              <w:t>aac</w:t>
            </w:r>
            <w:r>
              <w:rPr>
                <w:rFonts w:hint="eastAsia" w:ascii="宋体" w:hAnsi="宋体" w:eastAsia="宋体" w:cs="宋体"/>
                <w:sz w:val="24"/>
                <w:szCs w:val="24"/>
              </w:rPr>
              <w:t>等文件；图片：支持</w:t>
            </w:r>
            <w:r>
              <w:rPr>
                <w:rFonts w:hint="default" w:ascii="Calibri" w:hAnsi="Calibri" w:cs="Calibri"/>
                <w:sz w:val="24"/>
                <w:szCs w:val="24"/>
              </w:rPr>
              <w:t>jpg</w:t>
            </w:r>
            <w:r>
              <w:rPr>
                <w:rFonts w:hint="eastAsia" w:ascii="宋体" w:hAnsi="宋体" w:eastAsia="宋体" w:cs="宋体"/>
                <w:sz w:val="24"/>
                <w:szCs w:val="24"/>
              </w:rPr>
              <w:t>、</w:t>
            </w:r>
            <w:r>
              <w:rPr>
                <w:rFonts w:hint="default" w:ascii="Calibri" w:hAnsi="Calibri" w:cs="Calibri"/>
                <w:sz w:val="24"/>
                <w:szCs w:val="24"/>
              </w:rPr>
              <w:t>bmp</w:t>
            </w:r>
            <w:r>
              <w:rPr>
                <w:rFonts w:hint="eastAsia" w:ascii="宋体" w:hAnsi="宋体" w:eastAsia="宋体" w:cs="宋体"/>
                <w:sz w:val="24"/>
                <w:szCs w:val="24"/>
              </w:rPr>
              <w:t>、</w:t>
            </w:r>
            <w:r>
              <w:rPr>
                <w:rFonts w:hint="default" w:ascii="Calibri" w:hAnsi="Calibri" w:cs="Calibri"/>
                <w:sz w:val="24"/>
                <w:szCs w:val="24"/>
              </w:rPr>
              <w:t>png</w:t>
            </w:r>
            <w:r>
              <w:rPr>
                <w:rFonts w:hint="eastAsia" w:ascii="宋体" w:hAnsi="宋体" w:eastAsia="宋体" w:cs="宋体"/>
                <w:sz w:val="24"/>
                <w:szCs w:val="24"/>
              </w:rPr>
              <w:t>等文件；文本：支持</w:t>
            </w:r>
            <w:r>
              <w:rPr>
                <w:rFonts w:hint="default" w:ascii="Calibri" w:hAnsi="Calibri" w:cs="Calibri"/>
                <w:sz w:val="24"/>
                <w:szCs w:val="24"/>
              </w:rPr>
              <w:t>txt</w:t>
            </w:r>
            <w:r>
              <w:rPr>
                <w:rFonts w:hint="eastAsia" w:ascii="宋体" w:hAnsi="宋体" w:eastAsia="宋体" w:cs="宋体"/>
                <w:sz w:val="24"/>
                <w:szCs w:val="24"/>
              </w:rPr>
              <w:t>文件；</w:t>
            </w:r>
          </w:p>
          <w:p>
            <w:pPr>
              <w:pStyle w:val="4"/>
              <w:keepNext w:val="0"/>
              <w:keepLines w:val="0"/>
              <w:widowControl/>
              <w:suppressLineNumbers w:val="0"/>
              <w:wordWrap w:val="0"/>
              <w:spacing w:before="0" w:beforeAutospacing="1" w:after="0" w:afterAutospacing="1" w:line="315" w:lineRule="atLeast"/>
              <w:ind w:left="0" w:right="0" w:firstLine="0"/>
            </w:pPr>
            <w:r>
              <w:rPr>
                <w:rFonts w:hint="default" w:ascii="Calibri" w:hAnsi="Calibri" w:cs="Calibri"/>
                <w:sz w:val="24"/>
                <w:szCs w:val="24"/>
              </w:rPr>
              <w:t>7.</w:t>
            </w:r>
            <w:r>
              <w:rPr>
                <w:rFonts w:hint="default" w:ascii="Times New Roman" w:hAnsi="Times New Roman" w:cs="Times New Roman"/>
                <w:sz w:val="13"/>
                <w:szCs w:val="13"/>
              </w:rPr>
              <w:t xml:space="preserve">           </w:t>
            </w:r>
            <w:r>
              <w:rPr>
                <w:rFonts w:hint="default" w:ascii="Calibri" w:hAnsi="Calibri" w:cs="Calibri"/>
                <w:sz w:val="24"/>
                <w:szCs w:val="24"/>
              </w:rPr>
              <w:t> LCD</w:t>
            </w:r>
            <w:r>
              <w:rPr>
                <w:rFonts w:hint="eastAsia" w:ascii="宋体" w:hAnsi="宋体" w:eastAsia="宋体" w:cs="宋体"/>
                <w:sz w:val="24"/>
                <w:szCs w:val="24"/>
              </w:rPr>
              <w:t>显单元支持</w:t>
            </w:r>
            <w:r>
              <w:rPr>
                <w:rFonts w:hint="default" w:ascii="Calibri" w:hAnsi="Calibri" w:cs="Calibri"/>
                <w:sz w:val="24"/>
                <w:szCs w:val="24"/>
              </w:rPr>
              <w:t>HDTVI</w:t>
            </w:r>
            <w:r>
              <w:rPr>
                <w:rFonts w:hint="eastAsia" w:ascii="宋体" w:hAnsi="宋体" w:eastAsia="宋体" w:cs="宋体"/>
                <w:sz w:val="24"/>
                <w:szCs w:val="24"/>
              </w:rPr>
              <w:t>同轴高清视频信号，带一入一出环通接口。支持分辨率：</w:t>
            </w:r>
            <w:r>
              <w:rPr>
                <w:rFonts w:hint="default" w:ascii="Calibri" w:hAnsi="Calibri" w:cs="Calibri"/>
                <w:sz w:val="24"/>
                <w:szCs w:val="24"/>
              </w:rPr>
              <w:t>720P@50Hz/60Hz</w:t>
            </w:r>
            <w:r>
              <w:rPr>
                <w:rFonts w:hint="eastAsia" w:ascii="宋体" w:hAnsi="宋体" w:eastAsia="宋体" w:cs="宋体"/>
                <w:sz w:val="24"/>
                <w:szCs w:val="24"/>
              </w:rPr>
              <w:t>、</w:t>
            </w:r>
            <w:r>
              <w:rPr>
                <w:rFonts w:hint="default" w:ascii="Calibri" w:hAnsi="Calibri" w:cs="Calibri"/>
                <w:sz w:val="24"/>
                <w:szCs w:val="24"/>
              </w:rPr>
              <w:t>720P@25Hz/30Hz</w:t>
            </w:r>
            <w:r>
              <w:rPr>
                <w:rFonts w:hint="eastAsia" w:ascii="宋体" w:hAnsi="宋体" w:eastAsia="宋体" w:cs="宋体"/>
                <w:sz w:val="24"/>
                <w:szCs w:val="24"/>
              </w:rPr>
              <w:t>、</w:t>
            </w:r>
            <w:r>
              <w:rPr>
                <w:rFonts w:hint="default" w:ascii="Calibri" w:hAnsi="Calibri" w:cs="Calibri"/>
                <w:sz w:val="24"/>
                <w:szCs w:val="24"/>
              </w:rPr>
              <w:t>1080P@25Hz/30Hz</w:t>
            </w:r>
            <w:r>
              <w:rPr>
                <w:rFonts w:hint="eastAsia" w:ascii="宋体" w:hAnsi="宋体" w:eastAsia="宋体" w:cs="宋体"/>
                <w:sz w:val="24"/>
                <w:szCs w:val="24"/>
              </w:rPr>
              <w:t>；（提供封面首页具有</w:t>
            </w:r>
            <w:r>
              <w:rPr>
                <w:rFonts w:hint="default" w:ascii="Calibri" w:hAnsi="Calibri" w:cs="Calibri"/>
                <w:sz w:val="24"/>
                <w:szCs w:val="24"/>
              </w:rPr>
              <w:t>CNAS</w:t>
            </w:r>
            <w:r>
              <w:rPr>
                <w:rFonts w:hint="eastAsia" w:ascii="宋体" w:hAnsi="宋体" w:eastAsia="宋体" w:cs="宋体"/>
                <w:sz w:val="24"/>
                <w:szCs w:val="24"/>
              </w:rPr>
              <w:t>标识的第三方检测报告复印件）</w:t>
            </w:r>
          </w:p>
          <w:p>
            <w:pPr>
              <w:pStyle w:val="4"/>
              <w:keepNext w:val="0"/>
              <w:keepLines w:val="0"/>
              <w:widowControl/>
              <w:suppressLineNumbers w:val="0"/>
              <w:wordWrap w:val="0"/>
              <w:spacing w:before="0" w:beforeAutospacing="1" w:after="0" w:afterAutospacing="1" w:line="315" w:lineRule="atLeast"/>
              <w:ind w:left="0" w:right="0" w:firstLine="0"/>
            </w:pPr>
            <w:r>
              <w:rPr>
                <w:rFonts w:hint="default" w:ascii="Calibri" w:hAnsi="Calibri" w:cs="Calibri"/>
                <w:sz w:val="24"/>
                <w:szCs w:val="24"/>
              </w:rPr>
              <w:t>8.</w:t>
            </w:r>
            <w:r>
              <w:rPr>
                <w:rFonts w:hint="default" w:ascii="Times New Roman" w:hAnsi="Times New Roman" w:cs="Times New Roman"/>
                <w:sz w:val="13"/>
                <w:szCs w:val="13"/>
              </w:rPr>
              <w:t xml:space="preserve">           </w:t>
            </w:r>
            <w:r>
              <w:rPr>
                <w:rFonts w:hint="default" w:ascii="Calibri" w:hAnsi="Calibri" w:cs="Calibri"/>
                <w:sz w:val="24"/>
                <w:szCs w:val="24"/>
              </w:rPr>
              <w:t>LCD</w:t>
            </w:r>
            <w:r>
              <w:rPr>
                <w:rFonts w:hint="eastAsia" w:ascii="宋体" w:hAnsi="宋体" w:eastAsia="宋体" w:cs="宋体"/>
                <w:sz w:val="24"/>
                <w:szCs w:val="24"/>
              </w:rPr>
              <w:t>显示单元支持全接口环通，支持</w:t>
            </w:r>
            <w:r>
              <w:rPr>
                <w:rFonts w:hint="default" w:ascii="Calibri" w:hAnsi="Calibri" w:cs="Calibri"/>
                <w:sz w:val="24"/>
                <w:szCs w:val="24"/>
              </w:rPr>
              <w:t>BNC</w:t>
            </w:r>
            <w:r>
              <w:rPr>
                <w:rFonts w:hint="eastAsia" w:ascii="宋体" w:hAnsi="宋体" w:eastAsia="宋体" w:cs="宋体"/>
                <w:sz w:val="24"/>
                <w:szCs w:val="24"/>
              </w:rPr>
              <w:t>、</w:t>
            </w:r>
            <w:r>
              <w:rPr>
                <w:rFonts w:hint="default" w:ascii="Calibri" w:hAnsi="Calibri" w:cs="Calibri"/>
                <w:sz w:val="24"/>
                <w:szCs w:val="24"/>
              </w:rPr>
              <w:t>VGA</w:t>
            </w:r>
            <w:r>
              <w:rPr>
                <w:rFonts w:hint="eastAsia" w:ascii="宋体" w:hAnsi="宋体" w:eastAsia="宋体" w:cs="宋体"/>
                <w:sz w:val="24"/>
                <w:szCs w:val="24"/>
              </w:rPr>
              <w:t>、</w:t>
            </w:r>
            <w:r>
              <w:rPr>
                <w:rFonts w:hint="default" w:ascii="Calibri" w:hAnsi="Calibri" w:cs="Calibri"/>
                <w:sz w:val="24"/>
                <w:szCs w:val="24"/>
              </w:rPr>
              <w:t>DVI</w:t>
            </w:r>
            <w:r>
              <w:rPr>
                <w:rFonts w:hint="eastAsia" w:ascii="宋体" w:hAnsi="宋体" w:eastAsia="宋体" w:cs="宋体"/>
                <w:sz w:val="24"/>
                <w:szCs w:val="24"/>
              </w:rPr>
              <w:t>、</w:t>
            </w:r>
            <w:r>
              <w:rPr>
                <w:rFonts w:hint="default" w:ascii="Calibri" w:hAnsi="Calibri" w:cs="Calibri"/>
                <w:sz w:val="24"/>
                <w:szCs w:val="24"/>
              </w:rPr>
              <w:t>SDI</w:t>
            </w:r>
            <w:r>
              <w:rPr>
                <w:rFonts w:hint="eastAsia" w:ascii="宋体" w:hAnsi="宋体" w:eastAsia="宋体" w:cs="宋体"/>
                <w:sz w:val="24"/>
                <w:szCs w:val="24"/>
              </w:rPr>
              <w:t>、</w:t>
            </w:r>
            <w:r>
              <w:rPr>
                <w:rFonts w:hint="default" w:ascii="Calibri" w:hAnsi="Calibri" w:cs="Calibri"/>
                <w:sz w:val="24"/>
                <w:szCs w:val="24"/>
              </w:rPr>
              <w:t>DP(4K)</w:t>
            </w:r>
            <w:r>
              <w:rPr>
                <w:rFonts w:hint="eastAsia" w:ascii="宋体" w:hAnsi="宋体" w:eastAsia="宋体" w:cs="宋体"/>
                <w:sz w:val="24"/>
                <w:szCs w:val="24"/>
              </w:rPr>
              <w:t>、</w:t>
            </w:r>
            <w:r>
              <w:rPr>
                <w:rFonts w:hint="default" w:ascii="Calibri" w:hAnsi="Calibri" w:cs="Calibri"/>
                <w:sz w:val="24"/>
                <w:szCs w:val="24"/>
              </w:rPr>
              <w:t>S-video</w:t>
            </w:r>
            <w:r>
              <w:rPr>
                <w:rFonts w:hint="eastAsia" w:ascii="宋体" w:hAnsi="宋体" w:eastAsia="宋体" w:cs="宋体"/>
                <w:sz w:val="24"/>
                <w:szCs w:val="24"/>
              </w:rPr>
              <w:t>等接口的环通，</w:t>
            </w:r>
            <w:r>
              <w:rPr>
                <w:rFonts w:hint="default" w:ascii="Calibri" w:hAnsi="Calibri" w:cs="Calibri"/>
                <w:sz w:val="24"/>
                <w:szCs w:val="24"/>
              </w:rPr>
              <w:t>BNC</w:t>
            </w:r>
            <w:r>
              <w:rPr>
                <w:rFonts w:hint="eastAsia" w:ascii="宋体" w:hAnsi="宋体" w:eastAsia="宋体" w:cs="宋体"/>
                <w:sz w:val="24"/>
                <w:szCs w:val="24"/>
              </w:rPr>
              <w:t>、</w:t>
            </w:r>
            <w:r>
              <w:rPr>
                <w:rFonts w:hint="default" w:ascii="Calibri" w:hAnsi="Calibri" w:cs="Calibri"/>
                <w:sz w:val="24"/>
                <w:szCs w:val="24"/>
              </w:rPr>
              <w:t>DVI</w:t>
            </w:r>
            <w:r>
              <w:rPr>
                <w:rFonts w:hint="eastAsia" w:ascii="宋体" w:hAnsi="宋体" w:eastAsia="宋体" w:cs="宋体"/>
                <w:sz w:val="24"/>
                <w:szCs w:val="24"/>
              </w:rPr>
              <w:t>、</w:t>
            </w:r>
            <w:r>
              <w:rPr>
                <w:rFonts w:hint="default" w:ascii="Calibri" w:hAnsi="Calibri" w:cs="Calibri"/>
                <w:sz w:val="24"/>
                <w:szCs w:val="24"/>
              </w:rPr>
              <w:t>VGA</w:t>
            </w:r>
            <w:r>
              <w:rPr>
                <w:rFonts w:hint="eastAsia" w:ascii="宋体" w:hAnsi="宋体" w:eastAsia="宋体" w:cs="宋体"/>
                <w:sz w:val="24"/>
                <w:szCs w:val="24"/>
              </w:rPr>
              <w:t>、</w:t>
            </w:r>
            <w:r>
              <w:rPr>
                <w:rFonts w:hint="default" w:ascii="Calibri" w:hAnsi="Calibri" w:cs="Calibri"/>
                <w:sz w:val="24"/>
                <w:szCs w:val="24"/>
              </w:rPr>
              <w:t>HDMI</w:t>
            </w:r>
            <w:r>
              <w:rPr>
                <w:rFonts w:hint="eastAsia" w:ascii="宋体" w:hAnsi="宋体" w:eastAsia="宋体" w:cs="宋体"/>
                <w:sz w:val="24"/>
                <w:szCs w:val="24"/>
              </w:rPr>
              <w:t>、</w:t>
            </w:r>
            <w:r>
              <w:rPr>
                <w:rFonts w:hint="default" w:ascii="Calibri" w:hAnsi="Calibri" w:cs="Calibri"/>
                <w:sz w:val="24"/>
                <w:szCs w:val="24"/>
              </w:rPr>
              <w:t>SDI</w:t>
            </w:r>
            <w:r>
              <w:rPr>
                <w:rFonts w:hint="eastAsia" w:ascii="宋体" w:hAnsi="宋体" w:eastAsia="宋体" w:cs="宋体"/>
                <w:sz w:val="24"/>
                <w:szCs w:val="24"/>
              </w:rPr>
              <w:t>、</w:t>
            </w:r>
            <w:r>
              <w:rPr>
                <w:rFonts w:hint="default" w:ascii="Calibri" w:hAnsi="Calibri" w:cs="Calibri"/>
                <w:sz w:val="24"/>
                <w:szCs w:val="24"/>
              </w:rPr>
              <w:t>DP(4K)</w:t>
            </w:r>
            <w:r>
              <w:rPr>
                <w:rFonts w:hint="eastAsia" w:ascii="宋体" w:hAnsi="宋体" w:eastAsia="宋体" w:cs="宋体"/>
                <w:sz w:val="24"/>
                <w:szCs w:val="24"/>
              </w:rPr>
              <w:t>、</w:t>
            </w:r>
            <w:r>
              <w:rPr>
                <w:rFonts w:hint="default" w:ascii="Calibri" w:hAnsi="Calibri" w:cs="Calibri"/>
                <w:sz w:val="24"/>
                <w:szCs w:val="24"/>
              </w:rPr>
              <w:t>S-video</w:t>
            </w:r>
            <w:r>
              <w:rPr>
                <w:rFonts w:hint="eastAsia" w:ascii="宋体" w:hAnsi="宋体" w:eastAsia="宋体" w:cs="宋体"/>
                <w:sz w:val="24"/>
                <w:szCs w:val="24"/>
              </w:rPr>
              <w:t>等信号的环通显示，及</w:t>
            </w:r>
            <w:r>
              <w:rPr>
                <w:rFonts w:hint="default" w:ascii="Calibri" w:hAnsi="Calibri" w:cs="Calibri"/>
                <w:sz w:val="24"/>
                <w:szCs w:val="24"/>
              </w:rPr>
              <w:t>RJ45</w:t>
            </w:r>
            <w:r>
              <w:rPr>
                <w:rFonts w:hint="eastAsia" w:ascii="宋体" w:hAnsi="宋体" w:eastAsia="宋体" w:cs="宋体"/>
                <w:sz w:val="24"/>
                <w:szCs w:val="24"/>
              </w:rPr>
              <w:t>接口环通输出；内置拼接处理引擎，配合环通接口，无需外设拼接控制器可实现自拼接显示；提供封面首页具有</w:t>
            </w:r>
            <w:r>
              <w:rPr>
                <w:rFonts w:hint="default" w:ascii="Calibri" w:hAnsi="Calibri" w:cs="Calibri"/>
                <w:sz w:val="24"/>
                <w:szCs w:val="24"/>
              </w:rPr>
              <w:t>CNAS</w:t>
            </w:r>
            <w:r>
              <w:rPr>
                <w:rFonts w:hint="eastAsia" w:ascii="宋体" w:hAnsi="宋体" w:eastAsia="宋体" w:cs="宋体"/>
                <w:sz w:val="24"/>
                <w:szCs w:val="24"/>
              </w:rPr>
              <w:t>标识的第三方检测报告复印件；</w:t>
            </w:r>
          </w:p>
          <w:p>
            <w:pPr>
              <w:pStyle w:val="4"/>
              <w:keepNext w:val="0"/>
              <w:keepLines w:val="0"/>
              <w:widowControl/>
              <w:suppressLineNumbers w:val="0"/>
              <w:wordWrap w:val="0"/>
              <w:spacing w:before="0" w:beforeAutospacing="1" w:after="0" w:afterAutospacing="1" w:line="315" w:lineRule="atLeast"/>
              <w:ind w:left="0" w:right="0" w:firstLine="0"/>
            </w:pPr>
            <w:r>
              <w:rPr>
                <w:rFonts w:hint="default" w:ascii="Calibri" w:hAnsi="Calibri" w:cs="Calibri"/>
                <w:sz w:val="24"/>
                <w:szCs w:val="24"/>
              </w:rPr>
              <w:t>9.</w:t>
            </w:r>
            <w:r>
              <w:rPr>
                <w:rFonts w:hint="default" w:ascii="Times New Roman" w:hAnsi="Times New Roman" w:cs="Times New Roman"/>
                <w:sz w:val="13"/>
                <w:szCs w:val="13"/>
              </w:rPr>
              <w:t xml:space="preserve">           </w:t>
            </w:r>
            <w:r>
              <w:rPr>
                <w:rFonts w:hint="default" w:ascii="Calibri" w:hAnsi="Calibri" w:cs="Calibri"/>
                <w:sz w:val="24"/>
                <w:szCs w:val="24"/>
              </w:rPr>
              <w:t>LCD</w:t>
            </w:r>
            <w:r>
              <w:rPr>
                <w:rFonts w:hint="eastAsia" w:ascii="宋体" w:hAnsi="宋体" w:eastAsia="宋体" w:cs="宋体"/>
                <w:sz w:val="24"/>
                <w:szCs w:val="24"/>
              </w:rPr>
              <w:t>显示单元内置黑白精显模式，可将彩色信号转换成黑白灰度模式并提高图像细节辨认能力；（提供封面首页具有</w:t>
            </w:r>
            <w:r>
              <w:rPr>
                <w:rFonts w:hint="default" w:ascii="Calibri" w:hAnsi="Calibri" w:cs="Calibri"/>
                <w:sz w:val="24"/>
                <w:szCs w:val="24"/>
              </w:rPr>
              <w:t>CNAS</w:t>
            </w:r>
            <w:r>
              <w:rPr>
                <w:rFonts w:hint="eastAsia" w:ascii="宋体" w:hAnsi="宋体" w:eastAsia="宋体" w:cs="宋体"/>
                <w:sz w:val="24"/>
                <w:szCs w:val="24"/>
              </w:rPr>
              <w:t>标识的第三方检测报告复印件）</w:t>
            </w:r>
          </w:p>
          <w:p>
            <w:pPr>
              <w:pStyle w:val="4"/>
              <w:keepNext w:val="0"/>
              <w:keepLines w:val="0"/>
              <w:widowControl/>
              <w:suppressLineNumbers w:val="0"/>
              <w:wordWrap w:val="0"/>
              <w:spacing w:before="0" w:beforeAutospacing="1" w:after="0" w:afterAutospacing="1" w:line="315" w:lineRule="atLeast"/>
              <w:ind w:left="0" w:right="0" w:firstLine="0"/>
            </w:pPr>
            <w:r>
              <w:rPr>
                <w:rFonts w:hint="default" w:ascii="Calibri" w:hAnsi="Calibri" w:cs="Calibri"/>
                <w:sz w:val="24"/>
                <w:szCs w:val="24"/>
              </w:rPr>
              <w:t>10.</w:t>
            </w:r>
            <w:r>
              <w:rPr>
                <w:rFonts w:hint="default" w:ascii="Times New Roman" w:hAnsi="Times New Roman" w:cs="Times New Roman"/>
                <w:sz w:val="13"/>
                <w:szCs w:val="13"/>
              </w:rPr>
              <w:t xml:space="preserve">       </w:t>
            </w:r>
            <w:r>
              <w:rPr>
                <w:rFonts w:hint="default" w:ascii="Calibri" w:hAnsi="Calibri" w:cs="Calibri"/>
                <w:sz w:val="24"/>
                <w:szCs w:val="24"/>
              </w:rPr>
              <w:t>LCD</w:t>
            </w:r>
            <w:r>
              <w:rPr>
                <w:rFonts w:hint="eastAsia" w:ascii="宋体" w:hAnsi="宋体" w:eastAsia="宋体" w:cs="宋体"/>
                <w:sz w:val="24"/>
                <w:szCs w:val="24"/>
              </w:rPr>
              <w:t>显示单元需支持</w:t>
            </w:r>
            <w:r>
              <w:rPr>
                <w:rFonts w:hint="default" w:ascii="Calibri" w:hAnsi="Calibri" w:cs="Calibri"/>
                <w:sz w:val="24"/>
                <w:szCs w:val="24"/>
              </w:rPr>
              <w:t>7</w:t>
            </w:r>
            <w:r>
              <w:rPr>
                <w:rFonts w:hint="eastAsia" w:ascii="宋体" w:hAnsi="宋体" w:eastAsia="宋体" w:cs="宋体"/>
                <w:sz w:val="24"/>
                <w:szCs w:val="24"/>
              </w:rPr>
              <w:t>色独立调整、精确色彩控制、肤色校正功能。内置图像处理引擎支持</w:t>
            </w:r>
            <w:r>
              <w:rPr>
                <w:rFonts w:hint="default" w:ascii="Calibri" w:hAnsi="Calibri" w:cs="Calibri"/>
                <w:sz w:val="24"/>
                <w:szCs w:val="24"/>
              </w:rPr>
              <w:t>RGBCMYF</w:t>
            </w:r>
            <w:r>
              <w:rPr>
                <w:rFonts w:hint="eastAsia" w:ascii="宋体" w:hAnsi="宋体" w:eastAsia="宋体" w:cs="宋体"/>
                <w:sz w:val="24"/>
                <w:szCs w:val="24"/>
              </w:rPr>
              <w:t>七种颜色亮度</w:t>
            </w:r>
            <w:r>
              <w:rPr>
                <w:rFonts w:hint="default" w:ascii="Calibri" w:hAnsi="Calibri" w:cs="Calibri"/>
                <w:sz w:val="24"/>
                <w:szCs w:val="24"/>
              </w:rPr>
              <w:t>(IBC)</w:t>
            </w:r>
            <w:r>
              <w:rPr>
                <w:rFonts w:hint="eastAsia" w:ascii="宋体" w:hAnsi="宋体" w:eastAsia="宋体" w:cs="宋体"/>
                <w:sz w:val="24"/>
                <w:szCs w:val="24"/>
              </w:rPr>
              <w:t>、色调</w:t>
            </w:r>
            <w:r>
              <w:rPr>
                <w:rFonts w:hint="default" w:ascii="Calibri" w:hAnsi="Calibri" w:cs="Calibri"/>
                <w:sz w:val="24"/>
                <w:szCs w:val="24"/>
              </w:rPr>
              <w:t>(IHC)</w:t>
            </w:r>
            <w:r>
              <w:rPr>
                <w:rFonts w:hint="eastAsia" w:ascii="宋体" w:hAnsi="宋体" w:eastAsia="宋体" w:cs="宋体"/>
                <w:sz w:val="24"/>
                <w:szCs w:val="24"/>
              </w:rPr>
              <w:t>、饱和度</w:t>
            </w:r>
            <w:r>
              <w:rPr>
                <w:rFonts w:hint="default" w:ascii="Calibri" w:hAnsi="Calibri" w:cs="Calibri"/>
                <w:sz w:val="24"/>
                <w:szCs w:val="24"/>
              </w:rPr>
              <w:t>(ICC)</w:t>
            </w:r>
            <w:r>
              <w:rPr>
                <w:rFonts w:hint="eastAsia" w:ascii="宋体" w:hAnsi="宋体" w:eastAsia="宋体" w:cs="宋体"/>
                <w:sz w:val="24"/>
                <w:szCs w:val="24"/>
              </w:rPr>
              <w:t>独立调整。显示器需要具有厂家自带的自动校色系统，不需要人工参与自动对显示器进行色彩属性一致性校准。显示器色温可以以</w:t>
            </w:r>
            <w:r>
              <w:rPr>
                <w:rFonts w:hint="default" w:ascii="Calibri" w:hAnsi="Calibri" w:cs="Calibri"/>
                <w:sz w:val="24"/>
                <w:szCs w:val="24"/>
              </w:rPr>
              <w:t>100K</w:t>
            </w:r>
            <w:r>
              <w:rPr>
                <w:rFonts w:hint="eastAsia" w:ascii="宋体" w:hAnsi="宋体" w:eastAsia="宋体" w:cs="宋体"/>
                <w:sz w:val="24"/>
                <w:szCs w:val="24"/>
              </w:rPr>
              <w:t>为单位，在</w:t>
            </w:r>
            <w:r>
              <w:rPr>
                <w:rFonts w:hint="default" w:ascii="Calibri" w:hAnsi="Calibri" w:cs="Calibri"/>
                <w:sz w:val="24"/>
                <w:szCs w:val="24"/>
              </w:rPr>
              <w:t>2000K</w:t>
            </w:r>
            <w:r>
              <w:rPr>
                <w:rFonts w:hint="eastAsia" w:ascii="宋体" w:hAnsi="宋体" w:eastAsia="宋体" w:cs="宋体"/>
                <w:sz w:val="24"/>
                <w:szCs w:val="24"/>
              </w:rPr>
              <w:t>至</w:t>
            </w:r>
            <w:r>
              <w:rPr>
                <w:rFonts w:hint="default" w:ascii="Calibri" w:hAnsi="Calibri" w:cs="Calibri"/>
                <w:sz w:val="24"/>
                <w:szCs w:val="24"/>
              </w:rPr>
              <w:t>10000K</w:t>
            </w:r>
            <w:r>
              <w:rPr>
                <w:rFonts w:hint="eastAsia" w:ascii="宋体" w:hAnsi="宋体" w:eastAsia="宋体" w:cs="宋体"/>
                <w:sz w:val="24"/>
                <w:szCs w:val="24"/>
              </w:rPr>
              <w:t>之间调节；（提供封面首页具有</w:t>
            </w:r>
            <w:r>
              <w:rPr>
                <w:rFonts w:hint="default" w:ascii="Calibri" w:hAnsi="Calibri" w:cs="Calibri"/>
                <w:sz w:val="24"/>
                <w:szCs w:val="24"/>
              </w:rPr>
              <w:t>CNAS</w:t>
            </w:r>
            <w:r>
              <w:rPr>
                <w:rFonts w:hint="eastAsia" w:ascii="宋体" w:hAnsi="宋体" w:eastAsia="宋体" w:cs="宋体"/>
                <w:sz w:val="24"/>
                <w:szCs w:val="24"/>
              </w:rPr>
              <w:t>标识的第三方检测报告复印件）</w:t>
            </w:r>
          </w:p>
          <w:p>
            <w:pPr>
              <w:pStyle w:val="4"/>
              <w:keepNext w:val="0"/>
              <w:keepLines w:val="0"/>
              <w:widowControl/>
              <w:suppressLineNumbers w:val="0"/>
              <w:wordWrap w:val="0"/>
              <w:spacing w:before="0" w:beforeAutospacing="1" w:after="0" w:afterAutospacing="1" w:line="315" w:lineRule="atLeast"/>
              <w:ind w:left="0" w:right="0" w:firstLine="0"/>
            </w:pPr>
            <w:r>
              <w:rPr>
                <w:rFonts w:hint="default" w:ascii="Calibri" w:hAnsi="Calibri" w:cs="Calibri"/>
                <w:sz w:val="24"/>
                <w:szCs w:val="24"/>
              </w:rPr>
              <w:t>11.</w:t>
            </w:r>
            <w:r>
              <w:rPr>
                <w:rFonts w:hint="default" w:ascii="Times New Roman" w:hAnsi="Times New Roman" w:cs="Times New Roman"/>
                <w:sz w:val="13"/>
                <w:szCs w:val="13"/>
              </w:rPr>
              <w:t xml:space="preserve">       </w:t>
            </w:r>
            <w:r>
              <w:rPr>
                <w:rFonts w:hint="default" w:ascii="Calibri" w:hAnsi="Calibri" w:cs="Calibri"/>
                <w:sz w:val="24"/>
                <w:szCs w:val="24"/>
              </w:rPr>
              <w:t>LCD</w:t>
            </w:r>
            <w:r>
              <w:rPr>
                <w:rFonts w:hint="eastAsia" w:ascii="宋体" w:hAnsi="宋体" w:eastAsia="宋体" w:cs="宋体"/>
                <w:sz w:val="24"/>
                <w:szCs w:val="24"/>
              </w:rPr>
              <w:t>显示单元内置</w:t>
            </w:r>
            <w:r>
              <w:rPr>
                <w:rFonts w:hint="default" w:ascii="Calibri" w:hAnsi="Calibri" w:cs="Calibri"/>
                <w:sz w:val="24"/>
                <w:szCs w:val="24"/>
              </w:rPr>
              <w:t>wifi</w:t>
            </w:r>
            <w:r>
              <w:rPr>
                <w:rFonts w:hint="eastAsia" w:ascii="宋体" w:hAnsi="宋体" w:eastAsia="宋体" w:cs="宋体"/>
                <w:sz w:val="24"/>
                <w:szCs w:val="24"/>
              </w:rPr>
              <w:t>模块，支持无线管理，支持手机短信及网络邮件报警功能，显示屏出现异常时可通过互联网进行邮件和短信报警；</w:t>
            </w:r>
            <w:r>
              <w:rPr>
                <w:rFonts w:hint="default" w:ascii="Calibri" w:hAnsi="Calibri" w:cs="Calibri"/>
                <w:sz w:val="24"/>
                <w:szCs w:val="24"/>
              </w:rPr>
              <w:t>LCD</w:t>
            </w:r>
            <w:r>
              <w:rPr>
                <w:rFonts w:hint="eastAsia" w:ascii="宋体" w:hAnsi="宋体" w:eastAsia="宋体" w:cs="宋体"/>
                <w:sz w:val="24"/>
                <w:szCs w:val="24"/>
              </w:rPr>
              <w:t>显示单元支持边缘屏蔽功能，智能去除黑边功能，可消除显示终端上存在的黑边，及因拼缝带来的图像变形；</w:t>
            </w:r>
          </w:p>
          <w:p>
            <w:pPr>
              <w:pStyle w:val="4"/>
              <w:keepNext w:val="0"/>
              <w:keepLines w:val="0"/>
              <w:widowControl/>
              <w:suppressLineNumbers w:val="0"/>
              <w:wordWrap w:val="0"/>
              <w:spacing w:before="0" w:beforeAutospacing="1" w:after="0" w:afterAutospacing="1" w:line="315" w:lineRule="atLeast"/>
              <w:ind w:left="0" w:right="0" w:firstLine="0"/>
            </w:pPr>
            <w:r>
              <w:rPr>
                <w:rFonts w:hint="default" w:ascii="Calibri" w:hAnsi="Calibri" w:cs="Calibri"/>
                <w:sz w:val="24"/>
                <w:szCs w:val="24"/>
              </w:rPr>
              <w:t>12.</w:t>
            </w:r>
            <w:r>
              <w:rPr>
                <w:rFonts w:hint="default" w:ascii="Times New Roman" w:hAnsi="Times New Roman" w:cs="Times New Roman"/>
                <w:sz w:val="13"/>
                <w:szCs w:val="13"/>
              </w:rPr>
              <w:t xml:space="preserve">       </w:t>
            </w:r>
            <w:r>
              <w:rPr>
                <w:rFonts w:hint="eastAsia" w:ascii="宋体" w:hAnsi="宋体" w:eastAsia="宋体" w:cs="宋体"/>
                <w:sz w:val="24"/>
                <w:szCs w:val="24"/>
              </w:rPr>
              <w:t>用户可以选择显示默认开机</w:t>
            </w:r>
            <w:r>
              <w:rPr>
                <w:rFonts w:hint="default" w:ascii="Calibri" w:hAnsi="Calibri" w:cs="Calibri"/>
                <w:sz w:val="24"/>
                <w:szCs w:val="24"/>
              </w:rPr>
              <w:t>LOGO</w:t>
            </w:r>
            <w:r>
              <w:rPr>
                <w:rFonts w:hint="eastAsia" w:ascii="宋体" w:hAnsi="宋体" w:eastAsia="宋体" w:cs="宋体"/>
                <w:sz w:val="24"/>
                <w:szCs w:val="24"/>
              </w:rPr>
              <w:t>、定制开机</w:t>
            </w:r>
            <w:r>
              <w:rPr>
                <w:rFonts w:hint="default" w:ascii="Calibri" w:hAnsi="Calibri" w:cs="Calibri"/>
                <w:sz w:val="24"/>
                <w:szCs w:val="24"/>
              </w:rPr>
              <w:t>LOGO</w:t>
            </w:r>
            <w:r>
              <w:rPr>
                <w:rFonts w:hint="eastAsia" w:ascii="宋体" w:hAnsi="宋体" w:eastAsia="宋体" w:cs="宋体"/>
                <w:sz w:val="24"/>
                <w:szCs w:val="24"/>
              </w:rPr>
              <w:t>、不显示</w:t>
            </w:r>
            <w:r>
              <w:rPr>
                <w:rFonts w:hint="default" w:ascii="Calibri" w:hAnsi="Calibri" w:cs="Calibri"/>
                <w:sz w:val="24"/>
                <w:szCs w:val="24"/>
              </w:rPr>
              <w:t>LOGO</w:t>
            </w:r>
            <w:r>
              <w:rPr>
                <w:rFonts w:hint="eastAsia" w:ascii="宋体" w:hAnsi="宋体" w:eastAsia="宋体" w:cs="宋体"/>
                <w:sz w:val="24"/>
                <w:szCs w:val="24"/>
              </w:rPr>
              <w:t>。用户可以任意定制</w:t>
            </w:r>
            <w:r>
              <w:rPr>
                <w:rFonts w:hint="default" w:ascii="Calibri" w:hAnsi="Calibri" w:cs="Calibri"/>
                <w:sz w:val="24"/>
                <w:szCs w:val="24"/>
              </w:rPr>
              <w:t>LOGO</w:t>
            </w:r>
            <w:r>
              <w:rPr>
                <w:rFonts w:hint="eastAsia" w:ascii="宋体" w:hAnsi="宋体" w:eastAsia="宋体" w:cs="宋体"/>
                <w:sz w:val="24"/>
                <w:szCs w:val="24"/>
              </w:rPr>
              <w:t>而无需升级软件</w:t>
            </w:r>
            <w:r>
              <w:rPr>
                <w:rFonts w:hint="default" w:ascii="Calibri" w:hAnsi="Calibri" w:cs="Calibri"/>
                <w:sz w:val="24"/>
                <w:szCs w:val="24"/>
              </w:rPr>
              <w:t>,</w:t>
            </w:r>
            <w:r>
              <w:rPr>
                <w:rFonts w:hint="eastAsia" w:ascii="宋体" w:hAnsi="宋体" w:eastAsia="宋体" w:cs="宋体"/>
                <w:sz w:val="24"/>
                <w:szCs w:val="24"/>
              </w:rPr>
              <w:t>而且具有</w:t>
            </w:r>
            <w:r>
              <w:rPr>
                <w:rFonts w:hint="default" w:ascii="Calibri" w:hAnsi="Calibri" w:cs="Calibri"/>
                <w:sz w:val="24"/>
                <w:szCs w:val="24"/>
              </w:rPr>
              <w:t>LOGO</w:t>
            </w:r>
            <w:r>
              <w:rPr>
                <w:rFonts w:hint="eastAsia" w:ascii="宋体" w:hAnsi="宋体" w:eastAsia="宋体" w:cs="宋体"/>
                <w:sz w:val="24"/>
                <w:szCs w:val="24"/>
              </w:rPr>
              <w:t>拼接技术，可设置</w:t>
            </w:r>
            <w:r>
              <w:rPr>
                <w:rFonts w:hint="default" w:ascii="Calibri" w:hAnsi="Calibri" w:cs="Calibri"/>
                <w:sz w:val="24"/>
                <w:szCs w:val="24"/>
              </w:rPr>
              <w:t>15</w:t>
            </w:r>
            <w:r>
              <w:rPr>
                <w:rFonts w:hint="eastAsia" w:ascii="宋体" w:hAnsi="宋体" w:eastAsia="宋体" w:cs="宋体"/>
                <w:sz w:val="19"/>
                <w:szCs w:val="19"/>
              </w:rPr>
              <w:t>×</w:t>
            </w:r>
            <w:r>
              <w:rPr>
                <w:rFonts w:hint="default" w:ascii="Calibri" w:hAnsi="Calibri" w:cs="Calibri"/>
                <w:sz w:val="24"/>
                <w:szCs w:val="24"/>
              </w:rPr>
              <w:t>15</w:t>
            </w:r>
            <w:r>
              <w:rPr>
                <w:rFonts w:hint="eastAsia" w:ascii="宋体" w:hAnsi="宋体" w:eastAsia="宋体" w:cs="宋体"/>
                <w:sz w:val="24"/>
                <w:szCs w:val="24"/>
              </w:rPr>
              <w:t>，具有自然拼接模式；能实现开机</w:t>
            </w:r>
            <w:r>
              <w:rPr>
                <w:rFonts w:hint="default" w:ascii="Calibri" w:hAnsi="Calibri" w:cs="Calibri"/>
                <w:sz w:val="24"/>
                <w:szCs w:val="24"/>
              </w:rPr>
              <w:t>LOGO</w:t>
            </w:r>
            <w:r>
              <w:rPr>
                <w:rFonts w:hint="eastAsia" w:ascii="宋体" w:hAnsi="宋体" w:eastAsia="宋体" w:cs="宋体"/>
                <w:sz w:val="24"/>
                <w:szCs w:val="24"/>
              </w:rPr>
              <w:t>拼接及开机高清底图稳</w:t>
            </w:r>
            <w:r>
              <w:rPr>
                <w:rFonts w:hint="default" w:ascii="Calibri" w:hAnsi="Calibri" w:cs="Calibri"/>
                <w:sz w:val="24"/>
                <w:szCs w:val="24"/>
              </w:rPr>
              <w:t> </w:t>
            </w:r>
            <w:r>
              <w:rPr>
                <w:rFonts w:hint="eastAsia" w:ascii="宋体" w:hAnsi="宋体" w:eastAsia="宋体" w:cs="宋体"/>
                <w:sz w:val="24"/>
                <w:szCs w:val="24"/>
              </w:rPr>
              <w:t>定</w:t>
            </w:r>
            <w:r>
              <w:rPr>
                <w:rFonts w:hint="default" w:ascii="Calibri" w:hAnsi="Calibri" w:cs="Calibri"/>
                <w:sz w:val="24"/>
                <w:szCs w:val="24"/>
              </w:rPr>
              <w:t> </w:t>
            </w:r>
            <w:r>
              <w:rPr>
                <w:rFonts w:hint="eastAsia" w:ascii="宋体" w:hAnsi="宋体" w:eastAsia="宋体" w:cs="宋体"/>
                <w:sz w:val="24"/>
                <w:szCs w:val="24"/>
              </w:rPr>
              <w:t>性拼接；</w:t>
            </w:r>
          </w:p>
          <w:p>
            <w:pPr>
              <w:pStyle w:val="4"/>
              <w:keepNext w:val="0"/>
              <w:keepLines w:val="0"/>
              <w:widowControl/>
              <w:suppressLineNumbers w:val="0"/>
              <w:wordWrap w:val="0"/>
              <w:spacing w:before="0" w:beforeAutospacing="1" w:after="0" w:afterAutospacing="1" w:line="315" w:lineRule="atLeast"/>
              <w:ind w:left="0" w:right="0" w:firstLine="0"/>
            </w:pPr>
            <w:r>
              <w:rPr>
                <w:rFonts w:hint="default" w:ascii="Calibri" w:hAnsi="Calibri" w:cs="Calibri"/>
                <w:sz w:val="24"/>
                <w:szCs w:val="24"/>
              </w:rPr>
              <w:t>13.</w:t>
            </w:r>
            <w:r>
              <w:rPr>
                <w:rFonts w:hint="default" w:ascii="Times New Roman" w:hAnsi="Times New Roman" w:cs="Times New Roman"/>
                <w:sz w:val="13"/>
                <w:szCs w:val="13"/>
              </w:rPr>
              <w:t xml:space="preserve">       </w:t>
            </w:r>
            <w:r>
              <w:rPr>
                <w:rFonts w:hint="default" w:ascii="Calibri" w:hAnsi="Calibri" w:cs="Calibri"/>
                <w:sz w:val="24"/>
                <w:szCs w:val="24"/>
              </w:rPr>
              <w:t>LCD</w:t>
            </w:r>
            <w:r>
              <w:rPr>
                <w:rFonts w:hint="eastAsia" w:ascii="宋体" w:hAnsi="宋体" w:eastAsia="宋体" w:cs="宋体"/>
                <w:sz w:val="24"/>
                <w:szCs w:val="24"/>
              </w:rPr>
              <w:t>采用双</w:t>
            </w:r>
            <w:r>
              <w:rPr>
                <w:rFonts w:hint="default" w:ascii="Calibri" w:hAnsi="Calibri" w:cs="Calibri"/>
                <w:sz w:val="24"/>
                <w:szCs w:val="24"/>
              </w:rPr>
              <w:t>CPU+</w:t>
            </w:r>
            <w:r>
              <w:rPr>
                <w:rFonts w:hint="eastAsia" w:ascii="宋体" w:hAnsi="宋体" w:eastAsia="宋体" w:cs="宋体"/>
                <w:sz w:val="24"/>
                <w:szCs w:val="24"/>
              </w:rPr>
              <w:t>多个协处理器核的构架；双</w:t>
            </w:r>
            <w:r>
              <w:rPr>
                <w:rFonts w:hint="default" w:ascii="Calibri" w:hAnsi="Calibri" w:cs="Calibri"/>
                <w:sz w:val="24"/>
                <w:szCs w:val="24"/>
              </w:rPr>
              <w:t>CPU</w:t>
            </w:r>
            <w:r>
              <w:rPr>
                <w:rFonts w:hint="eastAsia" w:ascii="宋体" w:hAnsi="宋体" w:eastAsia="宋体" w:cs="宋体"/>
                <w:sz w:val="24"/>
                <w:szCs w:val="24"/>
              </w:rPr>
              <w:t>负责通讯、色彩调整及模块控制等控制功能；</w:t>
            </w:r>
            <w:r>
              <w:rPr>
                <w:rFonts w:hint="default" w:ascii="Calibri" w:hAnsi="Calibri" w:cs="Calibri"/>
                <w:sz w:val="24"/>
                <w:szCs w:val="24"/>
              </w:rPr>
              <w:t>3</w:t>
            </w:r>
            <w:r>
              <w:rPr>
                <w:rFonts w:hint="eastAsia" w:ascii="宋体" w:hAnsi="宋体" w:eastAsia="宋体" w:cs="宋体"/>
                <w:sz w:val="24"/>
                <w:szCs w:val="24"/>
              </w:rPr>
              <w:t>个</w:t>
            </w:r>
            <w:r>
              <w:rPr>
                <w:rFonts w:hint="default" w:ascii="Calibri" w:hAnsi="Calibri" w:cs="Calibri"/>
                <w:sz w:val="24"/>
                <w:szCs w:val="24"/>
              </w:rPr>
              <w:t>DSP</w:t>
            </w:r>
            <w:r>
              <w:rPr>
                <w:rFonts w:hint="eastAsia" w:ascii="宋体" w:hAnsi="宋体" w:eastAsia="宋体" w:cs="宋体"/>
                <w:sz w:val="24"/>
                <w:szCs w:val="24"/>
              </w:rPr>
              <w:t>核</w:t>
            </w:r>
            <w:r>
              <w:rPr>
                <w:rFonts w:hint="default" w:ascii="Calibri" w:hAnsi="Calibri" w:cs="Calibri"/>
                <w:sz w:val="24"/>
                <w:szCs w:val="24"/>
              </w:rPr>
              <w:t>+1</w:t>
            </w:r>
            <w:r>
              <w:rPr>
                <w:rFonts w:hint="eastAsia" w:ascii="宋体" w:hAnsi="宋体" w:eastAsia="宋体" w:cs="宋体"/>
                <w:sz w:val="24"/>
                <w:szCs w:val="24"/>
              </w:rPr>
              <w:t>个</w:t>
            </w:r>
            <w:r>
              <w:rPr>
                <w:rFonts w:hint="default" w:ascii="Calibri" w:hAnsi="Calibri" w:cs="Calibri"/>
                <w:sz w:val="24"/>
                <w:szCs w:val="24"/>
              </w:rPr>
              <w:t>FPGA</w:t>
            </w:r>
            <w:r>
              <w:rPr>
                <w:rFonts w:hint="eastAsia" w:ascii="宋体" w:hAnsi="宋体" w:eastAsia="宋体" w:cs="宋体"/>
                <w:sz w:val="24"/>
                <w:szCs w:val="24"/>
              </w:rPr>
              <w:t>核负责图像数据的处理，分工明确保证系统和实时性，使图像处理更加游刃有余；</w:t>
            </w:r>
          </w:p>
          <w:p>
            <w:pPr>
              <w:pStyle w:val="4"/>
              <w:keepNext w:val="0"/>
              <w:keepLines w:val="0"/>
              <w:widowControl/>
              <w:suppressLineNumbers w:val="0"/>
              <w:wordWrap w:val="0"/>
              <w:spacing w:before="0" w:beforeAutospacing="1" w:after="0" w:afterAutospacing="1" w:line="315" w:lineRule="atLeast"/>
              <w:ind w:left="0" w:right="0" w:firstLine="0"/>
            </w:pPr>
            <w:r>
              <w:rPr>
                <w:rFonts w:hint="default" w:ascii="Calibri" w:hAnsi="Calibri" w:cs="Calibri"/>
                <w:sz w:val="24"/>
                <w:szCs w:val="24"/>
              </w:rPr>
              <w:t>14.</w:t>
            </w:r>
            <w:r>
              <w:rPr>
                <w:rFonts w:hint="default" w:ascii="Times New Roman" w:hAnsi="Times New Roman" w:cs="Times New Roman"/>
                <w:sz w:val="13"/>
                <w:szCs w:val="13"/>
              </w:rPr>
              <w:t xml:space="preserve">       </w:t>
            </w:r>
            <w:r>
              <w:rPr>
                <w:rFonts w:hint="default" w:ascii="Calibri" w:hAnsi="Calibri" w:cs="Calibri"/>
                <w:sz w:val="24"/>
                <w:szCs w:val="24"/>
              </w:rPr>
              <w:t> LCD</w:t>
            </w:r>
            <w:r>
              <w:rPr>
                <w:rFonts w:hint="eastAsia" w:ascii="宋体" w:hAnsi="宋体" w:eastAsia="宋体" w:cs="宋体"/>
                <w:sz w:val="24"/>
                <w:szCs w:val="24"/>
              </w:rPr>
              <w:t>显示单元通过调整γ曲线，使得实际γ曲线更为平滑且更为准确，从而提升显示设备的显示效果；</w:t>
            </w:r>
          </w:p>
          <w:p>
            <w:pPr>
              <w:pStyle w:val="4"/>
              <w:keepNext w:val="0"/>
              <w:keepLines w:val="0"/>
              <w:widowControl/>
              <w:suppressLineNumbers w:val="0"/>
              <w:wordWrap w:val="0"/>
              <w:spacing w:before="0" w:beforeAutospacing="1" w:after="0" w:afterAutospacing="1" w:line="315" w:lineRule="atLeast"/>
              <w:ind w:left="0" w:right="0" w:firstLine="0"/>
            </w:pPr>
            <w:r>
              <w:rPr>
                <w:rFonts w:hint="default" w:ascii="Calibri" w:hAnsi="Calibri" w:cs="Calibri"/>
                <w:sz w:val="24"/>
                <w:szCs w:val="24"/>
              </w:rPr>
              <w:t>15.</w:t>
            </w:r>
            <w:r>
              <w:rPr>
                <w:rFonts w:hint="default" w:ascii="Times New Roman" w:hAnsi="Times New Roman" w:cs="Times New Roman"/>
                <w:sz w:val="13"/>
                <w:szCs w:val="13"/>
              </w:rPr>
              <w:t xml:space="preserve">       </w:t>
            </w:r>
            <w:r>
              <w:rPr>
                <w:rFonts w:hint="default" w:ascii="Calibri" w:hAnsi="Calibri" w:cs="Calibri"/>
                <w:sz w:val="24"/>
                <w:szCs w:val="24"/>
              </w:rPr>
              <w:t>LCD</w:t>
            </w:r>
            <w:r>
              <w:rPr>
                <w:rFonts w:hint="eastAsia" w:ascii="宋体" w:hAnsi="宋体" w:eastAsia="宋体" w:cs="宋体"/>
                <w:sz w:val="24"/>
                <w:szCs w:val="24"/>
              </w:rPr>
              <w:t>显示单元支持自动镜像功能，可以实现显示内容（视频、文本等）镜像、</w:t>
            </w:r>
            <w:r>
              <w:rPr>
                <w:rFonts w:hint="default" w:ascii="Calibri" w:hAnsi="Calibri" w:cs="Calibri"/>
                <w:sz w:val="24"/>
                <w:szCs w:val="24"/>
              </w:rPr>
              <w:t>OSD</w:t>
            </w:r>
            <w:r>
              <w:rPr>
                <w:rFonts w:hint="eastAsia" w:ascii="宋体" w:hAnsi="宋体" w:eastAsia="宋体" w:cs="宋体"/>
                <w:sz w:val="24"/>
                <w:szCs w:val="24"/>
              </w:rPr>
              <w:t>菜单的自定义</w:t>
            </w:r>
            <w:r>
              <w:rPr>
                <w:rFonts w:hint="default" w:ascii="Calibri" w:hAnsi="Calibri" w:cs="Calibri"/>
                <w:sz w:val="24"/>
                <w:szCs w:val="24"/>
              </w:rPr>
              <w:t>0-360</w:t>
            </w:r>
            <w:r>
              <w:rPr>
                <w:rFonts w:hint="eastAsia" w:ascii="宋体" w:hAnsi="宋体" w:eastAsia="宋体" w:cs="宋体"/>
                <w:sz w:val="24"/>
                <w:szCs w:val="24"/>
              </w:rPr>
              <w:t>°旋转。（提供封面首页具有</w:t>
            </w:r>
            <w:r>
              <w:rPr>
                <w:rFonts w:hint="default" w:ascii="Calibri" w:hAnsi="Calibri" w:cs="Calibri"/>
                <w:sz w:val="24"/>
                <w:szCs w:val="24"/>
              </w:rPr>
              <w:t>CNAS</w:t>
            </w:r>
            <w:r>
              <w:rPr>
                <w:rFonts w:hint="eastAsia" w:ascii="宋体" w:hAnsi="宋体" w:eastAsia="宋体" w:cs="宋体"/>
                <w:sz w:val="24"/>
                <w:szCs w:val="24"/>
              </w:rPr>
              <w:t>标识的第三方检测报告复印件）</w:t>
            </w:r>
          </w:p>
          <w:p>
            <w:pPr>
              <w:pStyle w:val="4"/>
              <w:keepNext w:val="0"/>
              <w:keepLines w:val="0"/>
              <w:widowControl/>
              <w:suppressLineNumbers w:val="0"/>
              <w:wordWrap w:val="0"/>
              <w:spacing w:before="0" w:beforeAutospacing="1" w:after="0" w:afterAutospacing="1" w:line="315" w:lineRule="atLeast"/>
              <w:ind w:left="0" w:right="0" w:firstLine="0"/>
            </w:pPr>
            <w:r>
              <w:rPr>
                <w:rFonts w:hint="default" w:ascii="Calibri" w:hAnsi="Calibri" w:cs="Calibri"/>
                <w:sz w:val="24"/>
                <w:szCs w:val="24"/>
              </w:rPr>
              <w:t>16.</w:t>
            </w:r>
            <w:r>
              <w:rPr>
                <w:rFonts w:hint="default" w:ascii="Times New Roman" w:hAnsi="Times New Roman" w:cs="Times New Roman"/>
                <w:sz w:val="13"/>
                <w:szCs w:val="13"/>
              </w:rPr>
              <w:t xml:space="preserve">       </w:t>
            </w:r>
            <w:r>
              <w:rPr>
                <w:rFonts w:hint="eastAsia" w:ascii="宋体" w:hAnsi="宋体" w:eastAsia="宋体" w:cs="宋体"/>
                <w:sz w:val="24"/>
                <w:szCs w:val="24"/>
              </w:rPr>
              <w:t>含相关安装支架，</w:t>
            </w:r>
            <w:r>
              <w:rPr>
                <w:rFonts w:hint="eastAsia" w:ascii="宋体" w:hAnsi="宋体" w:eastAsia="宋体" w:cs="宋体"/>
                <w:sz w:val="19"/>
                <w:szCs w:val="19"/>
              </w:rPr>
              <w:t>包括模块化底座及模块化框架</w:t>
            </w:r>
          </w:p>
        </w:tc>
        <w:tc>
          <w:tcPr>
            <w:tcW w:w="467"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tc>
      </w:tr>
      <w:tr>
        <w:trPr>
          <w:trHeight w:val="2805" w:hRule="atLeast"/>
          <w:tblCellSpacing w:w="15" w:type="dxa"/>
        </w:trPr>
        <w:tc>
          <w:tcPr>
            <w:tcW w:w="36" w:type="dxa"/>
            <w:tcBorders>
              <w:top w:val="nil"/>
              <w:left w:val="single" w:color="auto" w:sz="6" w:space="0"/>
              <w:bottom w:val="single" w:color="auto" w:sz="6" w:space="0"/>
              <w:right w:val="single" w:color="auto" w:sz="6" w:space="0"/>
            </w:tcBorders>
            <w:shd w:val="clear" w:color="auto" w:fill="FFFFFF"/>
            <w:tcMar>
              <w:top w:w="0" w:type="dxa"/>
              <w:left w:w="0" w:type="dxa"/>
              <w:bottom w:w="0" w:type="dxa"/>
              <w:right w:w="0" w:type="dxa"/>
            </w:tcMar>
            <w:vAlign w:val="center"/>
          </w:tcPr>
          <w:p>
            <w:pPr>
              <w:keepNext w:val="0"/>
              <w:keepLines w:val="0"/>
              <w:widowControl/>
              <w:suppressLineNumbers w:val="0"/>
              <w:jc w:val="left"/>
            </w:pPr>
          </w:p>
        </w:tc>
        <w:tc>
          <w:tcPr>
            <w:tcW w:w="937"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jc w:val="center"/>
            </w:pPr>
            <w:r>
              <w:rPr>
                <w:rFonts w:hint="default" w:ascii="Calibri" w:hAnsi="Calibri" w:cs="Calibri"/>
                <w:sz w:val="24"/>
                <w:szCs w:val="24"/>
              </w:rPr>
              <w:t>1-2-44</w:t>
            </w:r>
          </w:p>
        </w:tc>
        <w:tc>
          <w:tcPr>
            <w:tcW w:w="888"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pPr>
            <w:r>
              <w:rPr>
                <w:rFonts w:hint="eastAsia" w:ascii="宋体" w:hAnsi="宋体" w:eastAsia="宋体" w:cs="宋体"/>
                <w:sz w:val="19"/>
                <w:szCs w:val="19"/>
              </w:rPr>
              <w:t>H.265解码器</w:t>
            </w:r>
          </w:p>
        </w:tc>
        <w:tc>
          <w:tcPr>
            <w:tcW w:w="529"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jc w:val="center"/>
            </w:pPr>
            <w:r>
              <w:rPr>
                <w:rFonts w:hint="eastAsia" w:ascii="宋体" w:hAnsi="宋体" w:eastAsia="宋体" w:cs="宋体"/>
                <w:sz w:val="19"/>
                <w:szCs w:val="19"/>
              </w:rPr>
              <w:t>台</w:t>
            </w:r>
          </w:p>
        </w:tc>
        <w:tc>
          <w:tcPr>
            <w:tcW w:w="529"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jc w:val="center"/>
            </w:pPr>
            <w:r>
              <w:rPr>
                <w:rFonts w:hint="eastAsia" w:ascii="宋体" w:hAnsi="宋体" w:eastAsia="宋体" w:cs="宋体"/>
                <w:sz w:val="19"/>
                <w:szCs w:val="19"/>
              </w:rPr>
              <w:t>1</w:t>
            </w:r>
          </w:p>
        </w:tc>
        <w:tc>
          <w:tcPr>
            <w:tcW w:w="6378"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before="0" w:beforeAutospacing="1" w:after="0" w:afterAutospacing="1" w:line="315" w:lineRule="atLeast"/>
              <w:ind w:left="0" w:right="0" w:firstLine="0"/>
            </w:pPr>
            <w:r>
              <w:rPr>
                <w:rFonts w:hint="default" w:ascii="Calibri" w:hAnsi="Calibri" w:cs="Calibri"/>
                <w:sz w:val="24"/>
                <w:szCs w:val="24"/>
              </w:rPr>
              <w:t>1.</w:t>
            </w:r>
            <w:r>
              <w:rPr>
                <w:rFonts w:hint="default" w:ascii="Times New Roman" w:hAnsi="Times New Roman" w:cs="Times New Roman"/>
                <w:sz w:val="13"/>
                <w:szCs w:val="13"/>
              </w:rPr>
              <w:t xml:space="preserve">           </w:t>
            </w:r>
            <w:r>
              <w:rPr>
                <w:rFonts w:hint="eastAsia" w:ascii="宋体" w:hAnsi="宋体" w:eastAsia="宋体" w:cs="宋体"/>
                <w:sz w:val="24"/>
                <w:szCs w:val="24"/>
              </w:rPr>
              <w:t>采用嵌入式架构，专用</w:t>
            </w:r>
            <w:r>
              <w:rPr>
                <w:rFonts w:hint="default" w:ascii="Calibri" w:hAnsi="Calibri" w:cs="Calibri"/>
                <w:sz w:val="24"/>
                <w:szCs w:val="24"/>
              </w:rPr>
              <w:t>Linux</w:t>
            </w:r>
            <w:r>
              <w:rPr>
                <w:rFonts w:hint="eastAsia" w:ascii="宋体" w:hAnsi="宋体" w:eastAsia="宋体" w:cs="宋体"/>
                <w:sz w:val="24"/>
                <w:szCs w:val="24"/>
              </w:rPr>
              <w:t>系统，使用</w:t>
            </w:r>
            <w:r>
              <w:rPr>
                <w:rFonts w:hint="default" w:ascii="Calibri" w:hAnsi="Calibri" w:cs="Calibri"/>
                <w:sz w:val="24"/>
                <w:szCs w:val="24"/>
              </w:rPr>
              <w:t>DSP</w:t>
            </w:r>
            <w:r>
              <w:rPr>
                <w:rFonts w:hint="eastAsia" w:ascii="宋体" w:hAnsi="宋体" w:eastAsia="宋体" w:cs="宋体"/>
                <w:sz w:val="24"/>
                <w:szCs w:val="24"/>
              </w:rPr>
              <w:t>解码；为了设备稳定可靠运行，不得采用工控机或者</w:t>
            </w:r>
            <w:r>
              <w:rPr>
                <w:rFonts w:hint="default" w:ascii="Calibri" w:hAnsi="Calibri" w:cs="Calibri"/>
                <w:sz w:val="24"/>
                <w:szCs w:val="24"/>
              </w:rPr>
              <w:t>PC</w:t>
            </w:r>
            <w:r>
              <w:rPr>
                <w:rFonts w:hint="eastAsia" w:ascii="宋体" w:hAnsi="宋体" w:eastAsia="宋体" w:cs="宋体"/>
                <w:sz w:val="24"/>
                <w:szCs w:val="24"/>
              </w:rPr>
              <w:t>机的</w:t>
            </w:r>
            <w:r>
              <w:rPr>
                <w:rFonts w:hint="default" w:ascii="Calibri" w:hAnsi="Calibri" w:cs="Calibri"/>
                <w:sz w:val="24"/>
                <w:szCs w:val="24"/>
              </w:rPr>
              <w:t>X86</w:t>
            </w:r>
            <w:r>
              <w:rPr>
                <w:rFonts w:hint="eastAsia" w:ascii="宋体" w:hAnsi="宋体" w:eastAsia="宋体" w:cs="宋体"/>
                <w:sz w:val="24"/>
                <w:szCs w:val="24"/>
              </w:rPr>
              <w:t>架构；具有≥</w:t>
            </w:r>
            <w:r>
              <w:rPr>
                <w:rFonts w:hint="default" w:ascii="Calibri" w:hAnsi="Calibri" w:cs="Calibri"/>
                <w:sz w:val="24"/>
                <w:szCs w:val="24"/>
              </w:rPr>
              <w:t>1</w:t>
            </w:r>
            <w:r>
              <w:rPr>
                <w:rFonts w:hint="eastAsia" w:ascii="宋体" w:hAnsi="宋体" w:eastAsia="宋体" w:cs="宋体"/>
                <w:sz w:val="24"/>
                <w:szCs w:val="24"/>
              </w:rPr>
              <w:t>个电源指示灯，≥</w:t>
            </w:r>
            <w:r>
              <w:rPr>
                <w:rFonts w:hint="default" w:ascii="Calibri" w:hAnsi="Calibri" w:cs="Calibri"/>
                <w:sz w:val="24"/>
                <w:szCs w:val="24"/>
              </w:rPr>
              <w:t>2</w:t>
            </w:r>
            <w:r>
              <w:rPr>
                <w:rFonts w:hint="eastAsia" w:ascii="宋体" w:hAnsi="宋体" w:eastAsia="宋体" w:cs="宋体"/>
                <w:sz w:val="24"/>
                <w:szCs w:val="24"/>
              </w:rPr>
              <w:t>个硬盘指示灯；</w:t>
            </w:r>
          </w:p>
          <w:p>
            <w:pPr>
              <w:pStyle w:val="4"/>
              <w:keepNext w:val="0"/>
              <w:keepLines w:val="0"/>
              <w:widowControl/>
              <w:suppressLineNumbers w:val="0"/>
              <w:spacing w:before="0" w:beforeAutospacing="1" w:after="0" w:afterAutospacing="1" w:line="315" w:lineRule="atLeast"/>
              <w:ind w:left="0" w:right="0" w:firstLine="0"/>
            </w:pPr>
            <w:r>
              <w:rPr>
                <w:rFonts w:hint="default" w:ascii="Calibri" w:hAnsi="Calibri" w:cs="Calibri"/>
                <w:sz w:val="24"/>
                <w:szCs w:val="24"/>
              </w:rPr>
              <w:t>2.</w:t>
            </w:r>
            <w:r>
              <w:rPr>
                <w:rFonts w:hint="default" w:ascii="Times New Roman" w:hAnsi="Times New Roman" w:cs="Times New Roman"/>
                <w:sz w:val="13"/>
                <w:szCs w:val="13"/>
              </w:rPr>
              <w:t xml:space="preserve">           </w:t>
            </w:r>
            <w:r>
              <w:rPr>
                <w:rFonts w:hint="eastAsia" w:ascii="宋体" w:hAnsi="宋体" w:eastAsia="宋体" w:cs="宋体"/>
                <w:sz w:val="24"/>
                <w:szCs w:val="24"/>
              </w:rPr>
              <w:t>要求设备具备，≥</w:t>
            </w:r>
            <w:r>
              <w:rPr>
                <w:rFonts w:hint="default" w:ascii="Calibri" w:hAnsi="Calibri" w:cs="Calibri"/>
                <w:sz w:val="24"/>
                <w:szCs w:val="24"/>
              </w:rPr>
              <w:t>20</w:t>
            </w:r>
            <w:r>
              <w:rPr>
                <w:rFonts w:hint="eastAsia" w:ascii="宋体" w:hAnsi="宋体" w:eastAsia="宋体" w:cs="宋体"/>
                <w:sz w:val="24"/>
                <w:szCs w:val="24"/>
              </w:rPr>
              <w:t>个</w:t>
            </w:r>
            <w:r>
              <w:rPr>
                <w:rFonts w:hint="default" w:ascii="Calibri" w:hAnsi="Calibri" w:cs="Calibri"/>
                <w:sz w:val="24"/>
                <w:szCs w:val="24"/>
              </w:rPr>
              <w:t>RJ45</w:t>
            </w:r>
            <w:r>
              <w:rPr>
                <w:rFonts w:hint="eastAsia" w:ascii="宋体" w:hAnsi="宋体" w:eastAsia="宋体" w:cs="宋体"/>
                <w:sz w:val="24"/>
                <w:szCs w:val="24"/>
              </w:rPr>
              <w:t>网络接口，≥</w:t>
            </w:r>
            <w:r>
              <w:rPr>
                <w:rFonts w:hint="default" w:ascii="Calibri" w:hAnsi="Calibri" w:cs="Calibri"/>
                <w:sz w:val="24"/>
                <w:szCs w:val="24"/>
              </w:rPr>
              <w:t>1</w:t>
            </w:r>
            <w:r>
              <w:rPr>
                <w:rFonts w:hint="eastAsia" w:ascii="宋体" w:hAnsi="宋体" w:eastAsia="宋体" w:cs="宋体"/>
                <w:sz w:val="24"/>
                <w:szCs w:val="24"/>
              </w:rPr>
              <w:t>路语音输入，≥</w:t>
            </w:r>
            <w:r>
              <w:rPr>
                <w:rFonts w:hint="default" w:ascii="Calibri" w:hAnsi="Calibri" w:cs="Calibri"/>
                <w:sz w:val="24"/>
                <w:szCs w:val="24"/>
              </w:rPr>
              <w:t>1</w:t>
            </w:r>
            <w:r>
              <w:rPr>
                <w:rFonts w:hint="eastAsia" w:ascii="宋体" w:hAnsi="宋体" w:eastAsia="宋体" w:cs="宋体"/>
                <w:sz w:val="24"/>
                <w:szCs w:val="24"/>
              </w:rPr>
              <w:t>路语音输出，≥</w:t>
            </w:r>
            <w:r>
              <w:rPr>
                <w:rFonts w:hint="default" w:ascii="Calibri" w:hAnsi="Calibri" w:cs="Calibri"/>
                <w:sz w:val="24"/>
                <w:szCs w:val="24"/>
              </w:rPr>
              <w:t>1</w:t>
            </w:r>
            <w:r>
              <w:rPr>
                <w:rFonts w:hint="eastAsia" w:ascii="宋体" w:hAnsi="宋体" w:eastAsia="宋体" w:cs="宋体"/>
                <w:sz w:val="24"/>
                <w:szCs w:val="24"/>
              </w:rPr>
              <w:t>个</w:t>
            </w:r>
            <w:r>
              <w:rPr>
                <w:rFonts w:hint="default" w:ascii="Calibri" w:hAnsi="Calibri" w:cs="Calibri"/>
                <w:sz w:val="24"/>
                <w:szCs w:val="24"/>
              </w:rPr>
              <w:t>RS232</w:t>
            </w:r>
            <w:r>
              <w:rPr>
                <w:rFonts w:hint="eastAsia" w:ascii="宋体" w:hAnsi="宋体" w:eastAsia="宋体" w:cs="宋体"/>
                <w:sz w:val="24"/>
                <w:szCs w:val="24"/>
              </w:rPr>
              <w:t>接口，≥</w:t>
            </w:r>
            <w:r>
              <w:rPr>
                <w:rFonts w:hint="default" w:ascii="Calibri" w:hAnsi="Calibri" w:cs="Calibri"/>
                <w:sz w:val="24"/>
                <w:szCs w:val="24"/>
              </w:rPr>
              <w:t>1</w:t>
            </w:r>
            <w:r>
              <w:rPr>
                <w:rFonts w:hint="eastAsia" w:ascii="宋体" w:hAnsi="宋体" w:eastAsia="宋体" w:cs="宋体"/>
                <w:sz w:val="24"/>
                <w:szCs w:val="24"/>
              </w:rPr>
              <w:t>个</w:t>
            </w:r>
            <w:r>
              <w:rPr>
                <w:rFonts w:hint="default" w:ascii="Calibri" w:hAnsi="Calibri" w:cs="Calibri"/>
                <w:sz w:val="24"/>
                <w:szCs w:val="24"/>
              </w:rPr>
              <w:t>RS485</w:t>
            </w:r>
            <w:r>
              <w:rPr>
                <w:rFonts w:hint="eastAsia" w:ascii="宋体" w:hAnsi="宋体" w:eastAsia="宋体" w:cs="宋体"/>
                <w:sz w:val="24"/>
                <w:szCs w:val="24"/>
              </w:rPr>
              <w:t>接口，≥</w:t>
            </w:r>
            <w:r>
              <w:rPr>
                <w:rFonts w:hint="default" w:ascii="Calibri" w:hAnsi="Calibri" w:cs="Calibri"/>
                <w:sz w:val="24"/>
                <w:szCs w:val="24"/>
              </w:rPr>
              <w:t>8</w:t>
            </w:r>
            <w:r>
              <w:rPr>
                <w:rFonts w:hint="eastAsia" w:ascii="宋体" w:hAnsi="宋体" w:eastAsia="宋体" w:cs="宋体"/>
                <w:sz w:val="24"/>
                <w:szCs w:val="24"/>
              </w:rPr>
              <w:t>路报警输入，≥</w:t>
            </w:r>
            <w:r>
              <w:rPr>
                <w:rFonts w:hint="default" w:ascii="Calibri" w:hAnsi="Calibri" w:cs="Calibri"/>
                <w:sz w:val="24"/>
                <w:szCs w:val="24"/>
              </w:rPr>
              <w:t>8</w:t>
            </w:r>
            <w:r>
              <w:rPr>
                <w:rFonts w:hint="eastAsia" w:ascii="宋体" w:hAnsi="宋体" w:eastAsia="宋体" w:cs="宋体"/>
                <w:sz w:val="24"/>
                <w:szCs w:val="24"/>
              </w:rPr>
              <w:t>路报警输出，≥</w:t>
            </w:r>
            <w:r>
              <w:rPr>
                <w:rFonts w:hint="default" w:ascii="Calibri" w:hAnsi="Calibri" w:cs="Calibri"/>
                <w:sz w:val="24"/>
                <w:szCs w:val="24"/>
              </w:rPr>
              <w:t>1</w:t>
            </w:r>
            <w:r>
              <w:rPr>
                <w:rFonts w:hint="eastAsia" w:ascii="宋体" w:hAnsi="宋体" w:eastAsia="宋体" w:cs="宋体"/>
                <w:sz w:val="24"/>
                <w:szCs w:val="24"/>
              </w:rPr>
              <w:t>个</w:t>
            </w:r>
            <w:r>
              <w:rPr>
                <w:rFonts w:hint="default" w:ascii="Calibri" w:hAnsi="Calibri" w:cs="Calibri"/>
                <w:sz w:val="24"/>
                <w:szCs w:val="24"/>
              </w:rPr>
              <w:t>VGA</w:t>
            </w:r>
            <w:r>
              <w:rPr>
                <w:rFonts w:hint="eastAsia" w:ascii="宋体" w:hAnsi="宋体" w:eastAsia="宋体" w:cs="宋体"/>
                <w:sz w:val="24"/>
                <w:szCs w:val="24"/>
              </w:rPr>
              <w:t>视频输入接口，≥</w:t>
            </w:r>
            <w:r>
              <w:rPr>
                <w:rFonts w:hint="default" w:ascii="Calibri" w:hAnsi="Calibri" w:cs="Calibri"/>
                <w:sz w:val="24"/>
                <w:szCs w:val="24"/>
              </w:rPr>
              <w:t>1</w:t>
            </w:r>
            <w:r>
              <w:rPr>
                <w:rFonts w:hint="eastAsia" w:ascii="宋体" w:hAnsi="宋体" w:eastAsia="宋体" w:cs="宋体"/>
                <w:sz w:val="24"/>
                <w:szCs w:val="24"/>
              </w:rPr>
              <w:t>个</w:t>
            </w:r>
            <w:r>
              <w:rPr>
                <w:rFonts w:hint="default" w:ascii="Calibri" w:hAnsi="Calibri" w:cs="Calibri"/>
                <w:sz w:val="24"/>
                <w:szCs w:val="24"/>
              </w:rPr>
              <w:t>DVI-I</w:t>
            </w:r>
            <w:r>
              <w:rPr>
                <w:rFonts w:hint="eastAsia" w:ascii="宋体" w:hAnsi="宋体" w:eastAsia="宋体" w:cs="宋体"/>
                <w:sz w:val="24"/>
                <w:szCs w:val="24"/>
              </w:rPr>
              <w:t>视频输入接口；输出口支持≥</w:t>
            </w:r>
            <w:r>
              <w:rPr>
                <w:rFonts w:hint="default" w:ascii="Calibri" w:hAnsi="Calibri" w:cs="Calibri"/>
                <w:sz w:val="24"/>
                <w:szCs w:val="24"/>
              </w:rPr>
              <w:t>4</w:t>
            </w:r>
            <w:r>
              <w:rPr>
                <w:rFonts w:hint="eastAsia" w:ascii="宋体" w:hAnsi="宋体" w:eastAsia="宋体" w:cs="宋体"/>
                <w:sz w:val="24"/>
                <w:szCs w:val="24"/>
              </w:rPr>
              <w:t>个</w:t>
            </w:r>
            <w:r>
              <w:rPr>
                <w:rFonts w:hint="default" w:ascii="Calibri" w:hAnsi="Calibri" w:cs="Calibri"/>
                <w:sz w:val="24"/>
                <w:szCs w:val="24"/>
              </w:rPr>
              <w:t>HDMI</w:t>
            </w:r>
            <w:r>
              <w:rPr>
                <w:rFonts w:hint="eastAsia" w:ascii="宋体" w:hAnsi="宋体" w:eastAsia="宋体" w:cs="宋体"/>
                <w:sz w:val="24"/>
                <w:szCs w:val="24"/>
              </w:rPr>
              <w:t>接口，支持≥</w:t>
            </w:r>
            <w:r>
              <w:rPr>
                <w:rFonts w:hint="default" w:ascii="Calibri" w:hAnsi="Calibri" w:cs="Calibri"/>
                <w:sz w:val="24"/>
                <w:szCs w:val="24"/>
              </w:rPr>
              <w:t>8</w:t>
            </w:r>
            <w:r>
              <w:rPr>
                <w:rFonts w:hint="eastAsia" w:ascii="宋体" w:hAnsi="宋体" w:eastAsia="宋体" w:cs="宋体"/>
                <w:sz w:val="24"/>
                <w:szCs w:val="24"/>
              </w:rPr>
              <w:t>路模拟音频输出，支持≥</w:t>
            </w:r>
            <w:r>
              <w:rPr>
                <w:rFonts w:hint="default" w:ascii="Calibri" w:hAnsi="Calibri" w:cs="Calibri"/>
                <w:sz w:val="24"/>
                <w:szCs w:val="24"/>
              </w:rPr>
              <w:t>4</w:t>
            </w:r>
            <w:r>
              <w:rPr>
                <w:rFonts w:hint="eastAsia" w:ascii="宋体" w:hAnsi="宋体" w:eastAsia="宋体" w:cs="宋体"/>
                <w:sz w:val="24"/>
                <w:szCs w:val="24"/>
              </w:rPr>
              <w:t>路模拟</w:t>
            </w:r>
            <w:r>
              <w:rPr>
                <w:rFonts w:hint="default" w:ascii="Calibri" w:hAnsi="Calibri" w:cs="Calibri"/>
                <w:sz w:val="24"/>
                <w:szCs w:val="24"/>
              </w:rPr>
              <w:t>CVBS</w:t>
            </w:r>
            <w:r>
              <w:rPr>
                <w:rFonts w:hint="eastAsia" w:ascii="宋体" w:hAnsi="宋体" w:eastAsia="宋体" w:cs="宋体"/>
                <w:sz w:val="24"/>
                <w:szCs w:val="24"/>
              </w:rPr>
              <w:t>视频输出；（提供具有</w:t>
            </w:r>
            <w:r>
              <w:rPr>
                <w:rFonts w:hint="default" w:ascii="Calibri" w:hAnsi="Calibri" w:cs="Calibri"/>
                <w:sz w:val="24"/>
                <w:szCs w:val="24"/>
              </w:rPr>
              <w:t>CNAS</w:t>
            </w:r>
            <w:r>
              <w:rPr>
                <w:rFonts w:hint="eastAsia" w:ascii="宋体" w:hAnsi="宋体" w:eastAsia="宋体" w:cs="宋体"/>
                <w:sz w:val="24"/>
                <w:szCs w:val="24"/>
              </w:rPr>
              <w:t>资质认证标识的检测机构出具的公安部报告证明）</w:t>
            </w:r>
          </w:p>
          <w:p>
            <w:pPr>
              <w:pStyle w:val="4"/>
              <w:keepNext w:val="0"/>
              <w:keepLines w:val="0"/>
              <w:widowControl/>
              <w:suppressLineNumbers w:val="0"/>
              <w:spacing w:before="0" w:beforeAutospacing="1" w:after="0" w:afterAutospacing="1" w:line="315" w:lineRule="atLeast"/>
              <w:ind w:left="0" w:right="0" w:firstLine="0"/>
            </w:pPr>
            <w:r>
              <w:rPr>
                <w:rFonts w:hint="default" w:ascii="Calibri" w:hAnsi="Calibri" w:cs="Calibri"/>
                <w:sz w:val="24"/>
                <w:szCs w:val="24"/>
              </w:rPr>
              <w:t>3.</w:t>
            </w:r>
            <w:r>
              <w:rPr>
                <w:rFonts w:hint="default" w:ascii="Times New Roman" w:hAnsi="Times New Roman" w:cs="Times New Roman"/>
                <w:sz w:val="13"/>
                <w:szCs w:val="13"/>
              </w:rPr>
              <w:t xml:space="preserve">           </w:t>
            </w:r>
            <w:r>
              <w:rPr>
                <w:rFonts w:hint="eastAsia" w:ascii="宋体" w:hAnsi="宋体" w:eastAsia="宋体" w:cs="宋体"/>
                <w:sz w:val="24"/>
                <w:szCs w:val="24"/>
              </w:rPr>
              <w:t>可对客户端电脑桌面解码输出显示；可通过客户端软件导入和导出设备配置参数；可通过客户端软件将显示窗口在多个显示屏间进行拖动或跨屏显示，并可调节显示窗口大小；</w:t>
            </w:r>
          </w:p>
          <w:p>
            <w:pPr>
              <w:pStyle w:val="4"/>
              <w:keepNext w:val="0"/>
              <w:keepLines w:val="0"/>
              <w:widowControl/>
              <w:suppressLineNumbers w:val="0"/>
              <w:spacing w:before="0" w:beforeAutospacing="1" w:after="0" w:afterAutospacing="1" w:line="315" w:lineRule="atLeast"/>
              <w:ind w:left="0" w:right="0" w:firstLine="0"/>
            </w:pPr>
            <w:r>
              <w:rPr>
                <w:rFonts w:hint="default" w:ascii="Calibri" w:hAnsi="Calibri" w:cs="Calibri"/>
                <w:sz w:val="24"/>
                <w:szCs w:val="24"/>
              </w:rPr>
              <w:t>4.</w:t>
            </w:r>
            <w:r>
              <w:rPr>
                <w:rFonts w:hint="default" w:ascii="Times New Roman" w:hAnsi="Times New Roman" w:cs="Times New Roman"/>
                <w:sz w:val="13"/>
                <w:szCs w:val="13"/>
              </w:rPr>
              <w:t xml:space="preserve">           </w:t>
            </w:r>
            <w:r>
              <w:rPr>
                <w:rFonts w:hint="eastAsia" w:ascii="宋体" w:hAnsi="宋体" w:eastAsia="宋体" w:cs="宋体"/>
                <w:sz w:val="24"/>
                <w:szCs w:val="24"/>
              </w:rPr>
              <w:t>可通过客户端软件设置</w:t>
            </w:r>
            <w:r>
              <w:rPr>
                <w:rFonts w:hint="default" w:ascii="Calibri" w:hAnsi="Calibri" w:cs="Calibri"/>
                <w:sz w:val="24"/>
                <w:szCs w:val="24"/>
              </w:rPr>
              <w:t>HDMI</w:t>
            </w:r>
            <w:r>
              <w:rPr>
                <w:rFonts w:hint="eastAsia" w:ascii="宋体" w:hAnsi="宋体" w:eastAsia="宋体" w:cs="宋体"/>
                <w:sz w:val="24"/>
                <w:szCs w:val="24"/>
              </w:rPr>
              <w:t>接口输出分辨率为</w:t>
            </w:r>
            <w:r>
              <w:rPr>
                <w:rFonts w:hint="default" w:ascii="Calibri" w:hAnsi="Calibri" w:cs="Calibri"/>
                <w:sz w:val="24"/>
                <w:szCs w:val="24"/>
              </w:rPr>
              <w:t>1024</w:t>
            </w:r>
            <w:r>
              <w:rPr>
                <w:rFonts w:hint="eastAsia" w:ascii="宋体" w:hAnsi="宋体" w:eastAsia="宋体" w:cs="宋体"/>
                <w:sz w:val="24"/>
                <w:szCs w:val="24"/>
              </w:rPr>
              <w:t>×</w:t>
            </w:r>
            <w:r>
              <w:rPr>
                <w:rFonts w:hint="default" w:ascii="Calibri" w:hAnsi="Calibri" w:cs="Calibri"/>
                <w:sz w:val="24"/>
                <w:szCs w:val="24"/>
              </w:rPr>
              <w:t>768</w:t>
            </w:r>
            <w:r>
              <w:rPr>
                <w:rFonts w:hint="eastAsia" w:ascii="宋体" w:hAnsi="宋体" w:eastAsia="宋体" w:cs="宋体"/>
                <w:sz w:val="24"/>
                <w:szCs w:val="24"/>
              </w:rPr>
              <w:t>（</w:t>
            </w:r>
            <w:r>
              <w:rPr>
                <w:rFonts w:hint="default" w:ascii="Calibri" w:hAnsi="Calibri" w:cs="Calibri"/>
                <w:sz w:val="24"/>
                <w:szCs w:val="24"/>
              </w:rPr>
              <w:t>60Hz</w:t>
            </w:r>
            <w:r>
              <w:rPr>
                <w:rFonts w:hint="eastAsia" w:ascii="宋体" w:hAnsi="宋体" w:eastAsia="宋体" w:cs="宋体"/>
                <w:sz w:val="24"/>
                <w:szCs w:val="24"/>
              </w:rPr>
              <w:t>）、</w:t>
            </w:r>
            <w:r>
              <w:rPr>
                <w:rFonts w:hint="default" w:ascii="Calibri" w:hAnsi="Calibri" w:cs="Calibri"/>
                <w:sz w:val="24"/>
                <w:szCs w:val="24"/>
              </w:rPr>
              <w:t>1280</w:t>
            </w:r>
            <w:r>
              <w:rPr>
                <w:rFonts w:hint="eastAsia" w:ascii="宋体" w:hAnsi="宋体" w:eastAsia="宋体" w:cs="宋体"/>
                <w:sz w:val="24"/>
                <w:szCs w:val="24"/>
              </w:rPr>
              <w:t>×</w:t>
            </w:r>
            <w:r>
              <w:rPr>
                <w:rFonts w:hint="default" w:ascii="Calibri" w:hAnsi="Calibri" w:cs="Calibri"/>
                <w:sz w:val="24"/>
                <w:szCs w:val="24"/>
              </w:rPr>
              <w:t>1024</w:t>
            </w:r>
            <w:r>
              <w:rPr>
                <w:rFonts w:hint="eastAsia" w:ascii="宋体" w:hAnsi="宋体" w:eastAsia="宋体" w:cs="宋体"/>
                <w:sz w:val="24"/>
                <w:szCs w:val="24"/>
              </w:rPr>
              <w:t>（</w:t>
            </w:r>
            <w:r>
              <w:rPr>
                <w:rFonts w:hint="default" w:ascii="Calibri" w:hAnsi="Calibri" w:cs="Calibri"/>
                <w:sz w:val="24"/>
                <w:szCs w:val="24"/>
              </w:rPr>
              <w:t>60Hz</w:t>
            </w:r>
            <w:r>
              <w:rPr>
                <w:rFonts w:hint="eastAsia" w:ascii="宋体" w:hAnsi="宋体" w:eastAsia="宋体" w:cs="宋体"/>
                <w:sz w:val="24"/>
                <w:szCs w:val="24"/>
              </w:rPr>
              <w:t>）、</w:t>
            </w:r>
            <w:r>
              <w:rPr>
                <w:rFonts w:hint="default" w:ascii="Calibri" w:hAnsi="Calibri" w:cs="Calibri"/>
                <w:sz w:val="24"/>
                <w:szCs w:val="24"/>
              </w:rPr>
              <w:t>1280</w:t>
            </w:r>
            <w:r>
              <w:rPr>
                <w:rFonts w:hint="eastAsia" w:ascii="宋体" w:hAnsi="宋体" w:eastAsia="宋体" w:cs="宋体"/>
                <w:sz w:val="24"/>
                <w:szCs w:val="24"/>
              </w:rPr>
              <w:t>×</w:t>
            </w:r>
            <w:r>
              <w:rPr>
                <w:rFonts w:hint="default" w:ascii="Calibri" w:hAnsi="Calibri" w:cs="Calibri"/>
                <w:sz w:val="24"/>
                <w:szCs w:val="24"/>
              </w:rPr>
              <w:t>720</w:t>
            </w:r>
            <w:r>
              <w:rPr>
                <w:rFonts w:hint="eastAsia" w:ascii="宋体" w:hAnsi="宋体" w:eastAsia="宋体" w:cs="宋体"/>
                <w:sz w:val="24"/>
                <w:szCs w:val="24"/>
              </w:rPr>
              <w:t>（</w:t>
            </w:r>
            <w:r>
              <w:rPr>
                <w:rFonts w:hint="default" w:ascii="Calibri" w:hAnsi="Calibri" w:cs="Calibri"/>
                <w:sz w:val="24"/>
                <w:szCs w:val="24"/>
              </w:rPr>
              <w:t>60Hz</w:t>
            </w:r>
            <w:r>
              <w:rPr>
                <w:rFonts w:hint="eastAsia" w:ascii="宋体" w:hAnsi="宋体" w:eastAsia="宋体" w:cs="宋体"/>
                <w:sz w:val="24"/>
                <w:szCs w:val="24"/>
              </w:rPr>
              <w:t>）、</w:t>
            </w:r>
            <w:r>
              <w:rPr>
                <w:rFonts w:hint="default" w:ascii="Calibri" w:hAnsi="Calibri" w:cs="Calibri"/>
                <w:sz w:val="24"/>
                <w:szCs w:val="24"/>
              </w:rPr>
              <w:t>1280</w:t>
            </w:r>
            <w:r>
              <w:rPr>
                <w:rFonts w:hint="eastAsia" w:ascii="宋体" w:hAnsi="宋体" w:eastAsia="宋体" w:cs="宋体"/>
                <w:sz w:val="24"/>
                <w:szCs w:val="24"/>
              </w:rPr>
              <w:t>×</w:t>
            </w:r>
            <w:r>
              <w:rPr>
                <w:rFonts w:hint="default" w:ascii="Calibri" w:hAnsi="Calibri" w:cs="Calibri"/>
                <w:sz w:val="24"/>
                <w:szCs w:val="24"/>
              </w:rPr>
              <w:t>720</w:t>
            </w:r>
            <w:r>
              <w:rPr>
                <w:rFonts w:hint="eastAsia" w:ascii="宋体" w:hAnsi="宋体" w:eastAsia="宋体" w:cs="宋体"/>
                <w:sz w:val="24"/>
                <w:szCs w:val="24"/>
              </w:rPr>
              <w:t>（</w:t>
            </w:r>
            <w:r>
              <w:rPr>
                <w:rFonts w:hint="default" w:ascii="Calibri" w:hAnsi="Calibri" w:cs="Calibri"/>
                <w:sz w:val="24"/>
                <w:szCs w:val="24"/>
              </w:rPr>
              <w:t>50Hz</w:t>
            </w:r>
            <w:r>
              <w:rPr>
                <w:rFonts w:hint="eastAsia" w:ascii="宋体" w:hAnsi="宋体" w:eastAsia="宋体" w:cs="宋体"/>
                <w:sz w:val="24"/>
                <w:szCs w:val="24"/>
              </w:rPr>
              <w:t>）、</w:t>
            </w:r>
            <w:r>
              <w:rPr>
                <w:rFonts w:hint="default" w:ascii="Calibri" w:hAnsi="Calibri" w:cs="Calibri"/>
                <w:sz w:val="24"/>
                <w:szCs w:val="24"/>
              </w:rPr>
              <w:t>1920</w:t>
            </w:r>
            <w:r>
              <w:rPr>
                <w:rFonts w:hint="eastAsia" w:ascii="宋体" w:hAnsi="宋体" w:eastAsia="宋体" w:cs="宋体"/>
                <w:sz w:val="24"/>
                <w:szCs w:val="24"/>
              </w:rPr>
              <w:t>×</w:t>
            </w:r>
            <w:r>
              <w:rPr>
                <w:rFonts w:hint="default" w:ascii="Calibri" w:hAnsi="Calibri" w:cs="Calibri"/>
                <w:sz w:val="24"/>
                <w:szCs w:val="24"/>
              </w:rPr>
              <w:t>1080</w:t>
            </w:r>
            <w:r>
              <w:rPr>
                <w:rFonts w:hint="eastAsia" w:ascii="宋体" w:hAnsi="宋体" w:eastAsia="宋体" w:cs="宋体"/>
                <w:sz w:val="24"/>
                <w:szCs w:val="24"/>
              </w:rPr>
              <w:t>（</w:t>
            </w:r>
            <w:r>
              <w:rPr>
                <w:rFonts w:hint="default" w:ascii="Calibri" w:hAnsi="Calibri" w:cs="Calibri"/>
                <w:sz w:val="24"/>
                <w:szCs w:val="24"/>
              </w:rPr>
              <w:t>50Hz</w:t>
            </w:r>
            <w:r>
              <w:rPr>
                <w:rFonts w:hint="eastAsia" w:ascii="宋体" w:hAnsi="宋体" w:eastAsia="宋体" w:cs="宋体"/>
                <w:sz w:val="24"/>
                <w:szCs w:val="24"/>
              </w:rPr>
              <w:t>）、</w:t>
            </w:r>
            <w:r>
              <w:rPr>
                <w:rFonts w:hint="default" w:ascii="Calibri" w:hAnsi="Calibri" w:cs="Calibri"/>
                <w:sz w:val="24"/>
                <w:szCs w:val="24"/>
              </w:rPr>
              <w:t>1920</w:t>
            </w:r>
            <w:r>
              <w:rPr>
                <w:rFonts w:hint="eastAsia" w:ascii="宋体" w:hAnsi="宋体" w:eastAsia="宋体" w:cs="宋体"/>
                <w:sz w:val="24"/>
                <w:szCs w:val="24"/>
              </w:rPr>
              <w:t>×</w:t>
            </w:r>
            <w:r>
              <w:rPr>
                <w:rFonts w:hint="default" w:ascii="Calibri" w:hAnsi="Calibri" w:cs="Calibri"/>
                <w:sz w:val="24"/>
                <w:szCs w:val="24"/>
              </w:rPr>
              <w:t>1080</w:t>
            </w:r>
            <w:r>
              <w:rPr>
                <w:rFonts w:hint="eastAsia" w:ascii="宋体" w:hAnsi="宋体" w:eastAsia="宋体" w:cs="宋体"/>
                <w:sz w:val="24"/>
                <w:szCs w:val="24"/>
              </w:rPr>
              <w:t>（</w:t>
            </w:r>
            <w:r>
              <w:rPr>
                <w:rFonts w:hint="default" w:ascii="Calibri" w:hAnsi="Calibri" w:cs="Calibri"/>
                <w:sz w:val="24"/>
                <w:szCs w:val="24"/>
              </w:rPr>
              <w:t>60Hz</w:t>
            </w:r>
            <w:r>
              <w:rPr>
                <w:rFonts w:hint="eastAsia" w:ascii="宋体" w:hAnsi="宋体" w:eastAsia="宋体" w:cs="宋体"/>
                <w:sz w:val="24"/>
                <w:szCs w:val="24"/>
              </w:rPr>
              <w:t>）、</w:t>
            </w:r>
            <w:r>
              <w:rPr>
                <w:rFonts w:hint="default" w:ascii="Calibri" w:hAnsi="Calibri" w:cs="Calibri"/>
                <w:sz w:val="24"/>
                <w:szCs w:val="24"/>
              </w:rPr>
              <w:t>1600</w:t>
            </w:r>
            <w:r>
              <w:rPr>
                <w:rFonts w:hint="eastAsia" w:ascii="宋体" w:hAnsi="宋体" w:eastAsia="宋体" w:cs="宋体"/>
                <w:sz w:val="24"/>
                <w:szCs w:val="24"/>
              </w:rPr>
              <w:t>×</w:t>
            </w:r>
            <w:r>
              <w:rPr>
                <w:rFonts w:hint="default" w:ascii="Calibri" w:hAnsi="Calibri" w:cs="Calibri"/>
                <w:sz w:val="24"/>
                <w:szCs w:val="24"/>
              </w:rPr>
              <w:t>1200</w:t>
            </w:r>
            <w:r>
              <w:rPr>
                <w:rFonts w:hint="eastAsia" w:ascii="宋体" w:hAnsi="宋体" w:eastAsia="宋体" w:cs="宋体"/>
                <w:sz w:val="24"/>
                <w:szCs w:val="24"/>
              </w:rPr>
              <w:t>（</w:t>
            </w:r>
            <w:r>
              <w:rPr>
                <w:rFonts w:hint="default" w:ascii="Calibri" w:hAnsi="Calibri" w:cs="Calibri"/>
                <w:sz w:val="24"/>
                <w:szCs w:val="24"/>
              </w:rPr>
              <w:t>60Hz</w:t>
            </w:r>
            <w:r>
              <w:rPr>
                <w:rFonts w:hint="eastAsia" w:ascii="宋体" w:hAnsi="宋体" w:eastAsia="宋体" w:cs="宋体"/>
                <w:sz w:val="24"/>
                <w:szCs w:val="24"/>
              </w:rPr>
              <w:t>）、</w:t>
            </w:r>
            <w:r>
              <w:rPr>
                <w:rFonts w:hint="default" w:ascii="Calibri" w:hAnsi="Calibri" w:cs="Calibri"/>
                <w:sz w:val="24"/>
                <w:szCs w:val="24"/>
              </w:rPr>
              <w:t>1680</w:t>
            </w:r>
            <w:r>
              <w:rPr>
                <w:rFonts w:hint="eastAsia" w:ascii="宋体" w:hAnsi="宋体" w:eastAsia="宋体" w:cs="宋体"/>
                <w:sz w:val="24"/>
                <w:szCs w:val="24"/>
              </w:rPr>
              <w:t>×</w:t>
            </w:r>
            <w:r>
              <w:rPr>
                <w:rFonts w:hint="default" w:ascii="Calibri" w:hAnsi="Calibri" w:cs="Calibri"/>
                <w:sz w:val="24"/>
                <w:szCs w:val="24"/>
              </w:rPr>
              <w:t>1050</w:t>
            </w:r>
            <w:r>
              <w:rPr>
                <w:rFonts w:hint="eastAsia" w:ascii="宋体" w:hAnsi="宋体" w:eastAsia="宋体" w:cs="宋体"/>
                <w:sz w:val="24"/>
                <w:szCs w:val="24"/>
              </w:rPr>
              <w:t>（</w:t>
            </w:r>
            <w:r>
              <w:rPr>
                <w:rFonts w:hint="default" w:ascii="Calibri" w:hAnsi="Calibri" w:cs="Calibri"/>
                <w:sz w:val="24"/>
                <w:szCs w:val="24"/>
              </w:rPr>
              <w:t>60Hz</w:t>
            </w:r>
            <w:r>
              <w:rPr>
                <w:rFonts w:hint="eastAsia" w:ascii="宋体" w:hAnsi="宋体" w:eastAsia="宋体" w:cs="宋体"/>
                <w:sz w:val="24"/>
                <w:szCs w:val="24"/>
              </w:rPr>
              <w:t>）、</w:t>
            </w:r>
            <w:r>
              <w:rPr>
                <w:rFonts w:hint="default" w:ascii="Calibri" w:hAnsi="Calibri" w:cs="Calibri"/>
                <w:sz w:val="24"/>
                <w:szCs w:val="24"/>
              </w:rPr>
              <w:t>3840x2160</w:t>
            </w:r>
            <w:r>
              <w:rPr>
                <w:rFonts w:hint="eastAsia" w:ascii="宋体" w:hAnsi="宋体" w:eastAsia="宋体" w:cs="宋体"/>
                <w:sz w:val="24"/>
                <w:szCs w:val="24"/>
              </w:rPr>
              <w:t>（</w:t>
            </w:r>
            <w:r>
              <w:rPr>
                <w:rFonts w:hint="default" w:ascii="Calibri" w:hAnsi="Calibri" w:cs="Calibri"/>
                <w:sz w:val="24"/>
                <w:szCs w:val="24"/>
              </w:rPr>
              <w:t>30Hz</w:t>
            </w:r>
            <w:r>
              <w:rPr>
                <w:rFonts w:hint="eastAsia" w:ascii="宋体" w:hAnsi="宋体" w:eastAsia="宋体" w:cs="宋体"/>
                <w:sz w:val="24"/>
                <w:szCs w:val="24"/>
              </w:rPr>
              <w:t>）；</w:t>
            </w:r>
          </w:p>
          <w:p>
            <w:pPr>
              <w:pStyle w:val="4"/>
              <w:keepNext w:val="0"/>
              <w:keepLines w:val="0"/>
              <w:widowControl/>
              <w:suppressLineNumbers w:val="0"/>
              <w:spacing w:before="0" w:beforeAutospacing="1" w:after="0" w:afterAutospacing="1" w:line="315" w:lineRule="atLeast"/>
              <w:ind w:left="0" w:right="0" w:firstLine="0"/>
            </w:pPr>
            <w:r>
              <w:rPr>
                <w:rFonts w:hint="default" w:ascii="Calibri" w:hAnsi="Calibri" w:cs="Calibri"/>
                <w:sz w:val="24"/>
                <w:szCs w:val="24"/>
              </w:rPr>
              <w:t>5.</w:t>
            </w:r>
            <w:r>
              <w:rPr>
                <w:rFonts w:hint="default" w:ascii="Times New Roman" w:hAnsi="Times New Roman" w:cs="Times New Roman"/>
                <w:sz w:val="13"/>
                <w:szCs w:val="13"/>
              </w:rPr>
              <w:t xml:space="preserve">           </w:t>
            </w:r>
            <w:r>
              <w:rPr>
                <w:rFonts w:hint="eastAsia" w:ascii="宋体" w:hAnsi="宋体" w:eastAsia="宋体" w:cs="宋体"/>
                <w:sz w:val="24"/>
                <w:szCs w:val="24"/>
              </w:rPr>
              <w:t>可将视频图像进行轮巡输出显示，并可在客户端软件设置轮巡计划；可分别通过</w:t>
            </w:r>
            <w:r>
              <w:rPr>
                <w:rFonts w:hint="default" w:ascii="Calibri" w:hAnsi="Calibri" w:cs="Calibri"/>
                <w:sz w:val="24"/>
                <w:szCs w:val="24"/>
              </w:rPr>
              <w:t>IE</w:t>
            </w:r>
            <w:r>
              <w:rPr>
                <w:rFonts w:hint="eastAsia" w:ascii="宋体" w:hAnsi="宋体" w:eastAsia="宋体" w:cs="宋体"/>
                <w:sz w:val="24"/>
                <w:szCs w:val="24"/>
              </w:rPr>
              <w:t>浏览器及客户端软件两种方式访问设备；支持</w:t>
            </w:r>
            <w:r>
              <w:rPr>
                <w:rFonts w:hint="default" w:ascii="Calibri" w:hAnsi="Calibri" w:cs="Calibri"/>
                <w:sz w:val="24"/>
                <w:szCs w:val="24"/>
              </w:rPr>
              <w:t>1</w:t>
            </w:r>
            <w:r>
              <w:rPr>
                <w:rFonts w:hint="eastAsia" w:ascii="宋体" w:hAnsi="宋体" w:eastAsia="宋体" w:cs="宋体"/>
                <w:sz w:val="24"/>
                <w:szCs w:val="24"/>
              </w:rPr>
              <w:t>、</w:t>
            </w:r>
            <w:r>
              <w:rPr>
                <w:rFonts w:hint="default" w:ascii="Calibri" w:hAnsi="Calibri" w:cs="Calibri"/>
                <w:sz w:val="24"/>
                <w:szCs w:val="24"/>
              </w:rPr>
              <w:t>2</w:t>
            </w:r>
            <w:r>
              <w:rPr>
                <w:rFonts w:hint="eastAsia" w:ascii="宋体" w:hAnsi="宋体" w:eastAsia="宋体" w:cs="宋体"/>
                <w:sz w:val="24"/>
                <w:szCs w:val="24"/>
              </w:rPr>
              <w:t>、</w:t>
            </w:r>
            <w:r>
              <w:rPr>
                <w:rFonts w:hint="default" w:ascii="Calibri" w:hAnsi="Calibri" w:cs="Calibri"/>
                <w:sz w:val="24"/>
                <w:szCs w:val="24"/>
              </w:rPr>
              <w:t>4</w:t>
            </w:r>
            <w:r>
              <w:rPr>
                <w:rFonts w:hint="eastAsia" w:ascii="宋体" w:hAnsi="宋体" w:eastAsia="宋体" w:cs="宋体"/>
                <w:sz w:val="24"/>
                <w:szCs w:val="24"/>
              </w:rPr>
              <w:t>、</w:t>
            </w:r>
            <w:r>
              <w:rPr>
                <w:rFonts w:hint="default" w:ascii="Calibri" w:hAnsi="Calibri" w:cs="Calibri"/>
                <w:sz w:val="24"/>
                <w:szCs w:val="24"/>
              </w:rPr>
              <w:t>6</w:t>
            </w:r>
            <w:r>
              <w:rPr>
                <w:rFonts w:hint="eastAsia" w:ascii="宋体" w:hAnsi="宋体" w:eastAsia="宋体" w:cs="宋体"/>
                <w:sz w:val="24"/>
                <w:szCs w:val="24"/>
              </w:rPr>
              <w:t>、</w:t>
            </w:r>
            <w:r>
              <w:rPr>
                <w:rFonts w:hint="default" w:ascii="Calibri" w:hAnsi="Calibri" w:cs="Calibri"/>
                <w:sz w:val="24"/>
                <w:szCs w:val="24"/>
              </w:rPr>
              <w:t>8</w:t>
            </w:r>
            <w:r>
              <w:rPr>
                <w:rFonts w:hint="eastAsia" w:ascii="宋体" w:hAnsi="宋体" w:eastAsia="宋体" w:cs="宋体"/>
                <w:sz w:val="24"/>
                <w:szCs w:val="24"/>
              </w:rPr>
              <w:t>、</w:t>
            </w:r>
            <w:r>
              <w:rPr>
                <w:rFonts w:hint="default" w:ascii="Calibri" w:hAnsi="Calibri" w:cs="Calibri"/>
                <w:sz w:val="24"/>
                <w:szCs w:val="24"/>
              </w:rPr>
              <w:t>9</w:t>
            </w:r>
            <w:r>
              <w:rPr>
                <w:rFonts w:hint="eastAsia" w:ascii="宋体" w:hAnsi="宋体" w:eastAsia="宋体" w:cs="宋体"/>
                <w:sz w:val="24"/>
                <w:szCs w:val="24"/>
              </w:rPr>
              <w:t>、</w:t>
            </w:r>
            <w:r>
              <w:rPr>
                <w:rFonts w:hint="default" w:ascii="Calibri" w:hAnsi="Calibri" w:cs="Calibri"/>
                <w:sz w:val="24"/>
                <w:szCs w:val="24"/>
              </w:rPr>
              <w:t>10</w:t>
            </w:r>
            <w:r>
              <w:rPr>
                <w:rFonts w:hint="eastAsia" w:ascii="宋体" w:hAnsi="宋体" w:eastAsia="宋体" w:cs="宋体"/>
                <w:sz w:val="24"/>
                <w:szCs w:val="24"/>
              </w:rPr>
              <w:t>、</w:t>
            </w:r>
            <w:r>
              <w:rPr>
                <w:rFonts w:hint="default" w:ascii="Calibri" w:hAnsi="Calibri" w:cs="Calibri"/>
                <w:sz w:val="24"/>
                <w:szCs w:val="24"/>
              </w:rPr>
              <w:t>12</w:t>
            </w:r>
            <w:r>
              <w:rPr>
                <w:rFonts w:hint="eastAsia" w:ascii="宋体" w:hAnsi="宋体" w:eastAsia="宋体" w:cs="宋体"/>
                <w:sz w:val="24"/>
                <w:szCs w:val="24"/>
              </w:rPr>
              <w:t>、</w:t>
            </w:r>
            <w:r>
              <w:rPr>
                <w:rFonts w:hint="default" w:ascii="Calibri" w:hAnsi="Calibri" w:cs="Calibri"/>
                <w:sz w:val="24"/>
                <w:szCs w:val="24"/>
              </w:rPr>
              <w:t>16</w:t>
            </w:r>
            <w:r>
              <w:rPr>
                <w:rFonts w:hint="eastAsia" w:ascii="宋体" w:hAnsi="宋体" w:eastAsia="宋体" w:cs="宋体"/>
                <w:sz w:val="24"/>
                <w:szCs w:val="24"/>
              </w:rPr>
              <w:t>、</w:t>
            </w:r>
            <w:r>
              <w:rPr>
                <w:rFonts w:hint="default" w:ascii="Calibri" w:hAnsi="Calibri" w:cs="Calibri"/>
                <w:sz w:val="24"/>
                <w:szCs w:val="24"/>
              </w:rPr>
              <w:t>25</w:t>
            </w:r>
            <w:r>
              <w:rPr>
                <w:rFonts w:hint="eastAsia" w:ascii="宋体" w:hAnsi="宋体" w:eastAsia="宋体" w:cs="宋体"/>
                <w:sz w:val="24"/>
                <w:szCs w:val="24"/>
              </w:rPr>
              <w:t>画面分割显示；可通过客户端软件对设备进行恢复出厂设置；</w:t>
            </w:r>
          </w:p>
          <w:p>
            <w:pPr>
              <w:pStyle w:val="4"/>
              <w:keepNext w:val="0"/>
              <w:keepLines w:val="0"/>
              <w:widowControl/>
              <w:suppressLineNumbers w:val="0"/>
              <w:spacing w:before="0" w:beforeAutospacing="1" w:after="0" w:afterAutospacing="1" w:line="315" w:lineRule="atLeast"/>
              <w:ind w:left="0" w:right="0" w:firstLine="0"/>
            </w:pPr>
            <w:r>
              <w:rPr>
                <w:rFonts w:hint="default" w:ascii="Calibri" w:hAnsi="Calibri" w:cs="Calibri"/>
                <w:sz w:val="24"/>
                <w:szCs w:val="24"/>
              </w:rPr>
              <w:t>6.</w:t>
            </w:r>
            <w:r>
              <w:rPr>
                <w:rFonts w:hint="default" w:ascii="Times New Roman" w:hAnsi="Times New Roman" w:cs="Times New Roman"/>
                <w:sz w:val="13"/>
                <w:szCs w:val="13"/>
              </w:rPr>
              <w:t xml:space="preserve">           </w:t>
            </w:r>
            <w:r>
              <w:rPr>
                <w:rFonts w:hint="eastAsia" w:ascii="宋体" w:hAnsi="宋体" w:eastAsia="宋体" w:cs="宋体"/>
                <w:sz w:val="24"/>
                <w:szCs w:val="24"/>
              </w:rPr>
              <w:t>可通过客户端软件将</w:t>
            </w:r>
            <w:r>
              <w:rPr>
                <w:rFonts w:hint="default" w:ascii="Calibri" w:hAnsi="Calibri" w:cs="Calibri"/>
                <w:sz w:val="24"/>
                <w:szCs w:val="24"/>
              </w:rPr>
              <w:t>1</w:t>
            </w:r>
            <w:r>
              <w:rPr>
                <w:rFonts w:hint="eastAsia" w:ascii="宋体" w:hAnsi="宋体" w:eastAsia="宋体" w:cs="宋体"/>
                <w:sz w:val="24"/>
                <w:szCs w:val="24"/>
              </w:rPr>
              <w:t>路输入视频图像发送至多个输出接口拼接显示，支持</w:t>
            </w:r>
            <w:r>
              <w:rPr>
                <w:rFonts w:hint="default" w:ascii="Calibri" w:hAnsi="Calibri" w:cs="Calibri"/>
                <w:sz w:val="24"/>
                <w:szCs w:val="24"/>
              </w:rPr>
              <w:t>1</w:t>
            </w:r>
            <w:r>
              <w:rPr>
                <w:rFonts w:hint="eastAsia" w:ascii="宋体" w:hAnsi="宋体" w:eastAsia="宋体" w:cs="宋体"/>
                <w:sz w:val="24"/>
                <w:szCs w:val="24"/>
              </w:rPr>
              <w:t>×</w:t>
            </w:r>
            <w:r>
              <w:rPr>
                <w:rFonts w:hint="default" w:ascii="Calibri" w:hAnsi="Calibri" w:cs="Calibri"/>
                <w:sz w:val="24"/>
                <w:szCs w:val="24"/>
              </w:rPr>
              <w:t>2</w:t>
            </w:r>
            <w:r>
              <w:rPr>
                <w:rFonts w:hint="eastAsia" w:ascii="宋体" w:hAnsi="宋体" w:eastAsia="宋体" w:cs="宋体"/>
                <w:sz w:val="24"/>
                <w:szCs w:val="24"/>
              </w:rPr>
              <w:t>、</w:t>
            </w:r>
            <w:r>
              <w:rPr>
                <w:rFonts w:hint="default" w:ascii="Calibri" w:hAnsi="Calibri" w:cs="Calibri"/>
                <w:sz w:val="24"/>
                <w:szCs w:val="24"/>
              </w:rPr>
              <w:t>1</w:t>
            </w:r>
            <w:r>
              <w:rPr>
                <w:rFonts w:hint="eastAsia" w:ascii="宋体" w:hAnsi="宋体" w:eastAsia="宋体" w:cs="宋体"/>
                <w:sz w:val="24"/>
                <w:szCs w:val="24"/>
              </w:rPr>
              <w:t>×</w:t>
            </w:r>
            <w:r>
              <w:rPr>
                <w:rFonts w:hint="default" w:ascii="Calibri" w:hAnsi="Calibri" w:cs="Calibri"/>
                <w:sz w:val="24"/>
                <w:szCs w:val="24"/>
              </w:rPr>
              <w:t>3</w:t>
            </w:r>
            <w:r>
              <w:rPr>
                <w:rFonts w:hint="eastAsia" w:ascii="宋体" w:hAnsi="宋体" w:eastAsia="宋体" w:cs="宋体"/>
                <w:sz w:val="24"/>
                <w:szCs w:val="24"/>
              </w:rPr>
              <w:t>、</w:t>
            </w:r>
            <w:r>
              <w:rPr>
                <w:rFonts w:hint="default" w:ascii="Calibri" w:hAnsi="Calibri" w:cs="Calibri"/>
                <w:sz w:val="24"/>
                <w:szCs w:val="24"/>
              </w:rPr>
              <w:t>1</w:t>
            </w:r>
            <w:r>
              <w:rPr>
                <w:rFonts w:hint="eastAsia" w:ascii="宋体" w:hAnsi="宋体" w:eastAsia="宋体" w:cs="宋体"/>
                <w:sz w:val="24"/>
                <w:szCs w:val="24"/>
              </w:rPr>
              <w:t>×</w:t>
            </w:r>
            <w:r>
              <w:rPr>
                <w:rFonts w:hint="default" w:ascii="Calibri" w:hAnsi="Calibri" w:cs="Calibri"/>
                <w:sz w:val="24"/>
                <w:szCs w:val="24"/>
              </w:rPr>
              <w:t>4</w:t>
            </w:r>
            <w:r>
              <w:rPr>
                <w:rFonts w:hint="eastAsia" w:ascii="宋体" w:hAnsi="宋体" w:eastAsia="宋体" w:cs="宋体"/>
                <w:sz w:val="24"/>
                <w:szCs w:val="24"/>
              </w:rPr>
              <w:t>、</w:t>
            </w:r>
            <w:r>
              <w:rPr>
                <w:rFonts w:hint="default" w:ascii="Calibri" w:hAnsi="Calibri" w:cs="Calibri"/>
                <w:sz w:val="24"/>
                <w:szCs w:val="24"/>
              </w:rPr>
              <w:t>2</w:t>
            </w:r>
            <w:r>
              <w:rPr>
                <w:rFonts w:hint="eastAsia" w:ascii="宋体" w:hAnsi="宋体" w:eastAsia="宋体" w:cs="宋体"/>
                <w:sz w:val="24"/>
                <w:szCs w:val="24"/>
              </w:rPr>
              <w:t>×</w:t>
            </w:r>
            <w:r>
              <w:rPr>
                <w:rFonts w:hint="default" w:ascii="Calibri" w:hAnsi="Calibri" w:cs="Calibri"/>
                <w:sz w:val="24"/>
                <w:szCs w:val="24"/>
              </w:rPr>
              <w:t>1</w:t>
            </w:r>
            <w:r>
              <w:rPr>
                <w:rFonts w:hint="eastAsia" w:ascii="宋体" w:hAnsi="宋体" w:eastAsia="宋体" w:cs="宋体"/>
                <w:sz w:val="24"/>
                <w:szCs w:val="24"/>
              </w:rPr>
              <w:t>、</w:t>
            </w:r>
            <w:r>
              <w:rPr>
                <w:rFonts w:hint="default" w:ascii="Calibri" w:hAnsi="Calibri" w:cs="Calibri"/>
                <w:sz w:val="24"/>
                <w:szCs w:val="24"/>
              </w:rPr>
              <w:t>2</w:t>
            </w:r>
            <w:r>
              <w:rPr>
                <w:rFonts w:hint="eastAsia" w:ascii="宋体" w:hAnsi="宋体" w:eastAsia="宋体" w:cs="宋体"/>
                <w:sz w:val="24"/>
                <w:szCs w:val="24"/>
              </w:rPr>
              <w:t>×</w:t>
            </w:r>
            <w:r>
              <w:rPr>
                <w:rFonts w:hint="default" w:ascii="Calibri" w:hAnsi="Calibri" w:cs="Calibri"/>
                <w:sz w:val="24"/>
                <w:szCs w:val="24"/>
              </w:rPr>
              <w:t>2</w:t>
            </w:r>
            <w:r>
              <w:rPr>
                <w:rFonts w:hint="eastAsia" w:ascii="宋体" w:hAnsi="宋体" w:eastAsia="宋体" w:cs="宋体"/>
                <w:sz w:val="24"/>
                <w:szCs w:val="24"/>
              </w:rPr>
              <w:t>、</w:t>
            </w:r>
            <w:r>
              <w:rPr>
                <w:rFonts w:hint="default" w:ascii="Calibri" w:hAnsi="Calibri" w:cs="Calibri"/>
                <w:sz w:val="24"/>
                <w:szCs w:val="24"/>
              </w:rPr>
              <w:t>3</w:t>
            </w:r>
            <w:r>
              <w:rPr>
                <w:rFonts w:hint="eastAsia" w:ascii="宋体" w:hAnsi="宋体" w:eastAsia="宋体" w:cs="宋体"/>
                <w:sz w:val="24"/>
                <w:szCs w:val="24"/>
              </w:rPr>
              <w:t>×</w:t>
            </w:r>
            <w:r>
              <w:rPr>
                <w:rFonts w:hint="default" w:ascii="Calibri" w:hAnsi="Calibri" w:cs="Calibri"/>
                <w:sz w:val="24"/>
                <w:szCs w:val="24"/>
              </w:rPr>
              <w:t>1</w:t>
            </w:r>
            <w:r>
              <w:rPr>
                <w:rFonts w:hint="eastAsia" w:ascii="宋体" w:hAnsi="宋体" w:eastAsia="宋体" w:cs="宋体"/>
                <w:sz w:val="24"/>
                <w:szCs w:val="24"/>
              </w:rPr>
              <w:t>、</w:t>
            </w:r>
            <w:r>
              <w:rPr>
                <w:rFonts w:hint="default" w:ascii="Calibri" w:hAnsi="Calibri" w:cs="Calibri"/>
                <w:sz w:val="24"/>
                <w:szCs w:val="24"/>
              </w:rPr>
              <w:t>4</w:t>
            </w:r>
            <w:r>
              <w:rPr>
                <w:rFonts w:hint="eastAsia" w:ascii="宋体" w:hAnsi="宋体" w:eastAsia="宋体" w:cs="宋体"/>
                <w:sz w:val="24"/>
                <w:szCs w:val="24"/>
              </w:rPr>
              <w:t>×</w:t>
            </w:r>
            <w:r>
              <w:rPr>
                <w:rFonts w:hint="default" w:ascii="Calibri" w:hAnsi="Calibri" w:cs="Calibri"/>
                <w:sz w:val="24"/>
                <w:szCs w:val="24"/>
              </w:rPr>
              <w:t>1</w:t>
            </w:r>
            <w:r>
              <w:rPr>
                <w:rFonts w:hint="eastAsia" w:ascii="宋体" w:hAnsi="宋体" w:eastAsia="宋体" w:cs="宋体"/>
                <w:sz w:val="24"/>
                <w:szCs w:val="24"/>
              </w:rPr>
              <w:t>的拼接显示；可将设备当前的解码输出模式设置为一个场景，设备可保存多个场景，并可通过客户端软件切换设备场景；具有</w:t>
            </w:r>
            <w:r>
              <w:rPr>
                <w:rFonts w:hint="default" w:ascii="Calibri" w:hAnsi="Calibri" w:cs="Calibri"/>
                <w:sz w:val="24"/>
                <w:szCs w:val="24"/>
              </w:rPr>
              <w:t>NTP</w:t>
            </w:r>
            <w:r>
              <w:rPr>
                <w:rFonts w:hint="eastAsia" w:ascii="宋体" w:hAnsi="宋体" w:eastAsia="宋体" w:cs="宋体"/>
                <w:sz w:val="24"/>
                <w:szCs w:val="24"/>
              </w:rPr>
              <w:t>校时及客户端软件手动校时两种校时方式；</w:t>
            </w:r>
          </w:p>
          <w:p>
            <w:pPr>
              <w:pStyle w:val="4"/>
              <w:keepNext w:val="0"/>
              <w:keepLines w:val="0"/>
              <w:widowControl/>
              <w:suppressLineNumbers w:val="0"/>
              <w:spacing w:before="0" w:beforeAutospacing="1" w:after="0" w:afterAutospacing="1" w:line="315" w:lineRule="atLeast"/>
              <w:ind w:left="0" w:right="0" w:firstLine="0"/>
            </w:pPr>
            <w:r>
              <w:rPr>
                <w:rFonts w:hint="default" w:ascii="Calibri" w:hAnsi="Calibri" w:cs="Calibri"/>
                <w:sz w:val="24"/>
                <w:szCs w:val="24"/>
              </w:rPr>
              <w:t>7.</w:t>
            </w:r>
            <w:r>
              <w:rPr>
                <w:rFonts w:hint="default" w:ascii="Times New Roman" w:hAnsi="Times New Roman" w:cs="Times New Roman"/>
                <w:sz w:val="13"/>
                <w:szCs w:val="13"/>
              </w:rPr>
              <w:t xml:space="preserve">           </w:t>
            </w:r>
            <w:r>
              <w:rPr>
                <w:rFonts w:hint="eastAsia" w:ascii="宋体" w:hAnsi="宋体" w:eastAsia="宋体" w:cs="宋体"/>
                <w:sz w:val="24"/>
                <w:szCs w:val="24"/>
              </w:rPr>
              <w:t>可通过客户端软件对接入的云台进行控制；可通过</w:t>
            </w:r>
            <w:r>
              <w:rPr>
                <w:rFonts w:hint="default" w:ascii="Calibri" w:hAnsi="Calibri" w:cs="Calibri"/>
                <w:sz w:val="24"/>
                <w:szCs w:val="24"/>
              </w:rPr>
              <w:t>RS-485</w:t>
            </w:r>
            <w:r>
              <w:rPr>
                <w:rFonts w:hint="eastAsia" w:ascii="宋体" w:hAnsi="宋体" w:eastAsia="宋体" w:cs="宋体"/>
                <w:sz w:val="24"/>
                <w:szCs w:val="24"/>
              </w:rPr>
              <w:t>接口连接键盘实现键盘对接入的云台进行控制。</w:t>
            </w:r>
          </w:p>
          <w:p>
            <w:pPr>
              <w:pStyle w:val="4"/>
              <w:keepNext w:val="0"/>
              <w:keepLines w:val="0"/>
              <w:widowControl/>
              <w:suppressLineNumbers w:val="0"/>
              <w:spacing w:before="0" w:beforeAutospacing="1" w:after="0" w:afterAutospacing="1" w:line="315" w:lineRule="atLeast"/>
              <w:ind w:left="0" w:right="0" w:firstLine="0"/>
            </w:pPr>
            <w:r>
              <w:rPr>
                <w:rFonts w:hint="default" w:ascii="Calibri" w:hAnsi="Calibri" w:cs="Calibri"/>
                <w:sz w:val="24"/>
                <w:szCs w:val="24"/>
              </w:rPr>
              <w:t>8.</w:t>
            </w:r>
            <w:r>
              <w:rPr>
                <w:rFonts w:hint="default" w:ascii="Times New Roman" w:hAnsi="Times New Roman" w:cs="Times New Roman"/>
                <w:sz w:val="13"/>
                <w:szCs w:val="13"/>
              </w:rPr>
              <w:t xml:space="preserve">           </w:t>
            </w:r>
            <w:r>
              <w:rPr>
                <w:rFonts w:hint="eastAsia" w:ascii="宋体" w:hAnsi="宋体" w:eastAsia="宋体" w:cs="宋体"/>
                <w:sz w:val="24"/>
                <w:szCs w:val="24"/>
              </w:rPr>
              <w:t>可对以下分辨率的视频图像进行解码后输出：</w:t>
            </w:r>
            <w:r>
              <w:rPr>
                <w:rFonts w:hint="default" w:ascii="Calibri" w:hAnsi="Calibri" w:cs="Calibri"/>
                <w:sz w:val="24"/>
                <w:szCs w:val="24"/>
              </w:rPr>
              <w:t>4</w:t>
            </w:r>
            <w:r>
              <w:rPr>
                <w:rFonts w:hint="eastAsia" w:ascii="宋体" w:hAnsi="宋体" w:eastAsia="宋体" w:cs="宋体"/>
                <w:sz w:val="24"/>
                <w:szCs w:val="24"/>
              </w:rPr>
              <w:t>路分辨率为</w:t>
            </w:r>
            <w:r>
              <w:rPr>
                <w:rFonts w:hint="default" w:ascii="Calibri" w:hAnsi="Calibri" w:cs="Calibri"/>
                <w:sz w:val="24"/>
                <w:szCs w:val="24"/>
              </w:rPr>
              <w:t>4000</w:t>
            </w:r>
            <w:r>
              <w:rPr>
                <w:rFonts w:hint="eastAsia" w:ascii="宋体" w:hAnsi="宋体" w:eastAsia="宋体" w:cs="宋体"/>
                <w:sz w:val="24"/>
                <w:szCs w:val="24"/>
              </w:rPr>
              <w:t>×</w:t>
            </w:r>
            <w:r>
              <w:rPr>
                <w:rFonts w:hint="default" w:ascii="Calibri" w:hAnsi="Calibri" w:cs="Calibri"/>
                <w:sz w:val="24"/>
                <w:szCs w:val="24"/>
              </w:rPr>
              <w:t>3000</w:t>
            </w:r>
            <w:r>
              <w:rPr>
                <w:rFonts w:hint="eastAsia" w:ascii="宋体" w:hAnsi="宋体" w:eastAsia="宋体" w:cs="宋体"/>
                <w:sz w:val="24"/>
                <w:szCs w:val="24"/>
              </w:rPr>
              <w:t>（</w:t>
            </w:r>
            <w:r>
              <w:rPr>
                <w:rFonts w:hint="default" w:ascii="Calibri" w:hAnsi="Calibri" w:cs="Calibri"/>
                <w:sz w:val="24"/>
                <w:szCs w:val="24"/>
              </w:rPr>
              <w:t>20fps</w:t>
            </w:r>
            <w:r>
              <w:rPr>
                <w:rFonts w:hint="eastAsia" w:ascii="宋体" w:hAnsi="宋体" w:eastAsia="宋体" w:cs="宋体"/>
                <w:sz w:val="24"/>
                <w:szCs w:val="24"/>
              </w:rPr>
              <w:t>）的视频图像；</w:t>
            </w:r>
            <w:r>
              <w:rPr>
                <w:rFonts w:hint="default" w:ascii="Calibri" w:hAnsi="Calibri" w:cs="Calibri"/>
                <w:sz w:val="24"/>
                <w:szCs w:val="24"/>
              </w:rPr>
              <w:t>8</w:t>
            </w:r>
            <w:r>
              <w:rPr>
                <w:rFonts w:hint="eastAsia" w:ascii="宋体" w:hAnsi="宋体" w:eastAsia="宋体" w:cs="宋体"/>
                <w:sz w:val="24"/>
                <w:szCs w:val="24"/>
              </w:rPr>
              <w:t>路分辨率为</w:t>
            </w:r>
            <w:r>
              <w:rPr>
                <w:rFonts w:hint="default" w:ascii="Calibri" w:hAnsi="Calibri" w:cs="Calibri"/>
                <w:sz w:val="24"/>
                <w:szCs w:val="24"/>
              </w:rPr>
              <w:t>4096</w:t>
            </w:r>
            <w:r>
              <w:rPr>
                <w:rFonts w:hint="eastAsia" w:ascii="宋体" w:hAnsi="宋体" w:eastAsia="宋体" w:cs="宋体"/>
                <w:sz w:val="24"/>
                <w:szCs w:val="24"/>
              </w:rPr>
              <w:t>×</w:t>
            </w:r>
            <w:r>
              <w:rPr>
                <w:rFonts w:hint="default" w:ascii="Calibri" w:hAnsi="Calibri" w:cs="Calibri"/>
                <w:sz w:val="24"/>
                <w:szCs w:val="24"/>
              </w:rPr>
              <w:t>2160</w:t>
            </w:r>
            <w:r>
              <w:rPr>
                <w:rFonts w:hint="eastAsia" w:ascii="宋体" w:hAnsi="宋体" w:eastAsia="宋体" w:cs="宋体"/>
                <w:sz w:val="24"/>
                <w:szCs w:val="24"/>
              </w:rPr>
              <w:t>（</w:t>
            </w:r>
            <w:r>
              <w:rPr>
                <w:rFonts w:hint="default" w:ascii="Calibri" w:hAnsi="Calibri" w:cs="Calibri"/>
                <w:sz w:val="24"/>
                <w:szCs w:val="24"/>
              </w:rPr>
              <w:t>25fps</w:t>
            </w:r>
            <w:r>
              <w:rPr>
                <w:rFonts w:hint="eastAsia" w:ascii="宋体" w:hAnsi="宋体" w:eastAsia="宋体" w:cs="宋体"/>
                <w:sz w:val="24"/>
                <w:szCs w:val="24"/>
              </w:rPr>
              <w:t>）的视频图像；</w:t>
            </w:r>
            <w:r>
              <w:rPr>
                <w:rFonts w:hint="default" w:ascii="Calibri" w:hAnsi="Calibri" w:cs="Calibri"/>
                <w:sz w:val="24"/>
                <w:szCs w:val="24"/>
              </w:rPr>
              <w:t>8</w:t>
            </w:r>
            <w:r>
              <w:rPr>
                <w:rFonts w:hint="eastAsia" w:ascii="宋体" w:hAnsi="宋体" w:eastAsia="宋体" w:cs="宋体"/>
                <w:sz w:val="24"/>
                <w:szCs w:val="24"/>
              </w:rPr>
              <w:t>路分辨率为</w:t>
            </w:r>
            <w:r>
              <w:rPr>
                <w:rFonts w:hint="default" w:ascii="Calibri" w:hAnsi="Calibri" w:cs="Calibri"/>
                <w:sz w:val="24"/>
                <w:szCs w:val="24"/>
              </w:rPr>
              <w:t>3840</w:t>
            </w:r>
            <w:r>
              <w:rPr>
                <w:rFonts w:hint="eastAsia" w:ascii="宋体" w:hAnsi="宋体" w:eastAsia="宋体" w:cs="宋体"/>
                <w:sz w:val="24"/>
                <w:szCs w:val="24"/>
              </w:rPr>
              <w:t>×</w:t>
            </w:r>
            <w:r>
              <w:rPr>
                <w:rFonts w:hint="default" w:ascii="Calibri" w:hAnsi="Calibri" w:cs="Calibri"/>
                <w:sz w:val="24"/>
                <w:szCs w:val="24"/>
              </w:rPr>
              <w:t>2160</w:t>
            </w:r>
            <w:r>
              <w:rPr>
                <w:rFonts w:hint="eastAsia" w:ascii="宋体" w:hAnsi="宋体" w:eastAsia="宋体" w:cs="宋体"/>
                <w:sz w:val="24"/>
                <w:szCs w:val="24"/>
              </w:rPr>
              <w:t>（</w:t>
            </w:r>
            <w:r>
              <w:rPr>
                <w:rFonts w:hint="default" w:ascii="Calibri" w:hAnsi="Calibri" w:cs="Calibri"/>
                <w:sz w:val="24"/>
                <w:szCs w:val="24"/>
              </w:rPr>
              <w:t>25fps</w:t>
            </w:r>
            <w:r>
              <w:rPr>
                <w:rFonts w:hint="eastAsia" w:ascii="宋体" w:hAnsi="宋体" w:eastAsia="宋体" w:cs="宋体"/>
                <w:sz w:val="24"/>
                <w:szCs w:val="24"/>
              </w:rPr>
              <w:t>）的视频图像；</w:t>
            </w:r>
            <w:r>
              <w:rPr>
                <w:rFonts w:hint="default" w:ascii="Calibri" w:hAnsi="Calibri" w:cs="Calibri"/>
                <w:sz w:val="24"/>
                <w:szCs w:val="24"/>
              </w:rPr>
              <w:t>12</w:t>
            </w:r>
            <w:r>
              <w:rPr>
                <w:rFonts w:hint="eastAsia" w:ascii="宋体" w:hAnsi="宋体" w:eastAsia="宋体" w:cs="宋体"/>
                <w:sz w:val="24"/>
                <w:szCs w:val="24"/>
              </w:rPr>
              <w:t>路分辨率为</w:t>
            </w:r>
            <w:r>
              <w:rPr>
                <w:rFonts w:hint="default" w:ascii="Calibri" w:hAnsi="Calibri" w:cs="Calibri"/>
                <w:sz w:val="24"/>
                <w:szCs w:val="24"/>
              </w:rPr>
              <w:t>2592</w:t>
            </w:r>
            <w:r>
              <w:rPr>
                <w:rFonts w:hint="eastAsia" w:ascii="宋体" w:hAnsi="宋体" w:eastAsia="宋体" w:cs="宋体"/>
                <w:sz w:val="24"/>
                <w:szCs w:val="24"/>
              </w:rPr>
              <w:t>×</w:t>
            </w:r>
            <w:r>
              <w:rPr>
                <w:rFonts w:hint="default" w:ascii="Calibri" w:hAnsi="Calibri" w:cs="Calibri"/>
                <w:sz w:val="24"/>
                <w:szCs w:val="24"/>
              </w:rPr>
              <w:t>1944</w:t>
            </w:r>
            <w:r>
              <w:rPr>
                <w:rFonts w:hint="eastAsia" w:ascii="宋体" w:hAnsi="宋体" w:eastAsia="宋体" w:cs="宋体"/>
                <w:sz w:val="24"/>
                <w:szCs w:val="24"/>
              </w:rPr>
              <w:t>（</w:t>
            </w:r>
            <w:r>
              <w:rPr>
                <w:rFonts w:hint="default" w:ascii="Calibri" w:hAnsi="Calibri" w:cs="Calibri"/>
                <w:sz w:val="24"/>
                <w:szCs w:val="24"/>
              </w:rPr>
              <w:t>30fps</w:t>
            </w:r>
            <w:r>
              <w:rPr>
                <w:rFonts w:hint="eastAsia" w:ascii="宋体" w:hAnsi="宋体" w:eastAsia="宋体" w:cs="宋体"/>
                <w:sz w:val="24"/>
                <w:szCs w:val="24"/>
              </w:rPr>
              <w:t>）的视频图像；</w:t>
            </w:r>
            <w:r>
              <w:rPr>
                <w:rFonts w:hint="default" w:ascii="Calibri" w:hAnsi="Calibri" w:cs="Calibri"/>
                <w:sz w:val="24"/>
                <w:szCs w:val="24"/>
              </w:rPr>
              <w:t>20</w:t>
            </w:r>
            <w:r>
              <w:rPr>
                <w:rFonts w:hint="eastAsia" w:ascii="宋体" w:hAnsi="宋体" w:eastAsia="宋体" w:cs="宋体"/>
                <w:sz w:val="24"/>
                <w:szCs w:val="24"/>
              </w:rPr>
              <w:t>路分辨率为</w:t>
            </w:r>
            <w:r>
              <w:rPr>
                <w:rFonts w:hint="default" w:ascii="Calibri" w:hAnsi="Calibri" w:cs="Calibri"/>
                <w:sz w:val="24"/>
                <w:szCs w:val="24"/>
              </w:rPr>
              <w:t>2048</w:t>
            </w:r>
            <w:r>
              <w:rPr>
                <w:rFonts w:hint="eastAsia" w:ascii="宋体" w:hAnsi="宋体" w:eastAsia="宋体" w:cs="宋体"/>
                <w:sz w:val="24"/>
                <w:szCs w:val="24"/>
              </w:rPr>
              <w:t>×</w:t>
            </w:r>
            <w:r>
              <w:rPr>
                <w:rFonts w:hint="default" w:ascii="Calibri" w:hAnsi="Calibri" w:cs="Calibri"/>
                <w:sz w:val="24"/>
                <w:szCs w:val="24"/>
              </w:rPr>
              <w:t>1536</w:t>
            </w:r>
            <w:r>
              <w:rPr>
                <w:rFonts w:hint="eastAsia" w:ascii="宋体" w:hAnsi="宋体" w:eastAsia="宋体" w:cs="宋体"/>
                <w:sz w:val="24"/>
                <w:szCs w:val="24"/>
              </w:rPr>
              <w:t>（</w:t>
            </w:r>
            <w:r>
              <w:rPr>
                <w:rFonts w:hint="default" w:ascii="Calibri" w:hAnsi="Calibri" w:cs="Calibri"/>
                <w:sz w:val="24"/>
                <w:szCs w:val="24"/>
              </w:rPr>
              <w:t>30fps</w:t>
            </w:r>
            <w:r>
              <w:rPr>
                <w:rFonts w:hint="eastAsia" w:ascii="宋体" w:hAnsi="宋体" w:eastAsia="宋体" w:cs="宋体"/>
                <w:sz w:val="24"/>
                <w:szCs w:val="24"/>
              </w:rPr>
              <w:t>）的视频图像；</w:t>
            </w:r>
            <w:r>
              <w:rPr>
                <w:rFonts w:hint="default" w:ascii="Calibri" w:hAnsi="Calibri" w:cs="Calibri"/>
                <w:sz w:val="24"/>
                <w:szCs w:val="24"/>
              </w:rPr>
              <w:t>32</w:t>
            </w:r>
            <w:r>
              <w:rPr>
                <w:rFonts w:hint="eastAsia" w:ascii="宋体" w:hAnsi="宋体" w:eastAsia="宋体" w:cs="宋体"/>
                <w:sz w:val="24"/>
                <w:szCs w:val="24"/>
              </w:rPr>
              <w:t>路分辨率为</w:t>
            </w:r>
            <w:r>
              <w:rPr>
                <w:rFonts w:hint="default" w:ascii="Calibri" w:hAnsi="Calibri" w:cs="Calibri"/>
                <w:sz w:val="24"/>
                <w:szCs w:val="24"/>
              </w:rPr>
              <w:t>1920</w:t>
            </w:r>
            <w:r>
              <w:rPr>
                <w:rFonts w:hint="eastAsia" w:ascii="宋体" w:hAnsi="宋体" w:eastAsia="宋体" w:cs="宋体"/>
                <w:sz w:val="24"/>
                <w:szCs w:val="24"/>
              </w:rPr>
              <w:t>×</w:t>
            </w:r>
            <w:r>
              <w:rPr>
                <w:rFonts w:hint="default" w:ascii="Calibri" w:hAnsi="Calibri" w:cs="Calibri"/>
                <w:sz w:val="24"/>
                <w:szCs w:val="24"/>
              </w:rPr>
              <w:t>1080</w:t>
            </w:r>
            <w:r>
              <w:rPr>
                <w:rFonts w:hint="eastAsia" w:ascii="宋体" w:hAnsi="宋体" w:eastAsia="宋体" w:cs="宋体"/>
                <w:sz w:val="24"/>
                <w:szCs w:val="24"/>
              </w:rPr>
              <w:t>（</w:t>
            </w:r>
            <w:r>
              <w:rPr>
                <w:rFonts w:hint="default" w:ascii="Calibri" w:hAnsi="Calibri" w:cs="Calibri"/>
                <w:sz w:val="24"/>
                <w:szCs w:val="24"/>
              </w:rPr>
              <w:t>30fps</w:t>
            </w:r>
            <w:r>
              <w:rPr>
                <w:rFonts w:hint="eastAsia" w:ascii="宋体" w:hAnsi="宋体" w:eastAsia="宋体" w:cs="宋体"/>
                <w:sz w:val="24"/>
                <w:szCs w:val="24"/>
              </w:rPr>
              <w:t>）的视频图像；</w:t>
            </w:r>
            <w:r>
              <w:rPr>
                <w:rFonts w:hint="default" w:ascii="Calibri" w:hAnsi="Calibri" w:cs="Calibri"/>
                <w:sz w:val="24"/>
                <w:szCs w:val="24"/>
              </w:rPr>
              <w:t>64</w:t>
            </w:r>
            <w:r>
              <w:rPr>
                <w:rFonts w:hint="eastAsia" w:ascii="宋体" w:hAnsi="宋体" w:eastAsia="宋体" w:cs="宋体"/>
                <w:sz w:val="24"/>
                <w:szCs w:val="24"/>
              </w:rPr>
              <w:t>路分辨率为</w:t>
            </w:r>
            <w:r>
              <w:rPr>
                <w:rFonts w:hint="default" w:ascii="Calibri" w:hAnsi="Calibri" w:cs="Calibri"/>
                <w:sz w:val="24"/>
                <w:szCs w:val="24"/>
              </w:rPr>
              <w:t>1280</w:t>
            </w:r>
            <w:r>
              <w:rPr>
                <w:rFonts w:hint="eastAsia" w:ascii="宋体" w:hAnsi="宋体" w:eastAsia="宋体" w:cs="宋体"/>
                <w:sz w:val="24"/>
                <w:szCs w:val="24"/>
              </w:rPr>
              <w:t>×</w:t>
            </w:r>
            <w:r>
              <w:rPr>
                <w:rFonts w:hint="default" w:ascii="Calibri" w:hAnsi="Calibri" w:cs="Calibri"/>
                <w:sz w:val="24"/>
                <w:szCs w:val="24"/>
              </w:rPr>
              <w:t>720</w:t>
            </w:r>
            <w:r>
              <w:rPr>
                <w:rFonts w:hint="eastAsia" w:ascii="宋体" w:hAnsi="宋体" w:eastAsia="宋体" w:cs="宋体"/>
                <w:sz w:val="24"/>
                <w:szCs w:val="24"/>
              </w:rPr>
              <w:t>（</w:t>
            </w:r>
            <w:r>
              <w:rPr>
                <w:rFonts w:hint="default" w:ascii="Calibri" w:hAnsi="Calibri" w:cs="Calibri"/>
                <w:sz w:val="24"/>
                <w:szCs w:val="24"/>
              </w:rPr>
              <w:t>30fps</w:t>
            </w:r>
            <w:r>
              <w:rPr>
                <w:rFonts w:hint="eastAsia" w:ascii="宋体" w:hAnsi="宋体" w:eastAsia="宋体" w:cs="宋体"/>
                <w:sz w:val="24"/>
                <w:szCs w:val="24"/>
              </w:rPr>
              <w:t>）的视频图像；（提供具有</w:t>
            </w:r>
            <w:r>
              <w:rPr>
                <w:rFonts w:hint="default" w:ascii="Calibri" w:hAnsi="Calibri" w:cs="Calibri"/>
                <w:sz w:val="24"/>
                <w:szCs w:val="24"/>
              </w:rPr>
              <w:t>CNAS</w:t>
            </w:r>
            <w:r>
              <w:rPr>
                <w:rFonts w:hint="eastAsia" w:ascii="宋体" w:hAnsi="宋体" w:eastAsia="宋体" w:cs="宋体"/>
                <w:sz w:val="24"/>
                <w:szCs w:val="24"/>
              </w:rPr>
              <w:t>资质认证标识的检测机构出具的公安部报告证明）</w:t>
            </w:r>
          </w:p>
          <w:p>
            <w:pPr>
              <w:pStyle w:val="4"/>
              <w:keepNext w:val="0"/>
              <w:keepLines w:val="0"/>
              <w:widowControl/>
              <w:suppressLineNumbers w:val="0"/>
              <w:spacing w:before="0" w:beforeAutospacing="1" w:after="0" w:afterAutospacing="1" w:line="315" w:lineRule="atLeast"/>
              <w:ind w:left="0" w:right="0" w:firstLine="0"/>
            </w:pPr>
            <w:r>
              <w:rPr>
                <w:rFonts w:hint="default" w:ascii="Calibri" w:hAnsi="Calibri" w:cs="Calibri"/>
                <w:sz w:val="24"/>
                <w:szCs w:val="24"/>
              </w:rPr>
              <w:t>9.</w:t>
            </w:r>
            <w:r>
              <w:rPr>
                <w:rFonts w:hint="default" w:ascii="Times New Roman" w:hAnsi="Times New Roman" w:cs="Times New Roman"/>
                <w:sz w:val="13"/>
                <w:szCs w:val="13"/>
              </w:rPr>
              <w:t xml:space="preserve">           </w:t>
            </w:r>
            <w:r>
              <w:rPr>
                <w:rFonts w:hint="eastAsia" w:ascii="宋体" w:hAnsi="宋体" w:eastAsia="宋体" w:cs="宋体"/>
                <w:sz w:val="24"/>
                <w:szCs w:val="24"/>
              </w:rPr>
              <w:t>可对以下编码格式的视频图像进行解码后输出：</w:t>
            </w:r>
            <w:r>
              <w:rPr>
                <w:rFonts w:hint="default" w:ascii="Calibri" w:hAnsi="Calibri" w:cs="Calibri"/>
                <w:sz w:val="24"/>
                <w:szCs w:val="24"/>
              </w:rPr>
              <w:t>H.264</w:t>
            </w:r>
            <w:r>
              <w:rPr>
                <w:rFonts w:hint="eastAsia" w:ascii="宋体" w:hAnsi="宋体" w:eastAsia="宋体" w:cs="宋体"/>
                <w:sz w:val="24"/>
                <w:szCs w:val="24"/>
              </w:rPr>
              <w:t>、</w:t>
            </w:r>
            <w:r>
              <w:rPr>
                <w:rFonts w:hint="default" w:ascii="Calibri" w:hAnsi="Calibri" w:cs="Calibri"/>
                <w:sz w:val="24"/>
                <w:szCs w:val="24"/>
              </w:rPr>
              <w:t>H.265</w:t>
            </w:r>
            <w:r>
              <w:rPr>
                <w:rFonts w:hint="eastAsia" w:ascii="宋体" w:hAnsi="宋体" w:eastAsia="宋体" w:cs="宋体"/>
                <w:sz w:val="24"/>
                <w:szCs w:val="24"/>
              </w:rPr>
              <w:t>、</w:t>
            </w:r>
            <w:r>
              <w:rPr>
                <w:rFonts w:hint="default" w:ascii="Calibri" w:hAnsi="Calibri" w:cs="Calibri"/>
                <w:sz w:val="24"/>
                <w:szCs w:val="24"/>
              </w:rPr>
              <w:t>Smart264</w:t>
            </w:r>
            <w:r>
              <w:rPr>
                <w:rFonts w:hint="eastAsia" w:ascii="宋体" w:hAnsi="宋体" w:eastAsia="宋体" w:cs="宋体"/>
                <w:sz w:val="24"/>
                <w:szCs w:val="24"/>
              </w:rPr>
              <w:t>、</w:t>
            </w:r>
            <w:r>
              <w:rPr>
                <w:rFonts w:hint="default" w:ascii="Calibri" w:hAnsi="Calibri" w:cs="Calibri"/>
                <w:sz w:val="24"/>
                <w:szCs w:val="24"/>
              </w:rPr>
              <w:t>Smart265</w:t>
            </w:r>
            <w:r>
              <w:rPr>
                <w:rFonts w:hint="eastAsia" w:ascii="宋体" w:hAnsi="宋体" w:eastAsia="宋体" w:cs="宋体"/>
                <w:sz w:val="24"/>
                <w:szCs w:val="24"/>
              </w:rPr>
              <w:t>、</w:t>
            </w:r>
            <w:r>
              <w:rPr>
                <w:rFonts w:hint="default" w:ascii="Calibri" w:hAnsi="Calibri" w:cs="Calibri"/>
                <w:sz w:val="24"/>
                <w:szCs w:val="24"/>
              </w:rPr>
              <w:t>MPEG4</w:t>
            </w:r>
            <w:r>
              <w:rPr>
                <w:rFonts w:hint="eastAsia" w:ascii="宋体" w:hAnsi="宋体" w:eastAsia="宋体" w:cs="宋体"/>
                <w:sz w:val="24"/>
                <w:szCs w:val="24"/>
              </w:rPr>
              <w:t>视频图像；（提供具有</w:t>
            </w:r>
            <w:r>
              <w:rPr>
                <w:rFonts w:hint="default" w:ascii="Calibri" w:hAnsi="Calibri" w:cs="Calibri"/>
                <w:sz w:val="24"/>
                <w:szCs w:val="24"/>
              </w:rPr>
              <w:t>CNAS</w:t>
            </w:r>
            <w:r>
              <w:rPr>
                <w:rFonts w:hint="eastAsia" w:ascii="宋体" w:hAnsi="宋体" w:eastAsia="宋体" w:cs="宋体"/>
                <w:sz w:val="24"/>
                <w:szCs w:val="24"/>
              </w:rPr>
              <w:t>资质认证标识的检测机构出具的公安部报告证明）</w:t>
            </w:r>
          </w:p>
          <w:p>
            <w:pPr>
              <w:pStyle w:val="4"/>
              <w:keepNext w:val="0"/>
              <w:keepLines w:val="0"/>
              <w:widowControl/>
              <w:suppressLineNumbers w:val="0"/>
              <w:spacing w:before="0" w:beforeAutospacing="1" w:after="0" w:afterAutospacing="1" w:line="315" w:lineRule="atLeast"/>
              <w:ind w:left="0" w:right="0" w:firstLine="0"/>
            </w:pPr>
            <w:r>
              <w:rPr>
                <w:rFonts w:hint="default" w:ascii="Calibri" w:hAnsi="Calibri" w:cs="Calibri"/>
                <w:sz w:val="24"/>
                <w:szCs w:val="24"/>
              </w:rPr>
              <w:t>10.</w:t>
            </w:r>
            <w:r>
              <w:rPr>
                <w:rFonts w:hint="default" w:ascii="Times New Roman" w:hAnsi="Times New Roman" w:cs="Times New Roman"/>
                <w:sz w:val="13"/>
                <w:szCs w:val="13"/>
              </w:rPr>
              <w:t xml:space="preserve">       </w:t>
            </w:r>
            <w:r>
              <w:rPr>
                <w:rFonts w:hint="eastAsia" w:ascii="宋体" w:hAnsi="宋体" w:eastAsia="宋体" w:cs="宋体"/>
                <w:sz w:val="24"/>
                <w:szCs w:val="24"/>
              </w:rPr>
              <w:t>可对以下分辨率及编码格式的视频图像进行解码后输出：</w:t>
            </w:r>
            <w:r>
              <w:rPr>
                <w:rFonts w:hint="default" w:ascii="Calibri" w:hAnsi="Calibri" w:cs="Calibri"/>
                <w:sz w:val="24"/>
                <w:szCs w:val="24"/>
              </w:rPr>
              <w:t>8</w:t>
            </w:r>
            <w:r>
              <w:rPr>
                <w:rFonts w:hint="eastAsia" w:ascii="宋体" w:hAnsi="宋体" w:eastAsia="宋体" w:cs="宋体"/>
                <w:sz w:val="24"/>
                <w:szCs w:val="24"/>
              </w:rPr>
              <w:t>路分辨率为</w:t>
            </w:r>
            <w:r>
              <w:rPr>
                <w:rFonts w:hint="default" w:ascii="Calibri" w:hAnsi="Calibri" w:cs="Calibri"/>
                <w:sz w:val="24"/>
                <w:szCs w:val="24"/>
              </w:rPr>
              <w:t>1920</w:t>
            </w:r>
            <w:r>
              <w:rPr>
                <w:rFonts w:hint="eastAsia" w:ascii="宋体" w:hAnsi="宋体" w:eastAsia="宋体" w:cs="宋体"/>
                <w:sz w:val="24"/>
                <w:szCs w:val="24"/>
              </w:rPr>
              <w:t>×</w:t>
            </w:r>
            <w:r>
              <w:rPr>
                <w:rFonts w:hint="default" w:ascii="Calibri" w:hAnsi="Calibri" w:cs="Calibri"/>
                <w:sz w:val="24"/>
                <w:szCs w:val="24"/>
              </w:rPr>
              <w:t>1080</w:t>
            </w:r>
            <w:r>
              <w:rPr>
                <w:rFonts w:hint="eastAsia" w:ascii="宋体" w:hAnsi="宋体" w:eastAsia="宋体" w:cs="宋体"/>
                <w:sz w:val="24"/>
                <w:szCs w:val="24"/>
              </w:rPr>
              <w:t>（</w:t>
            </w:r>
            <w:r>
              <w:rPr>
                <w:rFonts w:hint="default" w:ascii="Calibri" w:hAnsi="Calibri" w:cs="Calibri"/>
                <w:sz w:val="24"/>
                <w:szCs w:val="24"/>
              </w:rPr>
              <w:t>30fps</w:t>
            </w:r>
            <w:r>
              <w:rPr>
                <w:rFonts w:hint="eastAsia" w:ascii="宋体" w:hAnsi="宋体" w:eastAsia="宋体" w:cs="宋体"/>
                <w:sz w:val="24"/>
                <w:szCs w:val="24"/>
              </w:rPr>
              <w:t>）的</w:t>
            </w:r>
            <w:r>
              <w:rPr>
                <w:rFonts w:hint="default" w:ascii="Calibri" w:hAnsi="Calibri" w:cs="Calibri"/>
                <w:sz w:val="24"/>
                <w:szCs w:val="24"/>
              </w:rPr>
              <w:t>MJPEG</w:t>
            </w:r>
            <w:r>
              <w:rPr>
                <w:rFonts w:hint="eastAsia" w:ascii="宋体" w:hAnsi="宋体" w:eastAsia="宋体" w:cs="宋体"/>
                <w:sz w:val="24"/>
                <w:szCs w:val="24"/>
              </w:rPr>
              <w:t>视频图像；可通过</w:t>
            </w:r>
            <w:r>
              <w:rPr>
                <w:rFonts w:hint="default" w:ascii="Calibri" w:hAnsi="Calibri" w:cs="Calibri"/>
                <w:sz w:val="24"/>
                <w:szCs w:val="24"/>
              </w:rPr>
              <w:t>APP</w:t>
            </w:r>
            <w:r>
              <w:rPr>
                <w:rFonts w:hint="eastAsia" w:ascii="宋体" w:hAnsi="宋体" w:eastAsia="宋体" w:cs="宋体"/>
                <w:sz w:val="24"/>
                <w:szCs w:val="24"/>
              </w:rPr>
              <w:t>客户端对设备输出的视频图像进行控制操作；</w:t>
            </w:r>
          </w:p>
          <w:p>
            <w:pPr>
              <w:pStyle w:val="4"/>
              <w:keepNext w:val="0"/>
              <w:keepLines w:val="0"/>
              <w:widowControl/>
              <w:suppressLineNumbers w:val="0"/>
              <w:spacing w:before="0" w:beforeAutospacing="1" w:after="0" w:afterAutospacing="1" w:line="315" w:lineRule="atLeast"/>
              <w:ind w:left="0" w:right="0" w:firstLine="0"/>
            </w:pPr>
            <w:r>
              <w:rPr>
                <w:rFonts w:hint="default" w:ascii="Calibri" w:hAnsi="Calibri" w:cs="Calibri"/>
                <w:sz w:val="24"/>
                <w:szCs w:val="24"/>
              </w:rPr>
              <w:t>11.</w:t>
            </w:r>
            <w:r>
              <w:rPr>
                <w:rFonts w:hint="default" w:ascii="Times New Roman" w:hAnsi="Times New Roman" w:cs="Times New Roman"/>
                <w:sz w:val="13"/>
                <w:szCs w:val="13"/>
              </w:rPr>
              <w:t xml:space="preserve">       </w:t>
            </w:r>
            <w:r>
              <w:rPr>
                <w:rFonts w:hint="eastAsia" w:ascii="宋体" w:hAnsi="宋体" w:eastAsia="宋体" w:cs="宋体"/>
                <w:sz w:val="24"/>
                <w:szCs w:val="24"/>
              </w:rPr>
              <w:t>可通过</w:t>
            </w:r>
            <w:r>
              <w:rPr>
                <w:rFonts w:hint="default" w:ascii="Calibri" w:hAnsi="Calibri" w:cs="Calibri"/>
                <w:sz w:val="24"/>
                <w:szCs w:val="24"/>
              </w:rPr>
              <w:t>DVI-I</w:t>
            </w:r>
            <w:r>
              <w:rPr>
                <w:rFonts w:hint="eastAsia" w:ascii="宋体" w:hAnsi="宋体" w:eastAsia="宋体" w:cs="宋体"/>
                <w:sz w:val="24"/>
                <w:szCs w:val="24"/>
              </w:rPr>
              <w:t>视频输入接口接入分辨率为</w:t>
            </w:r>
            <w:r>
              <w:rPr>
                <w:rFonts w:hint="default" w:ascii="Calibri" w:hAnsi="Calibri" w:cs="Calibri"/>
                <w:sz w:val="24"/>
                <w:szCs w:val="24"/>
              </w:rPr>
              <w:t>1024</w:t>
            </w:r>
            <w:r>
              <w:rPr>
                <w:rFonts w:hint="eastAsia" w:ascii="宋体" w:hAnsi="宋体" w:eastAsia="宋体" w:cs="宋体"/>
                <w:sz w:val="24"/>
                <w:szCs w:val="24"/>
              </w:rPr>
              <w:t>×</w:t>
            </w:r>
            <w:r>
              <w:rPr>
                <w:rFonts w:hint="default" w:ascii="Calibri" w:hAnsi="Calibri" w:cs="Calibri"/>
                <w:sz w:val="24"/>
                <w:szCs w:val="24"/>
              </w:rPr>
              <w:t>768</w:t>
            </w:r>
            <w:r>
              <w:rPr>
                <w:rFonts w:hint="eastAsia" w:ascii="宋体" w:hAnsi="宋体" w:eastAsia="宋体" w:cs="宋体"/>
                <w:sz w:val="24"/>
                <w:szCs w:val="24"/>
              </w:rPr>
              <w:t>（</w:t>
            </w:r>
            <w:r>
              <w:rPr>
                <w:rFonts w:hint="default" w:ascii="Calibri" w:hAnsi="Calibri" w:cs="Calibri"/>
                <w:sz w:val="24"/>
                <w:szCs w:val="24"/>
              </w:rPr>
              <w:t>60Hz</w:t>
            </w:r>
            <w:r>
              <w:rPr>
                <w:rFonts w:hint="eastAsia" w:ascii="宋体" w:hAnsi="宋体" w:eastAsia="宋体" w:cs="宋体"/>
                <w:sz w:val="24"/>
                <w:szCs w:val="24"/>
              </w:rPr>
              <w:t>）、</w:t>
            </w:r>
            <w:r>
              <w:rPr>
                <w:rFonts w:hint="default" w:ascii="Calibri" w:hAnsi="Calibri" w:cs="Calibri"/>
                <w:sz w:val="24"/>
                <w:szCs w:val="24"/>
              </w:rPr>
              <w:t>800</w:t>
            </w:r>
            <w:r>
              <w:rPr>
                <w:rFonts w:hint="eastAsia" w:ascii="宋体" w:hAnsi="宋体" w:eastAsia="宋体" w:cs="宋体"/>
                <w:sz w:val="24"/>
                <w:szCs w:val="24"/>
              </w:rPr>
              <w:t>×</w:t>
            </w:r>
            <w:r>
              <w:rPr>
                <w:rFonts w:hint="default" w:ascii="Calibri" w:hAnsi="Calibri" w:cs="Calibri"/>
                <w:sz w:val="24"/>
                <w:szCs w:val="24"/>
              </w:rPr>
              <w:t>600</w:t>
            </w:r>
            <w:r>
              <w:rPr>
                <w:rFonts w:hint="eastAsia" w:ascii="宋体" w:hAnsi="宋体" w:eastAsia="宋体" w:cs="宋体"/>
                <w:sz w:val="24"/>
                <w:szCs w:val="24"/>
              </w:rPr>
              <w:t>（</w:t>
            </w:r>
            <w:r>
              <w:rPr>
                <w:rFonts w:hint="default" w:ascii="Calibri" w:hAnsi="Calibri" w:cs="Calibri"/>
                <w:sz w:val="24"/>
                <w:szCs w:val="24"/>
              </w:rPr>
              <w:t>60Hz</w:t>
            </w:r>
            <w:r>
              <w:rPr>
                <w:rFonts w:hint="eastAsia" w:ascii="宋体" w:hAnsi="宋体" w:eastAsia="宋体" w:cs="宋体"/>
                <w:sz w:val="24"/>
                <w:szCs w:val="24"/>
              </w:rPr>
              <w:t>）、</w:t>
            </w:r>
            <w:r>
              <w:rPr>
                <w:rFonts w:hint="default" w:ascii="Calibri" w:hAnsi="Calibri" w:cs="Calibri"/>
                <w:sz w:val="24"/>
                <w:szCs w:val="24"/>
              </w:rPr>
              <w:t>1280</w:t>
            </w:r>
            <w:r>
              <w:rPr>
                <w:rFonts w:hint="eastAsia" w:ascii="宋体" w:hAnsi="宋体" w:eastAsia="宋体" w:cs="宋体"/>
                <w:sz w:val="24"/>
                <w:szCs w:val="24"/>
              </w:rPr>
              <w:t>×</w:t>
            </w:r>
            <w:r>
              <w:rPr>
                <w:rFonts w:hint="default" w:ascii="Calibri" w:hAnsi="Calibri" w:cs="Calibri"/>
                <w:sz w:val="24"/>
                <w:szCs w:val="24"/>
              </w:rPr>
              <w:t>1024</w:t>
            </w:r>
            <w:r>
              <w:rPr>
                <w:rFonts w:hint="eastAsia" w:ascii="宋体" w:hAnsi="宋体" w:eastAsia="宋体" w:cs="宋体"/>
                <w:sz w:val="24"/>
                <w:szCs w:val="24"/>
              </w:rPr>
              <w:t>（</w:t>
            </w:r>
            <w:r>
              <w:rPr>
                <w:rFonts w:hint="default" w:ascii="Calibri" w:hAnsi="Calibri" w:cs="Calibri"/>
                <w:sz w:val="24"/>
                <w:szCs w:val="24"/>
              </w:rPr>
              <w:t>60Hz</w:t>
            </w:r>
            <w:r>
              <w:rPr>
                <w:rFonts w:hint="eastAsia" w:ascii="宋体" w:hAnsi="宋体" w:eastAsia="宋体" w:cs="宋体"/>
                <w:sz w:val="24"/>
                <w:szCs w:val="24"/>
              </w:rPr>
              <w:t>）、</w:t>
            </w:r>
            <w:r>
              <w:rPr>
                <w:rFonts w:hint="default" w:ascii="Calibri" w:hAnsi="Calibri" w:cs="Calibri"/>
                <w:sz w:val="24"/>
                <w:szCs w:val="24"/>
              </w:rPr>
              <w:t>1280</w:t>
            </w:r>
            <w:r>
              <w:rPr>
                <w:rFonts w:hint="eastAsia" w:ascii="宋体" w:hAnsi="宋体" w:eastAsia="宋体" w:cs="宋体"/>
                <w:sz w:val="24"/>
                <w:szCs w:val="24"/>
              </w:rPr>
              <w:t>×</w:t>
            </w:r>
            <w:r>
              <w:rPr>
                <w:rFonts w:hint="default" w:ascii="Calibri" w:hAnsi="Calibri" w:cs="Calibri"/>
                <w:sz w:val="24"/>
                <w:szCs w:val="24"/>
              </w:rPr>
              <w:t>760</w:t>
            </w:r>
            <w:r>
              <w:rPr>
                <w:rFonts w:hint="eastAsia" w:ascii="宋体" w:hAnsi="宋体" w:eastAsia="宋体" w:cs="宋体"/>
                <w:sz w:val="24"/>
                <w:szCs w:val="24"/>
              </w:rPr>
              <w:t>（</w:t>
            </w:r>
            <w:r>
              <w:rPr>
                <w:rFonts w:hint="default" w:ascii="Calibri" w:hAnsi="Calibri" w:cs="Calibri"/>
                <w:sz w:val="24"/>
                <w:szCs w:val="24"/>
              </w:rPr>
              <w:t>60Hz</w:t>
            </w:r>
            <w:r>
              <w:rPr>
                <w:rFonts w:hint="eastAsia" w:ascii="宋体" w:hAnsi="宋体" w:eastAsia="宋体" w:cs="宋体"/>
                <w:sz w:val="24"/>
                <w:szCs w:val="24"/>
              </w:rPr>
              <w:t>）、</w:t>
            </w:r>
            <w:r>
              <w:rPr>
                <w:rFonts w:hint="default" w:ascii="Calibri" w:hAnsi="Calibri" w:cs="Calibri"/>
                <w:sz w:val="24"/>
                <w:szCs w:val="24"/>
              </w:rPr>
              <w:t>1280</w:t>
            </w:r>
            <w:r>
              <w:rPr>
                <w:rFonts w:hint="eastAsia" w:ascii="宋体" w:hAnsi="宋体" w:eastAsia="宋体" w:cs="宋体"/>
                <w:sz w:val="24"/>
                <w:szCs w:val="24"/>
              </w:rPr>
              <w:t>×</w:t>
            </w:r>
            <w:r>
              <w:rPr>
                <w:rFonts w:hint="default" w:ascii="Calibri" w:hAnsi="Calibri" w:cs="Calibri"/>
                <w:sz w:val="24"/>
                <w:szCs w:val="24"/>
              </w:rPr>
              <w:t>720</w:t>
            </w:r>
            <w:r>
              <w:rPr>
                <w:rFonts w:hint="eastAsia" w:ascii="宋体" w:hAnsi="宋体" w:eastAsia="宋体" w:cs="宋体"/>
                <w:sz w:val="24"/>
                <w:szCs w:val="24"/>
              </w:rPr>
              <w:t>（</w:t>
            </w:r>
            <w:r>
              <w:rPr>
                <w:rFonts w:hint="default" w:ascii="Calibri" w:hAnsi="Calibri" w:cs="Calibri"/>
                <w:sz w:val="24"/>
                <w:szCs w:val="24"/>
              </w:rPr>
              <w:t>60Hz</w:t>
            </w:r>
            <w:r>
              <w:rPr>
                <w:rFonts w:hint="eastAsia" w:ascii="宋体" w:hAnsi="宋体" w:eastAsia="宋体" w:cs="宋体"/>
                <w:sz w:val="24"/>
                <w:szCs w:val="24"/>
              </w:rPr>
              <w:t>）、</w:t>
            </w:r>
            <w:r>
              <w:rPr>
                <w:rFonts w:hint="default" w:ascii="Calibri" w:hAnsi="Calibri" w:cs="Calibri"/>
                <w:sz w:val="24"/>
                <w:szCs w:val="24"/>
              </w:rPr>
              <w:t>1280</w:t>
            </w:r>
            <w:r>
              <w:rPr>
                <w:rFonts w:hint="eastAsia" w:ascii="宋体" w:hAnsi="宋体" w:eastAsia="宋体" w:cs="宋体"/>
                <w:sz w:val="24"/>
                <w:szCs w:val="24"/>
              </w:rPr>
              <w:t>×</w:t>
            </w:r>
            <w:r>
              <w:rPr>
                <w:rFonts w:hint="default" w:ascii="Calibri" w:hAnsi="Calibri" w:cs="Calibri"/>
                <w:sz w:val="24"/>
                <w:szCs w:val="24"/>
              </w:rPr>
              <w:t>720</w:t>
            </w:r>
            <w:r>
              <w:rPr>
                <w:rFonts w:hint="eastAsia" w:ascii="宋体" w:hAnsi="宋体" w:eastAsia="宋体" w:cs="宋体"/>
                <w:sz w:val="24"/>
                <w:szCs w:val="24"/>
              </w:rPr>
              <w:t>（</w:t>
            </w:r>
            <w:r>
              <w:rPr>
                <w:rFonts w:hint="default" w:ascii="Calibri" w:hAnsi="Calibri" w:cs="Calibri"/>
                <w:sz w:val="24"/>
                <w:szCs w:val="24"/>
              </w:rPr>
              <w:t>50Hz</w:t>
            </w:r>
            <w:r>
              <w:rPr>
                <w:rFonts w:hint="eastAsia" w:ascii="宋体" w:hAnsi="宋体" w:eastAsia="宋体" w:cs="宋体"/>
                <w:sz w:val="24"/>
                <w:szCs w:val="24"/>
              </w:rPr>
              <w:t>）、</w:t>
            </w:r>
            <w:r>
              <w:rPr>
                <w:rFonts w:hint="default" w:ascii="Calibri" w:hAnsi="Calibri" w:cs="Calibri"/>
                <w:sz w:val="24"/>
                <w:szCs w:val="24"/>
              </w:rPr>
              <w:t>1280</w:t>
            </w:r>
            <w:r>
              <w:rPr>
                <w:rFonts w:hint="eastAsia" w:ascii="宋体" w:hAnsi="宋体" w:eastAsia="宋体" w:cs="宋体"/>
                <w:sz w:val="24"/>
                <w:szCs w:val="24"/>
              </w:rPr>
              <w:t>×</w:t>
            </w:r>
            <w:r>
              <w:rPr>
                <w:rFonts w:hint="default" w:ascii="Calibri" w:hAnsi="Calibri" w:cs="Calibri"/>
                <w:sz w:val="24"/>
                <w:szCs w:val="24"/>
              </w:rPr>
              <w:t>960</w:t>
            </w:r>
            <w:r>
              <w:rPr>
                <w:rFonts w:hint="eastAsia" w:ascii="宋体" w:hAnsi="宋体" w:eastAsia="宋体" w:cs="宋体"/>
                <w:sz w:val="24"/>
                <w:szCs w:val="24"/>
              </w:rPr>
              <w:t>（</w:t>
            </w:r>
            <w:r>
              <w:rPr>
                <w:rFonts w:hint="default" w:ascii="Calibri" w:hAnsi="Calibri" w:cs="Calibri"/>
                <w:sz w:val="24"/>
                <w:szCs w:val="24"/>
              </w:rPr>
              <w:t>60Hz</w:t>
            </w:r>
            <w:r>
              <w:rPr>
                <w:rFonts w:hint="eastAsia" w:ascii="宋体" w:hAnsi="宋体" w:eastAsia="宋体" w:cs="宋体"/>
                <w:sz w:val="24"/>
                <w:szCs w:val="24"/>
              </w:rPr>
              <w:t>）、</w:t>
            </w:r>
            <w:r>
              <w:rPr>
                <w:rFonts w:hint="default" w:ascii="Calibri" w:hAnsi="Calibri" w:cs="Calibri"/>
                <w:sz w:val="24"/>
                <w:szCs w:val="24"/>
              </w:rPr>
              <w:t>1600</w:t>
            </w:r>
            <w:r>
              <w:rPr>
                <w:rFonts w:hint="eastAsia" w:ascii="宋体" w:hAnsi="宋体" w:eastAsia="宋体" w:cs="宋体"/>
                <w:sz w:val="24"/>
                <w:szCs w:val="24"/>
              </w:rPr>
              <w:t>×</w:t>
            </w:r>
            <w:r>
              <w:rPr>
                <w:rFonts w:hint="default" w:ascii="Calibri" w:hAnsi="Calibri" w:cs="Calibri"/>
                <w:sz w:val="24"/>
                <w:szCs w:val="24"/>
              </w:rPr>
              <w:t>1200</w:t>
            </w:r>
            <w:r>
              <w:rPr>
                <w:rFonts w:hint="eastAsia" w:ascii="宋体" w:hAnsi="宋体" w:eastAsia="宋体" w:cs="宋体"/>
                <w:sz w:val="24"/>
                <w:szCs w:val="24"/>
              </w:rPr>
              <w:t>（</w:t>
            </w:r>
            <w:r>
              <w:rPr>
                <w:rFonts w:hint="default" w:ascii="Calibri" w:hAnsi="Calibri" w:cs="Calibri"/>
                <w:sz w:val="24"/>
                <w:szCs w:val="24"/>
              </w:rPr>
              <w:t>60Hz</w:t>
            </w:r>
            <w:r>
              <w:rPr>
                <w:rFonts w:hint="eastAsia" w:ascii="宋体" w:hAnsi="宋体" w:eastAsia="宋体" w:cs="宋体"/>
                <w:sz w:val="24"/>
                <w:szCs w:val="24"/>
              </w:rPr>
              <w:t>）、</w:t>
            </w:r>
            <w:r>
              <w:rPr>
                <w:rFonts w:hint="default" w:ascii="Calibri" w:hAnsi="Calibri" w:cs="Calibri"/>
                <w:sz w:val="24"/>
                <w:szCs w:val="24"/>
              </w:rPr>
              <w:t>1920</w:t>
            </w:r>
            <w:r>
              <w:rPr>
                <w:rFonts w:hint="eastAsia" w:ascii="宋体" w:hAnsi="宋体" w:eastAsia="宋体" w:cs="宋体"/>
                <w:sz w:val="24"/>
                <w:szCs w:val="24"/>
              </w:rPr>
              <w:t>×</w:t>
            </w:r>
            <w:r>
              <w:rPr>
                <w:rFonts w:hint="default" w:ascii="Calibri" w:hAnsi="Calibri" w:cs="Calibri"/>
                <w:sz w:val="24"/>
                <w:szCs w:val="24"/>
              </w:rPr>
              <w:t>1080</w:t>
            </w:r>
            <w:r>
              <w:rPr>
                <w:rFonts w:hint="eastAsia" w:ascii="宋体" w:hAnsi="宋体" w:eastAsia="宋体" w:cs="宋体"/>
                <w:sz w:val="24"/>
                <w:szCs w:val="24"/>
              </w:rPr>
              <w:t>（</w:t>
            </w:r>
            <w:r>
              <w:rPr>
                <w:rFonts w:hint="default" w:ascii="Calibri" w:hAnsi="Calibri" w:cs="Calibri"/>
                <w:sz w:val="24"/>
                <w:szCs w:val="24"/>
              </w:rPr>
              <w:t>60Hz</w:t>
            </w:r>
            <w:r>
              <w:rPr>
                <w:rFonts w:hint="eastAsia" w:ascii="宋体" w:hAnsi="宋体" w:eastAsia="宋体" w:cs="宋体"/>
                <w:sz w:val="24"/>
                <w:szCs w:val="24"/>
              </w:rPr>
              <w:t>）、</w:t>
            </w:r>
            <w:r>
              <w:rPr>
                <w:rFonts w:hint="default" w:ascii="Calibri" w:hAnsi="Calibri" w:cs="Calibri"/>
                <w:sz w:val="24"/>
                <w:szCs w:val="24"/>
              </w:rPr>
              <w:t>1280</w:t>
            </w:r>
            <w:r>
              <w:rPr>
                <w:rFonts w:hint="eastAsia" w:ascii="宋体" w:hAnsi="宋体" w:eastAsia="宋体" w:cs="宋体"/>
                <w:sz w:val="24"/>
                <w:szCs w:val="24"/>
              </w:rPr>
              <w:t>×</w:t>
            </w:r>
            <w:r>
              <w:rPr>
                <w:rFonts w:hint="default" w:ascii="Calibri" w:hAnsi="Calibri" w:cs="Calibri"/>
                <w:sz w:val="24"/>
                <w:szCs w:val="24"/>
              </w:rPr>
              <w:t>720</w:t>
            </w:r>
            <w:r>
              <w:rPr>
                <w:rFonts w:hint="eastAsia" w:ascii="宋体" w:hAnsi="宋体" w:eastAsia="宋体" w:cs="宋体"/>
                <w:sz w:val="24"/>
                <w:szCs w:val="24"/>
              </w:rPr>
              <w:t>（</w:t>
            </w:r>
            <w:r>
              <w:rPr>
                <w:rFonts w:hint="default" w:ascii="Calibri" w:hAnsi="Calibri" w:cs="Calibri"/>
                <w:sz w:val="24"/>
                <w:szCs w:val="24"/>
              </w:rPr>
              <w:t>60Hz</w:t>
            </w:r>
            <w:r>
              <w:rPr>
                <w:rFonts w:hint="eastAsia" w:ascii="宋体" w:hAnsi="宋体" w:eastAsia="宋体" w:cs="宋体"/>
                <w:sz w:val="24"/>
                <w:szCs w:val="24"/>
              </w:rPr>
              <w:t>）、</w:t>
            </w:r>
            <w:r>
              <w:rPr>
                <w:rFonts w:hint="default" w:ascii="Calibri" w:hAnsi="Calibri" w:cs="Calibri"/>
                <w:sz w:val="24"/>
                <w:szCs w:val="24"/>
              </w:rPr>
              <w:t>1680</w:t>
            </w:r>
            <w:r>
              <w:rPr>
                <w:rFonts w:hint="eastAsia" w:ascii="宋体" w:hAnsi="宋体" w:eastAsia="宋体" w:cs="宋体"/>
                <w:sz w:val="24"/>
                <w:szCs w:val="24"/>
              </w:rPr>
              <w:t>×</w:t>
            </w:r>
            <w:r>
              <w:rPr>
                <w:rFonts w:hint="default" w:ascii="Calibri" w:hAnsi="Calibri" w:cs="Calibri"/>
                <w:sz w:val="24"/>
                <w:szCs w:val="24"/>
              </w:rPr>
              <w:t>1050</w:t>
            </w:r>
            <w:r>
              <w:rPr>
                <w:rFonts w:hint="eastAsia" w:ascii="宋体" w:hAnsi="宋体" w:eastAsia="宋体" w:cs="宋体"/>
                <w:sz w:val="24"/>
                <w:szCs w:val="24"/>
              </w:rPr>
              <w:t>（</w:t>
            </w:r>
            <w:r>
              <w:rPr>
                <w:rFonts w:hint="default" w:ascii="Calibri" w:hAnsi="Calibri" w:cs="Calibri"/>
                <w:sz w:val="24"/>
                <w:szCs w:val="24"/>
              </w:rPr>
              <w:t>60Hz</w:t>
            </w:r>
            <w:r>
              <w:rPr>
                <w:rFonts w:hint="eastAsia" w:ascii="宋体" w:hAnsi="宋体" w:eastAsia="宋体" w:cs="宋体"/>
                <w:sz w:val="24"/>
                <w:szCs w:val="24"/>
              </w:rPr>
              <w:t>）、</w:t>
            </w:r>
            <w:r>
              <w:rPr>
                <w:rFonts w:hint="default" w:ascii="Calibri" w:hAnsi="Calibri" w:cs="Calibri"/>
                <w:sz w:val="24"/>
                <w:szCs w:val="24"/>
              </w:rPr>
              <w:t>1366</w:t>
            </w:r>
            <w:r>
              <w:rPr>
                <w:rFonts w:hint="eastAsia" w:ascii="宋体" w:hAnsi="宋体" w:eastAsia="宋体" w:cs="宋体"/>
                <w:sz w:val="24"/>
                <w:szCs w:val="24"/>
              </w:rPr>
              <w:t>×</w:t>
            </w:r>
            <w:r>
              <w:rPr>
                <w:rFonts w:hint="default" w:ascii="Calibri" w:hAnsi="Calibri" w:cs="Calibri"/>
                <w:sz w:val="24"/>
                <w:szCs w:val="24"/>
              </w:rPr>
              <w:t>768</w:t>
            </w:r>
            <w:r>
              <w:rPr>
                <w:rFonts w:hint="eastAsia" w:ascii="宋体" w:hAnsi="宋体" w:eastAsia="宋体" w:cs="宋体"/>
                <w:sz w:val="24"/>
                <w:szCs w:val="24"/>
              </w:rPr>
              <w:t>（</w:t>
            </w:r>
            <w:r>
              <w:rPr>
                <w:rFonts w:hint="default" w:ascii="Calibri" w:hAnsi="Calibri" w:cs="Calibri"/>
                <w:sz w:val="24"/>
                <w:szCs w:val="24"/>
              </w:rPr>
              <w:t>60Hz</w:t>
            </w:r>
            <w:r>
              <w:rPr>
                <w:rFonts w:hint="eastAsia" w:ascii="宋体" w:hAnsi="宋体" w:eastAsia="宋体" w:cs="宋体"/>
                <w:sz w:val="24"/>
                <w:szCs w:val="24"/>
              </w:rPr>
              <w:t>）、</w:t>
            </w:r>
            <w:r>
              <w:rPr>
                <w:rFonts w:hint="default" w:ascii="Calibri" w:hAnsi="Calibri" w:cs="Calibri"/>
                <w:sz w:val="24"/>
                <w:szCs w:val="24"/>
              </w:rPr>
              <w:t>1280</w:t>
            </w:r>
            <w:r>
              <w:rPr>
                <w:rFonts w:hint="eastAsia" w:ascii="宋体" w:hAnsi="宋体" w:eastAsia="宋体" w:cs="宋体"/>
                <w:sz w:val="24"/>
                <w:szCs w:val="24"/>
              </w:rPr>
              <w:t>×</w:t>
            </w:r>
            <w:r>
              <w:rPr>
                <w:rFonts w:hint="default" w:ascii="Calibri" w:hAnsi="Calibri" w:cs="Calibri"/>
                <w:sz w:val="24"/>
                <w:szCs w:val="24"/>
              </w:rPr>
              <w:t>800</w:t>
            </w:r>
            <w:r>
              <w:rPr>
                <w:rFonts w:hint="eastAsia" w:ascii="宋体" w:hAnsi="宋体" w:eastAsia="宋体" w:cs="宋体"/>
                <w:sz w:val="24"/>
                <w:szCs w:val="24"/>
              </w:rPr>
              <w:t>（</w:t>
            </w:r>
            <w:r>
              <w:rPr>
                <w:rFonts w:hint="default" w:ascii="Calibri" w:hAnsi="Calibri" w:cs="Calibri"/>
                <w:sz w:val="24"/>
                <w:szCs w:val="24"/>
              </w:rPr>
              <w:t>60Hz</w:t>
            </w:r>
            <w:r>
              <w:rPr>
                <w:rFonts w:hint="eastAsia" w:ascii="宋体" w:hAnsi="宋体" w:eastAsia="宋体" w:cs="宋体"/>
                <w:sz w:val="24"/>
                <w:szCs w:val="24"/>
              </w:rPr>
              <w:t>）、</w:t>
            </w:r>
            <w:r>
              <w:rPr>
                <w:rFonts w:hint="default" w:ascii="Calibri" w:hAnsi="Calibri" w:cs="Calibri"/>
                <w:sz w:val="24"/>
                <w:szCs w:val="24"/>
              </w:rPr>
              <w:t>1440</w:t>
            </w:r>
            <w:r>
              <w:rPr>
                <w:rFonts w:hint="eastAsia" w:ascii="宋体" w:hAnsi="宋体" w:eastAsia="宋体" w:cs="宋体"/>
                <w:sz w:val="24"/>
                <w:szCs w:val="24"/>
              </w:rPr>
              <w:t>×</w:t>
            </w:r>
            <w:r>
              <w:rPr>
                <w:rFonts w:hint="default" w:ascii="Calibri" w:hAnsi="Calibri" w:cs="Calibri"/>
                <w:sz w:val="24"/>
                <w:szCs w:val="24"/>
              </w:rPr>
              <w:t>900</w:t>
            </w:r>
            <w:r>
              <w:rPr>
                <w:rFonts w:hint="eastAsia" w:ascii="宋体" w:hAnsi="宋体" w:eastAsia="宋体" w:cs="宋体"/>
                <w:sz w:val="24"/>
                <w:szCs w:val="24"/>
              </w:rPr>
              <w:t>（</w:t>
            </w:r>
            <w:r>
              <w:rPr>
                <w:rFonts w:hint="default" w:ascii="Calibri" w:hAnsi="Calibri" w:cs="Calibri"/>
                <w:sz w:val="24"/>
                <w:szCs w:val="24"/>
              </w:rPr>
              <w:t>60Hz</w:t>
            </w:r>
            <w:r>
              <w:rPr>
                <w:rFonts w:hint="eastAsia" w:ascii="宋体" w:hAnsi="宋体" w:eastAsia="宋体" w:cs="宋体"/>
                <w:sz w:val="24"/>
                <w:szCs w:val="24"/>
              </w:rPr>
              <w:t>）的视频图像并显示；</w:t>
            </w:r>
          </w:p>
          <w:p>
            <w:pPr>
              <w:pStyle w:val="4"/>
              <w:keepNext w:val="0"/>
              <w:keepLines w:val="0"/>
              <w:widowControl/>
              <w:suppressLineNumbers w:val="0"/>
              <w:spacing w:before="0" w:beforeAutospacing="1" w:after="0" w:afterAutospacing="1" w:line="315" w:lineRule="atLeast"/>
              <w:ind w:left="0" w:right="0" w:firstLine="0"/>
            </w:pPr>
            <w:r>
              <w:rPr>
                <w:rFonts w:hint="default" w:ascii="Calibri" w:hAnsi="Calibri" w:cs="Calibri"/>
                <w:sz w:val="24"/>
                <w:szCs w:val="24"/>
              </w:rPr>
              <w:t>12.</w:t>
            </w:r>
            <w:r>
              <w:rPr>
                <w:rFonts w:hint="default" w:ascii="Times New Roman" w:hAnsi="Times New Roman" w:cs="Times New Roman"/>
                <w:sz w:val="13"/>
                <w:szCs w:val="13"/>
              </w:rPr>
              <w:t xml:space="preserve">       </w:t>
            </w:r>
            <w:r>
              <w:rPr>
                <w:rFonts w:hint="eastAsia" w:ascii="宋体" w:hAnsi="宋体" w:eastAsia="宋体" w:cs="宋体"/>
                <w:sz w:val="24"/>
                <w:szCs w:val="24"/>
              </w:rPr>
              <w:t>可通过</w:t>
            </w:r>
            <w:r>
              <w:rPr>
                <w:rFonts w:hint="default" w:ascii="Calibri" w:hAnsi="Calibri" w:cs="Calibri"/>
                <w:sz w:val="24"/>
                <w:szCs w:val="24"/>
              </w:rPr>
              <w:t>VGA</w:t>
            </w:r>
            <w:r>
              <w:rPr>
                <w:rFonts w:hint="eastAsia" w:ascii="宋体" w:hAnsi="宋体" w:eastAsia="宋体" w:cs="宋体"/>
                <w:sz w:val="24"/>
                <w:szCs w:val="24"/>
              </w:rPr>
              <w:t>视频输入接口接入分辨率为</w:t>
            </w:r>
            <w:r>
              <w:rPr>
                <w:rFonts w:hint="default" w:ascii="Calibri" w:hAnsi="Calibri" w:cs="Calibri"/>
                <w:sz w:val="24"/>
                <w:szCs w:val="24"/>
              </w:rPr>
              <w:t>1024</w:t>
            </w:r>
            <w:r>
              <w:rPr>
                <w:rFonts w:hint="eastAsia" w:ascii="宋体" w:hAnsi="宋体" w:eastAsia="宋体" w:cs="宋体"/>
                <w:sz w:val="24"/>
                <w:szCs w:val="24"/>
              </w:rPr>
              <w:t>×</w:t>
            </w:r>
            <w:r>
              <w:rPr>
                <w:rFonts w:hint="default" w:ascii="Calibri" w:hAnsi="Calibri" w:cs="Calibri"/>
                <w:sz w:val="24"/>
                <w:szCs w:val="24"/>
              </w:rPr>
              <w:t>768</w:t>
            </w:r>
            <w:r>
              <w:rPr>
                <w:rFonts w:hint="eastAsia" w:ascii="宋体" w:hAnsi="宋体" w:eastAsia="宋体" w:cs="宋体"/>
                <w:sz w:val="24"/>
                <w:szCs w:val="24"/>
              </w:rPr>
              <w:t>（</w:t>
            </w:r>
            <w:r>
              <w:rPr>
                <w:rFonts w:hint="default" w:ascii="Calibri" w:hAnsi="Calibri" w:cs="Calibri"/>
                <w:sz w:val="24"/>
                <w:szCs w:val="24"/>
              </w:rPr>
              <w:t>60Hz</w:t>
            </w:r>
            <w:r>
              <w:rPr>
                <w:rFonts w:hint="eastAsia" w:ascii="宋体" w:hAnsi="宋体" w:eastAsia="宋体" w:cs="宋体"/>
                <w:sz w:val="24"/>
                <w:szCs w:val="24"/>
              </w:rPr>
              <w:t>）、</w:t>
            </w:r>
            <w:r>
              <w:rPr>
                <w:rFonts w:hint="default" w:ascii="Calibri" w:hAnsi="Calibri" w:cs="Calibri"/>
                <w:sz w:val="24"/>
                <w:szCs w:val="24"/>
              </w:rPr>
              <w:t>800</w:t>
            </w:r>
            <w:r>
              <w:rPr>
                <w:rFonts w:hint="eastAsia" w:ascii="宋体" w:hAnsi="宋体" w:eastAsia="宋体" w:cs="宋体"/>
                <w:sz w:val="24"/>
                <w:szCs w:val="24"/>
              </w:rPr>
              <w:t>×</w:t>
            </w:r>
            <w:r>
              <w:rPr>
                <w:rFonts w:hint="default" w:ascii="Calibri" w:hAnsi="Calibri" w:cs="Calibri"/>
                <w:sz w:val="24"/>
                <w:szCs w:val="24"/>
              </w:rPr>
              <w:t>600</w:t>
            </w:r>
            <w:r>
              <w:rPr>
                <w:rFonts w:hint="eastAsia" w:ascii="宋体" w:hAnsi="宋体" w:eastAsia="宋体" w:cs="宋体"/>
                <w:sz w:val="24"/>
                <w:szCs w:val="24"/>
              </w:rPr>
              <w:t>（</w:t>
            </w:r>
            <w:r>
              <w:rPr>
                <w:rFonts w:hint="default" w:ascii="Calibri" w:hAnsi="Calibri" w:cs="Calibri"/>
                <w:sz w:val="24"/>
                <w:szCs w:val="24"/>
              </w:rPr>
              <w:t>60Hz</w:t>
            </w:r>
            <w:r>
              <w:rPr>
                <w:rFonts w:hint="eastAsia" w:ascii="宋体" w:hAnsi="宋体" w:eastAsia="宋体" w:cs="宋体"/>
                <w:sz w:val="24"/>
                <w:szCs w:val="24"/>
              </w:rPr>
              <w:t>）、</w:t>
            </w:r>
            <w:r>
              <w:rPr>
                <w:rFonts w:hint="default" w:ascii="Calibri" w:hAnsi="Calibri" w:cs="Calibri"/>
                <w:sz w:val="24"/>
                <w:szCs w:val="24"/>
              </w:rPr>
              <w:t>1280</w:t>
            </w:r>
            <w:r>
              <w:rPr>
                <w:rFonts w:hint="eastAsia" w:ascii="宋体" w:hAnsi="宋体" w:eastAsia="宋体" w:cs="宋体"/>
                <w:sz w:val="24"/>
                <w:szCs w:val="24"/>
              </w:rPr>
              <w:t>×</w:t>
            </w:r>
            <w:r>
              <w:rPr>
                <w:rFonts w:hint="default" w:ascii="Calibri" w:hAnsi="Calibri" w:cs="Calibri"/>
                <w:sz w:val="24"/>
                <w:szCs w:val="24"/>
              </w:rPr>
              <w:t>1024</w:t>
            </w:r>
            <w:r>
              <w:rPr>
                <w:rFonts w:hint="eastAsia" w:ascii="宋体" w:hAnsi="宋体" w:eastAsia="宋体" w:cs="宋体"/>
                <w:sz w:val="24"/>
                <w:szCs w:val="24"/>
              </w:rPr>
              <w:t>（</w:t>
            </w:r>
            <w:r>
              <w:rPr>
                <w:rFonts w:hint="default" w:ascii="Calibri" w:hAnsi="Calibri" w:cs="Calibri"/>
                <w:sz w:val="24"/>
                <w:szCs w:val="24"/>
              </w:rPr>
              <w:t>60Hz</w:t>
            </w:r>
            <w:r>
              <w:rPr>
                <w:rFonts w:hint="eastAsia" w:ascii="宋体" w:hAnsi="宋体" w:eastAsia="宋体" w:cs="宋体"/>
                <w:sz w:val="24"/>
                <w:szCs w:val="24"/>
              </w:rPr>
              <w:t>）、</w:t>
            </w:r>
            <w:r>
              <w:rPr>
                <w:rFonts w:hint="default" w:ascii="Calibri" w:hAnsi="Calibri" w:cs="Calibri"/>
                <w:sz w:val="24"/>
                <w:szCs w:val="24"/>
              </w:rPr>
              <w:t>1280</w:t>
            </w:r>
            <w:r>
              <w:rPr>
                <w:rFonts w:hint="eastAsia" w:ascii="宋体" w:hAnsi="宋体" w:eastAsia="宋体" w:cs="宋体"/>
                <w:sz w:val="24"/>
                <w:szCs w:val="24"/>
              </w:rPr>
              <w:t>×</w:t>
            </w:r>
            <w:r>
              <w:rPr>
                <w:rFonts w:hint="default" w:ascii="Calibri" w:hAnsi="Calibri" w:cs="Calibri"/>
                <w:sz w:val="24"/>
                <w:szCs w:val="24"/>
              </w:rPr>
              <w:t>760</w:t>
            </w:r>
            <w:r>
              <w:rPr>
                <w:rFonts w:hint="eastAsia" w:ascii="宋体" w:hAnsi="宋体" w:eastAsia="宋体" w:cs="宋体"/>
                <w:sz w:val="24"/>
                <w:szCs w:val="24"/>
              </w:rPr>
              <w:t>（</w:t>
            </w:r>
            <w:r>
              <w:rPr>
                <w:rFonts w:hint="default" w:ascii="Calibri" w:hAnsi="Calibri" w:cs="Calibri"/>
                <w:sz w:val="24"/>
                <w:szCs w:val="24"/>
              </w:rPr>
              <w:t>60Hz</w:t>
            </w:r>
            <w:r>
              <w:rPr>
                <w:rFonts w:hint="eastAsia" w:ascii="宋体" w:hAnsi="宋体" w:eastAsia="宋体" w:cs="宋体"/>
                <w:sz w:val="24"/>
                <w:szCs w:val="24"/>
              </w:rPr>
              <w:t>）、</w:t>
            </w:r>
            <w:r>
              <w:rPr>
                <w:rFonts w:hint="default" w:ascii="Calibri" w:hAnsi="Calibri" w:cs="Calibri"/>
                <w:sz w:val="24"/>
                <w:szCs w:val="24"/>
              </w:rPr>
              <w:t>1280</w:t>
            </w:r>
            <w:r>
              <w:rPr>
                <w:rFonts w:hint="eastAsia" w:ascii="宋体" w:hAnsi="宋体" w:eastAsia="宋体" w:cs="宋体"/>
                <w:sz w:val="24"/>
                <w:szCs w:val="24"/>
              </w:rPr>
              <w:t>×</w:t>
            </w:r>
            <w:r>
              <w:rPr>
                <w:rFonts w:hint="default" w:ascii="Calibri" w:hAnsi="Calibri" w:cs="Calibri"/>
                <w:sz w:val="24"/>
                <w:szCs w:val="24"/>
              </w:rPr>
              <w:t>720</w:t>
            </w:r>
            <w:r>
              <w:rPr>
                <w:rFonts w:hint="eastAsia" w:ascii="宋体" w:hAnsi="宋体" w:eastAsia="宋体" w:cs="宋体"/>
                <w:sz w:val="24"/>
                <w:szCs w:val="24"/>
              </w:rPr>
              <w:t>（</w:t>
            </w:r>
            <w:r>
              <w:rPr>
                <w:rFonts w:hint="default" w:ascii="Calibri" w:hAnsi="Calibri" w:cs="Calibri"/>
                <w:sz w:val="24"/>
                <w:szCs w:val="24"/>
              </w:rPr>
              <w:t>60Hz</w:t>
            </w:r>
            <w:r>
              <w:rPr>
                <w:rFonts w:hint="eastAsia" w:ascii="宋体" w:hAnsi="宋体" w:eastAsia="宋体" w:cs="宋体"/>
                <w:sz w:val="24"/>
                <w:szCs w:val="24"/>
              </w:rPr>
              <w:t>）、</w:t>
            </w:r>
            <w:r>
              <w:rPr>
                <w:rFonts w:hint="default" w:ascii="Calibri" w:hAnsi="Calibri" w:cs="Calibri"/>
                <w:sz w:val="24"/>
                <w:szCs w:val="24"/>
              </w:rPr>
              <w:t>1280</w:t>
            </w:r>
            <w:r>
              <w:rPr>
                <w:rFonts w:hint="eastAsia" w:ascii="宋体" w:hAnsi="宋体" w:eastAsia="宋体" w:cs="宋体"/>
                <w:sz w:val="24"/>
                <w:szCs w:val="24"/>
              </w:rPr>
              <w:t>×</w:t>
            </w:r>
            <w:r>
              <w:rPr>
                <w:rFonts w:hint="default" w:ascii="Calibri" w:hAnsi="Calibri" w:cs="Calibri"/>
                <w:sz w:val="24"/>
                <w:szCs w:val="24"/>
              </w:rPr>
              <w:t>720</w:t>
            </w:r>
            <w:r>
              <w:rPr>
                <w:rFonts w:hint="eastAsia" w:ascii="宋体" w:hAnsi="宋体" w:eastAsia="宋体" w:cs="宋体"/>
                <w:sz w:val="24"/>
                <w:szCs w:val="24"/>
              </w:rPr>
              <w:t>（</w:t>
            </w:r>
            <w:r>
              <w:rPr>
                <w:rFonts w:hint="default" w:ascii="Calibri" w:hAnsi="Calibri" w:cs="Calibri"/>
                <w:sz w:val="24"/>
                <w:szCs w:val="24"/>
              </w:rPr>
              <w:t>50Hz</w:t>
            </w:r>
            <w:r>
              <w:rPr>
                <w:rFonts w:hint="eastAsia" w:ascii="宋体" w:hAnsi="宋体" w:eastAsia="宋体" w:cs="宋体"/>
                <w:sz w:val="24"/>
                <w:szCs w:val="24"/>
              </w:rPr>
              <w:t>）、</w:t>
            </w:r>
            <w:r>
              <w:rPr>
                <w:rFonts w:hint="default" w:ascii="Calibri" w:hAnsi="Calibri" w:cs="Calibri"/>
                <w:sz w:val="24"/>
                <w:szCs w:val="24"/>
              </w:rPr>
              <w:t>1280</w:t>
            </w:r>
            <w:r>
              <w:rPr>
                <w:rFonts w:hint="eastAsia" w:ascii="宋体" w:hAnsi="宋体" w:eastAsia="宋体" w:cs="宋体"/>
                <w:sz w:val="24"/>
                <w:szCs w:val="24"/>
              </w:rPr>
              <w:t>×</w:t>
            </w:r>
            <w:r>
              <w:rPr>
                <w:rFonts w:hint="default" w:ascii="Calibri" w:hAnsi="Calibri" w:cs="Calibri"/>
                <w:sz w:val="24"/>
                <w:szCs w:val="24"/>
              </w:rPr>
              <w:t>960</w:t>
            </w:r>
            <w:r>
              <w:rPr>
                <w:rFonts w:hint="eastAsia" w:ascii="宋体" w:hAnsi="宋体" w:eastAsia="宋体" w:cs="宋体"/>
                <w:sz w:val="24"/>
                <w:szCs w:val="24"/>
              </w:rPr>
              <w:t>（</w:t>
            </w:r>
            <w:r>
              <w:rPr>
                <w:rFonts w:hint="default" w:ascii="Calibri" w:hAnsi="Calibri" w:cs="Calibri"/>
                <w:sz w:val="24"/>
                <w:szCs w:val="24"/>
              </w:rPr>
              <w:t>60Hz</w:t>
            </w:r>
            <w:r>
              <w:rPr>
                <w:rFonts w:hint="eastAsia" w:ascii="宋体" w:hAnsi="宋体" w:eastAsia="宋体" w:cs="宋体"/>
                <w:sz w:val="24"/>
                <w:szCs w:val="24"/>
              </w:rPr>
              <w:t>）、</w:t>
            </w:r>
            <w:r>
              <w:rPr>
                <w:rFonts w:hint="default" w:ascii="Calibri" w:hAnsi="Calibri" w:cs="Calibri"/>
                <w:sz w:val="24"/>
                <w:szCs w:val="24"/>
              </w:rPr>
              <w:t>1600</w:t>
            </w:r>
            <w:r>
              <w:rPr>
                <w:rFonts w:hint="eastAsia" w:ascii="宋体" w:hAnsi="宋体" w:eastAsia="宋体" w:cs="宋体"/>
                <w:sz w:val="24"/>
                <w:szCs w:val="24"/>
              </w:rPr>
              <w:t>×</w:t>
            </w:r>
            <w:r>
              <w:rPr>
                <w:rFonts w:hint="default" w:ascii="Calibri" w:hAnsi="Calibri" w:cs="Calibri"/>
                <w:sz w:val="24"/>
                <w:szCs w:val="24"/>
              </w:rPr>
              <w:t>1200</w:t>
            </w:r>
            <w:r>
              <w:rPr>
                <w:rFonts w:hint="eastAsia" w:ascii="宋体" w:hAnsi="宋体" w:eastAsia="宋体" w:cs="宋体"/>
                <w:sz w:val="24"/>
                <w:szCs w:val="24"/>
              </w:rPr>
              <w:t>（</w:t>
            </w:r>
            <w:r>
              <w:rPr>
                <w:rFonts w:hint="default" w:ascii="Calibri" w:hAnsi="Calibri" w:cs="Calibri"/>
                <w:sz w:val="24"/>
                <w:szCs w:val="24"/>
              </w:rPr>
              <w:t>60Hz</w:t>
            </w:r>
            <w:r>
              <w:rPr>
                <w:rFonts w:hint="eastAsia" w:ascii="宋体" w:hAnsi="宋体" w:eastAsia="宋体" w:cs="宋体"/>
                <w:sz w:val="24"/>
                <w:szCs w:val="24"/>
              </w:rPr>
              <w:t>）、</w:t>
            </w:r>
            <w:r>
              <w:rPr>
                <w:rFonts w:hint="default" w:ascii="Calibri" w:hAnsi="Calibri" w:cs="Calibri"/>
                <w:sz w:val="24"/>
                <w:szCs w:val="24"/>
              </w:rPr>
              <w:t>1920</w:t>
            </w:r>
            <w:r>
              <w:rPr>
                <w:rFonts w:hint="eastAsia" w:ascii="宋体" w:hAnsi="宋体" w:eastAsia="宋体" w:cs="宋体"/>
                <w:sz w:val="24"/>
                <w:szCs w:val="24"/>
              </w:rPr>
              <w:t>×</w:t>
            </w:r>
            <w:r>
              <w:rPr>
                <w:rFonts w:hint="default" w:ascii="Calibri" w:hAnsi="Calibri" w:cs="Calibri"/>
                <w:sz w:val="24"/>
                <w:szCs w:val="24"/>
              </w:rPr>
              <w:t>1080</w:t>
            </w:r>
            <w:r>
              <w:rPr>
                <w:rFonts w:hint="eastAsia" w:ascii="宋体" w:hAnsi="宋体" w:eastAsia="宋体" w:cs="宋体"/>
                <w:sz w:val="24"/>
                <w:szCs w:val="24"/>
              </w:rPr>
              <w:t>（</w:t>
            </w:r>
            <w:r>
              <w:rPr>
                <w:rFonts w:hint="default" w:ascii="Calibri" w:hAnsi="Calibri" w:cs="Calibri"/>
                <w:sz w:val="24"/>
                <w:szCs w:val="24"/>
              </w:rPr>
              <w:t>60Hz</w:t>
            </w:r>
            <w:r>
              <w:rPr>
                <w:rFonts w:hint="eastAsia" w:ascii="宋体" w:hAnsi="宋体" w:eastAsia="宋体" w:cs="宋体"/>
                <w:sz w:val="24"/>
                <w:szCs w:val="24"/>
              </w:rPr>
              <w:t>）、</w:t>
            </w:r>
            <w:r>
              <w:rPr>
                <w:rFonts w:hint="default" w:ascii="Calibri" w:hAnsi="Calibri" w:cs="Calibri"/>
                <w:sz w:val="24"/>
                <w:szCs w:val="24"/>
              </w:rPr>
              <w:t>1280</w:t>
            </w:r>
            <w:r>
              <w:rPr>
                <w:rFonts w:hint="eastAsia" w:ascii="宋体" w:hAnsi="宋体" w:eastAsia="宋体" w:cs="宋体"/>
                <w:sz w:val="24"/>
                <w:szCs w:val="24"/>
              </w:rPr>
              <w:t>×</w:t>
            </w:r>
            <w:r>
              <w:rPr>
                <w:rFonts w:hint="default" w:ascii="Calibri" w:hAnsi="Calibri" w:cs="Calibri"/>
                <w:sz w:val="24"/>
                <w:szCs w:val="24"/>
              </w:rPr>
              <w:t>720</w:t>
            </w:r>
            <w:r>
              <w:rPr>
                <w:rFonts w:hint="eastAsia" w:ascii="宋体" w:hAnsi="宋体" w:eastAsia="宋体" w:cs="宋体"/>
                <w:sz w:val="24"/>
                <w:szCs w:val="24"/>
              </w:rPr>
              <w:t>（</w:t>
            </w:r>
            <w:r>
              <w:rPr>
                <w:rFonts w:hint="default" w:ascii="Calibri" w:hAnsi="Calibri" w:cs="Calibri"/>
                <w:sz w:val="24"/>
                <w:szCs w:val="24"/>
              </w:rPr>
              <w:t>60Hz</w:t>
            </w:r>
            <w:r>
              <w:rPr>
                <w:rFonts w:hint="eastAsia" w:ascii="宋体" w:hAnsi="宋体" w:eastAsia="宋体" w:cs="宋体"/>
                <w:sz w:val="24"/>
                <w:szCs w:val="24"/>
              </w:rPr>
              <w:t>）、</w:t>
            </w:r>
            <w:r>
              <w:rPr>
                <w:rFonts w:hint="default" w:ascii="Calibri" w:hAnsi="Calibri" w:cs="Calibri"/>
                <w:sz w:val="24"/>
                <w:szCs w:val="24"/>
              </w:rPr>
              <w:t>1680</w:t>
            </w:r>
            <w:r>
              <w:rPr>
                <w:rFonts w:hint="eastAsia" w:ascii="宋体" w:hAnsi="宋体" w:eastAsia="宋体" w:cs="宋体"/>
                <w:sz w:val="24"/>
                <w:szCs w:val="24"/>
              </w:rPr>
              <w:t>×</w:t>
            </w:r>
            <w:r>
              <w:rPr>
                <w:rFonts w:hint="default" w:ascii="Calibri" w:hAnsi="Calibri" w:cs="Calibri"/>
                <w:sz w:val="24"/>
                <w:szCs w:val="24"/>
              </w:rPr>
              <w:t>1050</w:t>
            </w:r>
            <w:r>
              <w:rPr>
                <w:rFonts w:hint="eastAsia" w:ascii="宋体" w:hAnsi="宋体" w:eastAsia="宋体" w:cs="宋体"/>
                <w:sz w:val="24"/>
                <w:szCs w:val="24"/>
              </w:rPr>
              <w:t>（</w:t>
            </w:r>
            <w:r>
              <w:rPr>
                <w:rFonts w:hint="default" w:ascii="Calibri" w:hAnsi="Calibri" w:cs="Calibri"/>
                <w:sz w:val="24"/>
                <w:szCs w:val="24"/>
              </w:rPr>
              <w:t>60Hz</w:t>
            </w:r>
            <w:r>
              <w:rPr>
                <w:rFonts w:hint="eastAsia" w:ascii="宋体" w:hAnsi="宋体" w:eastAsia="宋体" w:cs="宋体"/>
                <w:sz w:val="24"/>
                <w:szCs w:val="24"/>
              </w:rPr>
              <w:t>）、</w:t>
            </w:r>
            <w:r>
              <w:rPr>
                <w:rFonts w:hint="default" w:ascii="Calibri" w:hAnsi="Calibri" w:cs="Calibri"/>
                <w:sz w:val="24"/>
                <w:szCs w:val="24"/>
              </w:rPr>
              <w:t>1366</w:t>
            </w:r>
            <w:r>
              <w:rPr>
                <w:rFonts w:hint="eastAsia" w:ascii="宋体" w:hAnsi="宋体" w:eastAsia="宋体" w:cs="宋体"/>
                <w:sz w:val="24"/>
                <w:szCs w:val="24"/>
              </w:rPr>
              <w:t>×</w:t>
            </w:r>
            <w:r>
              <w:rPr>
                <w:rFonts w:hint="default" w:ascii="Calibri" w:hAnsi="Calibri" w:cs="Calibri"/>
                <w:sz w:val="24"/>
                <w:szCs w:val="24"/>
              </w:rPr>
              <w:t>768</w:t>
            </w:r>
            <w:r>
              <w:rPr>
                <w:rFonts w:hint="eastAsia" w:ascii="宋体" w:hAnsi="宋体" w:eastAsia="宋体" w:cs="宋体"/>
                <w:sz w:val="24"/>
                <w:szCs w:val="24"/>
              </w:rPr>
              <w:t>（</w:t>
            </w:r>
            <w:r>
              <w:rPr>
                <w:rFonts w:hint="default" w:ascii="Calibri" w:hAnsi="Calibri" w:cs="Calibri"/>
                <w:sz w:val="24"/>
                <w:szCs w:val="24"/>
              </w:rPr>
              <w:t>60Hz</w:t>
            </w:r>
            <w:r>
              <w:rPr>
                <w:rFonts w:hint="eastAsia" w:ascii="宋体" w:hAnsi="宋体" w:eastAsia="宋体" w:cs="宋体"/>
                <w:sz w:val="24"/>
                <w:szCs w:val="24"/>
              </w:rPr>
              <w:t>）、</w:t>
            </w:r>
            <w:r>
              <w:rPr>
                <w:rFonts w:hint="default" w:ascii="Calibri" w:hAnsi="Calibri" w:cs="Calibri"/>
                <w:sz w:val="24"/>
                <w:szCs w:val="24"/>
              </w:rPr>
              <w:t>1280</w:t>
            </w:r>
            <w:r>
              <w:rPr>
                <w:rFonts w:hint="eastAsia" w:ascii="宋体" w:hAnsi="宋体" w:eastAsia="宋体" w:cs="宋体"/>
                <w:sz w:val="24"/>
                <w:szCs w:val="24"/>
              </w:rPr>
              <w:t>×</w:t>
            </w:r>
            <w:r>
              <w:rPr>
                <w:rFonts w:hint="default" w:ascii="Calibri" w:hAnsi="Calibri" w:cs="Calibri"/>
                <w:sz w:val="24"/>
                <w:szCs w:val="24"/>
              </w:rPr>
              <w:t>800</w:t>
            </w:r>
            <w:r>
              <w:rPr>
                <w:rFonts w:hint="eastAsia" w:ascii="宋体" w:hAnsi="宋体" w:eastAsia="宋体" w:cs="宋体"/>
                <w:sz w:val="24"/>
                <w:szCs w:val="24"/>
              </w:rPr>
              <w:t>（</w:t>
            </w:r>
            <w:r>
              <w:rPr>
                <w:rFonts w:hint="default" w:ascii="Calibri" w:hAnsi="Calibri" w:cs="Calibri"/>
                <w:sz w:val="24"/>
                <w:szCs w:val="24"/>
              </w:rPr>
              <w:t>60Hz</w:t>
            </w:r>
            <w:r>
              <w:rPr>
                <w:rFonts w:hint="eastAsia" w:ascii="宋体" w:hAnsi="宋体" w:eastAsia="宋体" w:cs="宋体"/>
                <w:sz w:val="24"/>
                <w:szCs w:val="24"/>
              </w:rPr>
              <w:t>）、</w:t>
            </w:r>
            <w:r>
              <w:rPr>
                <w:rFonts w:hint="default" w:ascii="Calibri" w:hAnsi="Calibri" w:cs="Calibri"/>
                <w:sz w:val="24"/>
                <w:szCs w:val="24"/>
              </w:rPr>
              <w:t>1440</w:t>
            </w:r>
            <w:r>
              <w:rPr>
                <w:rFonts w:hint="eastAsia" w:ascii="宋体" w:hAnsi="宋体" w:eastAsia="宋体" w:cs="宋体"/>
                <w:sz w:val="24"/>
                <w:szCs w:val="24"/>
              </w:rPr>
              <w:t>×</w:t>
            </w:r>
            <w:r>
              <w:rPr>
                <w:rFonts w:hint="default" w:ascii="Calibri" w:hAnsi="Calibri" w:cs="Calibri"/>
                <w:sz w:val="24"/>
                <w:szCs w:val="24"/>
              </w:rPr>
              <w:t>900</w:t>
            </w:r>
            <w:r>
              <w:rPr>
                <w:rFonts w:hint="eastAsia" w:ascii="宋体" w:hAnsi="宋体" w:eastAsia="宋体" w:cs="宋体"/>
                <w:sz w:val="24"/>
                <w:szCs w:val="24"/>
              </w:rPr>
              <w:t>（</w:t>
            </w:r>
            <w:r>
              <w:rPr>
                <w:rFonts w:hint="default" w:ascii="Calibri" w:hAnsi="Calibri" w:cs="Calibri"/>
                <w:sz w:val="24"/>
                <w:szCs w:val="24"/>
              </w:rPr>
              <w:t>60Hz</w:t>
            </w:r>
            <w:r>
              <w:rPr>
                <w:rFonts w:hint="eastAsia" w:ascii="宋体" w:hAnsi="宋体" w:eastAsia="宋体" w:cs="宋体"/>
                <w:sz w:val="24"/>
                <w:szCs w:val="24"/>
              </w:rPr>
              <w:t>）的视频图像并显示；</w:t>
            </w:r>
          </w:p>
          <w:p>
            <w:pPr>
              <w:pStyle w:val="4"/>
              <w:keepNext w:val="0"/>
              <w:keepLines w:val="0"/>
              <w:widowControl/>
              <w:suppressLineNumbers w:val="0"/>
              <w:spacing w:before="0" w:beforeAutospacing="1" w:after="0" w:afterAutospacing="1" w:line="315" w:lineRule="atLeast"/>
              <w:ind w:left="0" w:right="0" w:firstLine="0"/>
            </w:pPr>
            <w:r>
              <w:rPr>
                <w:rFonts w:hint="default" w:ascii="Calibri" w:hAnsi="Calibri" w:cs="Calibri"/>
                <w:sz w:val="24"/>
                <w:szCs w:val="24"/>
              </w:rPr>
              <w:t>13.</w:t>
            </w:r>
            <w:r>
              <w:rPr>
                <w:rFonts w:hint="default" w:ascii="Times New Roman" w:hAnsi="Times New Roman" w:cs="Times New Roman"/>
                <w:sz w:val="13"/>
                <w:szCs w:val="13"/>
              </w:rPr>
              <w:t xml:space="preserve">       </w:t>
            </w:r>
            <w:r>
              <w:rPr>
                <w:rFonts w:hint="eastAsia" w:ascii="宋体" w:hAnsi="宋体" w:eastAsia="宋体" w:cs="宋体"/>
                <w:sz w:val="24"/>
                <w:szCs w:val="24"/>
              </w:rPr>
              <w:t>可对输入的视频画面进行</w:t>
            </w:r>
            <w:r>
              <w:rPr>
                <w:rFonts w:hint="default" w:ascii="Calibri" w:hAnsi="Calibri" w:cs="Calibri"/>
                <w:sz w:val="24"/>
                <w:szCs w:val="24"/>
              </w:rPr>
              <w:t>90</w:t>
            </w:r>
            <w:r>
              <w:rPr>
                <w:rFonts w:hint="eastAsia" w:ascii="宋体" w:hAnsi="宋体" w:eastAsia="宋体" w:cs="宋体"/>
                <w:sz w:val="24"/>
                <w:szCs w:val="24"/>
              </w:rPr>
              <w:t>°旋转显示；可通过客户端软件上传分辨率为</w:t>
            </w:r>
            <w:r>
              <w:rPr>
                <w:rFonts w:hint="default" w:ascii="Calibri" w:hAnsi="Calibri" w:cs="Calibri"/>
                <w:sz w:val="24"/>
                <w:szCs w:val="24"/>
              </w:rPr>
              <w:t>1920</w:t>
            </w:r>
            <w:r>
              <w:rPr>
                <w:rFonts w:hint="eastAsia" w:ascii="宋体" w:hAnsi="宋体" w:eastAsia="宋体" w:cs="宋体"/>
                <w:sz w:val="24"/>
                <w:szCs w:val="24"/>
              </w:rPr>
              <w:t>×</w:t>
            </w:r>
            <w:r>
              <w:rPr>
                <w:rFonts w:hint="default" w:ascii="Calibri" w:hAnsi="Calibri" w:cs="Calibri"/>
                <w:sz w:val="24"/>
                <w:szCs w:val="24"/>
              </w:rPr>
              <w:t>1080</w:t>
            </w:r>
            <w:r>
              <w:rPr>
                <w:rFonts w:hint="eastAsia" w:ascii="宋体" w:hAnsi="宋体" w:eastAsia="宋体" w:cs="宋体"/>
                <w:sz w:val="24"/>
                <w:szCs w:val="24"/>
              </w:rPr>
              <w:t>的</w:t>
            </w:r>
            <w:r>
              <w:rPr>
                <w:rFonts w:hint="default" w:ascii="Calibri" w:hAnsi="Calibri" w:cs="Calibri"/>
                <w:sz w:val="24"/>
                <w:szCs w:val="24"/>
              </w:rPr>
              <w:t>JPEG</w:t>
            </w:r>
            <w:r>
              <w:rPr>
                <w:rFonts w:hint="eastAsia" w:ascii="宋体" w:hAnsi="宋体" w:eastAsia="宋体" w:cs="宋体"/>
                <w:sz w:val="24"/>
                <w:szCs w:val="24"/>
              </w:rPr>
              <w:t>图片，作为墙纸显示在窗口图层底图，可通过客户端软件设置底色，当无解码画面时，设备输出显示该底色；</w:t>
            </w:r>
          </w:p>
          <w:p>
            <w:pPr>
              <w:pStyle w:val="4"/>
              <w:keepNext w:val="0"/>
              <w:keepLines w:val="0"/>
              <w:widowControl/>
              <w:suppressLineNumbers w:val="0"/>
              <w:spacing w:before="0" w:beforeAutospacing="1" w:after="0" w:afterAutospacing="1" w:line="315" w:lineRule="atLeast"/>
              <w:ind w:left="0" w:right="0" w:firstLine="0"/>
            </w:pPr>
            <w:r>
              <w:rPr>
                <w:rFonts w:hint="default" w:ascii="Calibri" w:hAnsi="Calibri" w:cs="Calibri"/>
                <w:sz w:val="24"/>
                <w:szCs w:val="24"/>
              </w:rPr>
              <w:t>14.</w:t>
            </w:r>
            <w:r>
              <w:rPr>
                <w:rFonts w:hint="default" w:ascii="Times New Roman" w:hAnsi="Times New Roman" w:cs="Times New Roman"/>
                <w:sz w:val="13"/>
                <w:szCs w:val="13"/>
              </w:rPr>
              <w:t xml:space="preserve">       </w:t>
            </w:r>
            <w:r>
              <w:rPr>
                <w:rFonts w:hint="eastAsia" w:ascii="宋体" w:hAnsi="宋体" w:eastAsia="宋体" w:cs="宋体"/>
                <w:sz w:val="24"/>
                <w:szCs w:val="24"/>
              </w:rPr>
              <w:t>设备接入具有智能行为分析功能的摄像机，可解码显示智能行为分析信息，包括移动侦测、越界入侵、区域入侵、起身离开等，并上传报警信息。（提供具有</w:t>
            </w:r>
            <w:r>
              <w:rPr>
                <w:rFonts w:hint="default" w:ascii="Calibri" w:hAnsi="Calibri" w:cs="Calibri"/>
                <w:sz w:val="24"/>
                <w:szCs w:val="24"/>
              </w:rPr>
              <w:t>CNAS</w:t>
            </w:r>
            <w:r>
              <w:rPr>
                <w:rFonts w:hint="eastAsia" w:ascii="宋体" w:hAnsi="宋体" w:eastAsia="宋体" w:cs="宋体"/>
                <w:sz w:val="24"/>
                <w:szCs w:val="24"/>
              </w:rPr>
              <w:t>资质认证标识的检测机构出具的公安部报告证明）</w:t>
            </w:r>
          </w:p>
        </w:tc>
        <w:tc>
          <w:tcPr>
            <w:tcW w:w="467"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tc>
      </w:tr>
      <w:tr>
        <w:trPr>
          <w:trHeight w:val="1110" w:hRule="atLeast"/>
          <w:tblCellSpacing w:w="15" w:type="dxa"/>
        </w:trPr>
        <w:tc>
          <w:tcPr>
            <w:tcW w:w="36" w:type="dxa"/>
            <w:tcBorders>
              <w:top w:val="nil"/>
              <w:left w:val="single" w:color="auto" w:sz="6" w:space="0"/>
              <w:bottom w:val="single" w:color="auto" w:sz="6" w:space="0"/>
              <w:right w:val="single" w:color="auto" w:sz="6" w:space="0"/>
            </w:tcBorders>
            <w:shd w:val="clear" w:color="auto" w:fill="FFFFFF"/>
            <w:tcMar>
              <w:top w:w="0" w:type="dxa"/>
              <w:left w:w="0" w:type="dxa"/>
              <w:bottom w:w="0" w:type="dxa"/>
              <w:right w:w="0" w:type="dxa"/>
            </w:tcMar>
            <w:vAlign w:val="center"/>
          </w:tcPr>
          <w:p>
            <w:pPr>
              <w:keepNext w:val="0"/>
              <w:keepLines w:val="0"/>
              <w:widowControl/>
              <w:suppressLineNumbers w:val="0"/>
              <w:jc w:val="left"/>
            </w:pPr>
          </w:p>
        </w:tc>
        <w:tc>
          <w:tcPr>
            <w:tcW w:w="937"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jc w:val="center"/>
            </w:pPr>
            <w:r>
              <w:rPr>
                <w:rFonts w:hint="default" w:ascii="Calibri" w:hAnsi="Calibri" w:cs="Calibri"/>
                <w:sz w:val="24"/>
                <w:szCs w:val="24"/>
              </w:rPr>
              <w:t>1-2-45</w:t>
            </w:r>
          </w:p>
        </w:tc>
        <w:tc>
          <w:tcPr>
            <w:tcW w:w="888"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pPr>
            <w:r>
              <w:rPr>
                <w:rFonts w:hint="eastAsia" w:ascii="宋体" w:hAnsi="宋体" w:eastAsia="宋体" w:cs="宋体"/>
                <w:sz w:val="19"/>
                <w:szCs w:val="19"/>
              </w:rPr>
              <w:t>希捷监控级硬盘</w:t>
            </w:r>
          </w:p>
        </w:tc>
        <w:tc>
          <w:tcPr>
            <w:tcW w:w="529"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jc w:val="center"/>
            </w:pPr>
            <w:r>
              <w:rPr>
                <w:rFonts w:hint="eastAsia" w:ascii="宋体" w:hAnsi="宋体" w:eastAsia="宋体" w:cs="宋体"/>
                <w:sz w:val="19"/>
                <w:szCs w:val="19"/>
              </w:rPr>
              <w:t>个</w:t>
            </w:r>
          </w:p>
        </w:tc>
        <w:tc>
          <w:tcPr>
            <w:tcW w:w="529"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jc w:val="center"/>
            </w:pPr>
            <w:r>
              <w:rPr>
                <w:rFonts w:hint="eastAsia" w:ascii="宋体" w:hAnsi="宋体" w:eastAsia="宋体" w:cs="宋体"/>
                <w:sz w:val="19"/>
                <w:szCs w:val="19"/>
              </w:rPr>
              <w:t>11</w:t>
            </w:r>
          </w:p>
        </w:tc>
        <w:tc>
          <w:tcPr>
            <w:tcW w:w="6378"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pPr>
            <w:r>
              <w:rPr>
                <w:rFonts w:hint="eastAsia" w:ascii="宋体" w:hAnsi="宋体" w:eastAsia="宋体" w:cs="宋体"/>
                <w:sz w:val="19"/>
                <w:szCs w:val="19"/>
              </w:rPr>
              <w:t>4TB/64MB(6Gb/秒   NCQ)/5900RPM/SATA3</w:t>
            </w:r>
          </w:p>
        </w:tc>
        <w:tc>
          <w:tcPr>
            <w:tcW w:w="467"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top"/>
          </w:tcPr>
          <w:p>
            <w:pPr>
              <w:keepNext w:val="0"/>
              <w:keepLines w:val="0"/>
              <w:widowControl/>
              <w:suppressLineNumbers w:val="0"/>
              <w:jc w:val="left"/>
            </w:pPr>
          </w:p>
        </w:tc>
      </w:tr>
      <w:tr>
        <w:trPr>
          <w:trHeight w:val="3120" w:hRule="atLeast"/>
          <w:tblCellSpacing w:w="15" w:type="dxa"/>
        </w:trPr>
        <w:tc>
          <w:tcPr>
            <w:tcW w:w="36" w:type="dxa"/>
            <w:tcBorders>
              <w:top w:val="nil"/>
              <w:left w:val="single" w:color="auto" w:sz="6" w:space="0"/>
              <w:bottom w:val="single" w:color="auto" w:sz="6" w:space="0"/>
              <w:right w:val="single" w:color="auto" w:sz="6" w:space="0"/>
            </w:tcBorders>
            <w:shd w:val="clear" w:color="auto" w:fill="FFFFFF"/>
            <w:tcMar>
              <w:top w:w="0" w:type="dxa"/>
              <w:left w:w="0" w:type="dxa"/>
              <w:bottom w:w="0" w:type="dxa"/>
              <w:right w:w="0" w:type="dxa"/>
            </w:tcMar>
            <w:vAlign w:val="center"/>
          </w:tcPr>
          <w:p>
            <w:pPr>
              <w:keepNext w:val="0"/>
              <w:keepLines w:val="0"/>
              <w:widowControl/>
              <w:suppressLineNumbers w:val="0"/>
              <w:jc w:val="left"/>
            </w:pPr>
          </w:p>
        </w:tc>
        <w:tc>
          <w:tcPr>
            <w:tcW w:w="937"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jc w:val="center"/>
            </w:pPr>
            <w:r>
              <w:rPr>
                <w:rFonts w:hint="default" w:ascii="Calibri" w:hAnsi="Calibri" w:cs="Calibri"/>
                <w:sz w:val="24"/>
                <w:szCs w:val="24"/>
              </w:rPr>
              <w:t>1-2-46</w:t>
            </w:r>
          </w:p>
        </w:tc>
        <w:tc>
          <w:tcPr>
            <w:tcW w:w="888"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pPr>
            <w:r>
              <w:rPr>
                <w:rFonts w:hint="eastAsia" w:ascii="宋体" w:hAnsi="宋体" w:eastAsia="宋体" w:cs="宋体"/>
                <w:sz w:val="19"/>
                <w:szCs w:val="19"/>
              </w:rPr>
              <w:t>存储主机</w:t>
            </w:r>
          </w:p>
        </w:tc>
        <w:tc>
          <w:tcPr>
            <w:tcW w:w="529"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jc w:val="center"/>
            </w:pPr>
            <w:r>
              <w:rPr>
                <w:rFonts w:hint="eastAsia" w:ascii="宋体" w:hAnsi="宋体" w:eastAsia="宋体" w:cs="宋体"/>
                <w:sz w:val="19"/>
                <w:szCs w:val="19"/>
              </w:rPr>
              <w:t>台</w:t>
            </w:r>
          </w:p>
        </w:tc>
        <w:tc>
          <w:tcPr>
            <w:tcW w:w="529"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jc w:val="center"/>
            </w:pPr>
            <w:r>
              <w:rPr>
                <w:rFonts w:hint="eastAsia" w:ascii="宋体" w:hAnsi="宋体" w:eastAsia="宋体" w:cs="宋体"/>
                <w:sz w:val="19"/>
                <w:szCs w:val="19"/>
              </w:rPr>
              <w:t>1</w:t>
            </w:r>
          </w:p>
        </w:tc>
        <w:tc>
          <w:tcPr>
            <w:tcW w:w="6378"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before="0" w:beforeAutospacing="1" w:after="0" w:afterAutospacing="1" w:line="315" w:lineRule="atLeast"/>
              <w:ind w:left="0" w:right="0" w:firstLine="0"/>
            </w:pPr>
            <w:r>
              <w:rPr>
                <w:rFonts w:hint="eastAsia" w:ascii="宋体" w:hAnsi="宋体" w:eastAsia="宋体" w:cs="宋体"/>
                <w:sz w:val="24"/>
                <w:szCs w:val="24"/>
              </w:rPr>
              <w:t>1.</w:t>
            </w:r>
            <w:r>
              <w:rPr>
                <w:rFonts w:hint="default" w:ascii="Times New Roman" w:hAnsi="Times New Roman" w:cs="Times New Roman"/>
                <w:sz w:val="13"/>
                <w:szCs w:val="13"/>
              </w:rPr>
              <w:t xml:space="preserve">     </w:t>
            </w:r>
            <w:r>
              <w:rPr>
                <w:rFonts w:hint="eastAsia" w:ascii="宋体" w:hAnsi="宋体" w:eastAsia="宋体" w:cs="宋体"/>
                <w:sz w:val="24"/>
                <w:szCs w:val="24"/>
              </w:rPr>
              <w:t>★支持周界报警过滤功能，对</w:t>
            </w:r>
            <w:r>
              <w:rPr>
                <w:rFonts w:hint="default" w:ascii="Calibri" w:hAnsi="Calibri" w:cs="Calibri"/>
                <w:sz w:val="24"/>
                <w:szCs w:val="24"/>
              </w:rPr>
              <w:t>IPC</w:t>
            </w:r>
            <w:r>
              <w:rPr>
                <w:rFonts w:hint="eastAsia" w:ascii="宋体" w:hAnsi="宋体" w:eastAsia="宋体" w:cs="宋体"/>
                <w:sz w:val="24"/>
                <w:szCs w:val="24"/>
              </w:rPr>
              <w:t>上报的越界侦测报警和区域入侵报警进行去误报，可去除由树叶、灯光、车辆、阴影以及小动物引起的误报，最大支持</w:t>
            </w:r>
            <w:r>
              <w:rPr>
                <w:rFonts w:hint="default" w:ascii="Calibri" w:hAnsi="Calibri" w:cs="Calibri"/>
                <w:sz w:val="24"/>
                <w:szCs w:val="24"/>
              </w:rPr>
              <w:t>16</w:t>
            </w:r>
            <w:r>
              <w:rPr>
                <w:rFonts w:hint="eastAsia" w:ascii="宋体" w:hAnsi="宋体" w:eastAsia="宋体" w:cs="宋体"/>
                <w:sz w:val="24"/>
                <w:szCs w:val="24"/>
              </w:rPr>
              <w:t>路；支持</w:t>
            </w:r>
            <w:r>
              <w:rPr>
                <w:rFonts w:hint="default" w:ascii="Calibri" w:hAnsi="Calibri" w:cs="Calibri"/>
                <w:sz w:val="24"/>
                <w:szCs w:val="24"/>
              </w:rPr>
              <w:t>NVR</w:t>
            </w:r>
            <w:r>
              <w:rPr>
                <w:rFonts w:hint="eastAsia" w:ascii="宋体" w:hAnsi="宋体" w:eastAsia="宋体" w:cs="宋体"/>
                <w:sz w:val="24"/>
                <w:szCs w:val="24"/>
              </w:rPr>
              <w:t>本地实现行为分析检测的功能</w:t>
            </w:r>
            <w:r>
              <w:rPr>
                <w:rFonts w:hint="default" w:ascii="Calibri" w:hAnsi="Calibri" w:cs="Calibri"/>
                <w:sz w:val="24"/>
                <w:szCs w:val="24"/>
              </w:rPr>
              <w:t>,</w:t>
            </w:r>
            <w:r>
              <w:rPr>
                <w:rFonts w:hint="eastAsia" w:ascii="宋体" w:hAnsi="宋体" w:eastAsia="宋体" w:cs="宋体"/>
                <w:sz w:val="24"/>
                <w:szCs w:val="24"/>
              </w:rPr>
              <w:t>检测到有目标进入划线区域触发区域入侵报警,检测到有目标跨越规则线触发越界侦测报警,最大支持16路；（需提供公安部授权机构在本招标公告发布前出具的有效检测报告复印件作为考评依据，原件备查）</w:t>
            </w:r>
          </w:p>
          <w:p>
            <w:pPr>
              <w:pStyle w:val="4"/>
              <w:keepNext w:val="0"/>
              <w:keepLines w:val="0"/>
              <w:widowControl/>
              <w:suppressLineNumbers w:val="0"/>
              <w:spacing w:before="0" w:beforeAutospacing="1" w:after="0" w:afterAutospacing="1" w:line="315" w:lineRule="atLeast"/>
              <w:ind w:left="0" w:right="0" w:firstLine="0"/>
            </w:pPr>
            <w:r>
              <w:rPr>
                <w:rFonts w:hint="default" w:ascii="Calibri" w:hAnsi="Calibri" w:cs="Calibri"/>
                <w:sz w:val="24"/>
                <w:szCs w:val="24"/>
              </w:rPr>
              <w:t>2.</w:t>
            </w:r>
            <w:r>
              <w:rPr>
                <w:rFonts w:hint="default" w:ascii="Times New Roman" w:hAnsi="Times New Roman" w:cs="Times New Roman"/>
                <w:sz w:val="13"/>
                <w:szCs w:val="13"/>
              </w:rPr>
              <w:t xml:space="preserve">           </w:t>
            </w:r>
            <w:r>
              <w:rPr>
                <w:rFonts w:hint="eastAsia" w:ascii="宋体" w:hAnsi="宋体" w:eastAsia="宋体" w:cs="宋体"/>
                <w:sz w:val="24"/>
                <w:szCs w:val="24"/>
              </w:rPr>
              <w:t>支持设置最大最小目标框过滤目标；支持行为分析检测功能支持第三方相机上传的视频图像的功能；</w:t>
            </w:r>
            <w:r>
              <w:rPr>
                <w:rFonts w:hint="default" w:ascii="Calibri" w:hAnsi="Calibri" w:cs="Calibri"/>
                <w:sz w:val="24"/>
                <w:szCs w:val="24"/>
              </w:rPr>
              <w:t>  </w:t>
            </w:r>
          </w:p>
          <w:p>
            <w:pPr>
              <w:pStyle w:val="4"/>
              <w:keepNext w:val="0"/>
              <w:keepLines w:val="0"/>
              <w:widowControl/>
              <w:suppressLineNumbers w:val="0"/>
              <w:spacing w:before="0" w:beforeAutospacing="1" w:after="0" w:afterAutospacing="1" w:line="315" w:lineRule="atLeast"/>
              <w:ind w:left="0" w:right="0" w:firstLine="0"/>
            </w:pPr>
            <w:r>
              <w:rPr>
                <w:rFonts w:hint="default" w:ascii="Calibri" w:hAnsi="Calibri" w:cs="Calibri"/>
                <w:sz w:val="24"/>
                <w:szCs w:val="24"/>
              </w:rPr>
              <w:t>3.</w:t>
            </w:r>
            <w:r>
              <w:rPr>
                <w:rFonts w:hint="default" w:ascii="Times New Roman" w:hAnsi="Times New Roman" w:cs="Times New Roman"/>
                <w:sz w:val="13"/>
                <w:szCs w:val="13"/>
              </w:rPr>
              <w:t xml:space="preserve">           </w:t>
            </w:r>
            <w:r>
              <w:rPr>
                <w:rFonts w:hint="eastAsia" w:ascii="宋体" w:hAnsi="宋体" w:eastAsia="宋体" w:cs="宋体"/>
                <w:sz w:val="24"/>
                <w:szCs w:val="24"/>
              </w:rPr>
              <w:t>支持人员密度超限报警功能，接入普通</w:t>
            </w:r>
            <w:r>
              <w:rPr>
                <w:rFonts w:hint="default" w:ascii="Calibri" w:hAnsi="Calibri" w:cs="Calibri"/>
                <w:sz w:val="24"/>
                <w:szCs w:val="24"/>
              </w:rPr>
              <w:t>IPC</w:t>
            </w:r>
            <w:r>
              <w:rPr>
                <w:rFonts w:hint="eastAsia" w:ascii="宋体" w:hAnsi="宋体" w:eastAsia="宋体" w:cs="宋体"/>
                <w:sz w:val="24"/>
                <w:szCs w:val="24"/>
              </w:rPr>
              <w:t>可最大支持</w:t>
            </w:r>
            <w:r>
              <w:rPr>
                <w:rFonts w:hint="default" w:ascii="Calibri" w:hAnsi="Calibri" w:cs="Calibri"/>
                <w:sz w:val="24"/>
                <w:szCs w:val="24"/>
              </w:rPr>
              <w:t>8</w:t>
            </w:r>
            <w:r>
              <w:rPr>
                <w:rFonts w:hint="eastAsia" w:ascii="宋体" w:hAnsi="宋体" w:eastAsia="宋体" w:cs="宋体"/>
                <w:sz w:val="24"/>
                <w:szCs w:val="24"/>
              </w:rPr>
              <w:t>路人员密度统计超限报警，可设置检测区域、人员密度阈值，当视频画面中人数超过阈值时可触发报警联动，通过客户端可接收报警消息、查看报警图片、当前人数，并回放关联录像；（</w:t>
            </w:r>
            <w:r>
              <w:rPr>
                <w:rFonts w:hint="eastAsia" w:ascii="宋体" w:hAnsi="宋体" w:eastAsia="宋体" w:cs="宋体"/>
                <w:color w:val="000000"/>
                <w:sz w:val="24"/>
                <w:szCs w:val="24"/>
              </w:rPr>
              <w:t>需提供公安部授权机构在本招标公告发布前出具的有效检测报告复印件作为考评依据，原件备查</w:t>
            </w:r>
            <w:r>
              <w:rPr>
                <w:rFonts w:hint="eastAsia" w:ascii="宋体" w:hAnsi="宋体" w:eastAsia="宋体" w:cs="宋体"/>
                <w:sz w:val="24"/>
                <w:szCs w:val="24"/>
              </w:rPr>
              <w:t>）</w:t>
            </w:r>
          </w:p>
          <w:p>
            <w:pPr>
              <w:pStyle w:val="4"/>
              <w:keepNext w:val="0"/>
              <w:keepLines w:val="0"/>
              <w:widowControl/>
              <w:suppressLineNumbers w:val="0"/>
              <w:spacing w:before="0" w:beforeAutospacing="1" w:after="0" w:afterAutospacing="1" w:line="315" w:lineRule="atLeast"/>
              <w:ind w:left="0" w:right="0" w:firstLine="0"/>
            </w:pPr>
            <w:r>
              <w:rPr>
                <w:rFonts w:hint="default" w:ascii="Calibri" w:hAnsi="Calibri" w:cs="Calibri"/>
                <w:sz w:val="24"/>
                <w:szCs w:val="24"/>
              </w:rPr>
              <w:t>4.</w:t>
            </w:r>
            <w:r>
              <w:rPr>
                <w:rFonts w:hint="default" w:ascii="Times New Roman" w:hAnsi="Times New Roman" w:cs="Times New Roman"/>
                <w:sz w:val="13"/>
                <w:szCs w:val="13"/>
              </w:rPr>
              <w:t xml:space="preserve">           </w:t>
            </w:r>
            <w:r>
              <w:rPr>
                <w:rFonts w:hint="eastAsia" w:ascii="宋体" w:hAnsi="宋体" w:eastAsia="宋体" w:cs="宋体"/>
                <w:sz w:val="24"/>
                <w:szCs w:val="24"/>
              </w:rPr>
              <w:t>支持接入人体抓拍机，当抓拍机侦测到人体并触发报警时，</w:t>
            </w:r>
            <w:r>
              <w:rPr>
                <w:rFonts w:hint="default" w:ascii="Calibri" w:hAnsi="Calibri" w:cs="Calibri"/>
                <w:sz w:val="24"/>
                <w:szCs w:val="24"/>
              </w:rPr>
              <w:t>NVR</w:t>
            </w:r>
            <w:r>
              <w:rPr>
                <w:rFonts w:hint="eastAsia" w:ascii="宋体" w:hAnsi="宋体" w:eastAsia="宋体" w:cs="宋体"/>
                <w:sz w:val="24"/>
                <w:szCs w:val="24"/>
              </w:rPr>
              <w:t>可联动录像、保存人体图片、弹出报警画面、声音警告、上传中心、发送邮件、触发报警输出，可按通道、时间检索图片；支持对人体抓拍机上报的报警图片进行二次识别，去除非人体报警；</w:t>
            </w:r>
          </w:p>
          <w:p>
            <w:pPr>
              <w:pStyle w:val="4"/>
              <w:keepNext w:val="0"/>
              <w:keepLines w:val="0"/>
              <w:widowControl/>
              <w:suppressLineNumbers w:val="0"/>
              <w:spacing w:before="0" w:beforeAutospacing="1" w:after="0" w:afterAutospacing="1" w:line="315" w:lineRule="atLeast"/>
              <w:ind w:left="0" w:right="0" w:firstLine="0"/>
            </w:pPr>
            <w:r>
              <w:rPr>
                <w:rFonts w:hint="default" w:ascii="Calibri" w:hAnsi="Calibri" w:cs="Calibri"/>
                <w:sz w:val="24"/>
                <w:szCs w:val="24"/>
              </w:rPr>
              <w:t>5.</w:t>
            </w:r>
            <w:r>
              <w:rPr>
                <w:rFonts w:hint="default" w:ascii="Times New Roman" w:hAnsi="Times New Roman" w:cs="Times New Roman"/>
                <w:sz w:val="13"/>
                <w:szCs w:val="13"/>
              </w:rPr>
              <w:t xml:space="preserve">           </w:t>
            </w:r>
            <w:r>
              <w:rPr>
                <w:rFonts w:hint="eastAsia" w:ascii="宋体" w:hAnsi="宋体" w:eastAsia="宋体" w:cs="宋体"/>
                <w:sz w:val="24"/>
                <w:szCs w:val="24"/>
              </w:rPr>
              <w:t>支持对人体图片进行结构化识别，可提取出人体属性（性别、年龄段、衣服颜色、戴眼镜、背包、骑车），并支持按属性进行检索人体图片；   可对图片进行建模，并支持人体以图搜图；（需提供公安部授权机构在本招标公告发布前出具的有效检测报告复印件作为考评依据，原件备查）</w:t>
            </w:r>
          </w:p>
          <w:p>
            <w:pPr>
              <w:pStyle w:val="4"/>
              <w:keepNext w:val="0"/>
              <w:keepLines w:val="0"/>
              <w:widowControl/>
              <w:suppressLineNumbers w:val="0"/>
              <w:spacing w:before="0" w:beforeAutospacing="1" w:after="0" w:afterAutospacing="1" w:line="315" w:lineRule="atLeast"/>
              <w:ind w:left="0" w:right="0" w:firstLine="0"/>
            </w:pPr>
            <w:r>
              <w:rPr>
                <w:rFonts w:hint="default" w:ascii="Calibri" w:hAnsi="Calibri" w:cs="Calibri"/>
                <w:sz w:val="24"/>
                <w:szCs w:val="24"/>
              </w:rPr>
              <w:t>6.</w:t>
            </w:r>
            <w:r>
              <w:rPr>
                <w:rFonts w:hint="default" w:ascii="Times New Roman" w:hAnsi="Times New Roman" w:cs="Times New Roman"/>
                <w:sz w:val="13"/>
                <w:szCs w:val="13"/>
              </w:rPr>
              <w:t xml:space="preserve">           </w:t>
            </w:r>
            <w:r>
              <w:rPr>
                <w:rFonts w:hint="eastAsia" w:ascii="宋体" w:hAnsi="宋体" w:eastAsia="宋体" w:cs="宋体"/>
                <w:sz w:val="24"/>
                <w:szCs w:val="24"/>
              </w:rPr>
              <w:t>支持报警输入触发一键撤防功能，撤防的报警类型可选（弹出报警画面、声音警告、上传中心、发送邮件、触发报警输出）；可对视频画面叠加≥</w:t>
            </w:r>
            <w:r>
              <w:rPr>
                <w:rFonts w:hint="default" w:ascii="Calibri" w:hAnsi="Calibri" w:cs="Calibri"/>
                <w:sz w:val="24"/>
                <w:szCs w:val="24"/>
              </w:rPr>
              <w:t>10</w:t>
            </w:r>
            <w:r>
              <w:rPr>
                <w:rFonts w:hint="eastAsia" w:ascii="宋体" w:hAnsi="宋体" w:eastAsia="宋体" w:cs="宋体"/>
                <w:sz w:val="24"/>
                <w:szCs w:val="24"/>
              </w:rPr>
              <w:t>行字符，每行可输入≥</w:t>
            </w:r>
            <w:r>
              <w:rPr>
                <w:rFonts w:hint="default" w:ascii="Calibri" w:hAnsi="Calibri" w:cs="Calibri"/>
                <w:sz w:val="24"/>
                <w:szCs w:val="24"/>
              </w:rPr>
              <w:t>22</w:t>
            </w:r>
            <w:r>
              <w:rPr>
                <w:rFonts w:hint="eastAsia" w:ascii="宋体" w:hAnsi="宋体" w:eastAsia="宋体" w:cs="宋体"/>
                <w:sz w:val="24"/>
                <w:szCs w:val="24"/>
              </w:rPr>
              <w:t>个汉字；（</w:t>
            </w:r>
            <w:r>
              <w:rPr>
                <w:rFonts w:hint="eastAsia" w:ascii="宋体" w:hAnsi="宋体" w:eastAsia="宋体" w:cs="宋体"/>
                <w:color w:val="000000"/>
                <w:sz w:val="24"/>
                <w:szCs w:val="24"/>
              </w:rPr>
              <w:t>需提供公安部授权机构在本招标公告发布前出具的有效检测报告复印件作为考评依据，原件备查</w:t>
            </w:r>
            <w:r>
              <w:rPr>
                <w:rFonts w:hint="eastAsia" w:ascii="宋体" w:hAnsi="宋体" w:eastAsia="宋体" w:cs="宋体"/>
                <w:sz w:val="24"/>
                <w:szCs w:val="24"/>
              </w:rPr>
              <w:t>）</w:t>
            </w:r>
          </w:p>
          <w:p>
            <w:pPr>
              <w:pStyle w:val="4"/>
              <w:keepNext w:val="0"/>
              <w:keepLines w:val="0"/>
              <w:widowControl/>
              <w:suppressLineNumbers w:val="0"/>
              <w:spacing w:before="0" w:beforeAutospacing="1" w:after="0" w:afterAutospacing="1" w:line="315" w:lineRule="atLeast"/>
              <w:ind w:left="0" w:right="0" w:firstLine="0"/>
            </w:pPr>
            <w:r>
              <w:rPr>
                <w:rFonts w:hint="default" w:ascii="Calibri" w:hAnsi="Calibri" w:cs="Calibri"/>
                <w:sz w:val="24"/>
                <w:szCs w:val="24"/>
              </w:rPr>
              <w:t>7.</w:t>
            </w:r>
            <w:r>
              <w:rPr>
                <w:rFonts w:hint="default" w:ascii="Times New Roman" w:hAnsi="Times New Roman" w:cs="Times New Roman"/>
                <w:sz w:val="13"/>
                <w:szCs w:val="13"/>
              </w:rPr>
              <w:t xml:space="preserve">           </w:t>
            </w:r>
            <w:r>
              <w:rPr>
                <w:rFonts w:hint="eastAsia" w:ascii="宋体" w:hAnsi="宋体" w:eastAsia="宋体" w:cs="宋体"/>
                <w:sz w:val="24"/>
                <w:szCs w:val="24"/>
              </w:rPr>
              <w:t>支持缩略图</w:t>
            </w:r>
            <w:r>
              <w:rPr>
                <w:rFonts w:hint="default" w:ascii="Calibri" w:hAnsi="Calibri" w:cs="Calibri"/>
                <w:sz w:val="24"/>
                <w:szCs w:val="24"/>
              </w:rPr>
              <w:t>,</w:t>
            </w:r>
            <w:r>
              <w:rPr>
                <w:rFonts w:hint="eastAsia" w:ascii="宋体" w:hAnsi="宋体" w:eastAsia="宋体" w:cs="宋体"/>
                <w:sz w:val="24"/>
                <w:szCs w:val="24"/>
              </w:rPr>
              <w:t>拖动回放时间进度条，在回放控制条上显示当前拖动时间点的缩略图；（</w:t>
            </w:r>
            <w:r>
              <w:rPr>
                <w:rFonts w:hint="eastAsia" w:ascii="宋体" w:hAnsi="宋体" w:eastAsia="宋体" w:cs="宋体"/>
                <w:color w:val="000000"/>
                <w:sz w:val="24"/>
                <w:szCs w:val="24"/>
              </w:rPr>
              <w:t>需提供公安部授权机构在本招标公告发布前出具的有效检测报告复印件作为考评依据，原件备查</w:t>
            </w:r>
            <w:r>
              <w:rPr>
                <w:rFonts w:hint="eastAsia" w:ascii="宋体" w:hAnsi="宋体" w:eastAsia="宋体" w:cs="宋体"/>
                <w:sz w:val="24"/>
                <w:szCs w:val="24"/>
              </w:rPr>
              <w:t>）</w:t>
            </w:r>
          </w:p>
          <w:p>
            <w:pPr>
              <w:pStyle w:val="4"/>
              <w:keepNext w:val="0"/>
              <w:keepLines w:val="0"/>
              <w:widowControl/>
              <w:suppressLineNumbers w:val="0"/>
              <w:spacing w:before="0" w:beforeAutospacing="1" w:after="0" w:afterAutospacing="1" w:line="315" w:lineRule="atLeast"/>
              <w:ind w:left="0" w:right="0" w:firstLine="0"/>
            </w:pPr>
            <w:r>
              <w:rPr>
                <w:rFonts w:hint="default" w:ascii="Calibri" w:hAnsi="Calibri" w:cs="Calibri"/>
                <w:sz w:val="24"/>
                <w:szCs w:val="24"/>
              </w:rPr>
              <w:t>8.</w:t>
            </w:r>
            <w:r>
              <w:rPr>
                <w:rFonts w:hint="default" w:ascii="Times New Roman" w:hAnsi="Times New Roman" w:cs="Times New Roman"/>
                <w:sz w:val="13"/>
                <w:szCs w:val="13"/>
              </w:rPr>
              <w:t xml:space="preserve">           </w:t>
            </w:r>
            <w:r>
              <w:rPr>
                <w:rFonts w:hint="eastAsia" w:ascii="宋体" w:hAnsi="宋体" w:eastAsia="宋体" w:cs="宋体"/>
                <w:sz w:val="24"/>
                <w:szCs w:val="24"/>
              </w:rPr>
              <w:t>支持设置图案密码，用户通过绘制图案来解锁并登录；支持</w:t>
            </w:r>
            <w:r>
              <w:rPr>
                <w:rFonts w:hint="default" w:ascii="Calibri" w:hAnsi="Calibri" w:cs="Calibri"/>
                <w:sz w:val="24"/>
                <w:szCs w:val="24"/>
              </w:rPr>
              <w:t>POS</w:t>
            </w:r>
            <w:r>
              <w:rPr>
                <w:rFonts w:hint="eastAsia" w:ascii="宋体" w:hAnsi="宋体" w:eastAsia="宋体" w:cs="宋体"/>
                <w:sz w:val="24"/>
                <w:szCs w:val="24"/>
              </w:rPr>
              <w:t>功能，可接入</w:t>
            </w:r>
            <w:r>
              <w:rPr>
                <w:rFonts w:hint="default" w:ascii="Calibri" w:hAnsi="Calibri" w:cs="Calibri"/>
                <w:sz w:val="24"/>
                <w:szCs w:val="24"/>
              </w:rPr>
              <w:t>POS</w:t>
            </w:r>
            <w:r>
              <w:rPr>
                <w:rFonts w:hint="eastAsia" w:ascii="宋体" w:hAnsi="宋体" w:eastAsia="宋体" w:cs="宋体"/>
                <w:sz w:val="24"/>
                <w:szCs w:val="24"/>
              </w:rPr>
              <w:t>机，叠加</w:t>
            </w:r>
            <w:r>
              <w:rPr>
                <w:rFonts w:hint="default" w:ascii="Calibri" w:hAnsi="Calibri" w:cs="Calibri"/>
                <w:sz w:val="24"/>
                <w:szCs w:val="24"/>
              </w:rPr>
              <w:t>POS</w:t>
            </w:r>
            <w:r>
              <w:rPr>
                <w:rFonts w:hint="eastAsia" w:ascii="宋体" w:hAnsi="宋体" w:eastAsia="宋体" w:cs="宋体"/>
                <w:sz w:val="24"/>
                <w:szCs w:val="24"/>
              </w:rPr>
              <w:t>信息到录像中，可按关键字搜索录像，可修改</w:t>
            </w:r>
            <w:r>
              <w:rPr>
                <w:rFonts w:hint="default" w:ascii="Calibri" w:hAnsi="Calibri" w:cs="Calibri"/>
                <w:sz w:val="24"/>
                <w:szCs w:val="24"/>
              </w:rPr>
              <w:t>POS</w:t>
            </w:r>
            <w:r>
              <w:rPr>
                <w:rFonts w:hint="eastAsia" w:ascii="宋体" w:hAnsi="宋体" w:eastAsia="宋体" w:cs="宋体"/>
                <w:sz w:val="24"/>
                <w:szCs w:val="24"/>
              </w:rPr>
              <w:t>信息的字体大小和颜色；</w:t>
            </w:r>
            <w:r>
              <w:rPr>
                <w:rFonts w:hint="default" w:ascii="Calibri" w:hAnsi="Calibri" w:cs="Calibri"/>
                <w:sz w:val="24"/>
                <w:szCs w:val="24"/>
              </w:rPr>
              <w:t> </w:t>
            </w:r>
            <w:r>
              <w:rPr>
                <w:rFonts w:hint="eastAsia" w:ascii="宋体" w:hAnsi="宋体" w:eastAsia="宋体" w:cs="宋体"/>
                <w:sz w:val="24"/>
                <w:szCs w:val="24"/>
              </w:rPr>
              <w:t>支持多屏输出，可设置</w:t>
            </w:r>
            <w:r>
              <w:rPr>
                <w:rFonts w:hint="default" w:ascii="Calibri" w:hAnsi="Calibri" w:cs="Calibri"/>
                <w:sz w:val="24"/>
                <w:szCs w:val="24"/>
              </w:rPr>
              <w:t>2</w:t>
            </w:r>
            <w:r>
              <w:rPr>
                <w:rFonts w:hint="eastAsia" w:ascii="宋体" w:hAnsi="宋体" w:eastAsia="宋体" w:cs="宋体"/>
                <w:sz w:val="24"/>
                <w:szCs w:val="24"/>
              </w:rPr>
              <w:t>组</w:t>
            </w:r>
            <w:r>
              <w:rPr>
                <w:rFonts w:hint="default" w:ascii="Calibri" w:hAnsi="Calibri" w:cs="Calibri"/>
                <w:sz w:val="24"/>
                <w:szCs w:val="24"/>
              </w:rPr>
              <w:t>4</w:t>
            </w:r>
            <w:r>
              <w:rPr>
                <w:rFonts w:hint="eastAsia" w:ascii="宋体" w:hAnsi="宋体" w:eastAsia="宋体" w:cs="宋体"/>
                <w:sz w:val="24"/>
                <w:szCs w:val="24"/>
              </w:rPr>
              <w:t>屏显示输出，每组包含</w:t>
            </w:r>
            <w:r>
              <w:rPr>
                <w:rFonts w:hint="default" w:ascii="Calibri" w:hAnsi="Calibri" w:cs="Calibri"/>
                <w:sz w:val="24"/>
                <w:szCs w:val="24"/>
              </w:rPr>
              <w:t>HDMI</w:t>
            </w:r>
            <w:r>
              <w:rPr>
                <w:rFonts w:hint="eastAsia" w:ascii="宋体" w:hAnsi="宋体" w:eastAsia="宋体" w:cs="宋体"/>
                <w:sz w:val="24"/>
                <w:szCs w:val="24"/>
              </w:rPr>
              <w:t>和</w:t>
            </w:r>
            <w:r>
              <w:rPr>
                <w:rFonts w:hint="default" w:ascii="Calibri" w:hAnsi="Calibri" w:cs="Calibri"/>
                <w:sz w:val="24"/>
                <w:szCs w:val="24"/>
              </w:rPr>
              <w:t>VGA</w:t>
            </w:r>
            <w:r>
              <w:rPr>
                <w:rFonts w:hint="eastAsia" w:ascii="宋体" w:hAnsi="宋体" w:eastAsia="宋体" w:cs="宋体"/>
                <w:sz w:val="24"/>
                <w:szCs w:val="24"/>
              </w:rPr>
              <w:t>接口各一个，同一组内为同源输出，两组之间可以异源输出视频图像；支持</w:t>
            </w:r>
            <w:r>
              <w:rPr>
                <w:rFonts w:hint="default" w:ascii="Calibri" w:hAnsi="Calibri" w:cs="Calibri"/>
                <w:sz w:val="24"/>
                <w:szCs w:val="24"/>
              </w:rPr>
              <w:t>36/32/25/16/9/8/6/4/1</w:t>
            </w:r>
            <w:r>
              <w:rPr>
                <w:rFonts w:hint="eastAsia" w:ascii="宋体" w:hAnsi="宋体" w:eastAsia="宋体" w:cs="宋体"/>
                <w:sz w:val="24"/>
                <w:szCs w:val="24"/>
              </w:rPr>
              <w:t>分屏预览；</w:t>
            </w:r>
            <w:r>
              <w:rPr>
                <w:rFonts w:hint="default" w:ascii="Calibri" w:hAnsi="Calibri" w:cs="Calibri"/>
                <w:sz w:val="24"/>
                <w:szCs w:val="24"/>
              </w:rPr>
              <w:t>  </w:t>
            </w:r>
          </w:p>
          <w:p>
            <w:pPr>
              <w:pStyle w:val="4"/>
              <w:keepNext w:val="0"/>
              <w:keepLines w:val="0"/>
              <w:widowControl/>
              <w:suppressLineNumbers w:val="0"/>
              <w:spacing w:before="0" w:beforeAutospacing="1" w:after="0" w:afterAutospacing="1" w:line="315" w:lineRule="atLeast"/>
              <w:ind w:left="0" w:right="0" w:firstLine="0"/>
            </w:pPr>
            <w:r>
              <w:rPr>
                <w:rFonts w:hint="default" w:ascii="Calibri" w:hAnsi="Calibri" w:cs="Calibri"/>
                <w:sz w:val="24"/>
                <w:szCs w:val="24"/>
              </w:rPr>
              <w:t>9.</w:t>
            </w:r>
            <w:r>
              <w:rPr>
                <w:rFonts w:hint="default" w:ascii="Times New Roman" w:hAnsi="Times New Roman" w:cs="Times New Roman"/>
                <w:sz w:val="13"/>
                <w:szCs w:val="13"/>
              </w:rPr>
              <w:t xml:space="preserve">           </w:t>
            </w:r>
            <w:r>
              <w:rPr>
                <w:rFonts w:hint="eastAsia" w:ascii="宋体" w:hAnsi="宋体" w:eastAsia="宋体" w:cs="宋体"/>
                <w:sz w:val="24"/>
                <w:szCs w:val="24"/>
              </w:rPr>
              <w:t>支持同时输出</w:t>
            </w:r>
            <w:r>
              <w:rPr>
                <w:rFonts w:hint="default" w:ascii="Calibri" w:hAnsi="Calibri" w:cs="Calibri"/>
                <w:sz w:val="24"/>
                <w:szCs w:val="24"/>
              </w:rPr>
              <w:t>4</w:t>
            </w:r>
            <w:r>
              <w:rPr>
                <w:rFonts w:hint="eastAsia" w:ascii="宋体" w:hAnsi="宋体" w:eastAsia="宋体" w:cs="宋体"/>
                <w:sz w:val="24"/>
                <w:szCs w:val="24"/>
              </w:rPr>
              <w:t>路</w:t>
            </w:r>
            <w:r>
              <w:rPr>
                <w:rFonts w:hint="default" w:ascii="Calibri" w:hAnsi="Calibri" w:cs="Calibri"/>
                <w:sz w:val="24"/>
                <w:szCs w:val="24"/>
              </w:rPr>
              <w:t> H.264</w:t>
            </w:r>
            <w:r>
              <w:rPr>
                <w:rFonts w:hint="eastAsia" w:ascii="宋体" w:hAnsi="宋体" w:eastAsia="宋体" w:cs="宋体"/>
                <w:sz w:val="24"/>
                <w:szCs w:val="24"/>
              </w:rPr>
              <w:t>编码、</w:t>
            </w:r>
            <w:r>
              <w:rPr>
                <w:rFonts w:hint="default" w:ascii="Calibri" w:hAnsi="Calibri" w:cs="Calibri"/>
                <w:sz w:val="24"/>
                <w:szCs w:val="24"/>
              </w:rPr>
              <w:t>25fps</w:t>
            </w:r>
            <w:r>
              <w:rPr>
                <w:rFonts w:hint="eastAsia" w:ascii="宋体" w:hAnsi="宋体" w:eastAsia="宋体" w:cs="宋体"/>
                <w:sz w:val="24"/>
                <w:szCs w:val="24"/>
              </w:rPr>
              <w:t>、</w:t>
            </w:r>
            <w:r>
              <w:rPr>
                <w:rFonts w:hint="default" w:ascii="Calibri" w:hAnsi="Calibri" w:cs="Calibri"/>
                <w:sz w:val="24"/>
                <w:szCs w:val="24"/>
              </w:rPr>
              <w:t>4096</w:t>
            </w:r>
            <w:r>
              <w:rPr>
                <w:rFonts w:hint="eastAsia" w:ascii="宋体" w:hAnsi="宋体" w:eastAsia="宋体" w:cs="宋体"/>
                <w:sz w:val="24"/>
                <w:szCs w:val="24"/>
              </w:rPr>
              <w:t>×</w:t>
            </w:r>
            <w:r>
              <w:rPr>
                <w:rFonts w:hint="default" w:ascii="Calibri" w:hAnsi="Calibri" w:cs="Calibri"/>
                <w:sz w:val="24"/>
                <w:szCs w:val="24"/>
              </w:rPr>
              <w:t>2160</w:t>
            </w:r>
            <w:r>
              <w:rPr>
                <w:rFonts w:hint="eastAsia" w:ascii="宋体" w:hAnsi="宋体" w:eastAsia="宋体" w:cs="宋体"/>
                <w:sz w:val="24"/>
                <w:szCs w:val="24"/>
              </w:rPr>
              <w:t>格式的视频图像；支持</w:t>
            </w:r>
            <w:r>
              <w:rPr>
                <w:rFonts w:hint="default" w:ascii="Calibri" w:hAnsi="Calibri" w:cs="Calibri"/>
                <w:sz w:val="24"/>
                <w:szCs w:val="24"/>
              </w:rPr>
              <w:t>1/8</w:t>
            </w:r>
            <w:r>
              <w:rPr>
                <w:rFonts w:hint="eastAsia" w:ascii="宋体" w:hAnsi="宋体" w:eastAsia="宋体" w:cs="宋体"/>
                <w:sz w:val="24"/>
                <w:szCs w:val="24"/>
              </w:rPr>
              <w:t>、</w:t>
            </w:r>
            <w:r>
              <w:rPr>
                <w:rFonts w:hint="default" w:ascii="Calibri" w:hAnsi="Calibri" w:cs="Calibri"/>
                <w:sz w:val="24"/>
                <w:szCs w:val="24"/>
              </w:rPr>
              <w:t>1/4</w:t>
            </w:r>
            <w:r>
              <w:rPr>
                <w:rFonts w:hint="eastAsia" w:ascii="宋体" w:hAnsi="宋体" w:eastAsia="宋体" w:cs="宋体"/>
                <w:sz w:val="24"/>
                <w:szCs w:val="24"/>
              </w:rPr>
              <w:t>、</w:t>
            </w:r>
            <w:r>
              <w:rPr>
                <w:rFonts w:hint="default" w:ascii="Calibri" w:hAnsi="Calibri" w:cs="Calibri"/>
                <w:sz w:val="24"/>
                <w:szCs w:val="24"/>
              </w:rPr>
              <w:t>1/2</w:t>
            </w:r>
            <w:r>
              <w:rPr>
                <w:rFonts w:hint="eastAsia" w:ascii="宋体" w:hAnsi="宋体" w:eastAsia="宋体" w:cs="宋体"/>
                <w:sz w:val="24"/>
                <w:szCs w:val="24"/>
              </w:rPr>
              <w:t>、</w:t>
            </w:r>
            <w:r>
              <w:rPr>
                <w:rFonts w:hint="default" w:ascii="Calibri" w:hAnsi="Calibri" w:cs="Calibri"/>
                <w:sz w:val="24"/>
                <w:szCs w:val="24"/>
              </w:rPr>
              <w:t>1</w:t>
            </w:r>
            <w:r>
              <w:rPr>
                <w:rFonts w:hint="eastAsia" w:ascii="宋体" w:hAnsi="宋体" w:eastAsia="宋体" w:cs="宋体"/>
                <w:sz w:val="24"/>
                <w:szCs w:val="24"/>
              </w:rPr>
              <w:t>、</w:t>
            </w:r>
            <w:r>
              <w:rPr>
                <w:rFonts w:hint="default" w:ascii="Calibri" w:hAnsi="Calibri" w:cs="Calibri"/>
                <w:sz w:val="24"/>
                <w:szCs w:val="24"/>
              </w:rPr>
              <w:t>2</w:t>
            </w:r>
            <w:r>
              <w:rPr>
                <w:rFonts w:hint="eastAsia" w:ascii="宋体" w:hAnsi="宋体" w:eastAsia="宋体" w:cs="宋体"/>
                <w:sz w:val="24"/>
                <w:szCs w:val="24"/>
              </w:rPr>
              <w:t>、</w:t>
            </w:r>
            <w:r>
              <w:rPr>
                <w:rFonts w:hint="default" w:ascii="Calibri" w:hAnsi="Calibri" w:cs="Calibri"/>
                <w:sz w:val="24"/>
                <w:szCs w:val="24"/>
              </w:rPr>
              <w:t>4</w:t>
            </w:r>
            <w:r>
              <w:rPr>
                <w:rFonts w:hint="eastAsia" w:ascii="宋体" w:hAnsi="宋体" w:eastAsia="宋体" w:cs="宋体"/>
                <w:sz w:val="24"/>
                <w:szCs w:val="24"/>
              </w:rPr>
              <w:t>、</w:t>
            </w:r>
            <w:r>
              <w:rPr>
                <w:rFonts w:hint="default" w:ascii="Calibri" w:hAnsi="Calibri" w:cs="Calibri"/>
                <w:sz w:val="24"/>
                <w:szCs w:val="24"/>
              </w:rPr>
              <w:t>8</w:t>
            </w:r>
            <w:r>
              <w:rPr>
                <w:rFonts w:hint="eastAsia" w:ascii="宋体" w:hAnsi="宋体" w:eastAsia="宋体" w:cs="宋体"/>
                <w:sz w:val="24"/>
                <w:szCs w:val="24"/>
              </w:rPr>
              <w:t>、</w:t>
            </w:r>
            <w:r>
              <w:rPr>
                <w:rFonts w:hint="default" w:ascii="Calibri" w:hAnsi="Calibri" w:cs="Calibri"/>
                <w:sz w:val="24"/>
                <w:szCs w:val="24"/>
              </w:rPr>
              <w:t>16</w:t>
            </w:r>
            <w:r>
              <w:rPr>
                <w:rFonts w:hint="eastAsia" w:ascii="宋体" w:hAnsi="宋体" w:eastAsia="宋体" w:cs="宋体"/>
                <w:sz w:val="24"/>
                <w:szCs w:val="24"/>
              </w:rPr>
              <w:t>、</w:t>
            </w:r>
            <w:r>
              <w:rPr>
                <w:rFonts w:hint="default" w:ascii="Calibri" w:hAnsi="Calibri" w:cs="Calibri"/>
                <w:sz w:val="24"/>
                <w:szCs w:val="24"/>
              </w:rPr>
              <w:t>32</w:t>
            </w:r>
            <w:r>
              <w:rPr>
                <w:rFonts w:hint="eastAsia" w:ascii="宋体" w:hAnsi="宋体" w:eastAsia="宋体" w:cs="宋体"/>
                <w:sz w:val="24"/>
                <w:szCs w:val="24"/>
              </w:rPr>
              <w:t>、</w:t>
            </w:r>
            <w:r>
              <w:rPr>
                <w:rFonts w:hint="default" w:ascii="Calibri" w:hAnsi="Calibri" w:cs="Calibri"/>
                <w:sz w:val="24"/>
                <w:szCs w:val="24"/>
              </w:rPr>
              <w:t>64</w:t>
            </w:r>
            <w:r>
              <w:rPr>
                <w:rFonts w:hint="eastAsia" w:ascii="宋体" w:hAnsi="宋体" w:eastAsia="宋体" w:cs="宋体"/>
                <w:sz w:val="24"/>
                <w:szCs w:val="24"/>
              </w:rPr>
              <w:t>、</w:t>
            </w:r>
            <w:r>
              <w:rPr>
                <w:rFonts w:hint="default" w:ascii="Calibri" w:hAnsi="Calibri" w:cs="Calibri"/>
                <w:sz w:val="24"/>
                <w:szCs w:val="24"/>
              </w:rPr>
              <w:t>128</w:t>
            </w:r>
            <w:r>
              <w:rPr>
                <w:rFonts w:hint="eastAsia" w:ascii="宋体" w:hAnsi="宋体" w:eastAsia="宋体" w:cs="宋体"/>
                <w:sz w:val="24"/>
                <w:szCs w:val="24"/>
              </w:rPr>
              <w:t>、</w:t>
            </w:r>
            <w:r>
              <w:rPr>
                <w:rFonts w:hint="default" w:ascii="Calibri" w:hAnsi="Calibri" w:cs="Calibri"/>
                <w:sz w:val="24"/>
                <w:szCs w:val="24"/>
              </w:rPr>
              <w:t>256</w:t>
            </w:r>
            <w:r>
              <w:rPr>
                <w:rFonts w:hint="eastAsia" w:ascii="宋体" w:hAnsi="宋体" w:eastAsia="宋体" w:cs="宋体"/>
                <w:sz w:val="24"/>
                <w:szCs w:val="24"/>
              </w:rPr>
              <w:t>等倍速回放录像，支持录像文件剪辑和回放截图功能；</w:t>
            </w:r>
            <w:r>
              <w:rPr>
                <w:rFonts w:hint="default" w:ascii="Calibri" w:hAnsi="Calibri" w:cs="Calibri"/>
                <w:sz w:val="24"/>
                <w:szCs w:val="24"/>
              </w:rPr>
              <w:t> </w:t>
            </w:r>
          </w:p>
          <w:p>
            <w:pPr>
              <w:pStyle w:val="4"/>
              <w:keepNext w:val="0"/>
              <w:keepLines w:val="0"/>
              <w:widowControl/>
              <w:suppressLineNumbers w:val="0"/>
              <w:spacing w:before="0" w:beforeAutospacing="1" w:after="0" w:afterAutospacing="1" w:line="315" w:lineRule="atLeast"/>
              <w:ind w:left="0" w:right="0" w:firstLine="0"/>
            </w:pPr>
            <w:r>
              <w:rPr>
                <w:rFonts w:hint="default" w:ascii="Calibri" w:hAnsi="Calibri" w:cs="Calibri"/>
                <w:sz w:val="24"/>
                <w:szCs w:val="24"/>
              </w:rPr>
              <w:t>10.</w:t>
            </w:r>
            <w:r>
              <w:rPr>
                <w:rFonts w:hint="default" w:ascii="Times New Roman" w:hAnsi="Times New Roman" w:cs="Times New Roman"/>
                <w:sz w:val="13"/>
                <w:szCs w:val="13"/>
              </w:rPr>
              <w:t xml:space="preserve">       </w:t>
            </w:r>
            <w:r>
              <w:rPr>
                <w:rFonts w:hint="eastAsia" w:ascii="宋体" w:hAnsi="宋体" w:eastAsia="宋体" w:cs="宋体"/>
                <w:sz w:val="24"/>
                <w:szCs w:val="24"/>
              </w:rPr>
              <w:t>可支持最大接入总带宽</w:t>
            </w:r>
            <w:r>
              <w:rPr>
                <w:rFonts w:hint="default" w:ascii="Calibri" w:hAnsi="Calibri" w:cs="Calibri"/>
                <w:sz w:val="24"/>
                <w:szCs w:val="24"/>
              </w:rPr>
              <w:t>640Mbps</w:t>
            </w:r>
            <w:r>
              <w:rPr>
                <w:rFonts w:hint="eastAsia" w:ascii="宋体" w:hAnsi="宋体" w:eastAsia="宋体" w:cs="宋体"/>
                <w:sz w:val="24"/>
                <w:szCs w:val="24"/>
              </w:rPr>
              <w:t>的</w:t>
            </w:r>
            <w:r>
              <w:rPr>
                <w:rFonts w:hint="default" w:ascii="Calibri" w:hAnsi="Calibri" w:cs="Calibri"/>
                <w:sz w:val="24"/>
                <w:szCs w:val="24"/>
              </w:rPr>
              <w:t>32</w:t>
            </w:r>
            <w:r>
              <w:rPr>
                <w:rFonts w:hint="eastAsia" w:ascii="宋体" w:hAnsi="宋体" w:eastAsia="宋体" w:cs="宋体"/>
                <w:sz w:val="24"/>
                <w:szCs w:val="24"/>
              </w:rPr>
              <w:t>路视频图像；支持双码流同时录像；支持智能检索回放功能：录像回放时</w:t>
            </w:r>
            <w:r>
              <w:rPr>
                <w:rFonts w:hint="default" w:ascii="Calibri" w:hAnsi="Calibri" w:cs="Calibri"/>
                <w:sz w:val="24"/>
                <w:szCs w:val="24"/>
              </w:rPr>
              <w:t>,</w:t>
            </w:r>
            <w:r>
              <w:rPr>
                <w:rFonts w:hint="eastAsia" w:ascii="宋体" w:hAnsi="宋体" w:eastAsia="宋体" w:cs="宋体"/>
                <w:sz w:val="24"/>
                <w:szCs w:val="24"/>
              </w:rPr>
              <w:t>可设置移动侦测区域、越界</w:t>
            </w:r>
            <w:r>
              <w:rPr>
                <w:rFonts w:hint="default" w:ascii="Calibri" w:hAnsi="Calibri" w:cs="Calibri"/>
                <w:sz w:val="24"/>
                <w:szCs w:val="24"/>
              </w:rPr>
              <w:t>/</w:t>
            </w:r>
            <w:r>
              <w:rPr>
                <w:rFonts w:hint="eastAsia" w:ascii="宋体" w:hAnsi="宋体" w:eastAsia="宋体" w:cs="宋体"/>
                <w:sz w:val="24"/>
                <w:szCs w:val="24"/>
              </w:rPr>
              <w:t>区域入侵区域并进行检索，可自动跳过未触发设定规则的录像，只播放触发规则的录像，并且播放速度可设置；</w:t>
            </w:r>
            <w:r>
              <w:rPr>
                <w:rFonts w:hint="default" w:ascii="Calibri" w:hAnsi="Calibri" w:cs="Calibri"/>
                <w:sz w:val="24"/>
                <w:szCs w:val="24"/>
              </w:rPr>
              <w:t> </w:t>
            </w:r>
          </w:p>
          <w:p>
            <w:pPr>
              <w:pStyle w:val="4"/>
              <w:keepNext w:val="0"/>
              <w:keepLines w:val="0"/>
              <w:widowControl/>
              <w:suppressLineNumbers w:val="0"/>
              <w:spacing w:before="0" w:beforeAutospacing="1" w:after="0" w:afterAutospacing="1" w:line="315" w:lineRule="atLeast"/>
              <w:ind w:left="0" w:right="0" w:firstLine="0"/>
            </w:pPr>
            <w:r>
              <w:rPr>
                <w:rFonts w:hint="default" w:ascii="Calibri" w:hAnsi="Calibri" w:cs="Calibri"/>
                <w:sz w:val="24"/>
                <w:szCs w:val="24"/>
              </w:rPr>
              <w:t>11.</w:t>
            </w:r>
            <w:r>
              <w:rPr>
                <w:rFonts w:hint="default" w:ascii="Times New Roman" w:hAnsi="Times New Roman" w:cs="Times New Roman"/>
                <w:sz w:val="13"/>
                <w:szCs w:val="13"/>
              </w:rPr>
              <w:t xml:space="preserve">       </w:t>
            </w:r>
            <w:r>
              <w:rPr>
                <w:rFonts w:hint="eastAsia" w:ascii="宋体" w:hAnsi="宋体" w:eastAsia="宋体" w:cs="宋体"/>
                <w:sz w:val="24"/>
                <w:szCs w:val="24"/>
              </w:rPr>
              <w:t>支持带有越界、区域入侵、进入</w:t>
            </w:r>
            <w:r>
              <w:rPr>
                <w:rFonts w:hint="default" w:ascii="Calibri" w:hAnsi="Calibri" w:cs="Calibri"/>
                <w:sz w:val="24"/>
                <w:szCs w:val="24"/>
              </w:rPr>
              <w:t>/</w:t>
            </w:r>
            <w:r>
              <w:rPr>
                <w:rFonts w:hint="eastAsia" w:ascii="宋体" w:hAnsi="宋体" w:eastAsia="宋体" w:cs="宋体"/>
                <w:sz w:val="24"/>
                <w:szCs w:val="24"/>
              </w:rPr>
              <w:t>离开区域、人员聚集、快速移动、物品遗留</w:t>
            </w:r>
            <w:r>
              <w:rPr>
                <w:rFonts w:hint="default" w:ascii="Calibri" w:hAnsi="Calibri" w:cs="Calibri"/>
                <w:sz w:val="24"/>
                <w:szCs w:val="24"/>
              </w:rPr>
              <w:t>/</w:t>
            </w:r>
            <w:r>
              <w:rPr>
                <w:rFonts w:hint="eastAsia" w:ascii="宋体" w:hAnsi="宋体" w:eastAsia="宋体" w:cs="宋体"/>
                <w:sz w:val="24"/>
                <w:szCs w:val="24"/>
              </w:rPr>
              <w:t>拿取、停车、徘徊、场景变更、虚焦、音频异常报警、</w:t>
            </w:r>
            <w:r>
              <w:rPr>
                <w:rFonts w:hint="default" w:ascii="Calibri" w:hAnsi="Calibri" w:cs="Calibri"/>
                <w:sz w:val="24"/>
                <w:szCs w:val="24"/>
              </w:rPr>
              <w:t>PIR</w:t>
            </w:r>
            <w:r>
              <w:rPr>
                <w:rFonts w:hint="eastAsia" w:ascii="宋体" w:hAnsi="宋体" w:eastAsia="宋体" w:cs="宋体"/>
                <w:sz w:val="24"/>
                <w:szCs w:val="24"/>
              </w:rPr>
              <w:t>报警功能的网络摄像机接入与相关报警联动功能；</w:t>
            </w:r>
          </w:p>
          <w:p>
            <w:pPr>
              <w:pStyle w:val="4"/>
              <w:keepNext w:val="0"/>
              <w:keepLines w:val="0"/>
              <w:widowControl/>
              <w:suppressLineNumbers w:val="0"/>
              <w:spacing w:before="0" w:beforeAutospacing="1" w:after="0" w:afterAutospacing="1" w:line="315" w:lineRule="atLeast"/>
              <w:ind w:left="0" w:right="0" w:firstLine="0"/>
            </w:pPr>
            <w:r>
              <w:rPr>
                <w:rFonts w:hint="default" w:ascii="Calibri" w:hAnsi="Calibri" w:cs="Calibri"/>
                <w:sz w:val="24"/>
                <w:szCs w:val="24"/>
              </w:rPr>
              <w:t>12.</w:t>
            </w:r>
            <w:r>
              <w:rPr>
                <w:rFonts w:hint="default" w:ascii="Times New Roman" w:hAnsi="Times New Roman" w:cs="Times New Roman"/>
                <w:sz w:val="13"/>
                <w:szCs w:val="13"/>
              </w:rPr>
              <w:t xml:space="preserve">       </w:t>
            </w:r>
            <w:r>
              <w:rPr>
                <w:rFonts w:hint="eastAsia" w:ascii="宋体" w:hAnsi="宋体" w:eastAsia="宋体" w:cs="宋体"/>
                <w:sz w:val="24"/>
                <w:szCs w:val="24"/>
              </w:rPr>
              <w:t>支持浓缩播放功能，录像回放中，有移动侦测、外部输入报警、智能侦测等事件发生时，视频按正常速度播放，其他视频自动按高倍速播放，且播放倍速可配置（前端</w:t>
            </w:r>
            <w:r>
              <w:rPr>
                <w:rFonts w:hint="default" w:ascii="Calibri" w:hAnsi="Calibri" w:cs="Calibri"/>
                <w:sz w:val="24"/>
                <w:szCs w:val="24"/>
              </w:rPr>
              <w:t>IPC</w:t>
            </w:r>
            <w:r>
              <w:rPr>
                <w:rFonts w:hint="eastAsia" w:ascii="宋体" w:hAnsi="宋体" w:eastAsia="宋体" w:cs="宋体"/>
                <w:sz w:val="24"/>
                <w:szCs w:val="24"/>
              </w:rPr>
              <w:t>需支持智能侦测功能）；</w:t>
            </w:r>
          </w:p>
          <w:p>
            <w:pPr>
              <w:pStyle w:val="4"/>
              <w:keepNext w:val="0"/>
              <w:keepLines w:val="0"/>
              <w:widowControl/>
              <w:suppressLineNumbers w:val="0"/>
              <w:spacing w:before="0" w:beforeAutospacing="1" w:after="0" w:afterAutospacing="1" w:line="315" w:lineRule="atLeast"/>
              <w:ind w:left="0" w:right="0" w:firstLine="0"/>
            </w:pPr>
            <w:r>
              <w:rPr>
                <w:rFonts w:hint="default" w:ascii="Calibri" w:hAnsi="Calibri" w:cs="Calibri"/>
                <w:sz w:val="24"/>
                <w:szCs w:val="24"/>
              </w:rPr>
              <w:t>13.</w:t>
            </w:r>
            <w:r>
              <w:rPr>
                <w:rFonts w:hint="default" w:ascii="Times New Roman" w:hAnsi="Times New Roman" w:cs="Times New Roman"/>
                <w:sz w:val="13"/>
                <w:szCs w:val="13"/>
              </w:rPr>
              <w:t xml:space="preserve">       </w:t>
            </w:r>
            <w:r>
              <w:rPr>
                <w:rFonts w:hint="eastAsia" w:ascii="宋体" w:hAnsi="宋体" w:eastAsia="宋体" w:cs="宋体"/>
                <w:sz w:val="24"/>
                <w:szCs w:val="24"/>
              </w:rPr>
              <w:t>支持即时存储和回放功能，可存储和回放设备断电、断网前一秒的录像；支设</w:t>
            </w:r>
            <w:r>
              <w:rPr>
                <w:rFonts w:hint="default" w:ascii="Calibri" w:hAnsi="Calibri" w:cs="Calibri"/>
                <w:sz w:val="24"/>
                <w:szCs w:val="24"/>
              </w:rPr>
              <w:t xml:space="preserve">   </w:t>
            </w:r>
            <w:r>
              <w:rPr>
                <w:rFonts w:hint="eastAsia" w:ascii="宋体" w:hAnsi="宋体" w:eastAsia="宋体" w:cs="宋体"/>
                <w:sz w:val="24"/>
                <w:szCs w:val="24"/>
              </w:rPr>
              <w:t>计持将选中通道</w:t>
            </w:r>
            <w:r>
              <w:rPr>
                <w:rFonts w:hint="default" w:ascii="Calibri" w:hAnsi="Calibri" w:cs="Calibri"/>
                <w:sz w:val="24"/>
                <w:szCs w:val="24"/>
              </w:rPr>
              <w:t>24</w:t>
            </w:r>
            <w:r>
              <w:rPr>
                <w:rFonts w:hint="eastAsia" w:ascii="宋体" w:hAnsi="宋体" w:eastAsia="宋体" w:cs="宋体"/>
                <w:sz w:val="24"/>
                <w:szCs w:val="24"/>
              </w:rPr>
              <w:t>小时内的录像文件按时间平均分配至多个窗口进行分时回放，窗口数量可配置，最大</w:t>
            </w:r>
            <w:r>
              <w:rPr>
                <w:rFonts w:hint="default" w:ascii="Calibri" w:hAnsi="Calibri" w:cs="Calibri"/>
                <w:sz w:val="24"/>
                <w:szCs w:val="24"/>
              </w:rPr>
              <w:t>16</w:t>
            </w:r>
            <w:r>
              <w:rPr>
                <w:rFonts w:hint="eastAsia" w:ascii="宋体" w:hAnsi="宋体" w:eastAsia="宋体" w:cs="宋体"/>
                <w:sz w:val="24"/>
                <w:szCs w:val="24"/>
              </w:rPr>
              <w:t>分屏。</w:t>
            </w:r>
          </w:p>
        </w:tc>
        <w:tc>
          <w:tcPr>
            <w:tcW w:w="467"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top"/>
          </w:tcPr>
          <w:p>
            <w:pPr>
              <w:keepNext w:val="0"/>
              <w:keepLines w:val="0"/>
              <w:widowControl/>
              <w:suppressLineNumbers w:val="0"/>
              <w:jc w:val="left"/>
            </w:pPr>
          </w:p>
        </w:tc>
      </w:tr>
      <w:tr>
        <w:trPr>
          <w:trHeight w:val="6195" w:hRule="atLeast"/>
          <w:tblCellSpacing w:w="15" w:type="dxa"/>
        </w:trPr>
        <w:tc>
          <w:tcPr>
            <w:tcW w:w="36" w:type="dxa"/>
            <w:tcBorders>
              <w:top w:val="nil"/>
              <w:left w:val="single" w:color="auto" w:sz="6" w:space="0"/>
              <w:bottom w:val="single" w:color="auto" w:sz="6" w:space="0"/>
              <w:right w:val="single" w:color="auto" w:sz="6" w:space="0"/>
            </w:tcBorders>
            <w:shd w:val="clear" w:color="auto" w:fill="FFFFFF"/>
            <w:tcMar>
              <w:top w:w="0" w:type="dxa"/>
              <w:left w:w="0" w:type="dxa"/>
              <w:bottom w:w="0" w:type="dxa"/>
              <w:right w:w="0" w:type="dxa"/>
            </w:tcMar>
            <w:vAlign w:val="center"/>
          </w:tcPr>
          <w:p>
            <w:pPr>
              <w:keepNext w:val="0"/>
              <w:keepLines w:val="0"/>
              <w:widowControl/>
              <w:suppressLineNumbers w:val="0"/>
              <w:jc w:val="left"/>
            </w:pPr>
          </w:p>
        </w:tc>
        <w:tc>
          <w:tcPr>
            <w:tcW w:w="937"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jc w:val="center"/>
            </w:pPr>
            <w:r>
              <w:rPr>
                <w:rFonts w:hint="default" w:ascii="Calibri" w:hAnsi="Calibri" w:cs="Calibri"/>
                <w:sz w:val="24"/>
                <w:szCs w:val="24"/>
              </w:rPr>
              <w:t>1-2-47</w:t>
            </w:r>
          </w:p>
        </w:tc>
        <w:tc>
          <w:tcPr>
            <w:tcW w:w="888"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pPr>
            <w:r>
              <w:rPr>
                <w:rFonts w:hint="eastAsia" w:ascii="宋体" w:hAnsi="宋体" w:eastAsia="宋体" w:cs="宋体"/>
                <w:sz w:val="19"/>
                <w:szCs w:val="19"/>
              </w:rPr>
              <w:t>管理平台</w:t>
            </w:r>
          </w:p>
        </w:tc>
        <w:tc>
          <w:tcPr>
            <w:tcW w:w="529"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jc w:val="center"/>
            </w:pPr>
            <w:r>
              <w:rPr>
                <w:rFonts w:hint="eastAsia" w:ascii="宋体" w:hAnsi="宋体" w:eastAsia="宋体" w:cs="宋体"/>
                <w:sz w:val="19"/>
                <w:szCs w:val="19"/>
              </w:rPr>
              <w:t>台</w:t>
            </w:r>
          </w:p>
        </w:tc>
        <w:tc>
          <w:tcPr>
            <w:tcW w:w="529"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jc w:val="center"/>
            </w:pPr>
            <w:r>
              <w:rPr>
                <w:rFonts w:hint="eastAsia" w:ascii="宋体" w:hAnsi="宋体" w:eastAsia="宋体" w:cs="宋体"/>
                <w:sz w:val="19"/>
                <w:szCs w:val="19"/>
              </w:rPr>
              <w:t>1</w:t>
            </w:r>
          </w:p>
        </w:tc>
        <w:tc>
          <w:tcPr>
            <w:tcW w:w="6378"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before="0" w:beforeAutospacing="1" w:after="0" w:afterAutospacing="1" w:line="315" w:lineRule="atLeast"/>
              <w:ind w:left="0" w:right="0" w:firstLine="0"/>
            </w:pPr>
            <w:r>
              <w:rPr>
                <w:rFonts w:hint="default" w:ascii="Calibri" w:hAnsi="Calibri" w:cs="Calibri"/>
                <w:sz w:val="24"/>
                <w:szCs w:val="24"/>
              </w:rPr>
              <w:t>1.</w:t>
            </w:r>
            <w:r>
              <w:rPr>
                <w:rFonts w:hint="default" w:ascii="Times New Roman" w:hAnsi="Times New Roman" w:cs="Times New Roman"/>
                <w:sz w:val="13"/>
                <w:szCs w:val="13"/>
              </w:rPr>
              <w:t xml:space="preserve">           </w:t>
            </w:r>
            <w:r>
              <w:rPr>
                <w:rFonts w:hint="eastAsia" w:ascii="宋体" w:hAnsi="宋体" w:eastAsia="宋体" w:cs="宋体"/>
                <w:sz w:val="24"/>
                <w:szCs w:val="24"/>
              </w:rPr>
              <w:t>平台基于</w:t>
            </w:r>
            <w:r>
              <w:rPr>
                <w:rFonts w:hint="default" w:ascii="Calibri" w:hAnsi="Calibri" w:cs="Calibri"/>
                <w:sz w:val="24"/>
                <w:szCs w:val="24"/>
              </w:rPr>
              <w:t>SOA</w:t>
            </w:r>
            <w:r>
              <w:rPr>
                <w:rFonts w:hint="eastAsia" w:ascii="宋体" w:hAnsi="宋体" w:eastAsia="宋体" w:cs="宋体"/>
                <w:sz w:val="24"/>
                <w:szCs w:val="24"/>
              </w:rPr>
              <w:t>架构，并通过</w:t>
            </w:r>
            <w:r>
              <w:rPr>
                <w:rFonts w:hint="default" w:ascii="Calibri" w:hAnsi="Calibri" w:cs="Calibri"/>
                <w:sz w:val="24"/>
                <w:szCs w:val="24"/>
              </w:rPr>
              <w:t>Web   Service</w:t>
            </w:r>
            <w:r>
              <w:rPr>
                <w:rFonts w:hint="eastAsia" w:ascii="宋体" w:hAnsi="宋体" w:eastAsia="宋体" w:cs="宋体"/>
                <w:sz w:val="24"/>
                <w:szCs w:val="24"/>
              </w:rPr>
              <w:t>提供基础服务，可与第三方业务系统相互集成；平台采用基于</w:t>
            </w:r>
            <w:r>
              <w:rPr>
                <w:rFonts w:hint="default" w:ascii="Calibri" w:hAnsi="Calibri" w:cs="Calibri"/>
                <w:sz w:val="24"/>
                <w:szCs w:val="24"/>
              </w:rPr>
              <w:t>J2EE</w:t>
            </w:r>
            <w:r>
              <w:rPr>
                <w:rFonts w:hint="eastAsia" w:ascii="宋体" w:hAnsi="宋体" w:eastAsia="宋体" w:cs="宋体"/>
                <w:sz w:val="24"/>
                <w:szCs w:val="24"/>
              </w:rPr>
              <w:t>的企业业务中间件技术，可对接第三方厂商的设备；支持</w:t>
            </w:r>
            <w:r>
              <w:rPr>
                <w:rFonts w:hint="default" w:ascii="Calibri" w:hAnsi="Calibri" w:cs="Calibri"/>
                <w:sz w:val="24"/>
                <w:szCs w:val="24"/>
              </w:rPr>
              <w:t>C/S</w:t>
            </w:r>
            <w:r>
              <w:rPr>
                <w:rFonts w:hint="eastAsia" w:ascii="宋体" w:hAnsi="宋体" w:eastAsia="宋体" w:cs="宋体"/>
                <w:sz w:val="24"/>
                <w:szCs w:val="24"/>
              </w:rPr>
              <w:t>客户端、</w:t>
            </w:r>
            <w:r>
              <w:rPr>
                <w:rFonts w:hint="default" w:ascii="Calibri" w:hAnsi="Calibri" w:cs="Calibri"/>
                <w:sz w:val="24"/>
                <w:szCs w:val="24"/>
              </w:rPr>
              <w:t>B/S</w:t>
            </w:r>
            <w:r>
              <w:rPr>
                <w:rFonts w:hint="eastAsia" w:ascii="宋体" w:hAnsi="宋体" w:eastAsia="宋体" w:cs="宋体"/>
                <w:sz w:val="24"/>
                <w:szCs w:val="24"/>
              </w:rPr>
              <w:t>客户端、大屏客户端、手机客户端以及</w:t>
            </w:r>
            <w:r>
              <w:rPr>
                <w:rFonts w:hint="default" w:ascii="Calibri" w:hAnsi="Calibri" w:cs="Calibri"/>
                <w:sz w:val="24"/>
                <w:szCs w:val="24"/>
              </w:rPr>
              <w:t>iPad</w:t>
            </w:r>
            <w:r>
              <w:rPr>
                <w:rFonts w:hint="eastAsia" w:ascii="宋体" w:hAnsi="宋体" w:eastAsia="宋体" w:cs="宋体"/>
                <w:sz w:val="24"/>
                <w:szCs w:val="24"/>
              </w:rPr>
              <w:t>客户端；</w:t>
            </w:r>
            <w:r>
              <w:rPr>
                <w:rFonts w:hint="default" w:ascii="Calibri" w:hAnsi="Calibri" w:cs="Calibri"/>
                <w:sz w:val="24"/>
                <w:szCs w:val="24"/>
              </w:rPr>
              <w:t> </w:t>
            </w:r>
          </w:p>
          <w:p>
            <w:pPr>
              <w:pStyle w:val="4"/>
              <w:keepNext w:val="0"/>
              <w:keepLines w:val="0"/>
              <w:widowControl/>
              <w:suppressLineNumbers w:val="0"/>
              <w:spacing w:before="0" w:beforeAutospacing="1" w:after="0" w:afterAutospacing="1" w:line="315" w:lineRule="atLeast"/>
              <w:ind w:left="0" w:right="0" w:firstLine="0"/>
            </w:pPr>
            <w:r>
              <w:rPr>
                <w:rFonts w:hint="default" w:ascii="Calibri" w:hAnsi="Calibri" w:cs="Calibri"/>
                <w:sz w:val="24"/>
                <w:szCs w:val="24"/>
              </w:rPr>
              <w:t>2.</w:t>
            </w:r>
            <w:r>
              <w:rPr>
                <w:rFonts w:hint="default" w:ascii="Times New Roman" w:hAnsi="Times New Roman" w:cs="Times New Roman"/>
                <w:sz w:val="13"/>
                <w:szCs w:val="13"/>
              </w:rPr>
              <w:t xml:space="preserve">           </w:t>
            </w:r>
            <w:r>
              <w:rPr>
                <w:rFonts w:hint="default" w:ascii="Calibri" w:hAnsi="Calibri" w:cs="Calibri"/>
                <w:sz w:val="24"/>
                <w:szCs w:val="24"/>
              </w:rPr>
              <w:t>WEB</w:t>
            </w:r>
            <w:r>
              <w:rPr>
                <w:rFonts w:hint="eastAsia" w:ascii="宋体" w:hAnsi="宋体" w:eastAsia="宋体" w:cs="宋体"/>
                <w:sz w:val="24"/>
                <w:szCs w:val="24"/>
              </w:rPr>
              <w:t>端登录支持密码强度提醒，平台用户密码强度设备；</w:t>
            </w:r>
            <w:r>
              <w:rPr>
                <w:rFonts w:hint="default" w:ascii="Calibri" w:hAnsi="Calibri" w:cs="Calibri"/>
                <w:sz w:val="24"/>
                <w:szCs w:val="24"/>
              </w:rPr>
              <w:t> </w:t>
            </w:r>
          </w:p>
          <w:p>
            <w:pPr>
              <w:pStyle w:val="4"/>
              <w:keepNext w:val="0"/>
              <w:keepLines w:val="0"/>
              <w:widowControl/>
              <w:suppressLineNumbers w:val="0"/>
              <w:spacing w:before="0" w:beforeAutospacing="1" w:after="0" w:afterAutospacing="1" w:line="315" w:lineRule="atLeast"/>
              <w:ind w:left="0" w:right="0" w:firstLine="0"/>
            </w:pPr>
            <w:r>
              <w:rPr>
                <w:rFonts w:hint="default" w:ascii="Calibri" w:hAnsi="Calibri" w:cs="Calibri"/>
                <w:sz w:val="24"/>
                <w:szCs w:val="24"/>
              </w:rPr>
              <w:t>3.</w:t>
            </w:r>
            <w:r>
              <w:rPr>
                <w:rFonts w:hint="default" w:ascii="Times New Roman" w:hAnsi="Times New Roman" w:cs="Times New Roman"/>
                <w:sz w:val="13"/>
                <w:szCs w:val="13"/>
              </w:rPr>
              <w:t xml:space="preserve">           </w:t>
            </w:r>
            <w:r>
              <w:rPr>
                <w:rFonts w:hint="eastAsia" w:ascii="宋体" w:hAnsi="宋体" w:eastAsia="宋体" w:cs="宋体"/>
                <w:sz w:val="24"/>
                <w:szCs w:val="24"/>
              </w:rPr>
              <w:t>支持平台级联实现上、中、下级资源的推送，上级可以预览、回放、云台控制下级级联上来的监控点；支持多层级组织管理；支持平台用户管理、权限管理、资源分配；支持平台日志的记录、查询、导出功能；</w:t>
            </w:r>
          </w:p>
          <w:p>
            <w:pPr>
              <w:pStyle w:val="4"/>
              <w:keepNext w:val="0"/>
              <w:keepLines w:val="0"/>
              <w:widowControl/>
              <w:suppressLineNumbers w:val="0"/>
              <w:spacing w:before="0" w:beforeAutospacing="1" w:after="0" w:afterAutospacing="1" w:line="315" w:lineRule="atLeast"/>
              <w:ind w:left="0" w:right="0" w:firstLine="0"/>
            </w:pPr>
            <w:r>
              <w:rPr>
                <w:rFonts w:hint="default" w:ascii="Calibri" w:hAnsi="Calibri" w:cs="Calibri"/>
                <w:sz w:val="24"/>
                <w:szCs w:val="24"/>
              </w:rPr>
              <w:t>4.</w:t>
            </w:r>
            <w:r>
              <w:rPr>
                <w:rFonts w:hint="default" w:ascii="Times New Roman" w:hAnsi="Times New Roman" w:cs="Times New Roman"/>
                <w:sz w:val="13"/>
                <w:szCs w:val="13"/>
              </w:rPr>
              <w:t xml:space="preserve">           </w:t>
            </w:r>
            <w:r>
              <w:rPr>
                <w:rFonts w:hint="eastAsia" w:ascii="宋体" w:hAnsi="宋体" w:eastAsia="宋体" w:cs="宋体"/>
                <w:sz w:val="24"/>
                <w:szCs w:val="24"/>
              </w:rPr>
              <w:t>支持实时视音频监控功能，支持视频在线预览，支持</w:t>
            </w:r>
            <w:r>
              <w:rPr>
                <w:rFonts w:hint="default" w:ascii="Calibri" w:hAnsi="Calibri" w:cs="Calibri"/>
                <w:sz w:val="24"/>
                <w:szCs w:val="24"/>
              </w:rPr>
              <w:t>1/4/9/16</w:t>
            </w:r>
            <w:r>
              <w:rPr>
                <w:rFonts w:hint="eastAsia" w:ascii="宋体" w:hAnsi="宋体" w:eastAsia="宋体" w:cs="宋体"/>
                <w:sz w:val="24"/>
                <w:szCs w:val="24"/>
              </w:rPr>
              <w:t>画面平均分割和主</w:t>
            </w:r>
            <w:r>
              <w:rPr>
                <w:rFonts w:hint="default" w:ascii="Calibri" w:hAnsi="Calibri" w:cs="Calibri"/>
                <w:sz w:val="24"/>
                <w:szCs w:val="24"/>
              </w:rPr>
              <w:t>/</w:t>
            </w:r>
            <w:r>
              <w:rPr>
                <w:rFonts w:hint="eastAsia" w:ascii="宋体" w:hAnsi="宋体" w:eastAsia="宋体" w:cs="宋体"/>
                <w:sz w:val="24"/>
                <w:szCs w:val="24"/>
              </w:rPr>
              <w:t>子画面分割布局；能按照指</w:t>
            </w:r>
            <w:r>
              <w:rPr>
                <w:rFonts w:hint="default" w:ascii="Calibri" w:hAnsi="Calibri" w:cs="Calibri"/>
                <w:sz w:val="24"/>
                <w:szCs w:val="24"/>
              </w:rPr>
              <w:t> </w:t>
            </w:r>
            <w:r>
              <w:rPr>
                <w:rFonts w:hint="eastAsia" w:ascii="宋体" w:hAnsi="宋体" w:eastAsia="宋体" w:cs="宋体"/>
                <w:sz w:val="24"/>
                <w:szCs w:val="24"/>
              </w:rPr>
              <w:t>定通道进行单路视音频、分组视音频的实时调阅，自动或手动轮巡切换显示；支持至少一种音频编码设备的实时视音频在线游览和监听、对讲；支持对前端云台、镜头、护罩的远程控制；支持对监控视频图像的手动抓拍与缩放；支持视频监控码流选择功能；</w:t>
            </w:r>
          </w:p>
          <w:p>
            <w:pPr>
              <w:pStyle w:val="4"/>
              <w:keepNext w:val="0"/>
              <w:keepLines w:val="0"/>
              <w:widowControl/>
              <w:suppressLineNumbers w:val="0"/>
              <w:spacing w:before="0" w:beforeAutospacing="1" w:after="0" w:afterAutospacing="1" w:line="315" w:lineRule="atLeast"/>
              <w:ind w:left="0" w:right="0" w:firstLine="0"/>
            </w:pPr>
            <w:r>
              <w:rPr>
                <w:rFonts w:hint="default" w:ascii="Calibri" w:hAnsi="Calibri" w:cs="Calibri"/>
                <w:sz w:val="24"/>
                <w:szCs w:val="24"/>
              </w:rPr>
              <w:t>5.</w:t>
            </w:r>
            <w:r>
              <w:rPr>
                <w:rFonts w:hint="default" w:ascii="Times New Roman" w:hAnsi="Times New Roman" w:cs="Times New Roman"/>
                <w:sz w:val="13"/>
                <w:szCs w:val="13"/>
              </w:rPr>
              <w:t xml:space="preserve">           </w:t>
            </w:r>
            <w:r>
              <w:rPr>
                <w:rFonts w:hint="eastAsia" w:ascii="宋体" w:hAnsi="宋体" w:eastAsia="宋体" w:cs="宋体"/>
                <w:sz w:val="24"/>
                <w:szCs w:val="24"/>
              </w:rPr>
              <w:t>支持全景摄像机，实现</w:t>
            </w:r>
            <w:r>
              <w:rPr>
                <w:rFonts w:hint="default" w:ascii="Calibri" w:hAnsi="Calibri" w:cs="Calibri"/>
                <w:sz w:val="24"/>
                <w:szCs w:val="24"/>
              </w:rPr>
              <w:t>180</w:t>
            </w:r>
            <w:r>
              <w:rPr>
                <w:rFonts w:hint="eastAsia" w:ascii="宋体" w:hAnsi="宋体" w:eastAsia="宋体" w:cs="宋体"/>
                <w:sz w:val="24"/>
                <w:szCs w:val="24"/>
              </w:rPr>
              <w:t>度全景监控，可对全景区域内的多个目标进行穿越警戒面、区域入侵、进入区域、离开区域行为的检测；</w:t>
            </w:r>
            <w:r>
              <w:rPr>
                <w:rFonts w:hint="default" w:ascii="Calibri" w:hAnsi="Calibri" w:cs="Calibri"/>
                <w:sz w:val="24"/>
                <w:szCs w:val="24"/>
              </w:rPr>
              <w:t>  </w:t>
            </w:r>
          </w:p>
          <w:p>
            <w:pPr>
              <w:pStyle w:val="4"/>
              <w:keepNext w:val="0"/>
              <w:keepLines w:val="0"/>
              <w:widowControl/>
              <w:suppressLineNumbers w:val="0"/>
              <w:spacing w:before="0" w:beforeAutospacing="1" w:after="0" w:afterAutospacing="1" w:line="315" w:lineRule="atLeast"/>
              <w:ind w:left="0" w:right="0" w:firstLine="0"/>
            </w:pPr>
            <w:r>
              <w:rPr>
                <w:rFonts w:hint="default" w:ascii="Calibri" w:hAnsi="Calibri" w:cs="Calibri"/>
                <w:sz w:val="24"/>
                <w:szCs w:val="24"/>
              </w:rPr>
              <w:t>6.</w:t>
            </w:r>
            <w:r>
              <w:rPr>
                <w:rFonts w:hint="default" w:ascii="Times New Roman" w:hAnsi="Times New Roman" w:cs="Times New Roman"/>
                <w:sz w:val="13"/>
                <w:szCs w:val="13"/>
              </w:rPr>
              <w:t xml:space="preserve">           </w:t>
            </w:r>
            <w:r>
              <w:rPr>
                <w:rFonts w:hint="eastAsia" w:ascii="宋体" w:hAnsi="宋体" w:eastAsia="宋体" w:cs="宋体"/>
                <w:sz w:val="24"/>
                <w:szCs w:val="24"/>
              </w:rPr>
              <w:t>支持视音频记录和回放功能，支持按照监控点、日期和时间、报警信息等检索条件对所有录像、录音资料的在线查询和结果显示；支持对所有录像、录音资料的远程和本地回放；支持多个视音频记录的同步回放；支持对录像回放进度的控制；支持即时录像录音功能；支持录像、录音资料的在线下载，支持下载断电续传；</w:t>
            </w:r>
          </w:p>
          <w:p>
            <w:pPr>
              <w:pStyle w:val="4"/>
              <w:keepNext w:val="0"/>
              <w:keepLines w:val="0"/>
              <w:widowControl/>
              <w:suppressLineNumbers w:val="0"/>
              <w:spacing w:before="0" w:beforeAutospacing="1" w:after="0" w:afterAutospacing="1" w:line="315" w:lineRule="atLeast"/>
              <w:ind w:left="0" w:right="0" w:firstLine="0"/>
            </w:pPr>
            <w:r>
              <w:rPr>
                <w:rFonts w:hint="default" w:ascii="Calibri" w:hAnsi="Calibri" w:cs="Calibri"/>
                <w:sz w:val="24"/>
                <w:szCs w:val="24"/>
              </w:rPr>
              <w:t>7.</w:t>
            </w:r>
            <w:r>
              <w:rPr>
                <w:rFonts w:hint="default" w:ascii="Times New Roman" w:hAnsi="Times New Roman" w:cs="Times New Roman"/>
                <w:sz w:val="13"/>
                <w:szCs w:val="13"/>
              </w:rPr>
              <w:t xml:space="preserve">           </w:t>
            </w:r>
            <w:r>
              <w:rPr>
                <w:rFonts w:hint="eastAsia" w:ascii="宋体" w:hAnsi="宋体" w:eastAsia="宋体" w:cs="宋体"/>
                <w:sz w:val="24"/>
                <w:szCs w:val="24"/>
              </w:rPr>
              <w:t>支持大屏拼接解码上墙功能，实现窗口缩放、窗口切换、拼接、开窗、分割、漫游、电视墙预案、报警联动上墙、本地电脑桌面上墙、键盘控制监控点上墙和控制云台等功能；支持</w:t>
            </w:r>
            <w:r>
              <w:rPr>
                <w:rFonts w:hint="default" w:ascii="Calibri" w:hAnsi="Calibri" w:cs="Calibri"/>
                <w:sz w:val="24"/>
                <w:szCs w:val="24"/>
              </w:rPr>
              <w:t>iPad</w:t>
            </w:r>
            <w:r>
              <w:rPr>
                <w:rFonts w:hint="eastAsia" w:ascii="宋体" w:hAnsi="宋体" w:eastAsia="宋体" w:cs="宋体"/>
                <w:sz w:val="24"/>
                <w:szCs w:val="24"/>
              </w:rPr>
              <w:t>大屏控制；支持接入周界防范智能相机和行为分析服务器，实现智能视频分析；支持接入智能人脸比对服务器，实现人脸比对；支持客流统计和热度图分析；</w:t>
            </w:r>
          </w:p>
          <w:p>
            <w:pPr>
              <w:pStyle w:val="4"/>
              <w:keepNext w:val="0"/>
              <w:keepLines w:val="0"/>
              <w:widowControl/>
              <w:suppressLineNumbers w:val="0"/>
              <w:spacing w:before="0" w:beforeAutospacing="1" w:after="0" w:afterAutospacing="1" w:line="315" w:lineRule="atLeast"/>
              <w:ind w:left="0" w:right="0" w:firstLine="0"/>
            </w:pPr>
            <w:r>
              <w:rPr>
                <w:rFonts w:hint="default" w:ascii="Calibri" w:hAnsi="Calibri" w:cs="Calibri"/>
                <w:sz w:val="24"/>
                <w:szCs w:val="24"/>
              </w:rPr>
              <w:t>8.</w:t>
            </w:r>
            <w:r>
              <w:rPr>
                <w:rFonts w:hint="default" w:ascii="Times New Roman" w:hAnsi="Times New Roman" w:cs="Times New Roman"/>
                <w:sz w:val="13"/>
                <w:szCs w:val="13"/>
              </w:rPr>
              <w:t xml:space="preserve">           </w:t>
            </w:r>
            <w:r>
              <w:rPr>
                <w:rFonts w:hint="eastAsia" w:ascii="宋体" w:hAnsi="宋体" w:eastAsia="宋体" w:cs="宋体"/>
                <w:sz w:val="24"/>
                <w:szCs w:val="24"/>
              </w:rPr>
              <w:t>支持智能视频分析功能，支持对视频智能分析系统的分析结果和告警信息的接收和显示，包括越界、突然出现、物品盗移、超时滞留等；支持对视频智能分析系统中移动目标轨迹在监控画面上的显示；支持对人头技术系统中的技术人数在监控画面上叠加显示并实时动态刷新；支持对视频智能分析告警的手动布撤防和按时自动布撤防控制；</w:t>
            </w:r>
          </w:p>
          <w:p>
            <w:pPr>
              <w:pStyle w:val="4"/>
              <w:keepNext w:val="0"/>
              <w:keepLines w:val="0"/>
              <w:widowControl/>
              <w:suppressLineNumbers w:val="0"/>
              <w:spacing w:before="0" w:beforeAutospacing="1" w:after="0" w:afterAutospacing="1" w:line="315" w:lineRule="atLeast"/>
              <w:ind w:left="0" w:right="0" w:firstLine="0"/>
            </w:pPr>
            <w:r>
              <w:rPr>
                <w:rFonts w:hint="default" w:ascii="Calibri" w:hAnsi="Calibri" w:cs="Calibri"/>
                <w:sz w:val="24"/>
                <w:szCs w:val="24"/>
              </w:rPr>
              <w:t>9.</w:t>
            </w:r>
            <w:r>
              <w:rPr>
                <w:rFonts w:hint="default" w:ascii="Times New Roman" w:hAnsi="Times New Roman" w:cs="Times New Roman"/>
                <w:sz w:val="13"/>
                <w:szCs w:val="13"/>
              </w:rPr>
              <w:t xml:space="preserve">           </w:t>
            </w:r>
            <w:r>
              <w:rPr>
                <w:rFonts w:hint="eastAsia" w:ascii="宋体" w:hAnsi="宋体" w:eastAsia="宋体" w:cs="宋体"/>
                <w:sz w:val="24"/>
                <w:szCs w:val="24"/>
              </w:rPr>
              <w:t>支持电子地图功能，支持电子地图界面显示和操作功能，并能在电子地图上显示视频监控点图标，通过点击图标能游览实时视频；支持在电子地图上以声光方式显示报警点和报警信息；支持事件中心配置、分发、上报、联动等功能，并支持批量事件规则与联动；支持网络管理，支持对视频设备、服务、视频诊断等状态巡检，采集状态信息，并对采集的结果进行统计分析、生成状态异常告警、报表和日志；</w:t>
            </w:r>
          </w:p>
          <w:p>
            <w:pPr>
              <w:pStyle w:val="4"/>
              <w:keepNext w:val="0"/>
              <w:keepLines w:val="0"/>
              <w:widowControl/>
              <w:suppressLineNumbers w:val="0"/>
              <w:spacing w:before="0" w:beforeAutospacing="1" w:after="0" w:afterAutospacing="1" w:line="315" w:lineRule="atLeast"/>
              <w:ind w:left="0" w:right="0" w:firstLine="0"/>
            </w:pPr>
            <w:r>
              <w:rPr>
                <w:rFonts w:hint="default" w:ascii="Calibri" w:hAnsi="Calibri" w:cs="Calibri"/>
                <w:sz w:val="24"/>
                <w:szCs w:val="24"/>
              </w:rPr>
              <w:t>10.</w:t>
            </w:r>
            <w:r>
              <w:rPr>
                <w:rFonts w:hint="default" w:ascii="Times New Roman" w:hAnsi="Times New Roman" w:cs="Times New Roman"/>
                <w:sz w:val="13"/>
                <w:szCs w:val="13"/>
              </w:rPr>
              <w:t xml:space="preserve">       </w:t>
            </w:r>
            <w:r>
              <w:rPr>
                <w:rFonts w:hint="eastAsia" w:ascii="宋体" w:hAnsi="宋体" w:eastAsia="宋体" w:cs="宋体"/>
                <w:sz w:val="24"/>
                <w:szCs w:val="24"/>
              </w:rPr>
              <w:t>支持报警管理功能，设有专门的报警接收和显示窗口，报警事件以队列方式在报警窗口中显示，以声光电形式输出报警提示信息；支持入侵报警、视频移动侦测报警、视频丢失、镜头遮挡等告警信息的实时接收和显示，并自动生成报警记录；支持对报警防区的手动远程布</w:t>
            </w:r>
            <w:r>
              <w:rPr>
                <w:rFonts w:hint="default" w:ascii="Calibri" w:hAnsi="Calibri" w:cs="Calibri"/>
                <w:sz w:val="24"/>
                <w:szCs w:val="24"/>
              </w:rPr>
              <w:t>/</w:t>
            </w:r>
            <w:r>
              <w:rPr>
                <w:rFonts w:hint="eastAsia" w:ascii="宋体" w:hAnsi="宋体" w:eastAsia="宋体" w:cs="宋体"/>
                <w:sz w:val="24"/>
                <w:szCs w:val="24"/>
              </w:rPr>
              <w:t>撤防操作，并具有批量布撤防功能；支持对报警信息的在线处理功能和处理界面，并能生成处警记录；支持报警和事件记录的条件组合在线查询、统计；支持用不同声音表示不同级别和类别的告警信息；能同时接收和处理多路报警信息，同时接收多路前端联动上传的报警图像；</w:t>
            </w:r>
          </w:p>
          <w:p>
            <w:pPr>
              <w:pStyle w:val="4"/>
              <w:keepNext w:val="0"/>
              <w:keepLines w:val="0"/>
              <w:widowControl/>
              <w:suppressLineNumbers w:val="0"/>
              <w:spacing w:before="0" w:beforeAutospacing="1" w:after="0" w:afterAutospacing="1" w:line="315" w:lineRule="atLeast"/>
              <w:ind w:left="0" w:right="0" w:firstLine="0"/>
            </w:pPr>
            <w:r>
              <w:rPr>
                <w:rFonts w:hint="default" w:ascii="Calibri" w:hAnsi="Calibri" w:cs="Calibri"/>
                <w:sz w:val="24"/>
                <w:szCs w:val="24"/>
              </w:rPr>
              <w:t>11.</w:t>
            </w:r>
            <w:r>
              <w:rPr>
                <w:rFonts w:hint="default" w:ascii="Times New Roman" w:hAnsi="Times New Roman" w:cs="Times New Roman"/>
                <w:sz w:val="13"/>
                <w:szCs w:val="13"/>
              </w:rPr>
              <w:t xml:space="preserve">       </w:t>
            </w:r>
            <w:r>
              <w:rPr>
                <w:rFonts w:hint="eastAsia" w:ascii="宋体" w:hAnsi="宋体" w:eastAsia="宋体" w:cs="宋体"/>
                <w:sz w:val="24"/>
                <w:szCs w:val="24"/>
              </w:rPr>
              <w:t>支持门禁出入口控制管理，支持出入口控制刷卡信息的实时接收显示，并能显示姓名、卡号、刷卡时间、门禁点名</w:t>
            </w:r>
            <w:r>
              <w:rPr>
                <w:rFonts w:hint="default" w:ascii="Calibri" w:hAnsi="Calibri" w:cs="Calibri"/>
                <w:sz w:val="24"/>
                <w:szCs w:val="24"/>
              </w:rPr>
              <w:t xml:space="preserve">   </w:t>
            </w:r>
            <w:r>
              <w:rPr>
                <w:rFonts w:hint="eastAsia" w:ascii="宋体" w:hAnsi="宋体" w:eastAsia="宋体" w:cs="宋体"/>
                <w:sz w:val="24"/>
                <w:szCs w:val="24"/>
              </w:rPr>
              <w:t>称等信息，并自动生成门禁刷卡记录；支持黑名单卡刷卡信息的实时接收和告警，并自动生成告警记录，支持对出入口刷卡、开</w:t>
            </w:r>
            <w:r>
              <w:rPr>
                <w:rFonts w:hint="default" w:ascii="Calibri" w:hAnsi="Calibri" w:cs="Calibri"/>
                <w:sz w:val="24"/>
                <w:szCs w:val="24"/>
              </w:rPr>
              <w:t>/</w:t>
            </w:r>
            <w:r>
              <w:rPr>
                <w:rFonts w:hint="eastAsia" w:ascii="宋体" w:hAnsi="宋体" w:eastAsia="宋体" w:cs="宋体"/>
                <w:sz w:val="24"/>
                <w:szCs w:val="24"/>
              </w:rPr>
              <w:t>关门记录的查询很统计功能；</w:t>
            </w:r>
          </w:p>
          <w:p>
            <w:pPr>
              <w:pStyle w:val="4"/>
              <w:keepNext w:val="0"/>
              <w:keepLines w:val="0"/>
              <w:widowControl/>
              <w:suppressLineNumbers w:val="0"/>
              <w:spacing w:before="0" w:beforeAutospacing="1" w:after="0" w:afterAutospacing="1" w:line="315" w:lineRule="atLeast"/>
              <w:ind w:left="0" w:right="0" w:firstLine="0"/>
            </w:pPr>
            <w:r>
              <w:rPr>
                <w:rFonts w:hint="default" w:ascii="Calibri" w:hAnsi="Calibri" w:cs="Calibri"/>
                <w:sz w:val="24"/>
                <w:szCs w:val="24"/>
              </w:rPr>
              <w:t>12.</w:t>
            </w:r>
            <w:r>
              <w:rPr>
                <w:rFonts w:hint="default" w:ascii="Times New Roman" w:hAnsi="Times New Roman" w:cs="Times New Roman"/>
                <w:sz w:val="13"/>
                <w:szCs w:val="13"/>
              </w:rPr>
              <w:t xml:space="preserve">       </w:t>
            </w:r>
            <w:r>
              <w:rPr>
                <w:rFonts w:hint="eastAsia" w:ascii="宋体" w:hAnsi="宋体" w:eastAsia="宋体" w:cs="宋体"/>
                <w:sz w:val="24"/>
                <w:szCs w:val="24"/>
              </w:rPr>
              <w:t>支持停车场管理系统，支持</w:t>
            </w:r>
            <w:r>
              <w:rPr>
                <w:rFonts w:hint="default" w:ascii="Calibri" w:hAnsi="Calibri" w:cs="Calibri"/>
                <w:sz w:val="24"/>
                <w:szCs w:val="24"/>
              </w:rPr>
              <w:t>IC</w:t>
            </w:r>
            <w:r>
              <w:rPr>
                <w:rFonts w:hint="eastAsia" w:ascii="宋体" w:hAnsi="宋体" w:eastAsia="宋体" w:cs="宋体"/>
                <w:sz w:val="24"/>
                <w:szCs w:val="24"/>
              </w:rPr>
              <w:t>卡、射频卡、车牌识别等多种配置的出入口控制，支持车辆管理、收费管理、寻车诱导、商户管理、信息查询等功能，支持过车监控和车牌查询，支持支付宝和微信缴纳停车费，支持停车场地图和二维码反向寻车，支持手机</w:t>
            </w:r>
            <w:r>
              <w:rPr>
                <w:rFonts w:hint="default" w:ascii="Calibri" w:hAnsi="Calibri" w:cs="Calibri"/>
                <w:sz w:val="24"/>
                <w:szCs w:val="24"/>
              </w:rPr>
              <w:t>WEB</w:t>
            </w:r>
            <w:r>
              <w:rPr>
                <w:rFonts w:hint="eastAsia" w:ascii="宋体" w:hAnsi="宋体" w:eastAsia="宋体" w:cs="宋体"/>
                <w:sz w:val="24"/>
                <w:szCs w:val="24"/>
              </w:rPr>
              <w:t>和手机</w:t>
            </w:r>
            <w:r>
              <w:rPr>
                <w:rFonts w:hint="default" w:ascii="Calibri" w:hAnsi="Calibri" w:cs="Calibri"/>
                <w:sz w:val="24"/>
                <w:szCs w:val="24"/>
              </w:rPr>
              <w:t>APP</w:t>
            </w:r>
            <w:r>
              <w:rPr>
                <w:rFonts w:hint="eastAsia" w:ascii="宋体" w:hAnsi="宋体" w:eastAsia="宋体" w:cs="宋体"/>
                <w:sz w:val="24"/>
                <w:szCs w:val="24"/>
              </w:rPr>
              <w:t>付费、预约车位、寻车等功能；</w:t>
            </w:r>
          </w:p>
          <w:p>
            <w:pPr>
              <w:pStyle w:val="4"/>
              <w:keepNext w:val="0"/>
              <w:keepLines w:val="0"/>
              <w:widowControl/>
              <w:suppressLineNumbers w:val="0"/>
              <w:spacing w:before="0" w:beforeAutospacing="1" w:after="0" w:afterAutospacing="1" w:line="315" w:lineRule="atLeast"/>
              <w:ind w:left="0" w:right="0" w:firstLine="0"/>
            </w:pPr>
            <w:r>
              <w:rPr>
                <w:rFonts w:hint="default" w:ascii="Calibri" w:hAnsi="Calibri" w:cs="Calibri"/>
                <w:sz w:val="24"/>
                <w:szCs w:val="24"/>
              </w:rPr>
              <w:t>13.</w:t>
            </w:r>
            <w:r>
              <w:rPr>
                <w:rFonts w:hint="default" w:ascii="Times New Roman" w:hAnsi="Times New Roman" w:cs="Times New Roman"/>
                <w:sz w:val="13"/>
                <w:szCs w:val="13"/>
              </w:rPr>
              <w:t xml:space="preserve">       </w:t>
            </w:r>
            <w:r>
              <w:rPr>
                <w:rFonts w:hint="eastAsia" w:ascii="宋体" w:hAnsi="宋体" w:eastAsia="宋体" w:cs="宋体"/>
                <w:sz w:val="24"/>
                <w:szCs w:val="24"/>
              </w:rPr>
              <w:t>支持可视对讲功能，提供了服务器管理、设备管理、权限分配、信息发送以及日志查看等功能，支持访视频通话、对讲监控、点对点对讲通信、远程配置门禁卡片权限、实时门口机视频、远程发送信息等功能，支持多种事件报警联动开门、联动短信、邮件、云台、电视墙、录像抓图、</w:t>
            </w:r>
            <w:r>
              <w:rPr>
                <w:rFonts w:hint="default" w:ascii="Calibri" w:hAnsi="Calibri" w:cs="Calibri"/>
                <w:sz w:val="24"/>
                <w:szCs w:val="24"/>
              </w:rPr>
              <w:t>IO</w:t>
            </w:r>
            <w:r>
              <w:rPr>
                <w:rFonts w:hint="eastAsia" w:ascii="宋体" w:hAnsi="宋体" w:eastAsia="宋体" w:cs="宋体"/>
                <w:sz w:val="24"/>
                <w:szCs w:val="24"/>
              </w:rPr>
              <w:t>输出等方式；</w:t>
            </w:r>
          </w:p>
          <w:p>
            <w:pPr>
              <w:pStyle w:val="4"/>
              <w:keepNext w:val="0"/>
              <w:keepLines w:val="0"/>
              <w:widowControl/>
              <w:suppressLineNumbers w:val="0"/>
              <w:spacing w:before="0" w:beforeAutospacing="1" w:after="0" w:afterAutospacing="1" w:line="315" w:lineRule="atLeast"/>
              <w:ind w:left="0" w:right="0" w:firstLine="0"/>
            </w:pPr>
            <w:r>
              <w:rPr>
                <w:rFonts w:hint="default" w:ascii="Calibri" w:hAnsi="Calibri" w:cs="Calibri"/>
                <w:sz w:val="24"/>
                <w:szCs w:val="24"/>
              </w:rPr>
              <w:t>14.</w:t>
            </w:r>
            <w:r>
              <w:rPr>
                <w:rFonts w:hint="default" w:ascii="Times New Roman" w:hAnsi="Times New Roman" w:cs="Times New Roman"/>
                <w:sz w:val="13"/>
                <w:szCs w:val="13"/>
              </w:rPr>
              <w:t xml:space="preserve">       </w:t>
            </w:r>
            <w:r>
              <w:rPr>
                <w:rFonts w:hint="eastAsia" w:ascii="宋体" w:hAnsi="宋体" w:eastAsia="宋体" w:cs="宋体"/>
                <w:sz w:val="24"/>
                <w:szCs w:val="24"/>
              </w:rPr>
              <w:t>支持巡查管理系统，支持巡查点视频关联，报警联动，电子地图，报表等功能；支持准时、早巡、晚巡、漏巡及不漏巡五种巡查事件类型；支持排班信息和路线信息查询；支持巡查单兵</w:t>
            </w:r>
            <w:r>
              <w:rPr>
                <w:rFonts w:hint="default" w:ascii="Calibri" w:hAnsi="Calibri" w:cs="Calibri"/>
                <w:sz w:val="24"/>
                <w:szCs w:val="24"/>
              </w:rPr>
              <w:t>APP</w:t>
            </w:r>
            <w:r>
              <w:rPr>
                <w:rFonts w:hint="eastAsia" w:ascii="宋体" w:hAnsi="宋体" w:eastAsia="宋体" w:cs="宋体"/>
                <w:sz w:val="24"/>
                <w:szCs w:val="24"/>
              </w:rPr>
              <w:t>；支持考勤管理系统，支持时段与班次定义、人员排班，考勤规则、考勤调整及节假日定义，支持刷卡记录及考勤结果分析和查询，支持考考勤打卡分析表、考勤结果统计报表、出勤率统计表等多种报表功能；</w:t>
            </w:r>
          </w:p>
          <w:p>
            <w:pPr>
              <w:pStyle w:val="4"/>
              <w:keepNext w:val="0"/>
              <w:keepLines w:val="0"/>
              <w:widowControl/>
              <w:suppressLineNumbers w:val="0"/>
              <w:spacing w:before="0" w:beforeAutospacing="1" w:after="0" w:afterAutospacing="1" w:line="315" w:lineRule="atLeast"/>
              <w:ind w:left="0" w:right="0" w:firstLine="0"/>
            </w:pPr>
            <w:r>
              <w:rPr>
                <w:rFonts w:hint="default" w:ascii="Calibri" w:hAnsi="Calibri" w:cs="Calibri"/>
                <w:sz w:val="24"/>
                <w:szCs w:val="24"/>
              </w:rPr>
              <w:t>15.</w:t>
            </w:r>
            <w:r>
              <w:rPr>
                <w:rFonts w:hint="default" w:ascii="Times New Roman" w:hAnsi="Times New Roman" w:cs="Times New Roman"/>
                <w:sz w:val="13"/>
                <w:szCs w:val="13"/>
              </w:rPr>
              <w:t xml:space="preserve">       </w:t>
            </w:r>
            <w:r>
              <w:rPr>
                <w:rFonts w:hint="eastAsia" w:ascii="宋体" w:hAnsi="宋体" w:eastAsia="宋体" w:cs="宋体"/>
                <w:sz w:val="24"/>
                <w:szCs w:val="24"/>
              </w:rPr>
              <w:t>支持消费设备管理功能，支持多种权限模型，补贴模型、账户模型、多维护管理消费模式及统计报表；支持手机客户端控制，支持</w:t>
            </w:r>
            <w:r>
              <w:rPr>
                <w:rFonts w:hint="default" w:ascii="Calibri" w:hAnsi="Calibri" w:cs="Calibri"/>
                <w:sz w:val="24"/>
                <w:szCs w:val="24"/>
              </w:rPr>
              <w:t>iOS</w:t>
            </w:r>
            <w:r>
              <w:rPr>
                <w:rFonts w:hint="eastAsia" w:ascii="宋体" w:hAnsi="宋体" w:eastAsia="宋体" w:cs="宋体"/>
                <w:sz w:val="24"/>
                <w:szCs w:val="24"/>
              </w:rPr>
              <w:t>、</w:t>
            </w:r>
            <w:r>
              <w:rPr>
                <w:rFonts w:hint="default" w:ascii="Calibri" w:hAnsi="Calibri" w:cs="Calibri"/>
                <w:sz w:val="24"/>
                <w:szCs w:val="24"/>
              </w:rPr>
              <w:t>Android</w:t>
            </w:r>
            <w:r>
              <w:rPr>
                <w:rFonts w:hint="eastAsia" w:ascii="宋体" w:hAnsi="宋体" w:eastAsia="宋体" w:cs="宋体"/>
                <w:sz w:val="24"/>
                <w:szCs w:val="24"/>
              </w:rPr>
              <w:t>两个平台，提供的功能主要包括视频功能、门禁功能、访客功能、消息中心；支持动环监测管理功能，支持动环主机设备管理、环境量配置、动环数据监测、数据记录查询、数据导出等功能，实现通过动环主机对温度、湿度、噪音、粉尘的监测</w:t>
            </w:r>
            <w:r>
              <w:rPr>
                <w:rFonts w:hint="eastAsia" w:ascii="宋体" w:hAnsi="宋体" w:eastAsia="宋体" w:cs="宋体"/>
                <w:sz w:val="19"/>
                <w:szCs w:val="19"/>
              </w:rPr>
              <w:t>，</w:t>
            </w:r>
            <w:r>
              <w:rPr>
                <w:rFonts w:hint="eastAsia" w:ascii="宋体" w:hAnsi="宋体" w:eastAsia="宋体" w:cs="宋体"/>
                <w:sz w:val="24"/>
                <w:szCs w:val="24"/>
              </w:rPr>
              <w:t>和收集、报警联动等功能；</w:t>
            </w:r>
          </w:p>
          <w:p>
            <w:pPr>
              <w:pStyle w:val="4"/>
              <w:keepNext w:val="0"/>
              <w:keepLines w:val="0"/>
              <w:widowControl/>
              <w:suppressLineNumbers w:val="0"/>
              <w:spacing w:line="315" w:lineRule="atLeast"/>
            </w:pPr>
            <w:r>
              <w:rPr>
                <w:rFonts w:hint="eastAsia" w:ascii="宋体" w:hAnsi="宋体" w:eastAsia="宋体" w:cs="宋体"/>
                <w:sz w:val="19"/>
                <w:szCs w:val="19"/>
              </w:rPr>
              <w:t> </w:t>
            </w:r>
          </w:p>
        </w:tc>
        <w:tc>
          <w:tcPr>
            <w:tcW w:w="467"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top"/>
          </w:tcPr>
          <w:p>
            <w:pPr>
              <w:keepNext w:val="0"/>
              <w:keepLines w:val="0"/>
              <w:widowControl/>
              <w:suppressLineNumbers w:val="0"/>
              <w:jc w:val="left"/>
            </w:pPr>
          </w:p>
        </w:tc>
      </w:tr>
      <w:tr>
        <w:trPr>
          <w:trHeight w:val="1275" w:hRule="atLeast"/>
          <w:tblCellSpacing w:w="15" w:type="dxa"/>
        </w:trPr>
        <w:tc>
          <w:tcPr>
            <w:tcW w:w="36" w:type="dxa"/>
            <w:tcBorders>
              <w:top w:val="nil"/>
              <w:left w:val="single" w:color="auto" w:sz="6" w:space="0"/>
              <w:bottom w:val="single" w:color="auto" w:sz="6" w:space="0"/>
              <w:right w:val="single" w:color="auto" w:sz="6" w:space="0"/>
            </w:tcBorders>
            <w:shd w:val="clear" w:color="auto" w:fill="FFFFFF"/>
            <w:tcMar>
              <w:top w:w="0" w:type="dxa"/>
              <w:left w:w="0" w:type="dxa"/>
              <w:bottom w:w="0" w:type="dxa"/>
              <w:right w:w="0" w:type="dxa"/>
            </w:tcMar>
            <w:vAlign w:val="center"/>
          </w:tcPr>
          <w:p>
            <w:pPr>
              <w:keepNext w:val="0"/>
              <w:keepLines w:val="0"/>
              <w:widowControl/>
              <w:suppressLineNumbers w:val="0"/>
              <w:jc w:val="left"/>
            </w:pPr>
          </w:p>
        </w:tc>
        <w:tc>
          <w:tcPr>
            <w:tcW w:w="937"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jc w:val="center"/>
            </w:pPr>
            <w:r>
              <w:rPr>
                <w:rFonts w:hint="default" w:ascii="Calibri" w:hAnsi="Calibri" w:cs="Calibri"/>
                <w:sz w:val="24"/>
                <w:szCs w:val="24"/>
              </w:rPr>
              <w:t>1-2-48</w:t>
            </w:r>
          </w:p>
        </w:tc>
        <w:tc>
          <w:tcPr>
            <w:tcW w:w="888"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pPr>
            <w:r>
              <w:rPr>
                <w:rFonts w:hint="eastAsia" w:ascii="宋体" w:hAnsi="宋体" w:eastAsia="宋体" w:cs="宋体"/>
                <w:sz w:val="19"/>
                <w:szCs w:val="19"/>
              </w:rPr>
              <w:t>拼接屏控制器</w:t>
            </w:r>
          </w:p>
        </w:tc>
        <w:tc>
          <w:tcPr>
            <w:tcW w:w="529"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jc w:val="center"/>
            </w:pPr>
            <w:r>
              <w:rPr>
                <w:rFonts w:hint="eastAsia" w:ascii="宋体" w:hAnsi="宋体" w:eastAsia="宋体" w:cs="宋体"/>
                <w:sz w:val="19"/>
                <w:szCs w:val="19"/>
              </w:rPr>
              <w:t>台</w:t>
            </w:r>
          </w:p>
        </w:tc>
        <w:tc>
          <w:tcPr>
            <w:tcW w:w="529"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jc w:val="center"/>
            </w:pPr>
            <w:r>
              <w:rPr>
                <w:rFonts w:hint="eastAsia" w:ascii="宋体" w:hAnsi="宋体" w:eastAsia="宋体" w:cs="宋体"/>
                <w:sz w:val="19"/>
                <w:szCs w:val="19"/>
              </w:rPr>
              <w:t>1</w:t>
            </w:r>
          </w:p>
        </w:tc>
        <w:tc>
          <w:tcPr>
            <w:tcW w:w="6378"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pPr>
            <w:r>
              <w:rPr>
                <w:rFonts w:hint="eastAsia" w:ascii="宋体" w:hAnsi="宋体" w:eastAsia="宋体" w:cs="宋体"/>
                <w:sz w:val="19"/>
                <w:szCs w:val="19"/>
              </w:rPr>
              <w:t>输入接口：VGAX1，DVIX1，BNCX1，YPbPrX1,HDMIX1输出接口：VGAX1，DVIX1，BNCX2。</w:t>
            </w:r>
            <w:r>
              <w:rPr>
                <w:rFonts w:hint="eastAsia" w:ascii="宋体" w:hAnsi="宋体" w:eastAsia="宋体" w:cs="宋体"/>
                <w:sz w:val="19"/>
                <w:szCs w:val="19"/>
              </w:rPr>
              <w:br w:type="textWrapping"/>
            </w:r>
            <w:r>
              <w:rPr>
                <w:rFonts w:hint="eastAsia" w:ascii="宋体" w:hAnsi="宋体" w:eastAsia="宋体" w:cs="宋体"/>
                <w:sz w:val="19"/>
                <w:szCs w:val="19"/>
              </w:rPr>
              <w:t>  支持定制维护支架；图像拼接控制器支持无线投射功能支持本地播放、视频参数设置等功能。</w:t>
            </w:r>
          </w:p>
        </w:tc>
        <w:tc>
          <w:tcPr>
            <w:tcW w:w="467"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top"/>
          </w:tcPr>
          <w:p>
            <w:pPr>
              <w:keepNext w:val="0"/>
              <w:keepLines w:val="0"/>
              <w:widowControl/>
              <w:suppressLineNumbers w:val="0"/>
              <w:jc w:val="left"/>
            </w:pPr>
          </w:p>
        </w:tc>
      </w:tr>
      <w:tr>
        <w:trPr>
          <w:trHeight w:val="3300" w:hRule="atLeast"/>
          <w:tblCellSpacing w:w="15" w:type="dxa"/>
        </w:trPr>
        <w:tc>
          <w:tcPr>
            <w:tcW w:w="36" w:type="dxa"/>
            <w:tcBorders>
              <w:top w:val="nil"/>
              <w:left w:val="single" w:color="auto" w:sz="6" w:space="0"/>
              <w:bottom w:val="single" w:color="auto" w:sz="6" w:space="0"/>
              <w:right w:val="single" w:color="auto" w:sz="6" w:space="0"/>
            </w:tcBorders>
            <w:shd w:val="clear" w:color="auto" w:fill="FFFFFF"/>
            <w:tcMar>
              <w:top w:w="0" w:type="dxa"/>
              <w:left w:w="0" w:type="dxa"/>
              <w:bottom w:w="0" w:type="dxa"/>
              <w:right w:w="0" w:type="dxa"/>
            </w:tcMar>
            <w:vAlign w:val="center"/>
          </w:tcPr>
          <w:p>
            <w:pPr>
              <w:keepNext w:val="0"/>
              <w:keepLines w:val="0"/>
              <w:widowControl/>
              <w:suppressLineNumbers w:val="0"/>
              <w:jc w:val="left"/>
            </w:pPr>
          </w:p>
        </w:tc>
        <w:tc>
          <w:tcPr>
            <w:tcW w:w="937"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jc w:val="center"/>
            </w:pPr>
            <w:r>
              <w:rPr>
                <w:rFonts w:hint="default" w:ascii="Calibri" w:hAnsi="Calibri" w:cs="Calibri"/>
                <w:sz w:val="24"/>
                <w:szCs w:val="24"/>
              </w:rPr>
              <w:t>1-2-49</w:t>
            </w:r>
          </w:p>
        </w:tc>
        <w:tc>
          <w:tcPr>
            <w:tcW w:w="888"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pPr>
            <w:r>
              <w:rPr>
                <w:rFonts w:hint="eastAsia" w:ascii="宋体" w:hAnsi="宋体" w:eastAsia="宋体" w:cs="宋体"/>
                <w:sz w:val="19"/>
                <w:szCs w:val="19"/>
              </w:rPr>
              <w:t>UPS</w:t>
            </w:r>
          </w:p>
        </w:tc>
        <w:tc>
          <w:tcPr>
            <w:tcW w:w="529"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jc w:val="center"/>
            </w:pPr>
            <w:r>
              <w:rPr>
                <w:rFonts w:hint="eastAsia" w:ascii="宋体" w:hAnsi="宋体" w:eastAsia="宋体" w:cs="宋体"/>
                <w:sz w:val="19"/>
                <w:szCs w:val="19"/>
              </w:rPr>
              <w:t>套</w:t>
            </w:r>
          </w:p>
        </w:tc>
        <w:tc>
          <w:tcPr>
            <w:tcW w:w="529"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jc w:val="center"/>
            </w:pPr>
            <w:r>
              <w:rPr>
                <w:rFonts w:hint="eastAsia" w:ascii="宋体" w:hAnsi="宋体" w:eastAsia="宋体" w:cs="宋体"/>
                <w:sz w:val="19"/>
                <w:szCs w:val="19"/>
              </w:rPr>
              <w:t>1</w:t>
            </w:r>
          </w:p>
        </w:tc>
        <w:tc>
          <w:tcPr>
            <w:tcW w:w="6378"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wordWrap w:val="0"/>
              <w:spacing w:line="315" w:lineRule="atLeast"/>
            </w:pPr>
            <w:r>
              <w:rPr>
                <w:rFonts w:hint="eastAsia" w:ascii="宋体" w:hAnsi="宋体" w:eastAsia="宋体" w:cs="宋体"/>
                <w:sz w:val="24"/>
                <w:szCs w:val="24"/>
              </w:rPr>
              <w:t>UPS主机1台：6KV  后备1小时</w:t>
            </w:r>
          </w:p>
          <w:p>
            <w:pPr>
              <w:keepNext w:val="0"/>
              <w:keepLines w:val="0"/>
              <w:widowControl/>
              <w:suppressLineNumbers w:val="0"/>
              <w:wordWrap w:val="0"/>
              <w:jc w:val="left"/>
            </w:pPr>
          </w:p>
        </w:tc>
        <w:tc>
          <w:tcPr>
            <w:tcW w:w="467"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top"/>
          </w:tcPr>
          <w:p>
            <w:pPr>
              <w:keepNext w:val="0"/>
              <w:keepLines w:val="0"/>
              <w:widowControl/>
              <w:suppressLineNumbers w:val="0"/>
              <w:jc w:val="left"/>
            </w:pPr>
          </w:p>
        </w:tc>
      </w:tr>
      <w:tr>
        <w:trPr>
          <w:trHeight w:val="570" w:hRule="atLeast"/>
          <w:tblCellSpacing w:w="15" w:type="dxa"/>
        </w:trPr>
        <w:tc>
          <w:tcPr>
            <w:tcW w:w="36" w:type="dxa"/>
            <w:tcBorders>
              <w:top w:val="nil"/>
              <w:left w:val="single" w:color="auto" w:sz="6" w:space="0"/>
              <w:bottom w:val="single" w:color="auto" w:sz="6" w:space="0"/>
              <w:right w:val="single" w:color="auto" w:sz="6" w:space="0"/>
            </w:tcBorders>
            <w:shd w:val="clear" w:color="auto" w:fill="FFFFFF"/>
            <w:tcMar>
              <w:top w:w="0" w:type="dxa"/>
              <w:left w:w="0" w:type="dxa"/>
              <w:bottom w:w="0" w:type="dxa"/>
              <w:right w:w="0" w:type="dxa"/>
            </w:tcMar>
            <w:vAlign w:val="center"/>
          </w:tcPr>
          <w:p>
            <w:pPr>
              <w:keepNext w:val="0"/>
              <w:keepLines w:val="0"/>
              <w:widowControl/>
              <w:suppressLineNumbers w:val="0"/>
              <w:jc w:val="left"/>
            </w:pPr>
          </w:p>
        </w:tc>
        <w:tc>
          <w:tcPr>
            <w:tcW w:w="9878" w:type="dxa"/>
            <w:gridSpan w:val="16"/>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top"/>
          </w:tcPr>
          <w:p>
            <w:pPr>
              <w:pStyle w:val="4"/>
              <w:keepNext w:val="0"/>
              <w:keepLines w:val="0"/>
              <w:widowControl/>
              <w:suppressLineNumbers w:val="0"/>
              <w:spacing w:line="315" w:lineRule="atLeast"/>
              <w:jc w:val="left"/>
            </w:pPr>
            <w:r>
              <w:rPr>
                <w:rFonts w:hint="eastAsia" w:ascii="宋体" w:hAnsi="宋体" w:eastAsia="宋体" w:cs="宋体"/>
                <w:sz w:val="24"/>
                <w:szCs w:val="24"/>
              </w:rPr>
              <w:t>公共资源交易中心门禁系统</w:t>
            </w:r>
          </w:p>
        </w:tc>
      </w:tr>
      <w:tr>
        <w:trPr>
          <w:trHeight w:val="960" w:hRule="atLeast"/>
          <w:tblCellSpacing w:w="15" w:type="dxa"/>
        </w:trPr>
        <w:tc>
          <w:tcPr>
            <w:tcW w:w="36" w:type="dxa"/>
            <w:tcBorders>
              <w:top w:val="nil"/>
              <w:left w:val="single" w:color="auto" w:sz="6" w:space="0"/>
              <w:bottom w:val="single" w:color="auto" w:sz="6" w:space="0"/>
              <w:right w:val="single" w:color="auto" w:sz="6" w:space="0"/>
            </w:tcBorders>
            <w:shd w:val="clear" w:color="auto" w:fill="FFFFFF"/>
            <w:tcMar>
              <w:top w:w="0" w:type="dxa"/>
              <w:left w:w="0" w:type="dxa"/>
              <w:bottom w:w="0" w:type="dxa"/>
              <w:right w:w="0" w:type="dxa"/>
            </w:tcMar>
            <w:vAlign w:val="center"/>
          </w:tcPr>
          <w:p>
            <w:pPr>
              <w:keepNext w:val="0"/>
              <w:keepLines w:val="0"/>
              <w:widowControl/>
              <w:suppressLineNumbers w:val="0"/>
              <w:jc w:val="left"/>
            </w:pPr>
          </w:p>
        </w:tc>
        <w:tc>
          <w:tcPr>
            <w:tcW w:w="937"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jc w:val="center"/>
            </w:pPr>
            <w:r>
              <w:rPr>
                <w:rStyle w:val="6"/>
                <w:rFonts w:hint="eastAsia" w:ascii="宋体" w:hAnsi="宋体" w:eastAsia="宋体" w:cs="宋体"/>
                <w:b/>
              </w:rPr>
              <w:t>序号</w:t>
            </w:r>
          </w:p>
        </w:tc>
        <w:tc>
          <w:tcPr>
            <w:tcW w:w="888"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jc w:val="center"/>
            </w:pPr>
            <w:r>
              <w:rPr>
                <w:rStyle w:val="6"/>
                <w:rFonts w:hint="eastAsia" w:ascii="宋体" w:hAnsi="宋体" w:eastAsia="宋体" w:cs="宋体"/>
                <w:b/>
              </w:rPr>
              <w:t>设备名 称</w:t>
            </w:r>
          </w:p>
        </w:tc>
        <w:tc>
          <w:tcPr>
            <w:tcW w:w="529"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jc w:val="center"/>
            </w:pPr>
            <w:r>
              <w:rPr>
                <w:rStyle w:val="6"/>
                <w:rFonts w:hint="eastAsia" w:ascii="宋体" w:hAnsi="宋体" w:eastAsia="宋体" w:cs="宋体"/>
                <w:b/>
              </w:rPr>
              <w:t>单位</w:t>
            </w:r>
          </w:p>
        </w:tc>
        <w:tc>
          <w:tcPr>
            <w:tcW w:w="529"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jc w:val="center"/>
            </w:pPr>
            <w:r>
              <w:rPr>
                <w:rStyle w:val="6"/>
                <w:rFonts w:hint="eastAsia" w:ascii="宋体" w:hAnsi="宋体" w:eastAsia="宋体" w:cs="宋体"/>
                <w:b/>
              </w:rPr>
              <w:t>数量</w:t>
            </w:r>
          </w:p>
        </w:tc>
        <w:tc>
          <w:tcPr>
            <w:tcW w:w="6378"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jc w:val="center"/>
            </w:pPr>
            <w:r>
              <w:rPr>
                <w:rStyle w:val="6"/>
                <w:rFonts w:hint="eastAsia" w:ascii="宋体" w:hAnsi="宋体" w:eastAsia="宋体" w:cs="宋体"/>
                <w:b/>
              </w:rPr>
              <w:t>技术参数</w:t>
            </w:r>
          </w:p>
        </w:tc>
        <w:tc>
          <w:tcPr>
            <w:tcW w:w="467"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jc w:val="center"/>
            </w:pPr>
            <w:r>
              <w:rPr>
                <w:rStyle w:val="6"/>
                <w:rFonts w:hint="eastAsia" w:ascii="宋体" w:hAnsi="宋体" w:eastAsia="宋体" w:cs="宋体"/>
                <w:b/>
              </w:rPr>
              <w:t>备注</w:t>
            </w:r>
          </w:p>
        </w:tc>
      </w:tr>
      <w:tr>
        <w:trPr>
          <w:trHeight w:val="2535" w:hRule="atLeast"/>
          <w:tblCellSpacing w:w="15" w:type="dxa"/>
        </w:trPr>
        <w:tc>
          <w:tcPr>
            <w:tcW w:w="36" w:type="dxa"/>
            <w:tcBorders>
              <w:top w:val="nil"/>
              <w:left w:val="single" w:color="auto" w:sz="6" w:space="0"/>
              <w:bottom w:val="single" w:color="auto" w:sz="6" w:space="0"/>
              <w:right w:val="single" w:color="auto" w:sz="6" w:space="0"/>
            </w:tcBorders>
            <w:shd w:val="clear" w:color="auto" w:fill="FFFFFF"/>
            <w:tcMar>
              <w:top w:w="0" w:type="dxa"/>
              <w:left w:w="0" w:type="dxa"/>
              <w:bottom w:w="0" w:type="dxa"/>
              <w:right w:w="0" w:type="dxa"/>
            </w:tcMar>
            <w:vAlign w:val="center"/>
          </w:tcPr>
          <w:p>
            <w:pPr>
              <w:keepNext w:val="0"/>
              <w:keepLines w:val="0"/>
              <w:widowControl/>
              <w:suppressLineNumbers w:val="0"/>
              <w:jc w:val="left"/>
            </w:pPr>
          </w:p>
        </w:tc>
        <w:tc>
          <w:tcPr>
            <w:tcW w:w="937"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jc w:val="center"/>
            </w:pPr>
            <w:r>
              <w:rPr>
                <w:rFonts w:hint="default" w:ascii="Calibri" w:hAnsi="Calibri" w:cs="Calibri"/>
                <w:sz w:val="24"/>
                <w:szCs w:val="24"/>
              </w:rPr>
              <w:t>1-2-50</w:t>
            </w:r>
          </w:p>
        </w:tc>
        <w:tc>
          <w:tcPr>
            <w:tcW w:w="888"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pPr>
            <w:r>
              <w:rPr>
                <w:rFonts w:hint="eastAsia" w:ascii="宋体" w:hAnsi="宋体" w:eastAsia="宋体" w:cs="宋体"/>
                <w:sz w:val="19"/>
                <w:szCs w:val="19"/>
              </w:rPr>
              <w:t>四门门禁控制器</w:t>
            </w:r>
          </w:p>
        </w:tc>
        <w:tc>
          <w:tcPr>
            <w:tcW w:w="529"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jc w:val="center"/>
            </w:pPr>
            <w:r>
              <w:rPr>
                <w:rFonts w:hint="eastAsia" w:ascii="宋体" w:hAnsi="宋体" w:eastAsia="宋体" w:cs="宋体"/>
                <w:sz w:val="19"/>
                <w:szCs w:val="19"/>
              </w:rPr>
              <w:t>台</w:t>
            </w:r>
          </w:p>
        </w:tc>
        <w:tc>
          <w:tcPr>
            <w:tcW w:w="529"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jc w:val="center"/>
            </w:pPr>
            <w:r>
              <w:rPr>
                <w:rFonts w:hint="eastAsia" w:ascii="宋体" w:hAnsi="宋体" w:eastAsia="宋体" w:cs="宋体"/>
                <w:sz w:val="19"/>
                <w:szCs w:val="19"/>
              </w:rPr>
              <w:t>2</w:t>
            </w:r>
          </w:p>
        </w:tc>
        <w:tc>
          <w:tcPr>
            <w:tcW w:w="6378"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pPr>
            <w:r>
              <w:rPr>
                <w:rFonts w:hint="eastAsia" w:ascii="宋体" w:hAnsi="宋体" w:eastAsia="宋体" w:cs="宋体"/>
                <w:sz w:val="19"/>
                <w:szCs w:val="19"/>
              </w:rPr>
              <w:t>处理器：32位处理器</w:t>
            </w:r>
            <w:r>
              <w:rPr>
                <w:rFonts w:hint="eastAsia" w:ascii="宋体" w:hAnsi="宋体" w:eastAsia="宋体" w:cs="宋体"/>
                <w:sz w:val="19"/>
                <w:szCs w:val="19"/>
              </w:rPr>
              <w:br w:type="textWrapping"/>
            </w:r>
            <w:r>
              <w:rPr>
                <w:rFonts w:hint="eastAsia" w:ascii="宋体" w:hAnsi="宋体" w:eastAsia="宋体" w:cs="宋体"/>
                <w:sz w:val="19"/>
                <w:szCs w:val="19"/>
              </w:rPr>
              <w:t>  管控门数：4门</w:t>
            </w:r>
            <w:r>
              <w:rPr>
                <w:rFonts w:hint="eastAsia" w:ascii="宋体" w:hAnsi="宋体" w:eastAsia="宋体" w:cs="宋体"/>
                <w:sz w:val="19"/>
                <w:szCs w:val="19"/>
              </w:rPr>
              <w:br w:type="textWrapping"/>
            </w:r>
            <w:r>
              <w:rPr>
                <w:rFonts w:hint="eastAsia" w:ascii="宋体" w:hAnsi="宋体" w:eastAsia="宋体" w:cs="宋体"/>
                <w:sz w:val="19"/>
                <w:szCs w:val="19"/>
              </w:rPr>
              <w:t>  通讯方式：上行TCP/IP、RS485</w:t>
            </w:r>
            <w:r>
              <w:rPr>
                <w:rFonts w:hint="eastAsia" w:ascii="宋体" w:hAnsi="宋体" w:eastAsia="宋体" w:cs="宋体"/>
                <w:sz w:val="19"/>
                <w:szCs w:val="19"/>
              </w:rPr>
              <w:br w:type="textWrapping"/>
            </w:r>
            <w:r>
              <w:rPr>
                <w:rFonts w:hint="eastAsia" w:ascii="宋体" w:hAnsi="宋体" w:eastAsia="宋体" w:cs="宋体"/>
                <w:sz w:val="19"/>
                <w:szCs w:val="19"/>
              </w:rPr>
              <w:t>  读卡器接口：RS485和Wiegand双通讯接口</w:t>
            </w:r>
            <w:r>
              <w:rPr>
                <w:rFonts w:hint="eastAsia" w:ascii="宋体" w:hAnsi="宋体" w:eastAsia="宋体" w:cs="宋体"/>
                <w:sz w:val="19"/>
                <w:szCs w:val="19"/>
              </w:rPr>
              <w:br w:type="textWrapping"/>
            </w:r>
            <w:r>
              <w:rPr>
                <w:rFonts w:hint="eastAsia" w:ascii="宋体" w:hAnsi="宋体" w:eastAsia="宋体" w:cs="宋体"/>
                <w:sz w:val="19"/>
                <w:szCs w:val="19"/>
              </w:rPr>
              <w:t>  存储容量：10万张卡和30万记录存储</w:t>
            </w:r>
            <w:r>
              <w:rPr>
                <w:rFonts w:hint="eastAsia" w:ascii="宋体" w:hAnsi="宋体" w:eastAsia="宋体" w:cs="宋体"/>
                <w:sz w:val="19"/>
                <w:szCs w:val="19"/>
              </w:rPr>
              <w:br w:type="textWrapping"/>
            </w:r>
            <w:r>
              <w:rPr>
                <w:rFonts w:hint="eastAsia" w:ascii="宋体" w:hAnsi="宋体" w:eastAsia="宋体" w:cs="宋体"/>
                <w:sz w:val="19"/>
                <w:szCs w:val="19"/>
              </w:rPr>
              <w:t>  工作电压：自带机箱和供电电源（AC220V输入），工作电压DC   12V，功耗≤4W（不带负载）</w:t>
            </w:r>
            <w:r>
              <w:rPr>
                <w:rFonts w:hint="eastAsia" w:ascii="宋体" w:hAnsi="宋体" w:eastAsia="宋体" w:cs="宋体"/>
                <w:sz w:val="19"/>
                <w:szCs w:val="19"/>
              </w:rPr>
              <w:br w:type="textWrapping"/>
            </w:r>
            <w:r>
              <w:rPr>
                <w:rFonts w:hint="eastAsia" w:ascii="宋体" w:hAnsi="宋体" w:eastAsia="宋体" w:cs="宋体"/>
                <w:sz w:val="19"/>
                <w:szCs w:val="19"/>
              </w:rPr>
              <w:t>  机箱尺寸：345mm（高）x370mm（宽）x90mm（厚）</w:t>
            </w:r>
          </w:p>
        </w:tc>
        <w:tc>
          <w:tcPr>
            <w:tcW w:w="467"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tc>
      </w:tr>
      <w:tr>
        <w:trPr>
          <w:trHeight w:val="2220" w:hRule="atLeast"/>
          <w:tblCellSpacing w:w="15" w:type="dxa"/>
        </w:trPr>
        <w:tc>
          <w:tcPr>
            <w:tcW w:w="36" w:type="dxa"/>
            <w:tcBorders>
              <w:top w:val="nil"/>
              <w:left w:val="single" w:color="auto" w:sz="6" w:space="0"/>
              <w:bottom w:val="single" w:color="auto" w:sz="6" w:space="0"/>
              <w:right w:val="single" w:color="auto" w:sz="6" w:space="0"/>
            </w:tcBorders>
            <w:shd w:val="clear" w:color="auto" w:fill="FFFFFF"/>
            <w:tcMar>
              <w:top w:w="0" w:type="dxa"/>
              <w:left w:w="0" w:type="dxa"/>
              <w:bottom w:w="0" w:type="dxa"/>
              <w:right w:w="0" w:type="dxa"/>
            </w:tcMar>
            <w:vAlign w:val="center"/>
          </w:tcPr>
          <w:p>
            <w:pPr>
              <w:keepNext w:val="0"/>
              <w:keepLines w:val="0"/>
              <w:widowControl/>
              <w:suppressLineNumbers w:val="0"/>
              <w:jc w:val="left"/>
            </w:pPr>
          </w:p>
        </w:tc>
        <w:tc>
          <w:tcPr>
            <w:tcW w:w="937"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jc w:val="center"/>
            </w:pPr>
            <w:r>
              <w:rPr>
                <w:rFonts w:hint="default" w:ascii="Calibri" w:hAnsi="Calibri" w:cs="Calibri"/>
                <w:sz w:val="24"/>
                <w:szCs w:val="24"/>
              </w:rPr>
              <w:t>1-2-51</w:t>
            </w:r>
          </w:p>
        </w:tc>
        <w:tc>
          <w:tcPr>
            <w:tcW w:w="888"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pPr>
            <w:r>
              <w:rPr>
                <w:rFonts w:hint="eastAsia" w:ascii="宋体" w:hAnsi="宋体" w:eastAsia="宋体" w:cs="宋体"/>
                <w:sz w:val="19"/>
                <w:szCs w:val="19"/>
              </w:rPr>
              <w:t>Mifare读卡器</w:t>
            </w:r>
          </w:p>
        </w:tc>
        <w:tc>
          <w:tcPr>
            <w:tcW w:w="529"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jc w:val="center"/>
            </w:pPr>
            <w:r>
              <w:rPr>
                <w:rFonts w:hint="eastAsia" w:ascii="宋体" w:hAnsi="宋体" w:eastAsia="宋体" w:cs="宋体"/>
                <w:sz w:val="19"/>
                <w:szCs w:val="19"/>
              </w:rPr>
              <w:t>台</w:t>
            </w:r>
          </w:p>
        </w:tc>
        <w:tc>
          <w:tcPr>
            <w:tcW w:w="529"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jc w:val="center"/>
            </w:pPr>
            <w:r>
              <w:rPr>
                <w:rFonts w:hint="eastAsia" w:ascii="宋体" w:hAnsi="宋体" w:eastAsia="宋体" w:cs="宋体"/>
                <w:sz w:val="19"/>
                <w:szCs w:val="19"/>
              </w:rPr>
              <w:t>7</w:t>
            </w:r>
          </w:p>
        </w:tc>
        <w:tc>
          <w:tcPr>
            <w:tcW w:w="6378"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pPr>
            <w:r>
              <w:rPr>
                <w:rFonts w:hint="eastAsia" w:ascii="宋体" w:hAnsi="宋体" w:eastAsia="宋体" w:cs="宋体"/>
                <w:sz w:val="19"/>
                <w:szCs w:val="19"/>
              </w:rPr>
              <w:t>读卡频率：13.56MHz</w:t>
            </w:r>
            <w:r>
              <w:rPr>
                <w:rFonts w:hint="eastAsia" w:ascii="宋体" w:hAnsi="宋体" w:eastAsia="宋体" w:cs="宋体"/>
                <w:sz w:val="19"/>
                <w:szCs w:val="19"/>
              </w:rPr>
              <w:br w:type="textWrapping"/>
            </w:r>
            <w:r>
              <w:rPr>
                <w:rFonts w:hint="eastAsia" w:ascii="宋体" w:hAnsi="宋体" w:eastAsia="宋体" w:cs="宋体"/>
                <w:sz w:val="19"/>
                <w:szCs w:val="19"/>
              </w:rPr>
              <w:t>  按键方式：无</w:t>
            </w:r>
            <w:r>
              <w:rPr>
                <w:rFonts w:hint="eastAsia" w:ascii="宋体" w:hAnsi="宋体" w:eastAsia="宋体" w:cs="宋体"/>
                <w:sz w:val="19"/>
                <w:szCs w:val="19"/>
              </w:rPr>
              <w:br w:type="textWrapping"/>
            </w:r>
            <w:r>
              <w:rPr>
                <w:rFonts w:hint="eastAsia" w:ascii="宋体" w:hAnsi="宋体" w:eastAsia="宋体" w:cs="宋体"/>
                <w:sz w:val="19"/>
                <w:szCs w:val="19"/>
              </w:rPr>
              <w:t>  可识别卡：Mifare卡号、Mifare卡内容、CPU卡号</w:t>
            </w:r>
            <w:r>
              <w:rPr>
                <w:rFonts w:hint="eastAsia" w:ascii="宋体" w:hAnsi="宋体" w:eastAsia="宋体" w:cs="宋体"/>
                <w:sz w:val="19"/>
                <w:szCs w:val="19"/>
              </w:rPr>
              <w:br w:type="textWrapping"/>
            </w:r>
            <w:r>
              <w:rPr>
                <w:rFonts w:hint="eastAsia" w:ascii="宋体" w:hAnsi="宋体" w:eastAsia="宋体" w:cs="宋体"/>
                <w:sz w:val="19"/>
                <w:szCs w:val="19"/>
              </w:rPr>
              <w:t>  通讯方式：RS485+Wiegand</w:t>
            </w:r>
            <w:r>
              <w:rPr>
                <w:rFonts w:hint="eastAsia" w:ascii="宋体" w:hAnsi="宋体" w:eastAsia="宋体" w:cs="宋体"/>
                <w:sz w:val="19"/>
                <w:szCs w:val="19"/>
              </w:rPr>
              <w:br w:type="textWrapping"/>
            </w:r>
            <w:r>
              <w:rPr>
                <w:rFonts w:hint="eastAsia" w:ascii="宋体" w:hAnsi="宋体" w:eastAsia="宋体" w:cs="宋体"/>
                <w:sz w:val="19"/>
                <w:szCs w:val="19"/>
              </w:rPr>
              <w:t>  工作电压：DC 12V</w:t>
            </w:r>
            <w:r>
              <w:rPr>
                <w:rFonts w:hint="eastAsia" w:ascii="宋体" w:hAnsi="宋体" w:eastAsia="宋体" w:cs="宋体"/>
                <w:sz w:val="19"/>
                <w:szCs w:val="19"/>
              </w:rPr>
              <w:br w:type="textWrapping"/>
            </w:r>
            <w:r>
              <w:rPr>
                <w:rFonts w:hint="eastAsia" w:ascii="宋体" w:hAnsi="宋体" w:eastAsia="宋体" w:cs="宋体"/>
                <w:sz w:val="19"/>
                <w:szCs w:val="19"/>
              </w:rPr>
              <w:t>  功耗：≤2W</w:t>
            </w:r>
            <w:r>
              <w:rPr>
                <w:rFonts w:hint="eastAsia" w:ascii="宋体" w:hAnsi="宋体" w:eastAsia="宋体" w:cs="宋体"/>
                <w:sz w:val="19"/>
                <w:szCs w:val="19"/>
              </w:rPr>
              <w:br w:type="textWrapping"/>
            </w:r>
            <w:r>
              <w:rPr>
                <w:rFonts w:hint="eastAsia" w:ascii="宋体" w:hAnsi="宋体" w:eastAsia="宋体" w:cs="宋体"/>
                <w:sz w:val="19"/>
                <w:szCs w:val="19"/>
              </w:rPr>
              <w:t>  安装方式：86盒嵌入式安装</w:t>
            </w:r>
          </w:p>
        </w:tc>
        <w:tc>
          <w:tcPr>
            <w:tcW w:w="467"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tc>
      </w:tr>
      <w:tr>
        <w:trPr>
          <w:trHeight w:val="1905" w:hRule="atLeast"/>
          <w:tblCellSpacing w:w="15" w:type="dxa"/>
        </w:trPr>
        <w:tc>
          <w:tcPr>
            <w:tcW w:w="36" w:type="dxa"/>
            <w:tcBorders>
              <w:top w:val="nil"/>
              <w:left w:val="single" w:color="auto" w:sz="6" w:space="0"/>
              <w:bottom w:val="single" w:color="auto" w:sz="6" w:space="0"/>
              <w:right w:val="single" w:color="auto" w:sz="6" w:space="0"/>
            </w:tcBorders>
            <w:shd w:val="clear" w:color="auto" w:fill="FFFFFF"/>
            <w:tcMar>
              <w:top w:w="0" w:type="dxa"/>
              <w:left w:w="0" w:type="dxa"/>
              <w:bottom w:w="0" w:type="dxa"/>
              <w:right w:w="0" w:type="dxa"/>
            </w:tcMar>
            <w:vAlign w:val="center"/>
          </w:tcPr>
          <w:p>
            <w:pPr>
              <w:keepNext w:val="0"/>
              <w:keepLines w:val="0"/>
              <w:widowControl/>
              <w:suppressLineNumbers w:val="0"/>
              <w:jc w:val="left"/>
            </w:pPr>
          </w:p>
        </w:tc>
        <w:tc>
          <w:tcPr>
            <w:tcW w:w="937"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jc w:val="center"/>
            </w:pPr>
            <w:r>
              <w:rPr>
                <w:rFonts w:hint="default" w:ascii="Calibri" w:hAnsi="Calibri" w:cs="Calibri"/>
                <w:sz w:val="24"/>
                <w:szCs w:val="24"/>
              </w:rPr>
              <w:t>1-2-52</w:t>
            </w:r>
          </w:p>
        </w:tc>
        <w:tc>
          <w:tcPr>
            <w:tcW w:w="888"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pPr>
            <w:r>
              <w:rPr>
                <w:rFonts w:hint="eastAsia" w:ascii="宋体" w:hAnsi="宋体" w:eastAsia="宋体" w:cs="宋体"/>
                <w:sz w:val="19"/>
                <w:szCs w:val="19"/>
              </w:rPr>
              <w:t>卡片发卡器</w:t>
            </w:r>
          </w:p>
        </w:tc>
        <w:tc>
          <w:tcPr>
            <w:tcW w:w="529"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jc w:val="center"/>
            </w:pPr>
            <w:r>
              <w:rPr>
                <w:rFonts w:hint="eastAsia" w:ascii="宋体" w:hAnsi="宋体" w:eastAsia="宋体" w:cs="宋体"/>
                <w:sz w:val="19"/>
                <w:szCs w:val="19"/>
              </w:rPr>
              <w:t>台</w:t>
            </w:r>
          </w:p>
        </w:tc>
        <w:tc>
          <w:tcPr>
            <w:tcW w:w="529"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jc w:val="center"/>
            </w:pPr>
            <w:r>
              <w:rPr>
                <w:rFonts w:hint="eastAsia" w:ascii="宋体" w:hAnsi="宋体" w:eastAsia="宋体" w:cs="宋体"/>
                <w:sz w:val="19"/>
                <w:szCs w:val="19"/>
              </w:rPr>
              <w:t>1</w:t>
            </w:r>
          </w:p>
        </w:tc>
        <w:tc>
          <w:tcPr>
            <w:tcW w:w="6378"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pPr>
            <w:r>
              <w:rPr>
                <w:rFonts w:hint="eastAsia" w:ascii="宋体" w:hAnsi="宋体" w:eastAsia="宋体" w:cs="宋体"/>
                <w:sz w:val="19"/>
                <w:szCs w:val="19"/>
              </w:rPr>
              <w:t>支持发卡类型：ID卡、Mifare卡号、Mifare卡内容、CPU卡号、CPU卡内容、身份证序列号；</w:t>
            </w:r>
            <w:r>
              <w:rPr>
                <w:rFonts w:hint="eastAsia" w:ascii="宋体" w:hAnsi="宋体" w:eastAsia="宋体" w:cs="宋体"/>
                <w:sz w:val="19"/>
                <w:szCs w:val="19"/>
              </w:rPr>
              <w:br w:type="textWrapping"/>
            </w:r>
            <w:r>
              <w:rPr>
                <w:rFonts w:hint="eastAsia" w:ascii="宋体" w:hAnsi="宋体" w:eastAsia="宋体" w:cs="宋体"/>
                <w:sz w:val="19"/>
                <w:szCs w:val="19"/>
              </w:rPr>
              <w:t>  USB2.0接口；</w:t>
            </w:r>
            <w:r>
              <w:rPr>
                <w:rFonts w:hint="eastAsia" w:ascii="宋体" w:hAnsi="宋体" w:eastAsia="宋体" w:cs="宋体"/>
                <w:sz w:val="19"/>
                <w:szCs w:val="19"/>
              </w:rPr>
              <w:br w:type="textWrapping"/>
            </w:r>
            <w:r>
              <w:rPr>
                <w:rFonts w:hint="eastAsia" w:ascii="宋体" w:hAnsi="宋体" w:eastAsia="宋体" w:cs="宋体"/>
                <w:sz w:val="19"/>
                <w:szCs w:val="19"/>
              </w:rPr>
              <w:t>  具有2个Sim卡尺寸的SAM卡座；</w:t>
            </w:r>
            <w:r>
              <w:rPr>
                <w:rFonts w:hint="eastAsia" w:ascii="宋体" w:hAnsi="宋体" w:eastAsia="宋体" w:cs="宋体"/>
                <w:sz w:val="19"/>
                <w:szCs w:val="19"/>
              </w:rPr>
              <w:br w:type="textWrapping"/>
            </w:r>
            <w:r>
              <w:rPr>
                <w:rFonts w:hint="eastAsia" w:ascii="宋体" w:hAnsi="宋体" w:eastAsia="宋体" w:cs="宋体"/>
                <w:sz w:val="19"/>
                <w:szCs w:val="19"/>
              </w:rPr>
              <w:t>  工作电压：DC 5V；</w:t>
            </w:r>
            <w:r>
              <w:rPr>
                <w:rFonts w:hint="eastAsia" w:ascii="宋体" w:hAnsi="宋体" w:eastAsia="宋体" w:cs="宋体"/>
                <w:sz w:val="19"/>
                <w:szCs w:val="19"/>
              </w:rPr>
              <w:br w:type="textWrapping"/>
            </w:r>
            <w:r>
              <w:rPr>
                <w:rFonts w:hint="eastAsia" w:ascii="宋体" w:hAnsi="宋体" w:eastAsia="宋体" w:cs="宋体"/>
                <w:sz w:val="19"/>
                <w:szCs w:val="19"/>
              </w:rPr>
              <w:t>  工作电流：0.2A；</w:t>
            </w:r>
          </w:p>
        </w:tc>
        <w:tc>
          <w:tcPr>
            <w:tcW w:w="467"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tc>
      </w:tr>
      <w:tr>
        <w:trPr>
          <w:trHeight w:val="645" w:hRule="atLeast"/>
          <w:tblCellSpacing w:w="15" w:type="dxa"/>
        </w:trPr>
        <w:tc>
          <w:tcPr>
            <w:tcW w:w="36" w:type="dxa"/>
            <w:tcBorders>
              <w:top w:val="nil"/>
              <w:left w:val="single" w:color="auto" w:sz="6" w:space="0"/>
              <w:bottom w:val="single" w:color="auto" w:sz="6" w:space="0"/>
              <w:right w:val="single" w:color="auto" w:sz="6" w:space="0"/>
            </w:tcBorders>
            <w:shd w:val="clear" w:color="auto" w:fill="FFFFFF"/>
            <w:tcMar>
              <w:top w:w="0" w:type="dxa"/>
              <w:left w:w="0" w:type="dxa"/>
              <w:bottom w:w="0" w:type="dxa"/>
              <w:right w:w="0" w:type="dxa"/>
            </w:tcMar>
            <w:vAlign w:val="center"/>
          </w:tcPr>
          <w:p>
            <w:pPr>
              <w:keepNext w:val="0"/>
              <w:keepLines w:val="0"/>
              <w:widowControl/>
              <w:suppressLineNumbers w:val="0"/>
              <w:jc w:val="left"/>
            </w:pPr>
          </w:p>
        </w:tc>
        <w:tc>
          <w:tcPr>
            <w:tcW w:w="937"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jc w:val="center"/>
            </w:pPr>
            <w:r>
              <w:rPr>
                <w:rFonts w:hint="default" w:ascii="Calibri" w:hAnsi="Calibri" w:cs="Calibri"/>
                <w:sz w:val="24"/>
                <w:szCs w:val="24"/>
              </w:rPr>
              <w:t>1-2-53</w:t>
            </w:r>
          </w:p>
        </w:tc>
        <w:tc>
          <w:tcPr>
            <w:tcW w:w="888"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pPr>
            <w:r>
              <w:rPr>
                <w:rFonts w:hint="eastAsia" w:ascii="宋体" w:hAnsi="宋体" w:eastAsia="宋体" w:cs="宋体"/>
                <w:sz w:val="19"/>
                <w:szCs w:val="19"/>
              </w:rPr>
              <w:t>Mifare卡</w:t>
            </w:r>
          </w:p>
        </w:tc>
        <w:tc>
          <w:tcPr>
            <w:tcW w:w="529"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jc w:val="center"/>
            </w:pPr>
            <w:r>
              <w:rPr>
                <w:rFonts w:hint="eastAsia" w:ascii="宋体" w:hAnsi="宋体" w:eastAsia="宋体" w:cs="宋体"/>
                <w:sz w:val="19"/>
                <w:szCs w:val="19"/>
              </w:rPr>
              <w:t>张</w:t>
            </w:r>
          </w:p>
        </w:tc>
        <w:tc>
          <w:tcPr>
            <w:tcW w:w="529"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jc w:val="center"/>
            </w:pPr>
            <w:r>
              <w:rPr>
                <w:rFonts w:hint="eastAsia" w:ascii="宋体" w:hAnsi="宋体" w:eastAsia="宋体" w:cs="宋体"/>
                <w:sz w:val="19"/>
                <w:szCs w:val="19"/>
              </w:rPr>
              <w:t>50</w:t>
            </w:r>
          </w:p>
        </w:tc>
        <w:tc>
          <w:tcPr>
            <w:tcW w:w="6378"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pPr>
            <w:r>
              <w:rPr>
                <w:rFonts w:hint="eastAsia" w:ascii="宋体" w:hAnsi="宋体" w:eastAsia="宋体" w:cs="宋体"/>
                <w:sz w:val="19"/>
                <w:szCs w:val="19"/>
              </w:rPr>
              <w:t>（国产）标准白卡外形，mifare1卡，感应频率为13.56MHZ，16个扇区，容量1K，PVC材质</w:t>
            </w:r>
          </w:p>
        </w:tc>
        <w:tc>
          <w:tcPr>
            <w:tcW w:w="467"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tc>
      </w:tr>
      <w:tr>
        <w:trPr>
          <w:trHeight w:val="330" w:hRule="atLeast"/>
          <w:tblCellSpacing w:w="15" w:type="dxa"/>
        </w:trPr>
        <w:tc>
          <w:tcPr>
            <w:tcW w:w="36" w:type="dxa"/>
            <w:tcBorders>
              <w:top w:val="nil"/>
              <w:left w:val="single" w:color="auto" w:sz="6" w:space="0"/>
              <w:bottom w:val="single" w:color="auto" w:sz="6" w:space="0"/>
              <w:right w:val="single" w:color="auto" w:sz="6" w:space="0"/>
            </w:tcBorders>
            <w:shd w:val="clear" w:color="auto" w:fill="FFFFFF"/>
            <w:tcMar>
              <w:top w:w="0" w:type="dxa"/>
              <w:left w:w="0" w:type="dxa"/>
              <w:bottom w:w="0" w:type="dxa"/>
              <w:right w:w="0" w:type="dxa"/>
            </w:tcMar>
            <w:vAlign w:val="center"/>
          </w:tcPr>
          <w:p>
            <w:pPr>
              <w:keepNext w:val="0"/>
              <w:keepLines w:val="0"/>
              <w:widowControl/>
              <w:suppressLineNumbers w:val="0"/>
              <w:jc w:val="left"/>
            </w:pPr>
          </w:p>
        </w:tc>
        <w:tc>
          <w:tcPr>
            <w:tcW w:w="937"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jc w:val="center"/>
            </w:pPr>
            <w:r>
              <w:rPr>
                <w:rFonts w:hint="default" w:ascii="Calibri" w:hAnsi="Calibri" w:cs="Calibri"/>
                <w:sz w:val="24"/>
                <w:szCs w:val="24"/>
              </w:rPr>
              <w:t>1-2-54</w:t>
            </w:r>
          </w:p>
        </w:tc>
        <w:tc>
          <w:tcPr>
            <w:tcW w:w="888"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pPr>
            <w:r>
              <w:rPr>
                <w:rFonts w:hint="eastAsia" w:ascii="宋体" w:hAnsi="宋体" w:eastAsia="宋体" w:cs="宋体"/>
                <w:sz w:val="19"/>
                <w:szCs w:val="19"/>
              </w:rPr>
              <w:t>开门按钮</w:t>
            </w:r>
          </w:p>
        </w:tc>
        <w:tc>
          <w:tcPr>
            <w:tcW w:w="529"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jc w:val="center"/>
            </w:pPr>
            <w:r>
              <w:rPr>
                <w:rFonts w:hint="eastAsia" w:ascii="宋体" w:hAnsi="宋体" w:eastAsia="宋体" w:cs="宋体"/>
                <w:sz w:val="19"/>
                <w:szCs w:val="19"/>
              </w:rPr>
              <w:t>只</w:t>
            </w:r>
          </w:p>
        </w:tc>
        <w:tc>
          <w:tcPr>
            <w:tcW w:w="529"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jc w:val="center"/>
            </w:pPr>
            <w:r>
              <w:rPr>
                <w:rFonts w:hint="eastAsia" w:ascii="宋体" w:hAnsi="宋体" w:eastAsia="宋体" w:cs="宋体"/>
                <w:sz w:val="19"/>
                <w:szCs w:val="19"/>
              </w:rPr>
              <w:t>1</w:t>
            </w:r>
          </w:p>
        </w:tc>
        <w:tc>
          <w:tcPr>
            <w:tcW w:w="6378"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pPr>
            <w:r>
              <w:rPr>
                <w:rFonts w:hint="eastAsia" w:ascii="宋体" w:hAnsi="宋体" w:eastAsia="宋体" w:cs="宋体"/>
                <w:sz w:val="19"/>
                <w:szCs w:val="19"/>
              </w:rPr>
              <w:t>结构：塑料面板；</w:t>
            </w:r>
            <w:r>
              <w:rPr>
                <w:rFonts w:hint="eastAsia" w:ascii="宋体" w:hAnsi="宋体" w:eastAsia="宋体" w:cs="宋体"/>
                <w:sz w:val="19"/>
                <w:szCs w:val="19"/>
              </w:rPr>
              <w:br w:type="textWrapping"/>
            </w:r>
            <w:r>
              <w:rPr>
                <w:rFonts w:hint="eastAsia" w:ascii="宋体" w:hAnsi="宋体" w:eastAsia="宋体" w:cs="宋体"/>
                <w:sz w:val="19"/>
                <w:szCs w:val="19"/>
              </w:rPr>
              <w:t>  性能：最大耐电流1.25A，电压250V；</w:t>
            </w:r>
            <w:r>
              <w:rPr>
                <w:rFonts w:hint="eastAsia" w:ascii="宋体" w:hAnsi="宋体" w:eastAsia="宋体" w:cs="宋体"/>
                <w:sz w:val="19"/>
                <w:szCs w:val="19"/>
              </w:rPr>
              <w:br w:type="textWrapping"/>
            </w:r>
            <w:r>
              <w:rPr>
                <w:rFonts w:hint="eastAsia" w:ascii="宋体" w:hAnsi="宋体" w:eastAsia="宋体" w:cs="宋体"/>
                <w:sz w:val="19"/>
                <w:szCs w:val="19"/>
              </w:rPr>
              <w:t>  输出：常开；</w:t>
            </w:r>
            <w:r>
              <w:rPr>
                <w:rFonts w:hint="eastAsia" w:ascii="宋体" w:hAnsi="宋体" w:eastAsia="宋体" w:cs="宋体"/>
                <w:sz w:val="19"/>
                <w:szCs w:val="19"/>
              </w:rPr>
              <w:br w:type="textWrapping"/>
            </w:r>
            <w:r>
              <w:rPr>
                <w:rFonts w:hint="eastAsia" w:ascii="宋体" w:hAnsi="宋体" w:eastAsia="宋体" w:cs="宋体"/>
                <w:sz w:val="19"/>
                <w:szCs w:val="19"/>
              </w:rPr>
              <w:t>  类型：适合埋入式电器盒使用；</w:t>
            </w:r>
          </w:p>
        </w:tc>
        <w:tc>
          <w:tcPr>
            <w:tcW w:w="467"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tc>
      </w:tr>
      <w:tr>
        <w:trPr>
          <w:trHeight w:val="2850" w:hRule="atLeast"/>
          <w:tblCellSpacing w:w="15" w:type="dxa"/>
        </w:trPr>
        <w:tc>
          <w:tcPr>
            <w:tcW w:w="36" w:type="dxa"/>
            <w:tcBorders>
              <w:top w:val="nil"/>
              <w:left w:val="single" w:color="auto" w:sz="6" w:space="0"/>
              <w:bottom w:val="single" w:color="auto" w:sz="6" w:space="0"/>
              <w:right w:val="single" w:color="auto" w:sz="6" w:space="0"/>
            </w:tcBorders>
            <w:shd w:val="clear" w:color="auto" w:fill="FFFFFF"/>
            <w:tcMar>
              <w:top w:w="0" w:type="dxa"/>
              <w:left w:w="0" w:type="dxa"/>
              <w:bottom w:w="0" w:type="dxa"/>
              <w:right w:w="0" w:type="dxa"/>
            </w:tcMar>
            <w:vAlign w:val="center"/>
          </w:tcPr>
          <w:p>
            <w:pPr>
              <w:keepNext w:val="0"/>
              <w:keepLines w:val="0"/>
              <w:widowControl/>
              <w:suppressLineNumbers w:val="0"/>
              <w:jc w:val="left"/>
            </w:pPr>
          </w:p>
        </w:tc>
        <w:tc>
          <w:tcPr>
            <w:tcW w:w="937"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jc w:val="center"/>
            </w:pPr>
            <w:r>
              <w:rPr>
                <w:rFonts w:hint="default" w:ascii="Calibri" w:hAnsi="Calibri" w:cs="Calibri"/>
                <w:sz w:val="24"/>
                <w:szCs w:val="24"/>
              </w:rPr>
              <w:t>1-2-55</w:t>
            </w:r>
          </w:p>
        </w:tc>
        <w:tc>
          <w:tcPr>
            <w:tcW w:w="888"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pPr>
            <w:r>
              <w:rPr>
                <w:rFonts w:hint="eastAsia" w:ascii="宋体" w:hAnsi="宋体" w:eastAsia="宋体" w:cs="宋体"/>
                <w:sz w:val="19"/>
                <w:szCs w:val="19"/>
              </w:rPr>
              <w:t>280Kg单门磁力锁</w:t>
            </w:r>
          </w:p>
        </w:tc>
        <w:tc>
          <w:tcPr>
            <w:tcW w:w="529"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jc w:val="center"/>
            </w:pPr>
            <w:r>
              <w:rPr>
                <w:rFonts w:hint="eastAsia" w:ascii="宋体" w:hAnsi="宋体" w:eastAsia="宋体" w:cs="宋体"/>
                <w:sz w:val="19"/>
                <w:szCs w:val="19"/>
              </w:rPr>
              <w:t>只</w:t>
            </w:r>
          </w:p>
        </w:tc>
        <w:tc>
          <w:tcPr>
            <w:tcW w:w="529"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jc w:val="center"/>
            </w:pPr>
            <w:r>
              <w:rPr>
                <w:rFonts w:hint="eastAsia" w:ascii="宋体" w:hAnsi="宋体" w:eastAsia="宋体" w:cs="宋体"/>
                <w:sz w:val="19"/>
                <w:szCs w:val="19"/>
              </w:rPr>
              <w:t>3</w:t>
            </w:r>
          </w:p>
        </w:tc>
        <w:tc>
          <w:tcPr>
            <w:tcW w:w="6378"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pPr>
            <w:r>
              <w:rPr>
                <w:rFonts w:hint="eastAsia" w:ascii="宋体" w:hAnsi="宋体" w:eastAsia="宋体" w:cs="宋体"/>
                <w:sz w:val="19"/>
                <w:szCs w:val="19"/>
              </w:rPr>
              <w:t>上锁时NO输出</w:t>
            </w:r>
            <w:r>
              <w:rPr>
                <w:rFonts w:hint="eastAsia" w:ascii="宋体" w:hAnsi="宋体" w:eastAsia="宋体" w:cs="宋体"/>
                <w:sz w:val="19"/>
                <w:szCs w:val="19"/>
              </w:rPr>
              <w:br w:type="textWrapping"/>
            </w:r>
            <w:r>
              <w:rPr>
                <w:rFonts w:hint="eastAsia" w:ascii="宋体" w:hAnsi="宋体" w:eastAsia="宋体" w:cs="宋体"/>
                <w:sz w:val="19"/>
                <w:szCs w:val="19"/>
              </w:rPr>
              <w:t>  开锁时NC输出</w:t>
            </w:r>
            <w:r>
              <w:rPr>
                <w:rFonts w:hint="eastAsia" w:ascii="宋体" w:hAnsi="宋体" w:eastAsia="宋体" w:cs="宋体"/>
                <w:sz w:val="19"/>
                <w:szCs w:val="19"/>
              </w:rPr>
              <w:br w:type="textWrapping"/>
            </w:r>
            <w:r>
              <w:rPr>
                <w:rFonts w:hint="eastAsia" w:ascii="宋体" w:hAnsi="宋体" w:eastAsia="宋体" w:cs="宋体"/>
                <w:sz w:val="19"/>
                <w:szCs w:val="19"/>
              </w:rPr>
              <w:t>  最大拉力280kg静态直线拉力</w:t>
            </w:r>
            <w:r>
              <w:rPr>
                <w:rFonts w:hint="eastAsia" w:ascii="宋体" w:hAnsi="宋体" w:eastAsia="宋体" w:cs="宋体"/>
                <w:sz w:val="19"/>
                <w:szCs w:val="19"/>
              </w:rPr>
              <w:br w:type="textWrapping"/>
            </w:r>
            <w:r>
              <w:rPr>
                <w:rFonts w:hint="eastAsia" w:ascii="宋体" w:hAnsi="宋体" w:eastAsia="宋体" w:cs="宋体"/>
                <w:sz w:val="19"/>
                <w:szCs w:val="19"/>
              </w:rPr>
              <w:t>  适用于木门、金属门、防火门/国内中性</w:t>
            </w:r>
            <w:r>
              <w:rPr>
                <w:rFonts w:hint="eastAsia" w:ascii="宋体" w:hAnsi="宋体" w:eastAsia="宋体" w:cs="宋体"/>
                <w:sz w:val="19"/>
                <w:szCs w:val="19"/>
              </w:rPr>
              <w:br w:type="textWrapping"/>
            </w:r>
            <w:r>
              <w:rPr>
                <w:rFonts w:hint="eastAsia" w:ascii="宋体" w:hAnsi="宋体" w:eastAsia="宋体" w:cs="宋体"/>
                <w:sz w:val="19"/>
                <w:szCs w:val="19"/>
              </w:rPr>
              <w:t>  输入电压 DC12V或DC24V</w:t>
            </w:r>
            <w:r>
              <w:rPr>
                <w:rFonts w:hint="eastAsia" w:ascii="宋体" w:hAnsi="宋体" w:eastAsia="宋体" w:cs="宋体"/>
                <w:sz w:val="19"/>
                <w:szCs w:val="19"/>
              </w:rPr>
              <w:br w:type="textWrapping"/>
            </w:r>
            <w:r>
              <w:rPr>
                <w:rFonts w:hint="eastAsia" w:ascii="宋体" w:hAnsi="宋体" w:eastAsia="宋体" w:cs="宋体"/>
                <w:sz w:val="19"/>
                <w:szCs w:val="19"/>
              </w:rPr>
              <w:t>  支持门磁输出</w:t>
            </w:r>
            <w:r>
              <w:rPr>
                <w:rFonts w:hint="eastAsia" w:ascii="宋体" w:hAnsi="宋体" w:eastAsia="宋体" w:cs="宋体"/>
                <w:sz w:val="19"/>
                <w:szCs w:val="19"/>
              </w:rPr>
              <w:br w:type="textWrapping"/>
            </w:r>
            <w:r>
              <w:rPr>
                <w:rFonts w:hint="eastAsia" w:ascii="宋体" w:hAnsi="宋体" w:eastAsia="宋体" w:cs="宋体"/>
                <w:sz w:val="19"/>
                <w:szCs w:val="19"/>
              </w:rPr>
              <w:t>  使用环境：室内</w:t>
            </w:r>
            <w:r>
              <w:rPr>
                <w:rFonts w:hint="eastAsia" w:ascii="宋体" w:hAnsi="宋体" w:eastAsia="宋体" w:cs="宋体"/>
                <w:sz w:val="19"/>
                <w:szCs w:val="19"/>
              </w:rPr>
              <w:br w:type="textWrapping"/>
            </w:r>
            <w:r>
              <w:rPr>
                <w:rFonts w:hint="eastAsia" w:ascii="宋体" w:hAnsi="宋体" w:eastAsia="宋体" w:cs="宋体"/>
                <w:sz w:val="19"/>
                <w:szCs w:val="19"/>
              </w:rPr>
              <w:t>  工作电流  12V/500mA   ， 24V/250mA</w:t>
            </w:r>
            <w:r>
              <w:rPr>
                <w:rFonts w:hint="eastAsia" w:ascii="宋体" w:hAnsi="宋体" w:eastAsia="宋体" w:cs="宋体"/>
                <w:sz w:val="19"/>
                <w:szCs w:val="19"/>
              </w:rPr>
              <w:br w:type="textWrapping"/>
            </w:r>
            <w:r>
              <w:rPr>
                <w:rFonts w:hint="eastAsia" w:ascii="宋体" w:hAnsi="宋体" w:eastAsia="宋体" w:cs="宋体"/>
                <w:sz w:val="19"/>
                <w:szCs w:val="19"/>
              </w:rPr>
              <w:t>  功耗     6W</w:t>
            </w:r>
          </w:p>
        </w:tc>
        <w:tc>
          <w:tcPr>
            <w:tcW w:w="467"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tc>
      </w:tr>
      <w:tr>
        <w:trPr>
          <w:trHeight w:val="2850" w:hRule="atLeast"/>
          <w:tblCellSpacing w:w="15" w:type="dxa"/>
        </w:trPr>
        <w:tc>
          <w:tcPr>
            <w:tcW w:w="36" w:type="dxa"/>
            <w:tcBorders>
              <w:top w:val="nil"/>
              <w:left w:val="single" w:color="auto" w:sz="6" w:space="0"/>
              <w:bottom w:val="single" w:color="auto" w:sz="6" w:space="0"/>
              <w:right w:val="single" w:color="auto" w:sz="6" w:space="0"/>
            </w:tcBorders>
            <w:shd w:val="clear" w:color="auto" w:fill="FFFFFF"/>
            <w:tcMar>
              <w:top w:w="0" w:type="dxa"/>
              <w:left w:w="0" w:type="dxa"/>
              <w:bottom w:w="0" w:type="dxa"/>
              <w:right w:w="0" w:type="dxa"/>
            </w:tcMar>
            <w:vAlign w:val="center"/>
          </w:tcPr>
          <w:p>
            <w:pPr>
              <w:keepNext w:val="0"/>
              <w:keepLines w:val="0"/>
              <w:widowControl/>
              <w:suppressLineNumbers w:val="0"/>
              <w:jc w:val="left"/>
            </w:pPr>
          </w:p>
        </w:tc>
        <w:tc>
          <w:tcPr>
            <w:tcW w:w="937"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jc w:val="center"/>
            </w:pPr>
            <w:r>
              <w:rPr>
                <w:rFonts w:hint="default" w:ascii="Calibri" w:hAnsi="Calibri" w:cs="Calibri"/>
                <w:sz w:val="24"/>
                <w:szCs w:val="24"/>
              </w:rPr>
              <w:t>1-2-56</w:t>
            </w:r>
          </w:p>
        </w:tc>
        <w:tc>
          <w:tcPr>
            <w:tcW w:w="888"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pPr>
            <w:r>
              <w:rPr>
                <w:rFonts w:hint="eastAsia" w:ascii="宋体" w:hAnsi="宋体" w:eastAsia="宋体" w:cs="宋体"/>
                <w:sz w:val="19"/>
                <w:szCs w:val="19"/>
              </w:rPr>
              <w:t>280Kg双门磁力锁</w:t>
            </w:r>
          </w:p>
        </w:tc>
        <w:tc>
          <w:tcPr>
            <w:tcW w:w="529"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jc w:val="center"/>
            </w:pPr>
            <w:r>
              <w:rPr>
                <w:rFonts w:hint="eastAsia" w:ascii="宋体" w:hAnsi="宋体" w:eastAsia="宋体" w:cs="宋体"/>
                <w:sz w:val="19"/>
                <w:szCs w:val="19"/>
              </w:rPr>
              <w:t>只</w:t>
            </w:r>
          </w:p>
        </w:tc>
        <w:tc>
          <w:tcPr>
            <w:tcW w:w="529"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jc w:val="center"/>
            </w:pPr>
            <w:r>
              <w:rPr>
                <w:rFonts w:hint="eastAsia" w:ascii="宋体" w:hAnsi="宋体" w:eastAsia="宋体" w:cs="宋体"/>
                <w:sz w:val="19"/>
                <w:szCs w:val="19"/>
              </w:rPr>
              <w:t>4</w:t>
            </w:r>
          </w:p>
        </w:tc>
        <w:tc>
          <w:tcPr>
            <w:tcW w:w="6378"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pPr>
            <w:r>
              <w:rPr>
                <w:rFonts w:hint="eastAsia" w:ascii="宋体" w:hAnsi="宋体" w:eastAsia="宋体" w:cs="宋体"/>
                <w:sz w:val="19"/>
                <w:szCs w:val="19"/>
              </w:rPr>
              <w:t>上锁时NO输出</w:t>
            </w:r>
            <w:r>
              <w:rPr>
                <w:rFonts w:hint="eastAsia" w:ascii="宋体" w:hAnsi="宋体" w:eastAsia="宋体" w:cs="宋体"/>
                <w:sz w:val="19"/>
                <w:szCs w:val="19"/>
              </w:rPr>
              <w:br w:type="textWrapping"/>
            </w:r>
            <w:r>
              <w:rPr>
                <w:rFonts w:hint="eastAsia" w:ascii="宋体" w:hAnsi="宋体" w:eastAsia="宋体" w:cs="宋体"/>
                <w:sz w:val="19"/>
                <w:szCs w:val="19"/>
              </w:rPr>
              <w:t>  开锁时NC输出</w:t>
            </w:r>
            <w:r>
              <w:rPr>
                <w:rFonts w:hint="eastAsia" w:ascii="宋体" w:hAnsi="宋体" w:eastAsia="宋体" w:cs="宋体"/>
                <w:sz w:val="19"/>
                <w:szCs w:val="19"/>
              </w:rPr>
              <w:br w:type="textWrapping"/>
            </w:r>
            <w:r>
              <w:rPr>
                <w:rFonts w:hint="eastAsia" w:ascii="宋体" w:hAnsi="宋体" w:eastAsia="宋体" w:cs="宋体"/>
                <w:sz w:val="19"/>
                <w:szCs w:val="19"/>
              </w:rPr>
              <w:t>  最大拉力280kg×2静态直线拉力</w:t>
            </w:r>
            <w:r>
              <w:rPr>
                <w:rFonts w:hint="eastAsia" w:ascii="宋体" w:hAnsi="宋体" w:eastAsia="宋体" w:cs="宋体"/>
                <w:sz w:val="19"/>
                <w:szCs w:val="19"/>
              </w:rPr>
              <w:br w:type="textWrapping"/>
            </w:r>
            <w:r>
              <w:rPr>
                <w:rFonts w:hint="eastAsia" w:ascii="宋体" w:hAnsi="宋体" w:eastAsia="宋体" w:cs="宋体"/>
                <w:sz w:val="19"/>
                <w:szCs w:val="19"/>
              </w:rPr>
              <w:t>  适用于木门、金属门、防火门/国内标配</w:t>
            </w:r>
            <w:r>
              <w:rPr>
                <w:rFonts w:hint="eastAsia" w:ascii="宋体" w:hAnsi="宋体" w:eastAsia="宋体" w:cs="宋体"/>
                <w:sz w:val="19"/>
                <w:szCs w:val="19"/>
              </w:rPr>
              <w:br w:type="textWrapping"/>
            </w:r>
            <w:r>
              <w:rPr>
                <w:rFonts w:hint="eastAsia" w:ascii="宋体" w:hAnsi="宋体" w:eastAsia="宋体" w:cs="宋体"/>
                <w:sz w:val="19"/>
                <w:szCs w:val="19"/>
              </w:rPr>
              <w:t>  输入电压 DC12V或DC24V</w:t>
            </w:r>
            <w:r>
              <w:rPr>
                <w:rFonts w:hint="eastAsia" w:ascii="宋体" w:hAnsi="宋体" w:eastAsia="宋体" w:cs="宋体"/>
                <w:sz w:val="19"/>
                <w:szCs w:val="19"/>
              </w:rPr>
              <w:br w:type="textWrapping"/>
            </w:r>
            <w:r>
              <w:rPr>
                <w:rFonts w:hint="eastAsia" w:ascii="宋体" w:hAnsi="宋体" w:eastAsia="宋体" w:cs="宋体"/>
                <w:sz w:val="19"/>
                <w:szCs w:val="19"/>
              </w:rPr>
              <w:t>  支持门磁输出</w:t>
            </w:r>
            <w:r>
              <w:rPr>
                <w:rFonts w:hint="eastAsia" w:ascii="宋体" w:hAnsi="宋体" w:eastAsia="宋体" w:cs="宋体"/>
                <w:sz w:val="19"/>
                <w:szCs w:val="19"/>
              </w:rPr>
              <w:br w:type="textWrapping"/>
            </w:r>
            <w:r>
              <w:rPr>
                <w:rFonts w:hint="eastAsia" w:ascii="宋体" w:hAnsi="宋体" w:eastAsia="宋体" w:cs="宋体"/>
                <w:sz w:val="19"/>
                <w:szCs w:val="19"/>
              </w:rPr>
              <w:t>  使用环境：室内</w:t>
            </w:r>
            <w:r>
              <w:rPr>
                <w:rFonts w:hint="eastAsia" w:ascii="宋体" w:hAnsi="宋体" w:eastAsia="宋体" w:cs="宋体"/>
                <w:sz w:val="19"/>
                <w:szCs w:val="19"/>
              </w:rPr>
              <w:br w:type="textWrapping"/>
            </w:r>
            <w:r>
              <w:rPr>
                <w:rFonts w:hint="eastAsia" w:ascii="宋体" w:hAnsi="宋体" w:eastAsia="宋体" w:cs="宋体"/>
                <w:sz w:val="19"/>
                <w:szCs w:val="19"/>
              </w:rPr>
              <w:t>  工作电流  12V/500mA   x2 ，24V/250mAx2</w:t>
            </w:r>
            <w:r>
              <w:rPr>
                <w:rFonts w:hint="eastAsia" w:ascii="宋体" w:hAnsi="宋体" w:eastAsia="宋体" w:cs="宋体"/>
                <w:sz w:val="19"/>
                <w:szCs w:val="19"/>
              </w:rPr>
              <w:br w:type="textWrapping"/>
            </w:r>
            <w:r>
              <w:rPr>
                <w:rFonts w:hint="eastAsia" w:ascii="宋体" w:hAnsi="宋体" w:eastAsia="宋体" w:cs="宋体"/>
                <w:sz w:val="19"/>
                <w:szCs w:val="19"/>
              </w:rPr>
              <w:t>  功耗     12W</w:t>
            </w:r>
          </w:p>
        </w:tc>
        <w:tc>
          <w:tcPr>
            <w:tcW w:w="467"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tc>
      </w:tr>
      <w:tr>
        <w:trPr>
          <w:trHeight w:val="1305" w:hRule="atLeast"/>
          <w:tblCellSpacing w:w="15" w:type="dxa"/>
        </w:trPr>
        <w:tc>
          <w:tcPr>
            <w:tcW w:w="36" w:type="dxa"/>
            <w:tcBorders>
              <w:top w:val="nil"/>
              <w:left w:val="nil"/>
              <w:bottom w:val="single" w:color="auto" w:sz="6" w:space="0"/>
              <w:right w:val="nil"/>
            </w:tcBorders>
            <w:shd w:val="clear" w:color="auto" w:fill="FFFFFF"/>
            <w:vAlign w:val="center"/>
          </w:tcPr>
          <w:p>
            <w:pPr>
              <w:keepNext w:val="0"/>
              <w:keepLines w:val="0"/>
              <w:widowControl/>
              <w:suppressLineNumbers w:val="0"/>
              <w:jc w:val="left"/>
            </w:pPr>
          </w:p>
        </w:tc>
        <w:tc>
          <w:tcPr>
            <w:tcW w:w="937" w:type="dxa"/>
            <w:gridSpan w:val="3"/>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jc w:val="center"/>
            </w:pPr>
            <w:r>
              <w:rPr>
                <w:rFonts w:hint="default" w:ascii="Calibri" w:hAnsi="Calibri" w:cs="Calibri"/>
                <w:sz w:val="24"/>
                <w:szCs w:val="24"/>
              </w:rPr>
              <w:t>1-2-57</w:t>
            </w:r>
          </w:p>
        </w:tc>
        <w:tc>
          <w:tcPr>
            <w:tcW w:w="888"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pPr>
            <w:r>
              <w:rPr>
                <w:rFonts w:hint="eastAsia" w:ascii="宋体" w:hAnsi="宋体" w:eastAsia="宋体" w:cs="宋体"/>
                <w:sz w:val="19"/>
                <w:szCs w:val="19"/>
              </w:rPr>
              <w:t>280Kg磁力锁LZ支架</w:t>
            </w:r>
          </w:p>
        </w:tc>
        <w:tc>
          <w:tcPr>
            <w:tcW w:w="529"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jc w:val="center"/>
            </w:pPr>
            <w:r>
              <w:rPr>
                <w:rFonts w:hint="eastAsia" w:ascii="宋体" w:hAnsi="宋体" w:eastAsia="宋体" w:cs="宋体"/>
                <w:sz w:val="19"/>
                <w:szCs w:val="19"/>
              </w:rPr>
              <w:t>只</w:t>
            </w:r>
          </w:p>
        </w:tc>
        <w:tc>
          <w:tcPr>
            <w:tcW w:w="529"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jc w:val="center"/>
            </w:pPr>
            <w:r>
              <w:rPr>
                <w:rFonts w:hint="eastAsia" w:ascii="宋体" w:hAnsi="宋体" w:eastAsia="宋体" w:cs="宋体"/>
                <w:sz w:val="19"/>
                <w:szCs w:val="19"/>
              </w:rPr>
              <w:t>1</w:t>
            </w:r>
          </w:p>
        </w:tc>
        <w:tc>
          <w:tcPr>
            <w:tcW w:w="6378"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pPr>
            <w:r>
              <w:rPr>
                <w:rFonts w:hint="eastAsia" w:ascii="宋体" w:hAnsi="宋体" w:eastAsia="宋体" w:cs="宋体"/>
                <w:sz w:val="19"/>
                <w:szCs w:val="19"/>
              </w:rPr>
              <w:t>L型支架尺寸：长240×宽47×厚28.5mm</w:t>
            </w:r>
            <w:r>
              <w:rPr>
                <w:rFonts w:hint="eastAsia" w:ascii="宋体" w:hAnsi="宋体" w:eastAsia="宋体" w:cs="宋体"/>
                <w:sz w:val="19"/>
                <w:szCs w:val="19"/>
              </w:rPr>
              <w:br w:type="textWrapping"/>
            </w:r>
            <w:r>
              <w:rPr>
                <w:rFonts w:hint="eastAsia" w:ascii="宋体" w:hAnsi="宋体" w:eastAsia="宋体" w:cs="宋体"/>
                <w:sz w:val="19"/>
                <w:szCs w:val="19"/>
              </w:rPr>
              <w:t>  Z型支架尺寸：长180×宽50×厚50mm</w:t>
            </w:r>
            <w:r>
              <w:rPr>
                <w:rFonts w:hint="eastAsia" w:ascii="宋体" w:hAnsi="宋体" w:eastAsia="宋体" w:cs="宋体"/>
                <w:sz w:val="19"/>
                <w:szCs w:val="19"/>
              </w:rPr>
              <w:br w:type="textWrapping"/>
            </w:r>
            <w:r>
              <w:rPr>
                <w:rFonts w:hint="eastAsia" w:ascii="宋体" w:hAnsi="宋体" w:eastAsia="宋体" w:cs="宋体"/>
                <w:sz w:val="19"/>
                <w:szCs w:val="19"/>
              </w:rPr>
              <w:t>  开门角度：90°</w:t>
            </w:r>
            <w:r>
              <w:rPr>
                <w:rFonts w:hint="eastAsia" w:ascii="宋体" w:hAnsi="宋体" w:eastAsia="宋体" w:cs="宋体"/>
                <w:sz w:val="19"/>
                <w:szCs w:val="19"/>
              </w:rPr>
              <w:br w:type="textWrapping"/>
            </w:r>
            <w:r>
              <w:rPr>
                <w:rFonts w:hint="eastAsia" w:ascii="宋体" w:hAnsi="宋体" w:eastAsia="宋体" w:cs="宋体"/>
                <w:sz w:val="19"/>
                <w:szCs w:val="19"/>
              </w:rPr>
              <w:t>  适用门类型：内开式木门/金属门/窄框门</w:t>
            </w:r>
          </w:p>
        </w:tc>
        <w:tc>
          <w:tcPr>
            <w:tcW w:w="467"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tc>
      </w:tr>
      <w:tr>
        <w:trPr>
          <w:trHeight w:val="90" w:hRule="atLeast"/>
          <w:tblCellSpacing w:w="15" w:type="dxa"/>
        </w:trPr>
        <w:tc>
          <w:tcPr>
            <w:tcW w:w="9944" w:type="dxa"/>
            <w:gridSpan w:val="17"/>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top"/>
          </w:tcPr>
          <w:p>
            <w:pPr>
              <w:pStyle w:val="4"/>
              <w:keepNext w:val="0"/>
              <w:keepLines w:val="0"/>
              <w:widowControl/>
              <w:suppressLineNumbers w:val="0"/>
              <w:spacing w:line="315" w:lineRule="atLeast"/>
              <w:jc w:val="left"/>
            </w:pPr>
            <w:r>
              <w:rPr>
                <w:rFonts w:hint="eastAsia" w:ascii="宋体" w:hAnsi="宋体" w:eastAsia="宋体" w:cs="宋体"/>
                <w:sz w:val="24"/>
                <w:szCs w:val="24"/>
              </w:rPr>
              <w:t>机房管理系统</w:t>
            </w:r>
          </w:p>
          <w:p>
            <w:pPr>
              <w:pStyle w:val="4"/>
              <w:keepNext w:val="0"/>
              <w:keepLines w:val="0"/>
              <w:widowControl/>
              <w:suppressLineNumbers w:val="0"/>
              <w:spacing w:line="315" w:lineRule="atLeast"/>
              <w:jc w:val="center"/>
            </w:pPr>
            <w:r>
              <w:rPr>
                <w:rFonts w:hint="default" w:ascii="Calibri" w:hAnsi="Calibri" w:cs="Calibri"/>
                <w:sz w:val="31"/>
                <w:szCs w:val="31"/>
              </w:rPr>
              <w:t> </w:t>
            </w:r>
          </w:p>
        </w:tc>
      </w:tr>
      <w:tr>
        <w:trPr>
          <w:trHeight w:val="960" w:hRule="atLeast"/>
          <w:tblCellSpacing w:w="15" w:type="dxa"/>
        </w:trPr>
        <w:tc>
          <w:tcPr>
            <w:tcW w:w="905" w:type="dxa"/>
            <w:gridSpan w:val="2"/>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jc w:val="center"/>
            </w:pPr>
            <w:r>
              <w:rPr>
                <w:rStyle w:val="6"/>
                <w:rFonts w:hint="eastAsia" w:ascii="宋体" w:hAnsi="宋体" w:eastAsia="宋体" w:cs="宋体"/>
                <w:b/>
              </w:rPr>
              <w:t>序号</w:t>
            </w:r>
          </w:p>
        </w:tc>
        <w:tc>
          <w:tcPr>
            <w:tcW w:w="890"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jc w:val="center"/>
            </w:pPr>
            <w:r>
              <w:rPr>
                <w:rStyle w:val="6"/>
                <w:rFonts w:hint="eastAsia" w:ascii="宋体" w:hAnsi="宋体" w:eastAsia="宋体" w:cs="宋体"/>
                <w:b/>
              </w:rPr>
              <w:t>设备名 称</w:t>
            </w:r>
          </w:p>
        </w:tc>
        <w:tc>
          <w:tcPr>
            <w:tcW w:w="527"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jc w:val="center"/>
            </w:pPr>
            <w:r>
              <w:rPr>
                <w:rStyle w:val="6"/>
                <w:rFonts w:hint="eastAsia" w:ascii="宋体" w:hAnsi="宋体" w:eastAsia="宋体" w:cs="宋体"/>
                <w:b/>
              </w:rPr>
              <w:t>单位</w:t>
            </w:r>
          </w:p>
        </w:tc>
        <w:tc>
          <w:tcPr>
            <w:tcW w:w="529"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jc w:val="center"/>
            </w:pPr>
            <w:r>
              <w:rPr>
                <w:rStyle w:val="6"/>
                <w:rFonts w:hint="eastAsia" w:ascii="宋体" w:hAnsi="宋体" w:eastAsia="宋体" w:cs="宋体"/>
                <w:b/>
              </w:rPr>
              <w:t>数量</w:t>
            </w:r>
          </w:p>
        </w:tc>
        <w:tc>
          <w:tcPr>
            <w:tcW w:w="6407"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jc w:val="center"/>
            </w:pPr>
            <w:r>
              <w:rPr>
                <w:rStyle w:val="6"/>
                <w:rFonts w:hint="eastAsia" w:ascii="宋体" w:hAnsi="宋体" w:eastAsia="宋体" w:cs="宋体"/>
                <w:b/>
              </w:rPr>
              <w:t>技术参数</w:t>
            </w:r>
          </w:p>
        </w:tc>
        <w:tc>
          <w:tcPr>
            <w:tcW w:w="536"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jc w:val="center"/>
            </w:pPr>
            <w:r>
              <w:rPr>
                <w:rStyle w:val="6"/>
                <w:rFonts w:hint="eastAsia" w:ascii="宋体" w:hAnsi="宋体" w:eastAsia="宋体" w:cs="宋体"/>
                <w:b/>
              </w:rPr>
              <w:t>备注</w:t>
            </w:r>
          </w:p>
        </w:tc>
      </w:tr>
      <w:tr>
        <w:trPr>
          <w:trHeight w:val="3585" w:hRule="atLeast"/>
          <w:tblCellSpacing w:w="15" w:type="dxa"/>
        </w:trPr>
        <w:tc>
          <w:tcPr>
            <w:tcW w:w="905" w:type="dxa"/>
            <w:gridSpan w:val="2"/>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jc w:val="center"/>
            </w:pPr>
            <w:r>
              <w:rPr>
                <w:rFonts w:hint="default" w:ascii="Calibri" w:hAnsi="Calibri" w:cs="Calibri"/>
                <w:sz w:val="24"/>
                <w:szCs w:val="24"/>
              </w:rPr>
              <w:t>1-2-58</w:t>
            </w:r>
          </w:p>
        </w:tc>
        <w:tc>
          <w:tcPr>
            <w:tcW w:w="890"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pPr>
            <w:r>
              <w:rPr>
                <w:rFonts w:hint="eastAsia" w:ascii="宋体" w:hAnsi="宋体" w:eastAsia="宋体" w:cs="宋体"/>
                <w:sz w:val="24"/>
                <w:szCs w:val="24"/>
              </w:rPr>
              <w:t>机房UPS系统</w:t>
            </w:r>
          </w:p>
        </w:tc>
        <w:tc>
          <w:tcPr>
            <w:tcW w:w="527"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jc w:val="center"/>
            </w:pPr>
            <w:r>
              <w:rPr>
                <w:rFonts w:hint="eastAsia" w:ascii="宋体" w:hAnsi="宋体" w:eastAsia="宋体" w:cs="宋体"/>
                <w:sz w:val="24"/>
                <w:szCs w:val="24"/>
              </w:rPr>
              <w:t>套</w:t>
            </w:r>
          </w:p>
        </w:tc>
        <w:tc>
          <w:tcPr>
            <w:tcW w:w="529"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jc w:val="center"/>
            </w:pPr>
            <w:r>
              <w:rPr>
                <w:rFonts w:hint="eastAsia" w:ascii="宋体" w:hAnsi="宋体" w:eastAsia="宋体" w:cs="宋体"/>
                <w:sz w:val="24"/>
                <w:szCs w:val="24"/>
              </w:rPr>
              <w:t>2</w:t>
            </w:r>
          </w:p>
        </w:tc>
        <w:tc>
          <w:tcPr>
            <w:tcW w:w="6407"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pPr>
            <w:r>
              <w:rPr>
                <w:rFonts w:hint="eastAsia" w:ascii="宋体" w:hAnsi="宋体" w:eastAsia="宋体" w:cs="宋体"/>
                <w:sz w:val="24"/>
                <w:szCs w:val="24"/>
              </w:rPr>
              <w:t>UPS主机2台：</w:t>
            </w:r>
          </w:p>
          <w:p>
            <w:pPr>
              <w:pStyle w:val="4"/>
              <w:keepNext w:val="0"/>
              <w:keepLines w:val="0"/>
              <w:widowControl/>
              <w:suppressLineNumbers w:val="0"/>
              <w:spacing w:line="315" w:lineRule="atLeast"/>
            </w:pPr>
            <w:r>
              <w:rPr>
                <w:rFonts w:hint="eastAsia" w:ascii="宋体" w:hAnsi="宋体" w:eastAsia="宋体" w:cs="宋体"/>
                <w:sz w:val="24"/>
                <w:szCs w:val="24"/>
              </w:rPr>
              <w:t>额定容量(KVA)：20KVA（14KW）</w:t>
            </w:r>
          </w:p>
          <w:p>
            <w:pPr>
              <w:pStyle w:val="4"/>
              <w:keepNext w:val="0"/>
              <w:keepLines w:val="0"/>
              <w:widowControl/>
              <w:suppressLineNumbers w:val="0"/>
              <w:spacing w:line="315" w:lineRule="atLeast"/>
            </w:pPr>
            <w:r>
              <w:rPr>
                <w:rFonts w:hint="eastAsia" w:ascii="宋体" w:hAnsi="宋体" w:eastAsia="宋体" w:cs="宋体"/>
                <w:sz w:val="24"/>
                <w:szCs w:val="24"/>
              </w:rPr>
              <w:t>输出电压范围(V)：220/230/240 ±2%V</w:t>
            </w:r>
          </w:p>
          <w:p>
            <w:pPr>
              <w:pStyle w:val="4"/>
              <w:keepNext w:val="0"/>
              <w:keepLines w:val="0"/>
              <w:widowControl/>
              <w:suppressLineNumbers w:val="0"/>
              <w:spacing w:line="315" w:lineRule="atLeast"/>
            </w:pPr>
            <w:r>
              <w:rPr>
                <w:rFonts w:hint="eastAsia" w:ascii="宋体" w:hAnsi="宋体" w:eastAsia="宋体" w:cs="宋体"/>
                <w:sz w:val="24"/>
                <w:szCs w:val="24"/>
              </w:rPr>
              <w:t>输入电压范围(V)：180-255</w:t>
            </w:r>
          </w:p>
          <w:p>
            <w:pPr>
              <w:pStyle w:val="4"/>
              <w:keepNext w:val="0"/>
              <w:keepLines w:val="0"/>
              <w:widowControl/>
              <w:suppressLineNumbers w:val="0"/>
              <w:spacing w:line="315" w:lineRule="atLeast"/>
            </w:pPr>
            <w:r>
              <w:rPr>
                <w:rFonts w:hint="eastAsia" w:ascii="宋体" w:hAnsi="宋体" w:eastAsia="宋体" w:cs="宋体"/>
                <w:sz w:val="24"/>
                <w:szCs w:val="24"/>
              </w:rPr>
              <w:t>噪声(dBA)：≤ 60</w:t>
            </w:r>
          </w:p>
          <w:p>
            <w:pPr>
              <w:pStyle w:val="4"/>
              <w:keepNext w:val="0"/>
              <w:keepLines w:val="0"/>
              <w:widowControl/>
              <w:suppressLineNumbers w:val="0"/>
              <w:spacing w:line="315" w:lineRule="atLeast"/>
            </w:pPr>
            <w:r>
              <w:rPr>
                <w:rFonts w:hint="eastAsia" w:ascii="宋体" w:hAnsi="宋体" w:eastAsia="宋体" w:cs="宋体"/>
                <w:sz w:val="24"/>
                <w:szCs w:val="24"/>
              </w:rPr>
              <w:t>输出电压范围(V)：220/230/240 ±2%V</w:t>
            </w:r>
          </w:p>
          <w:p>
            <w:pPr>
              <w:pStyle w:val="4"/>
              <w:keepNext w:val="0"/>
              <w:keepLines w:val="0"/>
              <w:widowControl/>
              <w:suppressLineNumbers w:val="0"/>
              <w:spacing w:line="315" w:lineRule="atLeast"/>
            </w:pPr>
            <w:r>
              <w:rPr>
                <w:rFonts w:hint="eastAsia" w:ascii="宋体" w:hAnsi="宋体" w:eastAsia="宋体" w:cs="宋体"/>
                <w:sz w:val="24"/>
                <w:szCs w:val="24"/>
              </w:rPr>
              <w:t>输出电压频率范围(Hz)：45 – 55</w:t>
            </w:r>
          </w:p>
          <w:p>
            <w:pPr>
              <w:pStyle w:val="4"/>
              <w:keepNext w:val="0"/>
              <w:keepLines w:val="0"/>
              <w:widowControl/>
              <w:suppressLineNumbers w:val="0"/>
              <w:spacing w:line="315" w:lineRule="atLeast"/>
            </w:pPr>
            <w:r>
              <w:rPr>
                <w:rFonts w:hint="eastAsia" w:ascii="宋体" w:hAnsi="宋体" w:eastAsia="宋体" w:cs="宋体"/>
                <w:sz w:val="24"/>
                <w:szCs w:val="24"/>
              </w:rPr>
              <w:t>输入电压频率范围(Hz)：45-55</w:t>
            </w:r>
          </w:p>
          <w:p>
            <w:pPr>
              <w:pStyle w:val="4"/>
              <w:keepNext w:val="0"/>
              <w:keepLines w:val="0"/>
              <w:widowControl/>
              <w:suppressLineNumbers w:val="0"/>
              <w:spacing w:line="315" w:lineRule="atLeast"/>
            </w:pPr>
            <w:r>
              <w:rPr>
                <w:rFonts w:hint="eastAsia" w:ascii="宋体" w:hAnsi="宋体" w:eastAsia="宋体" w:cs="宋体"/>
                <w:sz w:val="24"/>
                <w:szCs w:val="24"/>
              </w:rPr>
              <w:t>UPS电池32节：12V   100AH</w:t>
            </w:r>
          </w:p>
        </w:tc>
        <w:tc>
          <w:tcPr>
            <w:tcW w:w="536"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tc>
      </w:tr>
      <w:tr>
        <w:trPr>
          <w:trHeight w:val="12360" w:hRule="atLeast"/>
          <w:tblCellSpacing w:w="15" w:type="dxa"/>
        </w:trPr>
        <w:tc>
          <w:tcPr>
            <w:tcW w:w="905" w:type="dxa"/>
            <w:gridSpan w:val="2"/>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jc w:val="center"/>
            </w:pPr>
            <w:r>
              <w:rPr>
                <w:rFonts w:hint="default" w:ascii="Calibri" w:hAnsi="Calibri" w:cs="Calibri"/>
                <w:sz w:val="24"/>
                <w:szCs w:val="24"/>
              </w:rPr>
              <w:t>1-2-59</w:t>
            </w:r>
          </w:p>
        </w:tc>
        <w:tc>
          <w:tcPr>
            <w:tcW w:w="890"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pPr>
            <w:r>
              <w:rPr>
                <w:rFonts w:hint="eastAsia" w:ascii="宋体" w:hAnsi="宋体" w:eastAsia="宋体" w:cs="宋体"/>
                <w:sz w:val="24"/>
                <w:szCs w:val="24"/>
              </w:rPr>
              <w:t>机密空调系统</w:t>
            </w:r>
          </w:p>
        </w:tc>
        <w:tc>
          <w:tcPr>
            <w:tcW w:w="527"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jc w:val="center"/>
            </w:pPr>
            <w:r>
              <w:rPr>
                <w:rFonts w:hint="eastAsia" w:ascii="宋体" w:hAnsi="宋体" w:eastAsia="宋体" w:cs="宋体"/>
                <w:sz w:val="24"/>
                <w:szCs w:val="24"/>
              </w:rPr>
              <w:t>台</w:t>
            </w:r>
          </w:p>
        </w:tc>
        <w:tc>
          <w:tcPr>
            <w:tcW w:w="529"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jc w:val="center"/>
            </w:pPr>
            <w:r>
              <w:rPr>
                <w:rFonts w:hint="eastAsia" w:ascii="宋体" w:hAnsi="宋体" w:eastAsia="宋体" w:cs="宋体"/>
                <w:sz w:val="24"/>
                <w:szCs w:val="24"/>
              </w:rPr>
              <w:t>2</w:t>
            </w:r>
          </w:p>
        </w:tc>
        <w:tc>
          <w:tcPr>
            <w:tcW w:w="6407"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wordWrap w:val="0"/>
              <w:spacing w:line="315" w:lineRule="atLeast"/>
              <w:ind w:left="0" w:firstLine="0"/>
            </w:pPr>
            <w:r>
              <w:rPr>
                <w:rFonts w:hint="default" w:ascii="Calibri" w:hAnsi="Calibri" w:cs="Calibri"/>
                <w:color w:val="000000"/>
                <w:sz w:val="24"/>
                <w:szCs w:val="24"/>
              </w:rPr>
              <w:t>1</w:t>
            </w:r>
            <w:r>
              <w:rPr>
                <w:rFonts w:hint="eastAsia" w:ascii="宋体" w:hAnsi="宋体" w:eastAsia="宋体" w:cs="宋体"/>
                <w:color w:val="000000"/>
                <w:sz w:val="24"/>
                <w:szCs w:val="24"/>
              </w:rPr>
              <w:t>、</w:t>
            </w:r>
            <w:r>
              <w:rPr>
                <w:rFonts w:hint="default" w:ascii="Times New Roman" w:hAnsi="Times New Roman" w:cs="Times New Roman"/>
                <w:color w:val="000000"/>
                <w:sz w:val="13"/>
                <w:szCs w:val="13"/>
              </w:rPr>
              <w:t xml:space="preserve">      </w:t>
            </w:r>
            <w:r>
              <w:rPr>
                <w:rFonts w:hint="eastAsia" w:ascii="宋体" w:hAnsi="宋体" w:eastAsia="宋体" w:cs="宋体"/>
                <w:sz w:val="24"/>
                <w:szCs w:val="24"/>
              </w:rPr>
              <w:t>连续工作时常：全年运行</w:t>
            </w:r>
          </w:p>
          <w:p>
            <w:pPr>
              <w:pStyle w:val="4"/>
              <w:keepNext w:val="0"/>
              <w:keepLines w:val="0"/>
              <w:widowControl/>
              <w:suppressLineNumbers w:val="0"/>
              <w:wordWrap w:val="0"/>
              <w:spacing w:line="315" w:lineRule="atLeast"/>
              <w:ind w:left="0" w:firstLine="0"/>
            </w:pPr>
            <w:r>
              <w:rPr>
                <w:rFonts w:hint="default" w:ascii="Calibri" w:hAnsi="Calibri" w:cs="Calibri"/>
                <w:color w:val="000000"/>
                <w:sz w:val="24"/>
                <w:szCs w:val="24"/>
              </w:rPr>
              <w:t>2</w:t>
            </w:r>
            <w:r>
              <w:rPr>
                <w:rFonts w:hint="eastAsia" w:ascii="宋体" w:hAnsi="宋体" w:eastAsia="宋体" w:cs="宋体"/>
                <w:color w:val="000000"/>
                <w:sz w:val="24"/>
                <w:szCs w:val="24"/>
              </w:rPr>
              <w:t>、</w:t>
            </w:r>
            <w:r>
              <w:rPr>
                <w:rFonts w:hint="default" w:ascii="Times New Roman" w:hAnsi="Times New Roman" w:cs="Times New Roman"/>
                <w:color w:val="000000"/>
                <w:sz w:val="13"/>
                <w:szCs w:val="13"/>
              </w:rPr>
              <w:t xml:space="preserve">      </w:t>
            </w:r>
            <w:r>
              <w:rPr>
                <w:rFonts w:hint="eastAsia" w:ascii="宋体" w:hAnsi="宋体" w:eastAsia="宋体" w:cs="宋体"/>
                <w:sz w:val="24"/>
                <w:szCs w:val="24"/>
              </w:rPr>
              <w:t>送风方向：下送风</w:t>
            </w:r>
          </w:p>
          <w:p>
            <w:pPr>
              <w:pStyle w:val="4"/>
              <w:keepNext w:val="0"/>
              <w:keepLines w:val="0"/>
              <w:widowControl/>
              <w:suppressLineNumbers w:val="0"/>
              <w:wordWrap w:val="0"/>
              <w:spacing w:line="315" w:lineRule="atLeast"/>
              <w:ind w:left="0" w:firstLine="0"/>
            </w:pPr>
            <w:r>
              <w:rPr>
                <w:rFonts w:hint="default" w:ascii="Calibri" w:hAnsi="Calibri" w:cs="Calibri"/>
                <w:color w:val="000000"/>
                <w:sz w:val="24"/>
                <w:szCs w:val="24"/>
              </w:rPr>
              <w:t>3</w:t>
            </w:r>
            <w:r>
              <w:rPr>
                <w:rFonts w:hint="eastAsia" w:ascii="宋体" w:hAnsi="宋体" w:eastAsia="宋体" w:cs="宋体"/>
                <w:color w:val="000000"/>
                <w:sz w:val="24"/>
                <w:szCs w:val="24"/>
              </w:rPr>
              <w:t>、</w:t>
            </w:r>
            <w:r>
              <w:rPr>
                <w:rFonts w:hint="default" w:ascii="Times New Roman" w:hAnsi="Times New Roman" w:cs="Times New Roman"/>
                <w:color w:val="000000"/>
                <w:sz w:val="13"/>
                <w:szCs w:val="13"/>
              </w:rPr>
              <w:t xml:space="preserve">      </w:t>
            </w:r>
            <w:r>
              <w:rPr>
                <w:rFonts w:hint="eastAsia" w:ascii="宋体" w:hAnsi="宋体" w:eastAsia="宋体" w:cs="宋体"/>
                <w:sz w:val="24"/>
                <w:szCs w:val="24"/>
              </w:rPr>
              <w:t>总冷量（kw）：≥20.0</w:t>
            </w:r>
          </w:p>
          <w:p>
            <w:pPr>
              <w:pStyle w:val="4"/>
              <w:keepNext w:val="0"/>
              <w:keepLines w:val="0"/>
              <w:widowControl/>
              <w:suppressLineNumbers w:val="0"/>
              <w:wordWrap w:val="0"/>
              <w:spacing w:line="315" w:lineRule="atLeast"/>
              <w:ind w:left="0" w:firstLine="0"/>
            </w:pPr>
            <w:r>
              <w:rPr>
                <w:rFonts w:hint="default" w:ascii="Calibri" w:hAnsi="Calibri" w:cs="Calibri"/>
                <w:color w:val="000000"/>
                <w:sz w:val="24"/>
                <w:szCs w:val="24"/>
              </w:rPr>
              <w:t>4</w:t>
            </w:r>
            <w:r>
              <w:rPr>
                <w:rFonts w:hint="eastAsia" w:ascii="宋体" w:hAnsi="宋体" w:eastAsia="宋体" w:cs="宋体"/>
                <w:color w:val="000000"/>
                <w:sz w:val="24"/>
                <w:szCs w:val="24"/>
              </w:rPr>
              <w:t>、</w:t>
            </w:r>
            <w:r>
              <w:rPr>
                <w:rFonts w:hint="default" w:ascii="Times New Roman" w:hAnsi="Times New Roman" w:cs="Times New Roman"/>
                <w:color w:val="000000"/>
                <w:sz w:val="13"/>
                <w:szCs w:val="13"/>
              </w:rPr>
              <w:t xml:space="preserve">      </w:t>
            </w:r>
            <w:r>
              <w:rPr>
                <w:rFonts w:hint="eastAsia" w:ascii="宋体" w:hAnsi="宋体" w:eastAsia="宋体" w:cs="宋体"/>
                <w:sz w:val="24"/>
                <w:szCs w:val="24"/>
              </w:rPr>
              <w:t>显冷量（kw）：≥18.1</w:t>
            </w:r>
          </w:p>
          <w:p>
            <w:pPr>
              <w:pStyle w:val="4"/>
              <w:keepNext w:val="0"/>
              <w:keepLines w:val="0"/>
              <w:widowControl/>
              <w:suppressLineNumbers w:val="0"/>
              <w:wordWrap w:val="0"/>
              <w:spacing w:line="315" w:lineRule="atLeast"/>
              <w:ind w:left="0" w:firstLine="0"/>
            </w:pPr>
            <w:r>
              <w:rPr>
                <w:rFonts w:hint="default" w:ascii="Calibri" w:hAnsi="Calibri" w:cs="Calibri"/>
                <w:color w:val="000000"/>
                <w:sz w:val="24"/>
                <w:szCs w:val="24"/>
              </w:rPr>
              <w:t>5</w:t>
            </w:r>
            <w:r>
              <w:rPr>
                <w:rFonts w:hint="eastAsia" w:ascii="宋体" w:hAnsi="宋体" w:eastAsia="宋体" w:cs="宋体"/>
                <w:color w:val="000000"/>
                <w:sz w:val="24"/>
                <w:szCs w:val="24"/>
              </w:rPr>
              <w:t>、</w:t>
            </w:r>
            <w:r>
              <w:rPr>
                <w:rFonts w:hint="default" w:ascii="Times New Roman" w:hAnsi="Times New Roman" w:cs="Times New Roman"/>
                <w:color w:val="000000"/>
                <w:sz w:val="13"/>
                <w:szCs w:val="13"/>
              </w:rPr>
              <w:t xml:space="preserve">      </w:t>
            </w:r>
            <w:r>
              <w:rPr>
                <w:rFonts w:hint="eastAsia" w:ascii="宋体" w:hAnsi="宋体" w:eastAsia="宋体" w:cs="宋体"/>
                <w:sz w:val="24"/>
                <w:szCs w:val="24"/>
              </w:rPr>
              <w:t>风量（m3/h）：≥5500</w:t>
            </w:r>
          </w:p>
          <w:p>
            <w:pPr>
              <w:pStyle w:val="4"/>
              <w:keepNext w:val="0"/>
              <w:keepLines w:val="0"/>
              <w:widowControl/>
              <w:suppressLineNumbers w:val="0"/>
              <w:wordWrap w:val="0"/>
              <w:spacing w:line="315" w:lineRule="atLeast"/>
              <w:ind w:left="0" w:firstLine="0"/>
            </w:pPr>
            <w:r>
              <w:rPr>
                <w:rFonts w:hint="default" w:ascii="Calibri" w:hAnsi="Calibri" w:cs="Calibri"/>
                <w:color w:val="000000"/>
                <w:sz w:val="24"/>
                <w:szCs w:val="24"/>
              </w:rPr>
              <w:t>6</w:t>
            </w:r>
            <w:r>
              <w:rPr>
                <w:rFonts w:hint="eastAsia" w:ascii="宋体" w:hAnsi="宋体" w:eastAsia="宋体" w:cs="宋体"/>
                <w:color w:val="000000"/>
                <w:sz w:val="24"/>
                <w:szCs w:val="24"/>
              </w:rPr>
              <w:t>、</w:t>
            </w:r>
            <w:r>
              <w:rPr>
                <w:rFonts w:hint="default" w:ascii="Times New Roman" w:hAnsi="Times New Roman" w:cs="Times New Roman"/>
                <w:color w:val="000000"/>
                <w:sz w:val="13"/>
                <w:szCs w:val="13"/>
              </w:rPr>
              <w:t xml:space="preserve">      </w:t>
            </w:r>
            <w:r>
              <w:rPr>
                <w:rFonts w:hint="eastAsia" w:ascii="宋体" w:hAnsi="宋体" w:eastAsia="宋体" w:cs="宋体"/>
                <w:sz w:val="24"/>
                <w:szCs w:val="24"/>
              </w:rPr>
              <w:t>风机数量（台）：≥1</w:t>
            </w:r>
          </w:p>
          <w:p>
            <w:pPr>
              <w:pStyle w:val="4"/>
              <w:keepNext w:val="0"/>
              <w:keepLines w:val="0"/>
              <w:widowControl/>
              <w:suppressLineNumbers w:val="0"/>
              <w:wordWrap w:val="0"/>
              <w:spacing w:line="315" w:lineRule="atLeast"/>
              <w:ind w:left="0" w:firstLine="0"/>
            </w:pPr>
            <w:r>
              <w:rPr>
                <w:rFonts w:hint="default" w:ascii="Calibri" w:hAnsi="Calibri" w:cs="Calibri"/>
                <w:color w:val="000000"/>
                <w:sz w:val="24"/>
                <w:szCs w:val="24"/>
              </w:rPr>
              <w:t>7</w:t>
            </w:r>
            <w:r>
              <w:rPr>
                <w:rFonts w:hint="eastAsia" w:ascii="宋体" w:hAnsi="宋体" w:eastAsia="宋体" w:cs="宋体"/>
                <w:color w:val="000000"/>
                <w:sz w:val="24"/>
                <w:szCs w:val="24"/>
              </w:rPr>
              <w:t>、</w:t>
            </w:r>
            <w:r>
              <w:rPr>
                <w:rFonts w:hint="default" w:ascii="Times New Roman" w:hAnsi="Times New Roman" w:cs="Times New Roman"/>
                <w:color w:val="000000"/>
                <w:sz w:val="13"/>
                <w:szCs w:val="13"/>
              </w:rPr>
              <w:t xml:space="preserve">      </w:t>
            </w:r>
            <w:r>
              <w:rPr>
                <w:rFonts w:hint="eastAsia" w:ascii="宋体" w:hAnsi="宋体" w:eastAsia="宋体" w:cs="宋体"/>
                <w:sz w:val="24"/>
                <w:szCs w:val="24"/>
              </w:rPr>
              <w:t>风机种类：EC风机</w:t>
            </w:r>
          </w:p>
          <w:p>
            <w:pPr>
              <w:pStyle w:val="4"/>
              <w:keepNext w:val="0"/>
              <w:keepLines w:val="0"/>
              <w:widowControl/>
              <w:suppressLineNumbers w:val="0"/>
              <w:wordWrap w:val="0"/>
              <w:spacing w:line="315" w:lineRule="atLeast"/>
              <w:ind w:left="0" w:firstLine="0"/>
            </w:pPr>
            <w:r>
              <w:rPr>
                <w:rFonts w:hint="default" w:ascii="Calibri" w:hAnsi="Calibri" w:cs="Calibri"/>
                <w:color w:val="000000"/>
                <w:sz w:val="24"/>
                <w:szCs w:val="24"/>
              </w:rPr>
              <w:t>8</w:t>
            </w:r>
            <w:r>
              <w:rPr>
                <w:rFonts w:hint="eastAsia" w:ascii="宋体" w:hAnsi="宋体" w:eastAsia="宋体" w:cs="宋体"/>
                <w:color w:val="000000"/>
                <w:sz w:val="24"/>
                <w:szCs w:val="24"/>
              </w:rPr>
              <w:t>、</w:t>
            </w:r>
            <w:r>
              <w:rPr>
                <w:rFonts w:hint="default" w:ascii="Times New Roman" w:hAnsi="Times New Roman" w:cs="Times New Roman"/>
                <w:color w:val="000000"/>
                <w:sz w:val="13"/>
                <w:szCs w:val="13"/>
              </w:rPr>
              <w:t xml:space="preserve">      </w:t>
            </w:r>
            <w:r>
              <w:rPr>
                <w:rFonts w:hint="eastAsia" w:ascii="宋体" w:hAnsi="宋体" w:eastAsia="宋体" w:cs="宋体"/>
                <w:sz w:val="24"/>
                <w:szCs w:val="24"/>
              </w:rPr>
              <w:t>压缩机数量（台）：≥1</w:t>
            </w:r>
          </w:p>
          <w:p>
            <w:pPr>
              <w:pStyle w:val="4"/>
              <w:keepNext w:val="0"/>
              <w:keepLines w:val="0"/>
              <w:widowControl/>
              <w:suppressLineNumbers w:val="0"/>
              <w:wordWrap w:val="0"/>
              <w:spacing w:line="315" w:lineRule="atLeast"/>
              <w:ind w:left="0" w:firstLine="0"/>
            </w:pPr>
            <w:r>
              <w:rPr>
                <w:rFonts w:hint="default" w:ascii="Calibri" w:hAnsi="Calibri" w:cs="Calibri"/>
                <w:color w:val="000000"/>
                <w:sz w:val="24"/>
                <w:szCs w:val="24"/>
              </w:rPr>
              <w:t>9</w:t>
            </w:r>
            <w:r>
              <w:rPr>
                <w:rFonts w:hint="eastAsia" w:ascii="宋体" w:hAnsi="宋体" w:eastAsia="宋体" w:cs="宋体"/>
                <w:color w:val="000000"/>
                <w:sz w:val="24"/>
                <w:szCs w:val="24"/>
              </w:rPr>
              <w:t>、</w:t>
            </w:r>
            <w:r>
              <w:rPr>
                <w:rFonts w:hint="default" w:ascii="Times New Roman" w:hAnsi="Times New Roman" w:cs="Times New Roman"/>
                <w:color w:val="000000"/>
                <w:sz w:val="13"/>
                <w:szCs w:val="13"/>
              </w:rPr>
              <w:t xml:space="preserve">      </w:t>
            </w:r>
            <w:r>
              <w:rPr>
                <w:rFonts w:hint="eastAsia" w:ascii="宋体" w:hAnsi="宋体" w:eastAsia="宋体" w:cs="宋体"/>
                <w:sz w:val="24"/>
                <w:szCs w:val="24"/>
              </w:rPr>
              <w:t>压缩机种类：涡旋压缩机</w:t>
            </w:r>
          </w:p>
          <w:p>
            <w:pPr>
              <w:pStyle w:val="4"/>
              <w:keepNext w:val="0"/>
              <w:keepLines w:val="0"/>
              <w:widowControl/>
              <w:suppressLineNumbers w:val="0"/>
              <w:wordWrap w:val="0"/>
              <w:spacing w:line="315" w:lineRule="atLeast"/>
              <w:ind w:left="0" w:firstLine="0"/>
            </w:pPr>
            <w:r>
              <w:rPr>
                <w:rFonts w:hint="default" w:ascii="Calibri" w:hAnsi="Calibri" w:cs="Calibri"/>
                <w:color w:val="000000"/>
                <w:sz w:val="24"/>
                <w:szCs w:val="24"/>
              </w:rPr>
              <w:t>10</w:t>
            </w:r>
            <w:r>
              <w:rPr>
                <w:rFonts w:hint="eastAsia" w:ascii="宋体" w:hAnsi="宋体" w:eastAsia="宋体" w:cs="宋体"/>
                <w:color w:val="000000"/>
                <w:sz w:val="24"/>
                <w:szCs w:val="24"/>
              </w:rPr>
              <w:t>、</w:t>
            </w:r>
            <w:r>
              <w:rPr>
                <w:rFonts w:hint="default" w:ascii="Times New Roman" w:hAnsi="Times New Roman" w:cs="Times New Roman"/>
                <w:color w:val="000000"/>
                <w:sz w:val="13"/>
                <w:szCs w:val="13"/>
              </w:rPr>
              <w:t xml:space="preserve">                </w:t>
            </w:r>
            <w:r>
              <w:rPr>
                <w:rFonts w:hint="eastAsia" w:ascii="宋体" w:hAnsi="宋体" w:eastAsia="宋体" w:cs="宋体"/>
                <w:sz w:val="24"/>
                <w:szCs w:val="24"/>
              </w:rPr>
              <w:t>电加热（kw）：≥6</w:t>
            </w:r>
          </w:p>
          <w:p>
            <w:pPr>
              <w:pStyle w:val="4"/>
              <w:keepNext w:val="0"/>
              <w:keepLines w:val="0"/>
              <w:widowControl/>
              <w:suppressLineNumbers w:val="0"/>
              <w:wordWrap w:val="0"/>
              <w:spacing w:line="315" w:lineRule="atLeast"/>
              <w:ind w:left="0" w:firstLine="0"/>
            </w:pPr>
            <w:r>
              <w:rPr>
                <w:rFonts w:hint="default" w:ascii="Calibri" w:hAnsi="Calibri" w:cs="Calibri"/>
                <w:color w:val="000000"/>
                <w:sz w:val="24"/>
                <w:szCs w:val="24"/>
              </w:rPr>
              <w:t>11</w:t>
            </w:r>
            <w:r>
              <w:rPr>
                <w:rFonts w:hint="eastAsia" w:ascii="宋体" w:hAnsi="宋体" w:eastAsia="宋体" w:cs="宋体"/>
                <w:color w:val="000000"/>
                <w:sz w:val="24"/>
                <w:szCs w:val="24"/>
              </w:rPr>
              <w:t>、</w:t>
            </w:r>
            <w:r>
              <w:rPr>
                <w:rFonts w:hint="default" w:ascii="Times New Roman" w:hAnsi="Times New Roman" w:cs="Times New Roman"/>
                <w:color w:val="000000"/>
                <w:sz w:val="13"/>
                <w:szCs w:val="13"/>
              </w:rPr>
              <w:t xml:space="preserve">                </w:t>
            </w:r>
            <w:r>
              <w:rPr>
                <w:rFonts w:hint="eastAsia" w:ascii="宋体" w:hAnsi="宋体" w:eastAsia="宋体" w:cs="宋体"/>
                <w:sz w:val="24"/>
                <w:szCs w:val="24"/>
              </w:rPr>
              <w:t>加湿量（kg/h）：≥4.5</w:t>
            </w:r>
          </w:p>
          <w:p>
            <w:pPr>
              <w:pStyle w:val="4"/>
              <w:keepNext w:val="0"/>
              <w:keepLines w:val="0"/>
              <w:widowControl/>
              <w:suppressLineNumbers w:val="0"/>
              <w:wordWrap w:val="0"/>
              <w:spacing w:line="315" w:lineRule="atLeast"/>
              <w:ind w:left="0" w:firstLine="0"/>
            </w:pPr>
            <w:r>
              <w:rPr>
                <w:rFonts w:hint="default" w:ascii="Calibri" w:hAnsi="Calibri" w:cs="Calibri"/>
                <w:color w:val="000000"/>
                <w:sz w:val="24"/>
                <w:szCs w:val="24"/>
              </w:rPr>
              <w:t>12</w:t>
            </w:r>
            <w:r>
              <w:rPr>
                <w:rFonts w:hint="eastAsia" w:ascii="宋体" w:hAnsi="宋体" w:eastAsia="宋体" w:cs="宋体"/>
                <w:color w:val="000000"/>
                <w:sz w:val="24"/>
                <w:szCs w:val="24"/>
              </w:rPr>
              <w:t>、</w:t>
            </w:r>
            <w:r>
              <w:rPr>
                <w:rFonts w:hint="default" w:ascii="Times New Roman" w:hAnsi="Times New Roman" w:cs="Times New Roman"/>
                <w:color w:val="000000"/>
                <w:sz w:val="13"/>
                <w:szCs w:val="13"/>
              </w:rPr>
              <w:t xml:space="preserve">                </w:t>
            </w:r>
            <w:r>
              <w:rPr>
                <w:rFonts w:hint="eastAsia" w:ascii="宋体" w:hAnsi="宋体" w:eastAsia="宋体" w:cs="宋体"/>
                <w:sz w:val="24"/>
                <w:szCs w:val="24"/>
              </w:rPr>
              <w:t>配电参数（FLA）：≤25.6</w:t>
            </w:r>
          </w:p>
          <w:p>
            <w:pPr>
              <w:pStyle w:val="4"/>
              <w:keepNext w:val="0"/>
              <w:keepLines w:val="0"/>
              <w:widowControl/>
              <w:suppressLineNumbers w:val="0"/>
              <w:wordWrap w:val="0"/>
            </w:pPr>
            <w:r>
              <w:rPr>
                <w:rFonts w:hint="default" w:ascii="Calibri" w:hAnsi="Calibri" w:cs="Calibri"/>
                <w:color w:val="000000"/>
                <w:sz w:val="24"/>
                <w:szCs w:val="24"/>
              </w:rPr>
              <w:t>13</w:t>
            </w:r>
            <w:r>
              <w:rPr>
                <w:rFonts w:hint="eastAsia" w:ascii="宋体" w:hAnsi="宋体" w:eastAsia="宋体" w:cs="宋体"/>
                <w:color w:val="000000"/>
                <w:sz w:val="24"/>
                <w:szCs w:val="24"/>
              </w:rPr>
              <w:t>、</w:t>
            </w:r>
            <w:r>
              <w:rPr>
                <w:rFonts w:hint="default" w:ascii="Calibri" w:hAnsi="Calibri" w:cs="Calibri"/>
                <w:color w:val="000000"/>
                <w:sz w:val="24"/>
                <w:szCs w:val="24"/>
              </w:rPr>
              <w:t xml:space="preserve">                </w:t>
            </w:r>
            <w:r>
              <w:rPr>
                <w:rFonts w:hint="eastAsia" w:ascii="宋体" w:hAnsi="宋体" w:eastAsia="宋体" w:cs="宋体"/>
                <w:color w:val="000000"/>
                <w:sz w:val="24"/>
                <w:szCs w:val="24"/>
              </w:rPr>
              <w:t>中心机</w:t>
            </w:r>
            <w:r>
              <w:rPr>
                <w:rFonts w:hint="eastAsia" w:ascii="宋体" w:hAnsi="宋体" w:eastAsia="宋体" w:cs="宋体"/>
                <w:sz w:val="24"/>
                <w:szCs w:val="24"/>
              </w:rPr>
              <w:t>房精密空调应具有高效节能性，压缩机具有较高的能效比， COP ≥ 3.3。应采用高效节能低噪声型EC-Fan（电子控制换向风机），直联驱动，无级调速，现场可通过控制器调节而无需更换部件。下送风机组EC风机应为下沉式安装，即EC风机沉入地板下安装，以实现更高节能效果。安装过程需简便、快捷，厂商需提供机组下沉安装的示意图，以及相关安装操作指导文件；</w:t>
            </w:r>
          </w:p>
          <w:p>
            <w:pPr>
              <w:pStyle w:val="4"/>
              <w:keepNext w:val="0"/>
              <w:keepLines w:val="0"/>
              <w:widowControl/>
              <w:suppressLineNumbers w:val="0"/>
              <w:wordWrap w:val="0"/>
              <w:spacing w:line="315" w:lineRule="atLeast"/>
              <w:ind w:left="0" w:firstLine="0"/>
            </w:pPr>
            <w:r>
              <w:rPr>
                <w:rFonts w:hint="default" w:ascii="Calibri" w:hAnsi="Calibri" w:cs="Calibri"/>
                <w:sz w:val="24"/>
                <w:szCs w:val="24"/>
              </w:rPr>
              <w:t> </w:t>
            </w:r>
          </w:p>
          <w:p>
            <w:pPr>
              <w:pStyle w:val="4"/>
              <w:keepNext w:val="0"/>
              <w:keepLines w:val="0"/>
              <w:widowControl/>
              <w:suppressLineNumbers w:val="0"/>
              <w:wordWrap w:val="0"/>
              <w:spacing w:line="315" w:lineRule="atLeast"/>
              <w:ind w:left="0" w:firstLine="0"/>
            </w:pPr>
            <w:r>
              <w:rPr>
                <w:rFonts w:hint="default" w:ascii="Calibri" w:hAnsi="Calibri" w:cs="Calibri"/>
                <w:color w:val="000000"/>
                <w:sz w:val="24"/>
                <w:szCs w:val="24"/>
              </w:rPr>
              <w:t>14</w:t>
            </w:r>
            <w:r>
              <w:rPr>
                <w:rFonts w:hint="eastAsia" w:ascii="宋体" w:hAnsi="宋体" w:eastAsia="宋体" w:cs="宋体"/>
                <w:color w:val="000000"/>
                <w:sz w:val="24"/>
                <w:szCs w:val="24"/>
              </w:rPr>
              <w:t>、</w:t>
            </w:r>
            <w:r>
              <w:rPr>
                <w:rFonts w:hint="default" w:ascii="Times New Roman" w:hAnsi="Times New Roman" w:cs="Times New Roman"/>
                <w:color w:val="000000"/>
                <w:sz w:val="13"/>
                <w:szCs w:val="13"/>
              </w:rPr>
              <w:t xml:space="preserve">                </w:t>
            </w:r>
            <w:r>
              <w:rPr>
                <w:rFonts w:hint="eastAsia" w:ascii="宋体" w:hAnsi="宋体" w:eastAsia="宋体" w:cs="宋体"/>
                <w:sz w:val="24"/>
                <w:szCs w:val="24"/>
              </w:rPr>
              <w:t>应选用“V”型大面积蒸发器，保障换热效率；应安装有快速除湿装置，以减少空气过冷及热补偿的能量损失；室外风机应可根据室外温度无极调速，减少风机能耗；</w:t>
            </w:r>
          </w:p>
          <w:p>
            <w:pPr>
              <w:pStyle w:val="4"/>
              <w:keepNext w:val="0"/>
              <w:keepLines w:val="0"/>
              <w:widowControl/>
              <w:suppressLineNumbers w:val="0"/>
              <w:wordWrap w:val="0"/>
              <w:spacing w:before="210" w:beforeAutospacing="0" w:after="210" w:afterAutospacing="0" w:line="315" w:lineRule="atLeast"/>
              <w:ind w:left="0" w:right="0"/>
            </w:pPr>
            <w:r>
              <w:rPr>
                <w:rFonts w:hint="default" w:ascii="Calibri" w:hAnsi="Calibri" w:cs="Calibri"/>
                <w:color w:val="000000"/>
                <w:sz w:val="24"/>
                <w:szCs w:val="24"/>
              </w:rPr>
              <w:t>15</w:t>
            </w:r>
            <w:r>
              <w:rPr>
                <w:rFonts w:hint="eastAsia" w:ascii="宋体" w:hAnsi="宋体" w:eastAsia="宋体" w:cs="宋体"/>
                <w:color w:val="000000"/>
                <w:sz w:val="24"/>
                <w:szCs w:val="24"/>
              </w:rPr>
              <w:t>、</w:t>
            </w:r>
            <w:r>
              <w:rPr>
                <w:rFonts w:hint="default" w:ascii="Calibri" w:hAnsi="Calibri" w:cs="Calibri"/>
                <w:color w:val="000000"/>
                <w:sz w:val="24"/>
                <w:szCs w:val="24"/>
              </w:rPr>
              <w:t xml:space="preserve">                </w:t>
            </w:r>
            <w:r>
              <w:rPr>
                <w:rFonts w:hint="eastAsia" w:ascii="宋体" w:hAnsi="宋体" w:eastAsia="宋体" w:cs="宋体"/>
                <w:color w:val="000000"/>
                <w:sz w:val="24"/>
                <w:szCs w:val="24"/>
              </w:rPr>
              <w:t>中心机房精密空调应具有高可靠性，要求机组平均无故障时间MTBF≥10万小时。须提供详细的技术说明</w:t>
            </w:r>
          </w:p>
          <w:p>
            <w:pPr>
              <w:pStyle w:val="4"/>
              <w:keepNext w:val="0"/>
              <w:keepLines w:val="0"/>
              <w:widowControl/>
              <w:suppressLineNumbers w:val="0"/>
              <w:wordWrap w:val="0"/>
              <w:spacing w:line="315" w:lineRule="atLeast"/>
              <w:ind w:left="0" w:firstLine="0"/>
            </w:pPr>
            <w:r>
              <w:rPr>
                <w:rFonts w:hint="default" w:ascii="Calibri" w:hAnsi="Calibri" w:cs="Calibri"/>
                <w:color w:val="000000"/>
                <w:sz w:val="24"/>
                <w:szCs w:val="24"/>
              </w:rPr>
              <w:t>16</w:t>
            </w:r>
            <w:r>
              <w:rPr>
                <w:rFonts w:hint="eastAsia" w:ascii="宋体" w:hAnsi="宋体" w:eastAsia="宋体" w:cs="宋体"/>
                <w:color w:val="000000"/>
                <w:sz w:val="24"/>
                <w:szCs w:val="24"/>
              </w:rPr>
              <w:t>、</w:t>
            </w:r>
            <w:r>
              <w:rPr>
                <w:rFonts w:hint="default" w:ascii="Times New Roman" w:hAnsi="Times New Roman" w:cs="Times New Roman"/>
                <w:color w:val="000000"/>
                <w:sz w:val="13"/>
                <w:szCs w:val="13"/>
              </w:rPr>
              <w:t xml:space="preserve">                </w:t>
            </w:r>
            <w:r>
              <w:rPr>
                <w:rFonts w:hint="eastAsia" w:ascii="宋体" w:hAnsi="宋体" w:eastAsia="宋体" w:cs="宋体"/>
                <w:sz w:val="24"/>
                <w:szCs w:val="24"/>
              </w:rPr>
              <w:t>中心机房精密空调系统应采用环保机型或能更新为环保机型的机组，使用替代工质制冷剂的制冷效率的降低不应超过原制冷量的5%；</w:t>
            </w:r>
          </w:p>
          <w:p>
            <w:pPr>
              <w:pStyle w:val="4"/>
              <w:keepNext w:val="0"/>
              <w:keepLines w:val="0"/>
              <w:widowControl/>
              <w:suppressLineNumbers w:val="0"/>
              <w:wordWrap w:val="0"/>
              <w:spacing w:line="315" w:lineRule="atLeast"/>
              <w:ind w:left="0" w:firstLine="0"/>
            </w:pPr>
            <w:r>
              <w:rPr>
                <w:rFonts w:hint="default" w:ascii="Calibri" w:hAnsi="Calibri" w:cs="Calibri"/>
                <w:color w:val="000000"/>
                <w:sz w:val="24"/>
                <w:szCs w:val="24"/>
              </w:rPr>
              <w:t>17</w:t>
            </w:r>
            <w:r>
              <w:rPr>
                <w:rFonts w:hint="eastAsia" w:ascii="宋体" w:hAnsi="宋体" w:eastAsia="宋体" w:cs="宋体"/>
                <w:color w:val="000000"/>
                <w:sz w:val="24"/>
                <w:szCs w:val="24"/>
              </w:rPr>
              <w:t>、</w:t>
            </w:r>
            <w:r>
              <w:rPr>
                <w:rFonts w:hint="default" w:ascii="Times New Roman" w:hAnsi="Times New Roman" w:cs="Times New Roman"/>
                <w:color w:val="000000"/>
                <w:sz w:val="13"/>
                <w:szCs w:val="13"/>
              </w:rPr>
              <w:t xml:space="preserve">                </w:t>
            </w:r>
            <w:r>
              <w:rPr>
                <w:rFonts w:hint="eastAsia" w:ascii="宋体" w:hAnsi="宋体" w:eastAsia="宋体" w:cs="宋体"/>
                <w:sz w:val="24"/>
                <w:szCs w:val="24"/>
              </w:rPr>
              <w:t>中心机房精密空调的加湿性能。应采用不受水质影响的高效可靠的远红外型加湿器。要求加湿速度快，确保高效性。所选用加湿器水盘要求为不锈钢材质，可以在场地进行清理，反复应用；</w:t>
            </w:r>
          </w:p>
          <w:p>
            <w:pPr>
              <w:pStyle w:val="4"/>
              <w:keepNext w:val="0"/>
              <w:keepLines w:val="0"/>
              <w:widowControl/>
              <w:suppressLineNumbers w:val="0"/>
              <w:wordWrap w:val="0"/>
              <w:spacing w:line="315" w:lineRule="atLeast"/>
              <w:ind w:left="0" w:firstLine="0"/>
            </w:pPr>
            <w:r>
              <w:rPr>
                <w:rFonts w:hint="default" w:ascii="Calibri" w:hAnsi="Calibri" w:cs="Calibri"/>
                <w:color w:val="000000"/>
                <w:sz w:val="24"/>
                <w:szCs w:val="24"/>
              </w:rPr>
              <w:t>18</w:t>
            </w:r>
            <w:r>
              <w:rPr>
                <w:rFonts w:hint="eastAsia" w:ascii="宋体" w:hAnsi="宋体" w:eastAsia="宋体" w:cs="宋体"/>
                <w:color w:val="000000"/>
                <w:sz w:val="24"/>
                <w:szCs w:val="24"/>
              </w:rPr>
              <w:t>、</w:t>
            </w:r>
            <w:r>
              <w:rPr>
                <w:rFonts w:hint="default" w:ascii="Times New Roman" w:hAnsi="Times New Roman" w:cs="Times New Roman"/>
                <w:color w:val="000000"/>
                <w:sz w:val="13"/>
                <w:szCs w:val="13"/>
              </w:rPr>
              <w:t xml:space="preserve">                </w:t>
            </w:r>
            <w:r>
              <w:rPr>
                <w:rFonts w:hint="eastAsia" w:ascii="宋体" w:hAnsi="宋体" w:eastAsia="宋体" w:cs="宋体"/>
                <w:sz w:val="24"/>
                <w:szCs w:val="24"/>
              </w:rPr>
              <w:t>中心机房精密空调的控制系统应具备有先进的微处理控制器，应采用先进的模糊逻辑控制或PID调节技术，具有LCD大屏幕多行中文显示器，具有图形显示机组内各组件的运行状态的功能；</w:t>
            </w:r>
          </w:p>
          <w:p>
            <w:pPr>
              <w:pStyle w:val="4"/>
              <w:keepNext w:val="0"/>
              <w:keepLines w:val="0"/>
              <w:widowControl/>
              <w:suppressLineNumbers w:val="0"/>
              <w:wordWrap w:val="0"/>
              <w:spacing w:line="315" w:lineRule="atLeast"/>
              <w:ind w:left="0" w:firstLine="0"/>
            </w:pPr>
            <w:r>
              <w:rPr>
                <w:rFonts w:hint="default" w:ascii="Calibri" w:hAnsi="Calibri" w:cs="Calibri"/>
                <w:color w:val="000000"/>
                <w:sz w:val="24"/>
                <w:szCs w:val="24"/>
              </w:rPr>
              <w:t>19</w:t>
            </w:r>
            <w:r>
              <w:rPr>
                <w:rFonts w:hint="eastAsia" w:ascii="宋体" w:hAnsi="宋体" w:eastAsia="宋体" w:cs="宋体"/>
                <w:color w:val="000000"/>
                <w:sz w:val="24"/>
                <w:szCs w:val="24"/>
              </w:rPr>
              <w:t>、</w:t>
            </w:r>
            <w:r>
              <w:rPr>
                <w:rFonts w:hint="default" w:ascii="Times New Roman" w:hAnsi="Times New Roman" w:cs="Times New Roman"/>
                <w:color w:val="000000"/>
                <w:sz w:val="13"/>
                <w:szCs w:val="13"/>
              </w:rPr>
              <w:t xml:space="preserve">                </w:t>
            </w:r>
            <w:r>
              <w:rPr>
                <w:rFonts w:hint="eastAsia" w:ascii="宋体" w:hAnsi="宋体" w:eastAsia="宋体" w:cs="宋体"/>
                <w:sz w:val="24"/>
                <w:szCs w:val="24"/>
              </w:rPr>
              <w:t>中心机房精密空调应具有大容量的故障报警记录储存的功能，存储历史告警信息不小于400条；</w:t>
            </w:r>
          </w:p>
          <w:p>
            <w:pPr>
              <w:pStyle w:val="4"/>
              <w:keepNext w:val="0"/>
              <w:keepLines w:val="0"/>
              <w:widowControl/>
              <w:suppressLineNumbers w:val="0"/>
              <w:wordWrap w:val="0"/>
              <w:ind w:left="0" w:firstLine="0"/>
            </w:pPr>
            <w:r>
              <w:rPr>
                <w:rFonts w:hint="default" w:ascii="Calibri" w:hAnsi="Calibri" w:cs="Calibri"/>
                <w:color w:val="000000"/>
                <w:sz w:val="24"/>
                <w:szCs w:val="24"/>
              </w:rPr>
              <w:t>20</w:t>
            </w:r>
            <w:r>
              <w:rPr>
                <w:rFonts w:hint="eastAsia" w:ascii="宋体" w:hAnsi="宋体" w:eastAsia="宋体" w:cs="宋体"/>
                <w:color w:val="000000"/>
                <w:sz w:val="24"/>
                <w:szCs w:val="24"/>
              </w:rPr>
              <w:t>、</w:t>
            </w:r>
            <w:r>
              <w:rPr>
                <w:rFonts w:hint="default" w:ascii="Times New Roman" w:hAnsi="Times New Roman" w:cs="Times New Roman"/>
                <w:color w:val="000000"/>
                <w:sz w:val="13"/>
                <w:szCs w:val="13"/>
              </w:rPr>
              <w:t xml:space="preserve">                </w:t>
            </w:r>
            <w:r>
              <w:rPr>
                <w:rFonts w:hint="eastAsia" w:ascii="宋体" w:hAnsi="宋体" w:eastAsia="宋体" w:cs="宋体"/>
                <w:sz w:val="24"/>
                <w:szCs w:val="24"/>
              </w:rPr>
              <w:t>中心机房精密空调机组应具有过压 、欠压等报警及故、障诊断，告警记录功能，自动保护，自动恢复，自动重启动等功能。控制系统应具有多级密码保护功能；</w:t>
            </w:r>
          </w:p>
          <w:p>
            <w:pPr>
              <w:pStyle w:val="4"/>
              <w:keepNext w:val="0"/>
              <w:keepLines w:val="0"/>
              <w:widowControl/>
              <w:suppressLineNumbers w:val="0"/>
              <w:wordWrap w:val="0"/>
              <w:autoSpaceDE w:val="0"/>
              <w:autoSpaceDN/>
              <w:spacing w:line="285" w:lineRule="atLeast"/>
              <w:ind w:left="0" w:firstLine="0"/>
            </w:pPr>
            <w:r>
              <w:rPr>
                <w:rFonts w:hint="default" w:ascii="Calibri" w:hAnsi="Calibri" w:cs="Calibri"/>
                <w:color w:val="000000"/>
                <w:sz w:val="24"/>
                <w:szCs w:val="24"/>
              </w:rPr>
              <w:t>21</w:t>
            </w:r>
            <w:r>
              <w:rPr>
                <w:rFonts w:hint="eastAsia" w:ascii="宋体" w:hAnsi="宋体" w:eastAsia="宋体" w:cs="宋体"/>
                <w:color w:val="000000"/>
                <w:sz w:val="24"/>
                <w:szCs w:val="24"/>
              </w:rPr>
              <w:t>、</w:t>
            </w:r>
            <w:r>
              <w:rPr>
                <w:rFonts w:hint="default" w:ascii="Times New Roman" w:hAnsi="Times New Roman" w:cs="Times New Roman"/>
                <w:color w:val="000000"/>
                <w:sz w:val="13"/>
                <w:szCs w:val="13"/>
              </w:rPr>
              <w:t xml:space="preserve">                </w:t>
            </w:r>
            <w:r>
              <w:rPr>
                <w:rFonts w:hint="eastAsia" w:ascii="宋体" w:hAnsi="宋体" w:eastAsia="宋体" w:cs="宋体"/>
                <w:sz w:val="24"/>
                <w:szCs w:val="24"/>
              </w:rPr>
              <w:t>中心机房精密空调具备联动与群控功能：同一区域可以多套(≥32)机组进行统一控制管理。控制功能包括：备份自动切换功能，当群组中机组发生故障时，备份机组自动投入运行，提高空调系统的可靠性；轮巡：定时切换备份机组   ；根据机房内热负荷的变化自动控制机组中空调机的运行数量；达到节能的目的 ；避免竞争运行：避免同一机房内多台空调机同时运行在相反的运行状态（制冷/加热、加湿/除湿），达到节能的目的；</w:t>
            </w:r>
          </w:p>
          <w:p>
            <w:pPr>
              <w:pStyle w:val="4"/>
              <w:keepNext w:val="0"/>
              <w:keepLines w:val="0"/>
              <w:widowControl/>
              <w:suppressLineNumbers w:val="0"/>
              <w:wordWrap w:val="0"/>
              <w:autoSpaceDE w:val="0"/>
              <w:autoSpaceDN/>
              <w:spacing w:line="285" w:lineRule="atLeast"/>
              <w:ind w:left="0" w:firstLine="0"/>
            </w:pPr>
            <w:r>
              <w:rPr>
                <w:rFonts w:hint="default" w:ascii="Calibri" w:hAnsi="Calibri" w:cs="Calibri"/>
                <w:color w:val="000000"/>
                <w:sz w:val="24"/>
                <w:szCs w:val="24"/>
              </w:rPr>
              <w:t>22</w:t>
            </w:r>
            <w:r>
              <w:rPr>
                <w:rFonts w:hint="eastAsia" w:ascii="宋体" w:hAnsi="宋体" w:eastAsia="宋体" w:cs="宋体"/>
                <w:color w:val="000000"/>
                <w:sz w:val="24"/>
                <w:szCs w:val="24"/>
              </w:rPr>
              <w:t>、</w:t>
            </w:r>
            <w:r>
              <w:rPr>
                <w:rFonts w:hint="default" w:ascii="Times New Roman" w:hAnsi="Times New Roman" w:cs="Times New Roman"/>
                <w:color w:val="000000"/>
                <w:sz w:val="13"/>
                <w:szCs w:val="13"/>
              </w:rPr>
              <w:t xml:space="preserve">                </w:t>
            </w:r>
            <w:r>
              <w:rPr>
                <w:rFonts w:hint="eastAsia" w:ascii="宋体" w:hAnsi="宋体" w:eastAsia="宋体" w:cs="宋体"/>
                <w:sz w:val="24"/>
                <w:szCs w:val="24"/>
              </w:rPr>
              <w:t>中心机房精密空调每台机组都应具有独立的控制系统、显示器、加热器、加湿器、独立的温湿度传感器。以保证每台机组的正常运行及高精度运行；</w:t>
            </w:r>
          </w:p>
          <w:p>
            <w:pPr>
              <w:pStyle w:val="4"/>
              <w:keepNext w:val="0"/>
              <w:keepLines w:val="0"/>
              <w:widowControl/>
              <w:suppressLineNumbers w:val="0"/>
              <w:wordWrap w:val="0"/>
              <w:autoSpaceDE w:val="0"/>
              <w:autoSpaceDN/>
              <w:spacing w:line="285" w:lineRule="atLeast"/>
              <w:ind w:left="0" w:firstLine="0"/>
            </w:pPr>
            <w:r>
              <w:rPr>
                <w:rFonts w:hint="default" w:ascii="Calibri" w:hAnsi="Calibri" w:cs="Calibri"/>
                <w:color w:val="000000"/>
                <w:sz w:val="24"/>
                <w:szCs w:val="24"/>
              </w:rPr>
              <w:t>23</w:t>
            </w:r>
            <w:r>
              <w:rPr>
                <w:rFonts w:hint="eastAsia" w:ascii="宋体" w:hAnsi="宋体" w:eastAsia="宋体" w:cs="宋体"/>
                <w:color w:val="000000"/>
                <w:sz w:val="24"/>
                <w:szCs w:val="24"/>
              </w:rPr>
              <w:t>、</w:t>
            </w:r>
            <w:r>
              <w:rPr>
                <w:rFonts w:hint="default" w:ascii="Times New Roman" w:hAnsi="Times New Roman" w:cs="Times New Roman"/>
                <w:color w:val="000000"/>
                <w:sz w:val="13"/>
                <w:szCs w:val="13"/>
              </w:rPr>
              <w:t xml:space="preserve">                </w:t>
            </w:r>
            <w:r>
              <w:rPr>
                <w:rFonts w:hint="eastAsia" w:ascii="宋体" w:hAnsi="宋体" w:eastAsia="宋体" w:cs="宋体"/>
                <w:sz w:val="24"/>
                <w:szCs w:val="24"/>
              </w:rPr>
              <w:t>★中心机房专用空调每台机组具有良好的电磁兼容设  计，并提供国家级检测实验室检测报告；</w:t>
            </w:r>
          </w:p>
          <w:p>
            <w:pPr>
              <w:pStyle w:val="4"/>
              <w:keepNext w:val="0"/>
              <w:keepLines w:val="0"/>
              <w:widowControl/>
              <w:suppressLineNumbers w:val="0"/>
              <w:wordWrap w:val="0"/>
              <w:spacing w:line="315" w:lineRule="atLeast"/>
              <w:ind w:left="0" w:firstLine="0"/>
            </w:pPr>
            <w:r>
              <w:rPr>
                <w:rFonts w:hint="default" w:ascii="Calibri" w:hAnsi="Calibri" w:cs="Calibri"/>
                <w:color w:val="000000"/>
                <w:sz w:val="24"/>
                <w:szCs w:val="24"/>
              </w:rPr>
              <w:t>24</w:t>
            </w:r>
            <w:r>
              <w:rPr>
                <w:rFonts w:hint="eastAsia" w:ascii="宋体" w:hAnsi="宋体" w:eastAsia="宋体" w:cs="宋体"/>
                <w:color w:val="000000"/>
                <w:sz w:val="24"/>
                <w:szCs w:val="24"/>
              </w:rPr>
              <w:t>、</w:t>
            </w:r>
            <w:r>
              <w:rPr>
                <w:rFonts w:hint="default" w:ascii="Times New Roman" w:hAnsi="Times New Roman" w:cs="Times New Roman"/>
                <w:color w:val="000000"/>
                <w:sz w:val="13"/>
                <w:szCs w:val="13"/>
              </w:rPr>
              <w:t xml:space="preserve">                </w:t>
            </w:r>
            <w:r>
              <w:rPr>
                <w:rFonts w:hint="eastAsia" w:ascii="宋体" w:hAnsi="宋体" w:eastAsia="宋体" w:cs="宋体"/>
                <w:sz w:val="24"/>
                <w:szCs w:val="24"/>
              </w:rPr>
              <w:t>中心机房精密空调每台机组应标配漏水探测器，实时监测漏水情况，探知到漏水发生时，声光告警并自动关闭加湿系统；</w:t>
            </w:r>
          </w:p>
          <w:p>
            <w:pPr>
              <w:pStyle w:val="4"/>
              <w:keepNext w:val="0"/>
              <w:keepLines w:val="0"/>
              <w:widowControl/>
              <w:suppressLineNumbers w:val="0"/>
              <w:wordWrap w:val="0"/>
              <w:spacing w:line="315" w:lineRule="atLeast"/>
              <w:ind w:left="0" w:firstLine="0"/>
            </w:pPr>
            <w:r>
              <w:rPr>
                <w:rFonts w:hint="default" w:ascii="Calibri" w:hAnsi="Calibri" w:cs="Calibri"/>
                <w:color w:val="000000"/>
                <w:sz w:val="24"/>
                <w:szCs w:val="24"/>
              </w:rPr>
              <w:t>25</w:t>
            </w:r>
            <w:r>
              <w:rPr>
                <w:rFonts w:hint="eastAsia" w:ascii="宋体" w:hAnsi="宋体" w:eastAsia="宋体" w:cs="宋体"/>
                <w:color w:val="000000"/>
                <w:sz w:val="24"/>
                <w:szCs w:val="24"/>
              </w:rPr>
              <w:t>、</w:t>
            </w:r>
            <w:r>
              <w:rPr>
                <w:rFonts w:hint="default" w:ascii="Times New Roman" w:hAnsi="Times New Roman" w:cs="Times New Roman"/>
                <w:color w:val="000000"/>
                <w:sz w:val="13"/>
                <w:szCs w:val="13"/>
              </w:rPr>
              <w:t xml:space="preserve">                </w:t>
            </w:r>
            <w:r>
              <w:rPr>
                <w:rFonts w:hint="eastAsia" w:ascii="宋体" w:hAnsi="宋体" w:eastAsia="宋体" w:cs="宋体"/>
                <w:sz w:val="24"/>
                <w:szCs w:val="24"/>
              </w:rPr>
              <w:t>中心机房精密空调机组可全正面维护；</w:t>
            </w:r>
          </w:p>
          <w:p>
            <w:pPr>
              <w:pStyle w:val="4"/>
              <w:keepNext w:val="0"/>
              <w:keepLines w:val="0"/>
              <w:widowControl/>
              <w:suppressLineNumbers w:val="0"/>
              <w:wordWrap w:val="0"/>
              <w:spacing w:line="315" w:lineRule="atLeast"/>
              <w:ind w:left="0" w:firstLine="0"/>
            </w:pPr>
            <w:r>
              <w:rPr>
                <w:rFonts w:hint="default" w:ascii="Calibri" w:hAnsi="Calibri" w:cs="Calibri"/>
                <w:color w:val="000000"/>
                <w:sz w:val="24"/>
                <w:szCs w:val="24"/>
              </w:rPr>
              <w:t>26</w:t>
            </w:r>
            <w:r>
              <w:rPr>
                <w:rFonts w:hint="eastAsia" w:ascii="宋体" w:hAnsi="宋体" w:eastAsia="宋体" w:cs="宋体"/>
                <w:color w:val="000000"/>
                <w:sz w:val="24"/>
                <w:szCs w:val="24"/>
              </w:rPr>
              <w:t>、</w:t>
            </w:r>
            <w:r>
              <w:rPr>
                <w:rFonts w:hint="default" w:ascii="Times New Roman" w:hAnsi="Times New Roman" w:cs="Times New Roman"/>
                <w:color w:val="000000"/>
                <w:sz w:val="13"/>
                <w:szCs w:val="13"/>
              </w:rPr>
              <w:t xml:space="preserve">                </w:t>
            </w:r>
            <w:r>
              <w:rPr>
                <w:rFonts w:hint="eastAsia" w:ascii="宋体" w:hAnsi="宋体" w:eastAsia="宋体" w:cs="宋体"/>
                <w:sz w:val="24"/>
                <w:szCs w:val="24"/>
              </w:rPr>
              <w:t>中心机房精密空调需免费提供空调远程监控软件，需能实现远程开关机、状态查看、参数设置、告警查看及设置等功能，可实现告警邮件通知等功能。</w:t>
            </w:r>
          </w:p>
        </w:tc>
        <w:tc>
          <w:tcPr>
            <w:tcW w:w="536"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tc>
      </w:tr>
      <w:tr>
        <w:trPr>
          <w:trHeight w:val="5850" w:hRule="atLeast"/>
          <w:tblCellSpacing w:w="15" w:type="dxa"/>
        </w:trPr>
        <w:tc>
          <w:tcPr>
            <w:tcW w:w="905" w:type="dxa"/>
            <w:gridSpan w:val="2"/>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jc w:val="center"/>
            </w:pPr>
            <w:r>
              <w:rPr>
                <w:rFonts w:hint="default" w:ascii="Calibri" w:hAnsi="Calibri" w:cs="Calibri"/>
                <w:sz w:val="24"/>
                <w:szCs w:val="24"/>
              </w:rPr>
              <w:t>1-2-60</w:t>
            </w:r>
          </w:p>
        </w:tc>
        <w:tc>
          <w:tcPr>
            <w:tcW w:w="890"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pPr>
            <w:r>
              <w:rPr>
                <w:rFonts w:hint="eastAsia" w:ascii="宋体" w:hAnsi="宋体" w:eastAsia="宋体" w:cs="宋体"/>
                <w:sz w:val="24"/>
                <w:szCs w:val="24"/>
              </w:rPr>
              <w:t>机房场地监控系统</w:t>
            </w:r>
          </w:p>
        </w:tc>
        <w:tc>
          <w:tcPr>
            <w:tcW w:w="527"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jc w:val="center"/>
            </w:pPr>
            <w:r>
              <w:rPr>
                <w:rFonts w:hint="eastAsia" w:ascii="宋体" w:hAnsi="宋体" w:eastAsia="宋体" w:cs="宋体"/>
                <w:sz w:val="24"/>
                <w:szCs w:val="24"/>
              </w:rPr>
              <w:t>套</w:t>
            </w:r>
          </w:p>
        </w:tc>
        <w:tc>
          <w:tcPr>
            <w:tcW w:w="529"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jc w:val="center"/>
            </w:pPr>
            <w:r>
              <w:rPr>
                <w:rFonts w:hint="eastAsia" w:ascii="宋体" w:hAnsi="宋体" w:eastAsia="宋体" w:cs="宋体"/>
                <w:sz w:val="24"/>
                <w:szCs w:val="24"/>
              </w:rPr>
              <w:t>1</w:t>
            </w:r>
          </w:p>
        </w:tc>
        <w:tc>
          <w:tcPr>
            <w:tcW w:w="6407"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before="0" w:beforeAutospacing="1" w:after="0" w:afterAutospacing="1" w:line="315" w:lineRule="atLeast"/>
              <w:ind w:left="0" w:right="0" w:firstLine="0"/>
            </w:pPr>
            <w:r>
              <w:rPr>
                <w:rFonts w:hint="default" w:ascii="Calibri" w:hAnsi="Calibri" w:cs="Calibri"/>
                <w:color w:val="000000"/>
                <w:sz w:val="24"/>
                <w:szCs w:val="24"/>
              </w:rPr>
              <w:t>1</w:t>
            </w:r>
            <w:r>
              <w:rPr>
                <w:rFonts w:hint="eastAsia" w:ascii="宋体" w:hAnsi="宋体" w:eastAsia="宋体" w:cs="宋体"/>
                <w:color w:val="000000"/>
                <w:sz w:val="24"/>
                <w:szCs w:val="24"/>
              </w:rPr>
              <w:t>、</w:t>
            </w:r>
            <w:r>
              <w:rPr>
                <w:rFonts w:hint="default" w:ascii="Times New Roman" w:hAnsi="Times New Roman" w:cs="Times New Roman"/>
                <w:color w:val="000000"/>
                <w:sz w:val="13"/>
                <w:szCs w:val="13"/>
              </w:rPr>
              <w:t xml:space="preserve">    </w:t>
            </w:r>
            <w:r>
              <w:rPr>
                <w:rFonts w:hint="eastAsia" w:ascii="宋体" w:hAnsi="宋体" w:eastAsia="宋体" w:cs="宋体"/>
                <w:sz w:val="24"/>
                <w:szCs w:val="24"/>
              </w:rPr>
              <w:t>配电监测</w:t>
            </w:r>
          </w:p>
          <w:p>
            <w:pPr>
              <w:pStyle w:val="4"/>
              <w:keepNext w:val="0"/>
              <w:keepLines w:val="0"/>
              <w:widowControl/>
              <w:suppressLineNumbers w:val="0"/>
              <w:spacing w:before="0" w:beforeAutospacing="1" w:after="0" w:afterAutospacing="1" w:line="315" w:lineRule="atLeast"/>
              <w:ind w:left="0" w:right="0" w:firstLine="0"/>
            </w:pPr>
            <w:r>
              <w:rPr>
                <w:rFonts w:hint="eastAsia" w:ascii="宋体" w:hAnsi="宋体" w:eastAsia="宋体" w:cs="宋体"/>
                <w:sz w:val="24"/>
                <w:szCs w:val="24"/>
              </w:rPr>
              <w:t>三相智能电量仪（带液晶显示功能）1台：LCD满屏数码显示；输出方式 RS485接口；输入电源 AC85V-256V；3路AC电压监测端口；3路电流监测端口；2路220V开关量输入；2路220V开关量输出；带电能计量，31次电流电压谐波分析；工作环境   温度: -25-55 °C 湿度 20%~95%RH</w:t>
            </w:r>
          </w:p>
          <w:p>
            <w:pPr>
              <w:pStyle w:val="4"/>
              <w:keepNext w:val="0"/>
              <w:keepLines w:val="0"/>
              <w:widowControl/>
              <w:suppressLineNumbers w:val="0"/>
              <w:spacing w:before="0" w:beforeAutospacing="1" w:after="0" w:afterAutospacing="1" w:line="315" w:lineRule="atLeast"/>
              <w:ind w:left="0" w:right="0" w:firstLine="0"/>
            </w:pPr>
            <w:r>
              <w:rPr>
                <w:rFonts w:hint="eastAsia" w:ascii="宋体" w:hAnsi="宋体" w:eastAsia="宋体" w:cs="宋体"/>
                <w:sz w:val="24"/>
                <w:szCs w:val="24"/>
              </w:rPr>
              <w:t>配电软件接口模块1套：实时采集市电3相电压、电流、频率、有无功功率、有无功电度、谐波、配电开关状态等全电力参数监测，发现异常情况，及时通知机房管理人员，保障机房设备用电安全。</w:t>
            </w:r>
          </w:p>
          <w:p>
            <w:pPr>
              <w:pStyle w:val="4"/>
              <w:keepNext w:val="0"/>
              <w:keepLines w:val="0"/>
              <w:widowControl/>
              <w:suppressLineNumbers w:val="0"/>
              <w:spacing w:before="0" w:beforeAutospacing="1" w:after="0" w:afterAutospacing="1" w:line="315" w:lineRule="atLeast"/>
              <w:ind w:left="0" w:right="0" w:firstLine="0"/>
            </w:pPr>
            <w:r>
              <w:rPr>
                <w:rFonts w:hint="default" w:ascii="Calibri" w:hAnsi="Calibri" w:cs="Calibri"/>
                <w:color w:val="000000"/>
                <w:sz w:val="24"/>
                <w:szCs w:val="24"/>
              </w:rPr>
              <w:t>2</w:t>
            </w:r>
            <w:r>
              <w:rPr>
                <w:rFonts w:hint="eastAsia" w:ascii="宋体" w:hAnsi="宋体" w:eastAsia="宋体" w:cs="宋体"/>
                <w:color w:val="000000"/>
                <w:sz w:val="24"/>
                <w:szCs w:val="24"/>
              </w:rPr>
              <w:t>、</w:t>
            </w:r>
            <w:r>
              <w:rPr>
                <w:rFonts w:hint="default" w:ascii="Times New Roman" w:hAnsi="Times New Roman" w:cs="Times New Roman"/>
                <w:color w:val="000000"/>
                <w:sz w:val="13"/>
                <w:szCs w:val="13"/>
              </w:rPr>
              <w:t xml:space="preserve">    </w:t>
            </w:r>
            <w:r>
              <w:rPr>
                <w:rFonts w:hint="eastAsia" w:ascii="宋体" w:hAnsi="宋体" w:eastAsia="宋体" w:cs="宋体"/>
                <w:sz w:val="24"/>
                <w:szCs w:val="24"/>
              </w:rPr>
              <w:t>UPS监测</w:t>
            </w:r>
          </w:p>
          <w:p>
            <w:pPr>
              <w:pStyle w:val="4"/>
              <w:keepNext w:val="0"/>
              <w:keepLines w:val="0"/>
              <w:widowControl/>
              <w:suppressLineNumbers w:val="0"/>
              <w:spacing w:before="0" w:beforeAutospacing="1" w:after="0" w:afterAutospacing="1" w:line="315" w:lineRule="atLeast"/>
              <w:ind w:left="0" w:right="0" w:firstLine="0"/>
            </w:pPr>
            <w:r>
              <w:rPr>
                <w:rFonts w:hint="eastAsia" w:ascii="宋体" w:hAnsi="宋体" w:eastAsia="宋体" w:cs="宋体"/>
                <w:sz w:val="24"/>
                <w:szCs w:val="24"/>
              </w:rPr>
              <w:t>UPS软件接口模块1套：实时采集 UPS 3相输入电压，输出电压，旁路电压，输出电流，频率，有功功率等参数，监测UPS过载，充电器，风扇，电池等状态和故障告警，发现UPS异常，及时通知机房管理人员。</w:t>
            </w:r>
          </w:p>
          <w:p>
            <w:pPr>
              <w:pStyle w:val="4"/>
              <w:keepNext w:val="0"/>
              <w:keepLines w:val="0"/>
              <w:widowControl/>
              <w:suppressLineNumbers w:val="0"/>
              <w:spacing w:before="0" w:beforeAutospacing="1" w:after="0" w:afterAutospacing="1" w:line="315" w:lineRule="atLeast"/>
              <w:ind w:left="0" w:right="0" w:firstLine="0"/>
            </w:pPr>
            <w:r>
              <w:rPr>
                <w:rFonts w:hint="default" w:ascii="Calibri" w:hAnsi="Calibri" w:cs="Calibri"/>
                <w:color w:val="000000"/>
                <w:sz w:val="24"/>
                <w:szCs w:val="24"/>
              </w:rPr>
              <w:t>3</w:t>
            </w:r>
            <w:r>
              <w:rPr>
                <w:rFonts w:hint="eastAsia" w:ascii="宋体" w:hAnsi="宋体" w:eastAsia="宋体" w:cs="宋体"/>
                <w:color w:val="000000"/>
                <w:sz w:val="24"/>
                <w:szCs w:val="24"/>
              </w:rPr>
              <w:t>、</w:t>
            </w:r>
            <w:r>
              <w:rPr>
                <w:rFonts w:hint="default" w:ascii="Times New Roman" w:hAnsi="Times New Roman" w:cs="Times New Roman"/>
                <w:color w:val="000000"/>
                <w:sz w:val="13"/>
                <w:szCs w:val="13"/>
              </w:rPr>
              <w:t xml:space="preserve">    </w:t>
            </w:r>
            <w:r>
              <w:rPr>
                <w:rFonts w:hint="eastAsia" w:ascii="宋体" w:hAnsi="宋体" w:eastAsia="宋体" w:cs="宋体"/>
                <w:sz w:val="24"/>
                <w:szCs w:val="24"/>
              </w:rPr>
              <w:t>空调监控</w:t>
            </w:r>
          </w:p>
          <w:p>
            <w:pPr>
              <w:pStyle w:val="4"/>
              <w:keepNext w:val="0"/>
              <w:keepLines w:val="0"/>
              <w:widowControl/>
              <w:suppressLineNumbers w:val="0"/>
              <w:spacing w:before="0" w:beforeAutospacing="1" w:after="0" w:afterAutospacing="1" w:line="315" w:lineRule="atLeast"/>
              <w:ind w:left="0" w:right="0" w:firstLine="0"/>
            </w:pPr>
            <w:r>
              <w:rPr>
                <w:rFonts w:hint="eastAsia" w:ascii="宋体" w:hAnsi="宋体" w:eastAsia="宋体" w:cs="宋体"/>
                <w:sz w:val="24"/>
                <w:szCs w:val="24"/>
              </w:rPr>
              <w:t>精密空调接口模块1套：实时采集 空调 冷冻水温度，室内温度，室外温度等参数和内部部件回路状态，压缩机、加热器等部件状态，发现空调异常，及时通知机房管理人员，保障机房恒温恒湿运行环境。</w:t>
            </w:r>
          </w:p>
          <w:p>
            <w:pPr>
              <w:pStyle w:val="4"/>
              <w:keepNext w:val="0"/>
              <w:keepLines w:val="0"/>
              <w:widowControl/>
              <w:suppressLineNumbers w:val="0"/>
              <w:spacing w:before="0" w:beforeAutospacing="1" w:after="0" w:afterAutospacing="1" w:line="315" w:lineRule="atLeast"/>
              <w:ind w:left="0" w:right="0" w:firstLine="0"/>
            </w:pPr>
            <w:r>
              <w:rPr>
                <w:rFonts w:hint="default" w:ascii="Calibri" w:hAnsi="Calibri" w:cs="Calibri"/>
                <w:color w:val="000000"/>
                <w:sz w:val="24"/>
                <w:szCs w:val="24"/>
              </w:rPr>
              <w:t>4</w:t>
            </w:r>
            <w:r>
              <w:rPr>
                <w:rFonts w:hint="eastAsia" w:ascii="宋体" w:hAnsi="宋体" w:eastAsia="宋体" w:cs="宋体"/>
                <w:color w:val="000000"/>
                <w:sz w:val="24"/>
                <w:szCs w:val="24"/>
              </w:rPr>
              <w:t>、</w:t>
            </w:r>
            <w:r>
              <w:rPr>
                <w:rFonts w:hint="default" w:ascii="Times New Roman" w:hAnsi="Times New Roman" w:cs="Times New Roman"/>
                <w:color w:val="000000"/>
                <w:sz w:val="13"/>
                <w:szCs w:val="13"/>
              </w:rPr>
              <w:t xml:space="preserve">    </w:t>
            </w:r>
            <w:r>
              <w:rPr>
                <w:rFonts w:hint="eastAsia" w:ascii="宋体" w:hAnsi="宋体" w:eastAsia="宋体" w:cs="宋体"/>
                <w:sz w:val="24"/>
                <w:szCs w:val="24"/>
              </w:rPr>
              <w:t>温湿度监测</w:t>
            </w:r>
          </w:p>
          <w:p>
            <w:pPr>
              <w:pStyle w:val="4"/>
              <w:keepNext w:val="0"/>
              <w:keepLines w:val="0"/>
              <w:widowControl/>
              <w:suppressLineNumbers w:val="0"/>
              <w:spacing w:before="0" w:beforeAutospacing="1" w:after="0" w:afterAutospacing="1" w:line="315" w:lineRule="atLeast"/>
              <w:ind w:left="0" w:right="0" w:firstLine="0"/>
            </w:pPr>
            <w:r>
              <w:rPr>
                <w:rFonts w:hint="eastAsia" w:ascii="宋体" w:hAnsi="宋体" w:eastAsia="宋体" w:cs="宋体"/>
                <w:sz w:val="24"/>
                <w:szCs w:val="24"/>
              </w:rPr>
              <w:t>智能温湿度传感器4个：大屏幕高亮度LCD显示；输出方式 RS485接口；输入电源范围 额定：12VDC 范围：6V-15VDC；功耗 电流小于20mA；温度测量范围 -20℃-80℃；湿度测量范围 0-100%RH</w:t>
            </w:r>
          </w:p>
          <w:p>
            <w:pPr>
              <w:pStyle w:val="4"/>
              <w:keepNext w:val="0"/>
              <w:keepLines w:val="0"/>
              <w:widowControl/>
              <w:suppressLineNumbers w:val="0"/>
              <w:spacing w:before="0" w:beforeAutospacing="1" w:after="0" w:afterAutospacing="1" w:line="315" w:lineRule="atLeast"/>
              <w:ind w:left="0" w:right="0" w:firstLine="0"/>
            </w:pPr>
            <w:r>
              <w:rPr>
                <w:rFonts w:hint="eastAsia" w:ascii="宋体" w:hAnsi="宋体" w:eastAsia="宋体" w:cs="宋体"/>
                <w:sz w:val="24"/>
                <w:szCs w:val="24"/>
              </w:rPr>
              <w:t>温湿度监控模块1套：实时采集温度，湿度，可设定温湿度上下限，一旦温湿度值越限，进行告警。</w:t>
            </w:r>
          </w:p>
          <w:p>
            <w:pPr>
              <w:pStyle w:val="4"/>
              <w:keepNext w:val="0"/>
              <w:keepLines w:val="0"/>
              <w:widowControl/>
              <w:suppressLineNumbers w:val="0"/>
              <w:spacing w:before="0" w:beforeAutospacing="1" w:after="0" w:afterAutospacing="1" w:line="315" w:lineRule="atLeast"/>
              <w:ind w:left="0" w:right="0" w:firstLine="0"/>
            </w:pPr>
            <w:r>
              <w:rPr>
                <w:rFonts w:hint="default" w:ascii="Calibri" w:hAnsi="Calibri" w:cs="Calibri"/>
                <w:color w:val="000000"/>
                <w:sz w:val="24"/>
                <w:szCs w:val="24"/>
              </w:rPr>
              <w:t>5</w:t>
            </w:r>
            <w:r>
              <w:rPr>
                <w:rFonts w:hint="eastAsia" w:ascii="宋体" w:hAnsi="宋体" w:eastAsia="宋体" w:cs="宋体"/>
                <w:color w:val="000000"/>
                <w:sz w:val="24"/>
                <w:szCs w:val="24"/>
              </w:rPr>
              <w:t>、</w:t>
            </w:r>
            <w:r>
              <w:rPr>
                <w:rFonts w:hint="default" w:ascii="Times New Roman" w:hAnsi="Times New Roman" w:cs="Times New Roman"/>
                <w:color w:val="000000"/>
                <w:sz w:val="13"/>
                <w:szCs w:val="13"/>
              </w:rPr>
              <w:t xml:space="preserve">    </w:t>
            </w:r>
            <w:r>
              <w:rPr>
                <w:rFonts w:hint="eastAsia" w:ascii="宋体" w:hAnsi="宋体" w:eastAsia="宋体" w:cs="宋体"/>
                <w:sz w:val="24"/>
                <w:szCs w:val="24"/>
              </w:rPr>
              <w:t>漏水监测</w:t>
            </w:r>
          </w:p>
          <w:p>
            <w:pPr>
              <w:pStyle w:val="4"/>
              <w:keepNext w:val="0"/>
              <w:keepLines w:val="0"/>
              <w:widowControl/>
              <w:suppressLineNumbers w:val="0"/>
              <w:spacing w:before="0" w:beforeAutospacing="1" w:after="0" w:afterAutospacing="1" w:line="315" w:lineRule="atLeast"/>
              <w:ind w:left="0" w:right="0" w:firstLine="0"/>
            </w:pPr>
            <w:r>
              <w:rPr>
                <w:rFonts w:hint="eastAsia" w:ascii="宋体" w:hAnsi="宋体" w:eastAsia="宋体" w:cs="宋体"/>
                <w:sz w:val="24"/>
                <w:szCs w:val="24"/>
              </w:rPr>
              <w:t>漏水检测模块1台：工作环境 温湿度 -10℃-50℃   10%-90%RH；漏水检测通道数 1路；检测灵敏度 可设定8种灵敏度；响应时间≤3s；继电器输出 1路，触点DC30V 1A；EMC指标  接触放电:±6KV；    空气放电:±8KV EFT防护  ±2KV</w:t>
            </w:r>
          </w:p>
          <w:p>
            <w:pPr>
              <w:pStyle w:val="4"/>
              <w:keepNext w:val="0"/>
              <w:keepLines w:val="0"/>
              <w:widowControl/>
              <w:suppressLineNumbers w:val="0"/>
              <w:spacing w:before="0" w:beforeAutospacing="1" w:after="0" w:afterAutospacing="1" w:line="315" w:lineRule="atLeast"/>
              <w:ind w:left="0" w:right="0" w:firstLine="0"/>
            </w:pPr>
            <w:r>
              <w:rPr>
                <w:rFonts w:hint="eastAsia" w:ascii="宋体" w:hAnsi="宋体" w:eastAsia="宋体" w:cs="宋体"/>
                <w:sz w:val="24"/>
                <w:szCs w:val="24"/>
              </w:rPr>
              <w:t>漏水感应绳15米：15米</w:t>
            </w:r>
          </w:p>
          <w:p>
            <w:pPr>
              <w:pStyle w:val="4"/>
              <w:keepNext w:val="0"/>
              <w:keepLines w:val="0"/>
              <w:widowControl/>
              <w:suppressLineNumbers w:val="0"/>
              <w:spacing w:before="0" w:beforeAutospacing="1" w:after="0" w:afterAutospacing="1" w:line="315" w:lineRule="atLeast"/>
              <w:ind w:left="0" w:right="0" w:firstLine="0"/>
            </w:pPr>
            <w:r>
              <w:rPr>
                <w:rFonts w:hint="eastAsia" w:ascii="宋体" w:hAnsi="宋体" w:eastAsia="宋体" w:cs="宋体"/>
                <w:sz w:val="24"/>
                <w:szCs w:val="24"/>
              </w:rPr>
              <w:t>漏水软件接口模块1套：实时采集漏水监测区域漏水状态，一旦检测到有漏水，进行告警。</w:t>
            </w:r>
          </w:p>
          <w:p>
            <w:pPr>
              <w:pStyle w:val="4"/>
              <w:keepNext w:val="0"/>
              <w:keepLines w:val="0"/>
              <w:widowControl/>
              <w:suppressLineNumbers w:val="0"/>
              <w:spacing w:before="0" w:beforeAutospacing="1" w:after="0" w:afterAutospacing="1" w:line="315" w:lineRule="atLeast"/>
              <w:ind w:left="0" w:right="0" w:firstLine="0"/>
            </w:pPr>
            <w:r>
              <w:rPr>
                <w:rFonts w:hint="default" w:ascii="Calibri" w:hAnsi="Calibri" w:cs="Calibri"/>
                <w:color w:val="000000"/>
                <w:sz w:val="24"/>
                <w:szCs w:val="24"/>
              </w:rPr>
              <w:t>6</w:t>
            </w:r>
            <w:r>
              <w:rPr>
                <w:rFonts w:hint="eastAsia" w:ascii="宋体" w:hAnsi="宋体" w:eastAsia="宋体" w:cs="宋体"/>
                <w:color w:val="000000"/>
                <w:sz w:val="24"/>
                <w:szCs w:val="24"/>
              </w:rPr>
              <w:t>、</w:t>
            </w:r>
            <w:r>
              <w:rPr>
                <w:rFonts w:hint="default" w:ascii="Times New Roman" w:hAnsi="Times New Roman" w:cs="Times New Roman"/>
                <w:color w:val="000000"/>
                <w:sz w:val="13"/>
                <w:szCs w:val="13"/>
              </w:rPr>
              <w:t xml:space="preserve">    </w:t>
            </w:r>
            <w:r>
              <w:rPr>
                <w:rFonts w:hint="eastAsia" w:ascii="宋体" w:hAnsi="宋体" w:eastAsia="宋体" w:cs="宋体"/>
                <w:sz w:val="24"/>
                <w:szCs w:val="24"/>
              </w:rPr>
              <w:t>门禁管理</w:t>
            </w:r>
          </w:p>
          <w:p>
            <w:pPr>
              <w:pStyle w:val="4"/>
              <w:keepNext w:val="0"/>
              <w:keepLines w:val="0"/>
              <w:widowControl/>
              <w:suppressLineNumbers w:val="0"/>
              <w:spacing w:before="0" w:beforeAutospacing="1" w:after="0" w:afterAutospacing="1" w:line="315" w:lineRule="atLeast"/>
              <w:ind w:left="0" w:right="0" w:firstLine="0"/>
            </w:pPr>
            <w:r>
              <w:rPr>
                <w:rFonts w:hint="eastAsia" w:ascii="宋体" w:hAnsi="宋体" w:eastAsia="宋体" w:cs="宋体"/>
                <w:sz w:val="24"/>
                <w:szCs w:val="24"/>
              </w:rPr>
              <w:t>双门网络型门禁控制器1台：通讯方式：TCP/IP 10M/100M自适应；电源功率：12VDC 4-7A；电路板功耗：小于100mA</w:t>
            </w:r>
            <w:r>
              <w:rPr>
                <w:rFonts w:hint="eastAsia" w:ascii="宋体" w:hAnsi="宋体" w:eastAsia="宋体" w:cs="宋体"/>
                <w:sz w:val="24"/>
                <w:szCs w:val="24"/>
              </w:rPr>
              <w:br w:type="textWrapping"/>
            </w:r>
            <w:r>
              <w:rPr>
                <w:rFonts w:hint="eastAsia" w:ascii="宋体" w:hAnsi="宋体" w:eastAsia="宋体" w:cs="宋体"/>
                <w:sz w:val="24"/>
                <w:szCs w:val="24"/>
              </w:rPr>
              <w:t>  工作环境 温湿度 -40℃-70℃ 10%-90%RH；2万张卡权限   10万条存储记录 ；端口：双门 接2个读卡机，2个门磁，2把电锁</w:t>
            </w:r>
          </w:p>
          <w:p>
            <w:pPr>
              <w:pStyle w:val="4"/>
              <w:keepNext w:val="0"/>
              <w:keepLines w:val="0"/>
              <w:widowControl/>
              <w:suppressLineNumbers w:val="0"/>
              <w:spacing w:before="0" w:beforeAutospacing="1" w:after="0" w:afterAutospacing="1" w:line="315" w:lineRule="atLeast"/>
              <w:ind w:left="0" w:right="0" w:firstLine="0"/>
            </w:pPr>
            <w:r>
              <w:rPr>
                <w:rFonts w:hint="eastAsia" w:ascii="宋体" w:hAnsi="宋体" w:eastAsia="宋体" w:cs="宋体"/>
                <w:sz w:val="24"/>
                <w:szCs w:val="24"/>
              </w:rPr>
              <w:t>指纹机1台：WeigandIn功能   可外接读头；验证方式 指纹、刷卡、密码；指纹容量 1500枚；记录容量   50000条；操作系统 Linux；指纹仪 光学指纹仪；门禁功能 50个时间段，5个分组，10个开门组合，支持多用户进入，10A/12VDC继电器开关量或电压输出；通讯方式 TCP/IP 或RS232 和 RS485；电源参数   12V DC，待机电流≤50mA，工作电流≤400mA；使用环境 温度0℃-45℃，湿度20%-80%</w:t>
            </w:r>
          </w:p>
          <w:p>
            <w:pPr>
              <w:pStyle w:val="4"/>
              <w:keepNext w:val="0"/>
              <w:keepLines w:val="0"/>
              <w:widowControl/>
              <w:suppressLineNumbers w:val="0"/>
              <w:spacing w:before="0" w:beforeAutospacing="1" w:after="0" w:afterAutospacing="1" w:line="315" w:lineRule="atLeast"/>
              <w:ind w:left="0" w:right="0" w:firstLine="0"/>
            </w:pPr>
            <w:r>
              <w:rPr>
                <w:rFonts w:hint="eastAsia" w:ascii="宋体" w:hAnsi="宋体" w:eastAsia="宋体" w:cs="宋体"/>
                <w:sz w:val="24"/>
                <w:szCs w:val="24"/>
              </w:rPr>
              <w:t>双门磁力锁1把：≥280kg双门磁力锁(附LED士指示及信号输出)</w:t>
            </w:r>
          </w:p>
          <w:p>
            <w:pPr>
              <w:pStyle w:val="4"/>
              <w:keepNext w:val="0"/>
              <w:keepLines w:val="0"/>
              <w:widowControl/>
              <w:suppressLineNumbers w:val="0"/>
              <w:spacing w:before="0" w:beforeAutospacing="1" w:after="0" w:afterAutospacing="1" w:line="315" w:lineRule="atLeast"/>
              <w:ind w:left="0" w:right="0" w:firstLine="0"/>
            </w:pPr>
            <w:r>
              <w:rPr>
                <w:rFonts w:hint="eastAsia" w:ascii="宋体" w:hAnsi="宋体" w:eastAsia="宋体" w:cs="宋体"/>
                <w:sz w:val="24"/>
                <w:szCs w:val="24"/>
              </w:rPr>
              <w:t>开门按钮1个：门禁专用外出开门按钮(塑料)</w:t>
            </w:r>
          </w:p>
          <w:p>
            <w:pPr>
              <w:pStyle w:val="4"/>
              <w:keepNext w:val="0"/>
              <w:keepLines w:val="0"/>
              <w:widowControl/>
              <w:suppressLineNumbers w:val="0"/>
              <w:spacing w:before="0" w:beforeAutospacing="1" w:after="0" w:afterAutospacing="1" w:line="315" w:lineRule="atLeast"/>
              <w:ind w:left="0" w:right="0" w:firstLine="0"/>
            </w:pPr>
            <w:r>
              <w:rPr>
                <w:rFonts w:hint="eastAsia" w:ascii="宋体" w:hAnsi="宋体" w:eastAsia="宋体" w:cs="宋体"/>
                <w:sz w:val="24"/>
                <w:szCs w:val="24"/>
              </w:rPr>
              <w:t>门禁箱及专用电源1台：专用成套控制箱；不含蓄电池，12V5A</w:t>
            </w:r>
          </w:p>
          <w:p>
            <w:pPr>
              <w:pStyle w:val="4"/>
              <w:keepNext w:val="0"/>
              <w:keepLines w:val="0"/>
              <w:widowControl/>
              <w:suppressLineNumbers w:val="0"/>
              <w:spacing w:before="0" w:beforeAutospacing="1" w:after="0" w:afterAutospacing="1" w:line="315" w:lineRule="atLeast"/>
              <w:ind w:left="0" w:right="0" w:firstLine="0"/>
            </w:pPr>
            <w:r>
              <w:rPr>
                <w:rFonts w:hint="eastAsia" w:ascii="宋体" w:hAnsi="宋体" w:eastAsia="宋体" w:cs="宋体"/>
                <w:sz w:val="24"/>
                <w:szCs w:val="24"/>
              </w:rPr>
              <w:t>门禁软件接口模块1套：实现门开关状态监控，远程开门/关门控制，门禁非法开门告警等功能</w:t>
            </w:r>
          </w:p>
          <w:p>
            <w:pPr>
              <w:pStyle w:val="4"/>
              <w:keepNext w:val="0"/>
              <w:keepLines w:val="0"/>
              <w:widowControl/>
              <w:suppressLineNumbers w:val="0"/>
              <w:spacing w:before="0" w:beforeAutospacing="1" w:after="0" w:afterAutospacing="1" w:line="315" w:lineRule="atLeast"/>
              <w:ind w:left="0" w:right="0" w:firstLine="0"/>
            </w:pPr>
            <w:r>
              <w:rPr>
                <w:rFonts w:hint="default" w:ascii="Calibri" w:hAnsi="Calibri" w:cs="Calibri"/>
                <w:color w:val="000000"/>
                <w:sz w:val="24"/>
                <w:szCs w:val="24"/>
              </w:rPr>
              <w:t>7</w:t>
            </w:r>
            <w:r>
              <w:rPr>
                <w:rFonts w:hint="eastAsia" w:ascii="宋体" w:hAnsi="宋体" w:eastAsia="宋体" w:cs="宋体"/>
                <w:color w:val="000000"/>
                <w:sz w:val="24"/>
                <w:szCs w:val="24"/>
              </w:rPr>
              <w:t>、</w:t>
            </w:r>
            <w:r>
              <w:rPr>
                <w:rFonts w:hint="default" w:ascii="Times New Roman" w:hAnsi="Times New Roman" w:cs="Times New Roman"/>
                <w:color w:val="000000"/>
                <w:sz w:val="13"/>
                <w:szCs w:val="13"/>
              </w:rPr>
              <w:t xml:space="preserve">    </w:t>
            </w:r>
            <w:r>
              <w:rPr>
                <w:rFonts w:hint="eastAsia" w:ascii="宋体" w:hAnsi="宋体" w:eastAsia="宋体" w:cs="宋体"/>
                <w:sz w:val="24"/>
                <w:szCs w:val="24"/>
              </w:rPr>
              <w:t>视频监控</w:t>
            </w:r>
          </w:p>
          <w:p>
            <w:pPr>
              <w:pStyle w:val="4"/>
              <w:keepNext w:val="0"/>
              <w:keepLines w:val="0"/>
              <w:widowControl/>
              <w:suppressLineNumbers w:val="0"/>
              <w:spacing w:before="0" w:beforeAutospacing="1" w:after="0" w:afterAutospacing="1" w:line="315" w:lineRule="atLeast"/>
              <w:ind w:left="0" w:right="0" w:firstLine="0"/>
            </w:pPr>
            <w:r>
              <w:rPr>
                <w:rFonts w:hint="eastAsia" w:ascii="宋体" w:hAnsi="宋体" w:eastAsia="宋体" w:cs="宋体"/>
                <w:sz w:val="24"/>
                <w:szCs w:val="24"/>
              </w:rPr>
              <w:t>4路网络硬盘录像机1台：支持25M/50M/100M网络接入带宽；支持最大500M像素接入；支持HDMI/VGA高清输出；支持1SATA；支持1000M网口；支持1个USB 2.0，1个USB 3.0；支持4/8/16路同步回放</w:t>
            </w:r>
          </w:p>
          <w:p>
            <w:pPr>
              <w:pStyle w:val="4"/>
              <w:keepNext w:val="0"/>
              <w:keepLines w:val="0"/>
              <w:widowControl/>
              <w:suppressLineNumbers w:val="0"/>
              <w:spacing w:before="0" w:beforeAutospacing="1" w:after="0" w:afterAutospacing="1" w:line="315" w:lineRule="atLeast"/>
              <w:ind w:left="0" w:right="0" w:firstLine="0"/>
            </w:pPr>
            <w:r>
              <w:rPr>
                <w:rFonts w:hint="eastAsia" w:ascii="宋体" w:hAnsi="宋体" w:eastAsia="宋体" w:cs="宋体"/>
                <w:sz w:val="24"/>
                <w:szCs w:val="24"/>
              </w:rPr>
              <w:t>半球网络摄像机3台：130万1/3” CMOS ICR日夜型半球网络摄像机(2.8mm、6mm、8mm、12mm可选)</w:t>
            </w:r>
          </w:p>
          <w:p>
            <w:pPr>
              <w:pStyle w:val="4"/>
              <w:keepNext w:val="0"/>
              <w:keepLines w:val="0"/>
              <w:widowControl/>
              <w:suppressLineNumbers w:val="0"/>
              <w:spacing w:before="0" w:beforeAutospacing="1" w:after="0" w:afterAutospacing="1" w:line="315" w:lineRule="atLeast"/>
              <w:ind w:left="0" w:right="0" w:firstLine="0"/>
            </w:pPr>
            <w:r>
              <w:rPr>
                <w:rFonts w:hint="eastAsia" w:ascii="宋体" w:hAnsi="宋体" w:eastAsia="宋体" w:cs="宋体"/>
                <w:sz w:val="24"/>
                <w:szCs w:val="24"/>
              </w:rPr>
              <w:t>监控专用硬盘1块：2T</w:t>
            </w:r>
          </w:p>
          <w:p>
            <w:pPr>
              <w:pStyle w:val="4"/>
              <w:keepNext w:val="0"/>
              <w:keepLines w:val="0"/>
              <w:widowControl/>
              <w:suppressLineNumbers w:val="0"/>
              <w:spacing w:before="0" w:beforeAutospacing="1" w:after="0" w:afterAutospacing="1" w:line="315" w:lineRule="atLeast"/>
              <w:ind w:left="0" w:right="0" w:firstLine="0"/>
            </w:pPr>
            <w:r>
              <w:rPr>
                <w:rFonts w:hint="eastAsia" w:ascii="宋体" w:hAnsi="宋体" w:eastAsia="宋体" w:cs="宋体"/>
                <w:sz w:val="24"/>
                <w:szCs w:val="24"/>
              </w:rPr>
              <w:t>监控专用电源3个：DC12V\2A</w:t>
            </w:r>
          </w:p>
          <w:p>
            <w:pPr>
              <w:pStyle w:val="4"/>
              <w:keepNext w:val="0"/>
              <w:keepLines w:val="0"/>
              <w:widowControl/>
              <w:suppressLineNumbers w:val="0"/>
              <w:spacing w:before="0" w:beforeAutospacing="1" w:after="0" w:afterAutospacing="1" w:line="315" w:lineRule="atLeast"/>
              <w:ind w:left="0" w:right="0" w:firstLine="0"/>
            </w:pPr>
            <w:r>
              <w:rPr>
                <w:rFonts w:hint="eastAsia" w:ascii="宋体" w:hAnsi="宋体" w:eastAsia="宋体" w:cs="宋体"/>
                <w:sz w:val="24"/>
                <w:szCs w:val="24"/>
              </w:rPr>
              <w:t>视频软件接口模块1套：实现视频IE浏览，图像光圈，亮度，对比度等调节，摄像头云台控制，录像调用等功能</w:t>
            </w:r>
          </w:p>
          <w:p>
            <w:pPr>
              <w:pStyle w:val="4"/>
              <w:keepNext w:val="0"/>
              <w:keepLines w:val="0"/>
              <w:widowControl/>
              <w:suppressLineNumbers w:val="0"/>
              <w:spacing w:before="0" w:beforeAutospacing="1" w:after="0" w:afterAutospacing="1" w:line="315" w:lineRule="atLeast"/>
              <w:ind w:left="0" w:right="0" w:firstLine="0"/>
            </w:pPr>
            <w:r>
              <w:rPr>
                <w:rFonts w:hint="default" w:ascii="Calibri" w:hAnsi="Calibri" w:cs="Calibri"/>
                <w:color w:val="000000"/>
                <w:sz w:val="24"/>
                <w:szCs w:val="24"/>
              </w:rPr>
              <w:t>8</w:t>
            </w:r>
            <w:r>
              <w:rPr>
                <w:rFonts w:hint="eastAsia" w:ascii="宋体" w:hAnsi="宋体" w:eastAsia="宋体" w:cs="宋体"/>
                <w:color w:val="000000"/>
                <w:sz w:val="24"/>
                <w:szCs w:val="24"/>
              </w:rPr>
              <w:t>、</w:t>
            </w:r>
            <w:r>
              <w:rPr>
                <w:rFonts w:hint="default" w:ascii="Times New Roman" w:hAnsi="Times New Roman" w:cs="Times New Roman"/>
                <w:color w:val="000000"/>
                <w:sz w:val="13"/>
                <w:szCs w:val="13"/>
              </w:rPr>
              <w:t xml:space="preserve">    </w:t>
            </w:r>
            <w:r>
              <w:rPr>
                <w:rFonts w:hint="eastAsia" w:ascii="宋体" w:hAnsi="宋体" w:eastAsia="宋体" w:cs="宋体"/>
                <w:sz w:val="24"/>
                <w:szCs w:val="24"/>
              </w:rPr>
              <w:t>防盗报警监测</w:t>
            </w:r>
          </w:p>
          <w:p>
            <w:pPr>
              <w:pStyle w:val="4"/>
              <w:keepNext w:val="0"/>
              <w:keepLines w:val="0"/>
              <w:widowControl/>
              <w:suppressLineNumbers w:val="0"/>
              <w:spacing w:before="0" w:beforeAutospacing="1" w:after="0" w:afterAutospacing="1" w:line="315" w:lineRule="atLeast"/>
              <w:ind w:left="0" w:right="0" w:firstLine="0"/>
            </w:pPr>
            <w:r>
              <w:rPr>
                <w:rFonts w:hint="eastAsia" w:ascii="宋体" w:hAnsi="宋体" w:eastAsia="宋体" w:cs="宋体"/>
                <w:sz w:val="24"/>
                <w:szCs w:val="24"/>
              </w:rPr>
              <w:t>红外双鉴探测器1个：作电压:9-16VDC；工作电流:12mA</w:t>
            </w:r>
            <w:r>
              <w:rPr>
                <w:rFonts w:hint="eastAsia" w:ascii="宋体" w:hAnsi="宋体" w:eastAsia="宋体" w:cs="宋体"/>
                <w:sz w:val="24"/>
                <w:szCs w:val="24"/>
              </w:rPr>
              <w:br w:type="textWrapping"/>
            </w:r>
            <w:r>
              <w:rPr>
                <w:rFonts w:hint="eastAsia" w:ascii="宋体" w:hAnsi="宋体" w:eastAsia="宋体" w:cs="宋体"/>
                <w:sz w:val="24"/>
                <w:szCs w:val="24"/>
              </w:rPr>
              <w:t>  微波+红外双重识别；吸顶式安装:360°全方位保护；真实温度补偿技术，；微波范围可调，；抗白光干扰，抗频干扰</w:t>
            </w:r>
          </w:p>
          <w:p>
            <w:pPr>
              <w:pStyle w:val="4"/>
              <w:keepNext w:val="0"/>
              <w:keepLines w:val="0"/>
              <w:widowControl/>
              <w:suppressLineNumbers w:val="0"/>
              <w:spacing w:before="0" w:beforeAutospacing="1" w:after="0" w:afterAutospacing="1" w:line="315" w:lineRule="atLeast"/>
              <w:ind w:left="0" w:right="0" w:firstLine="0"/>
            </w:pPr>
            <w:r>
              <w:rPr>
                <w:rFonts w:hint="eastAsia" w:ascii="宋体" w:hAnsi="宋体" w:eastAsia="宋体" w:cs="宋体"/>
                <w:sz w:val="24"/>
                <w:szCs w:val="24"/>
              </w:rPr>
              <w:t>防盗软件接口模块1套：采集防盗区域告警状态，一旦检测到有人活动，进行告警。</w:t>
            </w:r>
          </w:p>
          <w:p>
            <w:pPr>
              <w:pStyle w:val="4"/>
              <w:keepNext w:val="0"/>
              <w:keepLines w:val="0"/>
              <w:widowControl/>
              <w:suppressLineNumbers w:val="0"/>
              <w:spacing w:before="0" w:beforeAutospacing="1" w:after="0" w:afterAutospacing="1" w:line="315" w:lineRule="atLeast"/>
              <w:ind w:left="0" w:right="0" w:firstLine="0"/>
            </w:pPr>
            <w:r>
              <w:rPr>
                <w:rFonts w:hint="default" w:ascii="Calibri" w:hAnsi="Calibri" w:cs="Calibri"/>
                <w:color w:val="000000"/>
                <w:sz w:val="24"/>
                <w:szCs w:val="24"/>
              </w:rPr>
              <w:t>9</w:t>
            </w:r>
            <w:r>
              <w:rPr>
                <w:rFonts w:hint="eastAsia" w:ascii="宋体" w:hAnsi="宋体" w:eastAsia="宋体" w:cs="宋体"/>
                <w:color w:val="000000"/>
                <w:sz w:val="24"/>
                <w:szCs w:val="24"/>
              </w:rPr>
              <w:t>、</w:t>
            </w:r>
            <w:r>
              <w:rPr>
                <w:rFonts w:hint="default" w:ascii="Times New Roman" w:hAnsi="Times New Roman" w:cs="Times New Roman"/>
                <w:color w:val="000000"/>
                <w:sz w:val="13"/>
                <w:szCs w:val="13"/>
              </w:rPr>
              <w:t xml:space="preserve">    </w:t>
            </w:r>
            <w:r>
              <w:rPr>
                <w:rFonts w:hint="eastAsia" w:ascii="宋体" w:hAnsi="宋体" w:eastAsia="宋体" w:cs="宋体"/>
                <w:sz w:val="24"/>
                <w:szCs w:val="24"/>
              </w:rPr>
              <w:t>消防监测</w:t>
            </w:r>
          </w:p>
          <w:p>
            <w:pPr>
              <w:pStyle w:val="4"/>
              <w:keepNext w:val="0"/>
              <w:keepLines w:val="0"/>
              <w:widowControl/>
              <w:suppressLineNumbers w:val="0"/>
              <w:spacing w:before="0" w:beforeAutospacing="1" w:after="0" w:afterAutospacing="1" w:line="315" w:lineRule="atLeast"/>
              <w:ind w:left="0" w:right="0" w:firstLine="0"/>
            </w:pPr>
            <w:r>
              <w:rPr>
                <w:rFonts w:hint="eastAsia" w:ascii="宋体" w:hAnsi="宋体" w:eastAsia="宋体" w:cs="宋体"/>
                <w:sz w:val="24"/>
                <w:szCs w:val="24"/>
              </w:rPr>
              <w:t>烟感探测器2个  DC9V~16VDC；工作电流  静态电流小于10ua报警电流10~30ma；烟雾灵敏度  符合u1217号标准，测试值每英寸3。2%，；微弱灰烟探测器有反应</w:t>
            </w:r>
          </w:p>
          <w:p>
            <w:pPr>
              <w:pStyle w:val="4"/>
              <w:keepNext w:val="0"/>
              <w:keepLines w:val="0"/>
              <w:widowControl/>
              <w:suppressLineNumbers w:val="0"/>
              <w:spacing w:before="0" w:beforeAutospacing="1" w:after="0" w:afterAutospacing="1" w:line="315" w:lineRule="atLeast"/>
              <w:ind w:left="0" w:right="0" w:firstLine="0"/>
            </w:pPr>
            <w:r>
              <w:rPr>
                <w:rFonts w:hint="eastAsia" w:ascii="宋体" w:hAnsi="宋体" w:eastAsia="宋体" w:cs="宋体"/>
                <w:sz w:val="24"/>
                <w:szCs w:val="24"/>
              </w:rPr>
              <w:t>消防软件接口模块1套：实时采集消防区域告警状态，一旦检测到烟雾，进行告警。</w:t>
            </w:r>
          </w:p>
          <w:p>
            <w:pPr>
              <w:pStyle w:val="4"/>
              <w:keepNext w:val="0"/>
              <w:keepLines w:val="0"/>
              <w:widowControl/>
              <w:suppressLineNumbers w:val="0"/>
              <w:spacing w:before="0" w:beforeAutospacing="1" w:after="0" w:afterAutospacing="1" w:line="315" w:lineRule="atLeast"/>
              <w:ind w:left="0" w:right="0" w:firstLine="0"/>
            </w:pPr>
            <w:r>
              <w:rPr>
                <w:rFonts w:hint="default" w:ascii="Calibri" w:hAnsi="Calibri" w:cs="Calibri"/>
                <w:color w:val="000000"/>
                <w:sz w:val="24"/>
                <w:szCs w:val="24"/>
              </w:rPr>
              <w:t>10</w:t>
            </w:r>
            <w:r>
              <w:rPr>
                <w:rFonts w:hint="eastAsia" w:ascii="宋体" w:hAnsi="宋体" w:eastAsia="宋体" w:cs="宋体"/>
                <w:color w:val="000000"/>
                <w:sz w:val="24"/>
                <w:szCs w:val="24"/>
              </w:rPr>
              <w:t>、</w:t>
            </w:r>
            <w:r>
              <w:rPr>
                <w:rFonts w:hint="default" w:ascii="Times New Roman" w:hAnsi="Times New Roman" w:cs="Times New Roman"/>
                <w:color w:val="000000"/>
                <w:sz w:val="13"/>
                <w:szCs w:val="13"/>
              </w:rPr>
              <w:t xml:space="preserve">                </w:t>
            </w:r>
            <w:r>
              <w:rPr>
                <w:rFonts w:hint="eastAsia" w:ascii="宋体" w:hAnsi="宋体" w:eastAsia="宋体" w:cs="宋体"/>
                <w:sz w:val="24"/>
                <w:szCs w:val="24"/>
              </w:rPr>
              <w:t>系统配置</w:t>
            </w:r>
          </w:p>
          <w:p>
            <w:pPr>
              <w:pStyle w:val="4"/>
              <w:keepNext w:val="0"/>
              <w:keepLines w:val="0"/>
              <w:widowControl/>
              <w:suppressLineNumbers w:val="0"/>
              <w:spacing w:before="0" w:beforeAutospacing="1" w:after="0" w:afterAutospacing="1" w:line="315" w:lineRule="atLeast"/>
              <w:ind w:left="0" w:right="0" w:firstLine="0"/>
            </w:pPr>
            <w:r>
              <w:rPr>
                <w:rFonts w:hint="eastAsia" w:ascii="宋体" w:hAnsi="宋体" w:eastAsia="宋体" w:cs="宋体"/>
                <w:sz w:val="24"/>
                <w:szCs w:val="24"/>
              </w:rPr>
              <w:t>嵌入式一体化监控主机1台：</w:t>
            </w:r>
            <w:r>
              <w:rPr>
                <w:rStyle w:val="6"/>
                <w:rFonts w:hint="eastAsia" w:ascii="宋体" w:hAnsi="宋体" w:eastAsia="宋体" w:cs="宋体"/>
                <w:b/>
              </w:rPr>
              <w:t>硬件参数</w:t>
            </w:r>
            <w:r>
              <w:rPr>
                <w:rFonts w:hint="eastAsia" w:ascii="宋体" w:hAnsi="宋体" w:eastAsia="宋体" w:cs="宋体"/>
                <w:sz w:val="24"/>
                <w:szCs w:val="24"/>
              </w:rPr>
              <w:t xml:space="preserve">：（1）10个数字量信号输入端口（DI），4个数字量输出控制端口（DO），6个RS232/485串口（二合一），2个USB口 ，1个以太网口，12组12V供电端口（传感器等外设用），1个音频输出接口，1个电源开关按钮，长×宽×高(mm)： 432×280×44 ，工作电压 AC110-250V ，额定功率 小于10W，工作环境 温度 -30℃-+80℃ 湿度 10%   -90%。（2）所有告警和历史数据保存到FLASH中，彻底摆脱硬盘机械读写数据带来的安全隐患。                       </w:t>
            </w:r>
            <w:r>
              <w:rPr>
                <w:rStyle w:val="6"/>
                <w:rFonts w:hint="eastAsia" w:ascii="宋体" w:hAnsi="宋体" w:eastAsia="宋体" w:cs="宋体"/>
                <w:b/>
              </w:rPr>
              <w:t>软件参数</w:t>
            </w:r>
            <w:r>
              <w:rPr>
                <w:rFonts w:hint="eastAsia" w:ascii="宋体" w:hAnsi="宋体" w:eastAsia="宋体" w:cs="宋体"/>
                <w:sz w:val="24"/>
                <w:szCs w:val="24"/>
              </w:rPr>
              <w:t>：（1）监控系统基于Linux操作系统，抗病毒能力强，高安全性，最大程度保证网络安全。（2）扩展功能：支持WEB 3D动画方式浏览，可旋转多角度浏览机房，形象展示机房布局、实时参数和告警。（3）支持IE远程升级和现场U盘升级2种模式，当出现故障或升级改造时，最大限度降低维护成本，提高维护效率。 （4）监控主机B/S架构，无须安装客户端软件，通过IE浏览器即可方便管理机房动力环境监控系统。（5）通过手机/平板电脑登移动终端APP可方便浏览管理机房监控系统，用户无需进入机房监控中心，只需远程通过平板电脑或手机等移动设备登录监控系统即可实时了解和管理机房设备，通过网络实现远程对机房设备的实时监控管理，大大提高机房管理效率。</w:t>
            </w:r>
          </w:p>
          <w:p>
            <w:pPr>
              <w:pStyle w:val="4"/>
              <w:keepNext w:val="0"/>
              <w:keepLines w:val="0"/>
              <w:widowControl/>
              <w:suppressLineNumbers w:val="0"/>
              <w:spacing w:before="0" w:beforeAutospacing="1" w:after="0" w:afterAutospacing="1" w:line="315" w:lineRule="atLeast"/>
              <w:ind w:left="0" w:right="0" w:firstLine="0"/>
            </w:pPr>
            <w:r>
              <w:rPr>
                <w:rFonts w:hint="eastAsia" w:ascii="宋体" w:hAnsi="宋体" w:eastAsia="宋体" w:cs="宋体"/>
                <w:sz w:val="24"/>
                <w:szCs w:val="24"/>
              </w:rPr>
              <w:t>报警通知服务器1台：支持接口：USB/串口；支持频段：四频850/900/1800 /1900MHz；产品功能：支持电话语音、短信远程报警通知，支持现场语音、现场声光报警等，全球G网都适用，配置延迟信号天线</w:t>
            </w:r>
          </w:p>
        </w:tc>
        <w:tc>
          <w:tcPr>
            <w:tcW w:w="536"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tc>
      </w:tr>
      <w:tr>
        <w:trPr>
          <w:trHeight w:val="3330" w:hRule="atLeast"/>
          <w:tblCellSpacing w:w="15" w:type="dxa"/>
        </w:trPr>
        <w:tc>
          <w:tcPr>
            <w:tcW w:w="905" w:type="dxa"/>
            <w:gridSpan w:val="2"/>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jc w:val="center"/>
            </w:pPr>
            <w:r>
              <w:rPr>
                <w:rFonts w:hint="default" w:ascii="Calibri" w:hAnsi="Calibri" w:cs="Calibri"/>
                <w:sz w:val="24"/>
                <w:szCs w:val="24"/>
              </w:rPr>
              <w:t>1-2-61</w:t>
            </w:r>
          </w:p>
        </w:tc>
        <w:tc>
          <w:tcPr>
            <w:tcW w:w="890"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pPr>
            <w:r>
              <w:rPr>
                <w:rFonts w:hint="eastAsia" w:ascii="宋体" w:hAnsi="宋体" w:eastAsia="宋体" w:cs="宋体"/>
                <w:sz w:val="24"/>
                <w:szCs w:val="24"/>
              </w:rPr>
              <w:t>机房新风系统</w:t>
            </w:r>
          </w:p>
        </w:tc>
        <w:tc>
          <w:tcPr>
            <w:tcW w:w="527"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jc w:val="center"/>
            </w:pPr>
            <w:r>
              <w:rPr>
                <w:rFonts w:hint="eastAsia" w:ascii="宋体" w:hAnsi="宋体" w:eastAsia="宋体" w:cs="宋体"/>
                <w:sz w:val="24"/>
                <w:szCs w:val="24"/>
              </w:rPr>
              <w:t>套</w:t>
            </w:r>
          </w:p>
        </w:tc>
        <w:tc>
          <w:tcPr>
            <w:tcW w:w="529"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jc w:val="center"/>
            </w:pPr>
            <w:r>
              <w:rPr>
                <w:rFonts w:hint="eastAsia" w:ascii="宋体" w:hAnsi="宋体" w:eastAsia="宋体" w:cs="宋体"/>
                <w:sz w:val="24"/>
                <w:szCs w:val="24"/>
              </w:rPr>
              <w:t>1</w:t>
            </w:r>
          </w:p>
        </w:tc>
        <w:tc>
          <w:tcPr>
            <w:tcW w:w="6407"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pPr>
            <w:r>
              <w:rPr>
                <w:rFonts w:hint="eastAsia" w:ascii="宋体" w:hAnsi="宋体" w:eastAsia="宋体" w:cs="宋体"/>
                <w:sz w:val="24"/>
                <w:szCs w:val="24"/>
              </w:rPr>
              <w:t>温度处理型新风机1台：G=800m3/h，Pj=60Pa，三级过滤</w:t>
            </w:r>
          </w:p>
          <w:p>
            <w:pPr>
              <w:pStyle w:val="4"/>
              <w:keepNext w:val="0"/>
              <w:keepLines w:val="0"/>
              <w:widowControl/>
              <w:suppressLineNumbers w:val="0"/>
              <w:spacing w:line="315" w:lineRule="atLeast"/>
            </w:pPr>
            <w:r>
              <w:rPr>
                <w:rFonts w:hint="eastAsia" w:ascii="宋体" w:hAnsi="宋体" w:eastAsia="宋体" w:cs="宋体"/>
                <w:sz w:val="24"/>
                <w:szCs w:val="24"/>
              </w:rPr>
              <w:t>外墙百叶风口2个：≥400</w:t>
            </w:r>
            <w:r>
              <w:rPr>
                <w:rFonts w:hint="eastAsia" w:ascii="宋体" w:hAnsi="宋体" w:eastAsia="宋体" w:cs="宋体"/>
                <w:sz w:val="19"/>
                <w:szCs w:val="19"/>
              </w:rPr>
              <w:t>×</w:t>
            </w:r>
            <w:r>
              <w:rPr>
                <w:rFonts w:hint="eastAsia" w:ascii="宋体" w:hAnsi="宋体" w:eastAsia="宋体" w:cs="宋体"/>
                <w:sz w:val="24"/>
                <w:szCs w:val="24"/>
              </w:rPr>
              <w:t>300mm；</w:t>
            </w:r>
          </w:p>
          <w:p>
            <w:pPr>
              <w:pStyle w:val="4"/>
              <w:keepNext w:val="0"/>
              <w:keepLines w:val="0"/>
              <w:widowControl/>
              <w:suppressLineNumbers w:val="0"/>
              <w:spacing w:line="315" w:lineRule="atLeast"/>
            </w:pPr>
            <w:r>
              <w:rPr>
                <w:rFonts w:hint="eastAsia" w:ascii="宋体" w:hAnsi="宋体" w:eastAsia="宋体" w:cs="宋体"/>
                <w:sz w:val="24"/>
                <w:szCs w:val="24"/>
              </w:rPr>
              <w:t>防烟防火阀1个：≥400</w:t>
            </w:r>
            <w:r>
              <w:rPr>
                <w:rFonts w:hint="eastAsia" w:ascii="宋体" w:hAnsi="宋体" w:eastAsia="宋体" w:cs="宋体"/>
                <w:sz w:val="19"/>
                <w:szCs w:val="19"/>
              </w:rPr>
              <w:t>×</w:t>
            </w:r>
            <w:r>
              <w:rPr>
                <w:rFonts w:hint="eastAsia" w:ascii="宋体" w:hAnsi="宋体" w:eastAsia="宋体" w:cs="宋体"/>
                <w:sz w:val="24"/>
                <w:szCs w:val="24"/>
              </w:rPr>
              <w:t>300mm；常开， 24V，70°，手动复位；</w:t>
            </w:r>
          </w:p>
          <w:p>
            <w:pPr>
              <w:pStyle w:val="4"/>
              <w:keepNext w:val="0"/>
              <w:keepLines w:val="0"/>
              <w:widowControl/>
              <w:suppressLineNumbers w:val="0"/>
              <w:spacing w:line="315" w:lineRule="atLeast"/>
            </w:pPr>
            <w:r>
              <w:rPr>
                <w:rFonts w:hint="eastAsia" w:ascii="宋体" w:hAnsi="宋体" w:eastAsia="宋体" w:cs="宋体"/>
                <w:sz w:val="24"/>
                <w:szCs w:val="24"/>
              </w:rPr>
              <w:t>送风口2个：≥300</w:t>
            </w:r>
            <w:r>
              <w:rPr>
                <w:rFonts w:hint="eastAsia" w:ascii="宋体" w:hAnsi="宋体" w:eastAsia="宋体" w:cs="宋体"/>
                <w:sz w:val="19"/>
                <w:szCs w:val="19"/>
              </w:rPr>
              <w:t>×</w:t>
            </w:r>
            <w:r>
              <w:rPr>
                <w:rFonts w:hint="eastAsia" w:ascii="宋体" w:hAnsi="宋体" w:eastAsia="宋体" w:cs="宋体"/>
                <w:sz w:val="24"/>
                <w:szCs w:val="24"/>
              </w:rPr>
              <w:t>300</w:t>
            </w:r>
          </w:p>
          <w:p>
            <w:pPr>
              <w:pStyle w:val="4"/>
              <w:keepNext w:val="0"/>
              <w:keepLines w:val="0"/>
              <w:widowControl/>
              <w:suppressLineNumbers w:val="0"/>
              <w:spacing w:line="315" w:lineRule="atLeast"/>
            </w:pPr>
            <w:r>
              <w:rPr>
                <w:rFonts w:hint="eastAsia" w:ascii="宋体" w:hAnsi="宋体" w:eastAsia="宋体" w:cs="宋体"/>
                <w:sz w:val="24"/>
                <w:szCs w:val="24"/>
              </w:rPr>
              <w:t>风管20米：材质：镀锌钢板，尺寸：≥400</w:t>
            </w:r>
            <w:r>
              <w:rPr>
                <w:rFonts w:hint="eastAsia" w:ascii="宋体" w:hAnsi="宋体" w:eastAsia="宋体" w:cs="宋体"/>
                <w:sz w:val="19"/>
                <w:szCs w:val="19"/>
              </w:rPr>
              <w:t>×</w:t>
            </w:r>
            <w:r>
              <w:rPr>
                <w:rFonts w:hint="eastAsia" w:ascii="宋体" w:hAnsi="宋体" w:eastAsia="宋体" w:cs="宋体"/>
                <w:sz w:val="24"/>
                <w:szCs w:val="24"/>
              </w:rPr>
              <w:t>300mm，保温：20橡塑板</w:t>
            </w:r>
          </w:p>
        </w:tc>
        <w:tc>
          <w:tcPr>
            <w:tcW w:w="536"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tc>
      </w:tr>
      <w:tr>
        <w:trPr>
          <w:trHeight w:val="2370" w:hRule="atLeast"/>
          <w:tblCellSpacing w:w="15" w:type="dxa"/>
        </w:trPr>
        <w:tc>
          <w:tcPr>
            <w:tcW w:w="905" w:type="dxa"/>
            <w:gridSpan w:val="2"/>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jc w:val="center"/>
            </w:pPr>
            <w:r>
              <w:rPr>
                <w:rFonts w:hint="default" w:ascii="Calibri" w:hAnsi="Calibri" w:cs="Calibri"/>
                <w:sz w:val="24"/>
                <w:szCs w:val="24"/>
              </w:rPr>
              <w:t>1-2-62</w:t>
            </w:r>
          </w:p>
        </w:tc>
        <w:tc>
          <w:tcPr>
            <w:tcW w:w="890"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pPr>
            <w:r>
              <w:rPr>
                <w:rFonts w:hint="eastAsia" w:ascii="宋体" w:hAnsi="宋体" w:eastAsia="宋体" w:cs="宋体"/>
                <w:sz w:val="24"/>
                <w:szCs w:val="24"/>
              </w:rPr>
              <w:t>机房装修系统</w:t>
            </w:r>
          </w:p>
        </w:tc>
        <w:tc>
          <w:tcPr>
            <w:tcW w:w="527"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jc w:val="center"/>
            </w:pPr>
            <w:r>
              <w:rPr>
                <w:rFonts w:hint="eastAsia" w:ascii="宋体" w:hAnsi="宋体" w:eastAsia="宋体" w:cs="宋体"/>
                <w:sz w:val="24"/>
                <w:szCs w:val="24"/>
              </w:rPr>
              <w:t>套</w:t>
            </w:r>
          </w:p>
        </w:tc>
        <w:tc>
          <w:tcPr>
            <w:tcW w:w="529"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jc w:val="center"/>
            </w:pPr>
            <w:r>
              <w:rPr>
                <w:rFonts w:hint="eastAsia" w:ascii="宋体" w:hAnsi="宋体" w:eastAsia="宋体" w:cs="宋体"/>
                <w:sz w:val="24"/>
                <w:szCs w:val="24"/>
              </w:rPr>
              <w:t>1</w:t>
            </w:r>
          </w:p>
        </w:tc>
        <w:tc>
          <w:tcPr>
            <w:tcW w:w="6407"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jc w:val="left"/>
            </w:pPr>
            <w:r>
              <w:rPr>
                <w:rFonts w:hint="eastAsia" w:ascii="宋体" w:hAnsi="宋体" w:eastAsia="宋体" w:cs="宋体"/>
                <w:sz w:val="24"/>
                <w:szCs w:val="24"/>
              </w:rPr>
              <w:t>抗静电活动风口地板10块：≥600</w:t>
            </w:r>
            <w:r>
              <w:rPr>
                <w:rFonts w:hint="eastAsia" w:ascii="宋体" w:hAnsi="宋体" w:eastAsia="宋体" w:cs="宋体"/>
                <w:sz w:val="19"/>
                <w:szCs w:val="19"/>
              </w:rPr>
              <w:t>×</w:t>
            </w:r>
            <w:r>
              <w:rPr>
                <w:rFonts w:hint="eastAsia" w:ascii="宋体" w:hAnsi="宋体" w:eastAsia="宋体" w:cs="宋体"/>
                <w:sz w:val="24"/>
                <w:szCs w:val="24"/>
              </w:rPr>
              <w:t>600</w:t>
            </w:r>
            <w:r>
              <w:rPr>
                <w:rFonts w:hint="eastAsia" w:ascii="宋体" w:hAnsi="宋体" w:eastAsia="宋体" w:cs="宋体"/>
                <w:sz w:val="19"/>
                <w:szCs w:val="19"/>
              </w:rPr>
              <w:t>×</w:t>
            </w:r>
            <w:r>
              <w:rPr>
                <w:rFonts w:hint="eastAsia" w:ascii="宋体" w:hAnsi="宋体" w:eastAsia="宋体" w:cs="宋体"/>
                <w:sz w:val="24"/>
                <w:szCs w:val="24"/>
              </w:rPr>
              <w:t>35、  架空≥400MM</w:t>
            </w:r>
          </w:p>
          <w:p>
            <w:pPr>
              <w:pStyle w:val="4"/>
              <w:keepNext w:val="0"/>
              <w:keepLines w:val="0"/>
              <w:widowControl/>
              <w:suppressLineNumbers w:val="0"/>
              <w:spacing w:line="315" w:lineRule="atLeast"/>
              <w:jc w:val="left"/>
            </w:pPr>
            <w:r>
              <w:rPr>
                <w:rFonts w:hint="eastAsia" w:ascii="宋体" w:hAnsi="宋体" w:eastAsia="宋体" w:cs="宋体"/>
                <w:sz w:val="24"/>
                <w:szCs w:val="24"/>
              </w:rPr>
              <w:t>抗静电活动地板60M</w:t>
            </w:r>
            <w:r>
              <w:rPr>
                <w:rFonts w:hint="eastAsia" w:ascii="宋体" w:hAnsi="宋体" w:eastAsia="宋体" w:cs="宋体"/>
                <w:sz w:val="24"/>
                <w:szCs w:val="24"/>
                <w:vertAlign w:val="superscript"/>
              </w:rPr>
              <w:t xml:space="preserve">2 </w:t>
            </w:r>
            <w:r>
              <w:rPr>
                <w:rFonts w:hint="eastAsia" w:ascii="宋体" w:hAnsi="宋体" w:eastAsia="宋体" w:cs="宋体"/>
                <w:sz w:val="24"/>
                <w:szCs w:val="24"/>
              </w:rPr>
              <w:t>: ≥ 600</w:t>
            </w:r>
            <w:r>
              <w:rPr>
                <w:rFonts w:hint="eastAsia" w:ascii="宋体" w:hAnsi="宋体" w:eastAsia="宋体" w:cs="宋体"/>
                <w:sz w:val="19"/>
                <w:szCs w:val="19"/>
              </w:rPr>
              <w:t>×</w:t>
            </w:r>
            <w:r>
              <w:rPr>
                <w:rFonts w:hint="eastAsia" w:ascii="宋体" w:hAnsi="宋体" w:eastAsia="宋体" w:cs="宋体"/>
                <w:sz w:val="24"/>
                <w:szCs w:val="24"/>
              </w:rPr>
              <w:t>600</w:t>
            </w:r>
            <w:r>
              <w:rPr>
                <w:rFonts w:hint="eastAsia" w:ascii="宋体" w:hAnsi="宋体" w:eastAsia="宋体" w:cs="宋体"/>
                <w:sz w:val="19"/>
                <w:szCs w:val="19"/>
              </w:rPr>
              <w:t>×</w:t>
            </w:r>
            <w:r>
              <w:rPr>
                <w:rFonts w:hint="eastAsia" w:ascii="宋体" w:hAnsi="宋体" w:eastAsia="宋体" w:cs="宋体"/>
                <w:sz w:val="24"/>
                <w:szCs w:val="24"/>
              </w:rPr>
              <w:t>35、  架空≥400MM</w:t>
            </w:r>
          </w:p>
          <w:p>
            <w:pPr>
              <w:pStyle w:val="4"/>
              <w:keepNext w:val="0"/>
              <w:keepLines w:val="0"/>
              <w:widowControl/>
              <w:suppressLineNumbers w:val="0"/>
              <w:spacing w:line="315" w:lineRule="atLeast"/>
              <w:jc w:val="left"/>
            </w:pPr>
            <w:r>
              <w:rPr>
                <w:rFonts w:hint="eastAsia" w:ascii="宋体" w:hAnsi="宋体" w:eastAsia="宋体" w:cs="宋体"/>
                <w:sz w:val="24"/>
                <w:szCs w:val="24"/>
              </w:rPr>
              <w:t>地面除尘漆60M</w:t>
            </w:r>
            <w:r>
              <w:rPr>
                <w:rFonts w:hint="eastAsia" w:ascii="宋体" w:hAnsi="宋体" w:eastAsia="宋体" w:cs="宋体"/>
                <w:sz w:val="24"/>
                <w:szCs w:val="24"/>
                <w:vertAlign w:val="superscript"/>
              </w:rPr>
              <w:t>2</w:t>
            </w:r>
            <w:r>
              <w:rPr>
                <w:rFonts w:hint="eastAsia" w:ascii="宋体" w:hAnsi="宋体" w:eastAsia="宋体" w:cs="宋体"/>
                <w:sz w:val="24"/>
                <w:szCs w:val="24"/>
              </w:rPr>
              <w:t>:  中灰</w:t>
            </w:r>
          </w:p>
          <w:p>
            <w:pPr>
              <w:pStyle w:val="4"/>
              <w:keepNext w:val="0"/>
              <w:keepLines w:val="0"/>
              <w:widowControl/>
              <w:suppressLineNumbers w:val="0"/>
              <w:spacing w:line="315" w:lineRule="atLeast"/>
              <w:jc w:val="left"/>
            </w:pPr>
            <w:r>
              <w:rPr>
                <w:rFonts w:hint="eastAsia" w:ascii="宋体" w:hAnsi="宋体" w:eastAsia="宋体" w:cs="宋体"/>
                <w:sz w:val="24"/>
                <w:szCs w:val="24"/>
              </w:rPr>
              <w:t>地面保温橡塑板65M</w:t>
            </w:r>
            <w:r>
              <w:rPr>
                <w:rFonts w:hint="eastAsia" w:ascii="宋体" w:hAnsi="宋体" w:eastAsia="宋体" w:cs="宋体"/>
                <w:sz w:val="24"/>
                <w:szCs w:val="24"/>
                <w:vertAlign w:val="superscript"/>
              </w:rPr>
              <w:t>2</w:t>
            </w:r>
            <w:r>
              <w:rPr>
                <w:rFonts w:hint="eastAsia" w:ascii="宋体" w:hAnsi="宋体" w:eastAsia="宋体" w:cs="宋体"/>
                <w:sz w:val="24"/>
                <w:szCs w:val="24"/>
              </w:rPr>
              <w:t>:  10MM双层、B1</w:t>
            </w:r>
          </w:p>
          <w:p>
            <w:pPr>
              <w:pStyle w:val="4"/>
              <w:keepNext w:val="0"/>
              <w:keepLines w:val="0"/>
              <w:widowControl/>
              <w:suppressLineNumbers w:val="0"/>
              <w:spacing w:line="315" w:lineRule="atLeast"/>
              <w:jc w:val="left"/>
            </w:pPr>
            <w:r>
              <w:rPr>
                <w:rFonts w:hint="eastAsia" w:ascii="宋体" w:hAnsi="宋体" w:eastAsia="宋体" w:cs="宋体"/>
                <w:sz w:val="24"/>
                <w:szCs w:val="24"/>
              </w:rPr>
              <w:t>防静电铝板60M</w:t>
            </w:r>
            <w:r>
              <w:rPr>
                <w:rFonts w:hint="eastAsia" w:ascii="宋体" w:hAnsi="宋体" w:eastAsia="宋体" w:cs="宋体"/>
                <w:sz w:val="24"/>
                <w:szCs w:val="24"/>
                <w:vertAlign w:val="superscript"/>
              </w:rPr>
              <w:t>2</w:t>
            </w:r>
            <w:r>
              <w:rPr>
                <w:rFonts w:hint="eastAsia" w:ascii="宋体" w:hAnsi="宋体" w:eastAsia="宋体" w:cs="宋体"/>
                <w:sz w:val="24"/>
                <w:szCs w:val="24"/>
              </w:rPr>
              <w:t>:  0.5MM</w:t>
            </w:r>
          </w:p>
          <w:p>
            <w:pPr>
              <w:pStyle w:val="4"/>
              <w:keepNext w:val="0"/>
              <w:keepLines w:val="0"/>
              <w:widowControl/>
              <w:suppressLineNumbers w:val="0"/>
              <w:spacing w:line="315" w:lineRule="atLeast"/>
              <w:jc w:val="left"/>
            </w:pPr>
            <w:r>
              <w:rPr>
                <w:rFonts w:hint="eastAsia" w:ascii="宋体" w:hAnsi="宋体" w:eastAsia="宋体" w:cs="宋体"/>
                <w:sz w:val="24"/>
                <w:szCs w:val="24"/>
              </w:rPr>
              <w:t>门口踏步1处:抗静电地板加工、不锈钢收边</w:t>
            </w:r>
          </w:p>
          <w:p>
            <w:pPr>
              <w:pStyle w:val="4"/>
              <w:keepNext w:val="0"/>
              <w:keepLines w:val="0"/>
              <w:widowControl/>
              <w:suppressLineNumbers w:val="0"/>
              <w:spacing w:line="315" w:lineRule="atLeast"/>
              <w:jc w:val="left"/>
            </w:pPr>
            <w:r>
              <w:rPr>
                <w:rFonts w:hint="eastAsia" w:ascii="宋体" w:hAnsi="宋体" w:eastAsia="宋体" w:cs="宋体"/>
                <w:sz w:val="24"/>
                <w:szCs w:val="24"/>
              </w:rPr>
              <w:t>楼板承重加固60M</w:t>
            </w:r>
            <w:r>
              <w:rPr>
                <w:rFonts w:hint="eastAsia" w:ascii="宋体" w:hAnsi="宋体" w:eastAsia="宋体" w:cs="宋体"/>
                <w:sz w:val="24"/>
                <w:szCs w:val="24"/>
                <w:vertAlign w:val="superscript"/>
              </w:rPr>
              <w:t>2</w:t>
            </w:r>
            <w:r>
              <w:rPr>
                <w:rFonts w:hint="eastAsia" w:ascii="宋体" w:hAnsi="宋体" w:eastAsia="宋体" w:cs="宋体"/>
                <w:sz w:val="24"/>
                <w:szCs w:val="24"/>
              </w:rPr>
              <w:t>:  100槽钢</w:t>
            </w:r>
          </w:p>
          <w:p>
            <w:pPr>
              <w:pStyle w:val="4"/>
              <w:keepNext w:val="0"/>
              <w:keepLines w:val="0"/>
              <w:widowControl/>
              <w:suppressLineNumbers w:val="0"/>
              <w:spacing w:line="315" w:lineRule="atLeast"/>
              <w:jc w:val="left"/>
            </w:pPr>
            <w:r>
              <w:rPr>
                <w:rFonts w:hint="eastAsia" w:ascii="宋体" w:hAnsi="宋体" w:eastAsia="宋体" w:cs="宋体"/>
                <w:sz w:val="24"/>
                <w:szCs w:val="24"/>
              </w:rPr>
              <w:t>电池柜承重底座4个：50</w:t>
            </w:r>
            <w:r>
              <w:rPr>
                <w:rFonts w:hint="eastAsia" w:ascii="宋体" w:hAnsi="宋体" w:eastAsia="宋体" w:cs="宋体"/>
                <w:sz w:val="19"/>
                <w:szCs w:val="19"/>
              </w:rPr>
              <w:t>×</w:t>
            </w:r>
            <w:r>
              <w:rPr>
                <w:rFonts w:hint="eastAsia" w:ascii="宋体" w:hAnsi="宋体" w:eastAsia="宋体" w:cs="宋体"/>
                <w:sz w:val="24"/>
                <w:szCs w:val="24"/>
              </w:rPr>
              <w:t>5角钢</w:t>
            </w:r>
          </w:p>
          <w:p>
            <w:pPr>
              <w:pStyle w:val="4"/>
              <w:keepNext w:val="0"/>
              <w:keepLines w:val="0"/>
              <w:widowControl/>
              <w:suppressLineNumbers w:val="0"/>
              <w:spacing w:line="315" w:lineRule="atLeast"/>
              <w:jc w:val="left"/>
            </w:pPr>
            <w:r>
              <w:rPr>
                <w:rFonts w:hint="eastAsia" w:ascii="宋体" w:hAnsi="宋体" w:eastAsia="宋体" w:cs="宋体"/>
                <w:sz w:val="24"/>
                <w:szCs w:val="24"/>
              </w:rPr>
              <w:t>机柜承重底座10个：50</w:t>
            </w:r>
            <w:r>
              <w:rPr>
                <w:rFonts w:hint="eastAsia" w:ascii="宋体" w:hAnsi="宋体" w:eastAsia="宋体" w:cs="宋体"/>
                <w:sz w:val="19"/>
                <w:szCs w:val="19"/>
              </w:rPr>
              <w:t>×</w:t>
            </w:r>
            <w:r>
              <w:rPr>
                <w:rFonts w:hint="eastAsia" w:ascii="宋体" w:hAnsi="宋体" w:eastAsia="宋体" w:cs="宋体"/>
                <w:sz w:val="24"/>
                <w:szCs w:val="24"/>
              </w:rPr>
              <w:t>5角钢</w:t>
            </w:r>
          </w:p>
          <w:p>
            <w:pPr>
              <w:pStyle w:val="4"/>
              <w:keepNext w:val="0"/>
              <w:keepLines w:val="0"/>
              <w:widowControl/>
              <w:suppressLineNumbers w:val="0"/>
              <w:spacing w:line="315" w:lineRule="atLeast"/>
              <w:jc w:val="left"/>
            </w:pPr>
            <w:r>
              <w:rPr>
                <w:rFonts w:hint="eastAsia" w:ascii="宋体" w:hAnsi="宋体" w:eastAsia="宋体" w:cs="宋体"/>
                <w:sz w:val="24"/>
                <w:szCs w:val="24"/>
              </w:rPr>
              <w:t>配电柜底座2个：50</w:t>
            </w:r>
            <w:r>
              <w:rPr>
                <w:rFonts w:hint="eastAsia" w:ascii="宋体" w:hAnsi="宋体" w:eastAsia="宋体" w:cs="宋体"/>
                <w:sz w:val="19"/>
                <w:szCs w:val="19"/>
              </w:rPr>
              <w:t>×</w:t>
            </w:r>
            <w:r>
              <w:rPr>
                <w:rFonts w:hint="eastAsia" w:ascii="宋体" w:hAnsi="宋体" w:eastAsia="宋体" w:cs="宋体"/>
                <w:sz w:val="24"/>
                <w:szCs w:val="24"/>
              </w:rPr>
              <w:t>5角钢</w:t>
            </w:r>
          </w:p>
          <w:p>
            <w:pPr>
              <w:pStyle w:val="4"/>
              <w:keepNext w:val="0"/>
              <w:keepLines w:val="0"/>
              <w:widowControl/>
              <w:suppressLineNumbers w:val="0"/>
              <w:spacing w:line="315" w:lineRule="atLeast"/>
              <w:jc w:val="left"/>
            </w:pPr>
            <w:r>
              <w:rPr>
                <w:rFonts w:hint="eastAsia" w:ascii="宋体" w:hAnsi="宋体" w:eastAsia="宋体" w:cs="宋体"/>
                <w:sz w:val="24"/>
                <w:szCs w:val="24"/>
              </w:rPr>
              <w:t>精密空调底座2个：50</w:t>
            </w:r>
            <w:r>
              <w:rPr>
                <w:rFonts w:hint="eastAsia" w:ascii="宋体" w:hAnsi="宋体" w:eastAsia="宋体" w:cs="宋体"/>
                <w:sz w:val="19"/>
                <w:szCs w:val="19"/>
              </w:rPr>
              <w:t>×</w:t>
            </w:r>
            <w:r>
              <w:rPr>
                <w:rFonts w:hint="eastAsia" w:ascii="宋体" w:hAnsi="宋体" w:eastAsia="宋体" w:cs="宋体"/>
                <w:sz w:val="24"/>
                <w:szCs w:val="24"/>
              </w:rPr>
              <w:t>5角钢</w:t>
            </w:r>
          </w:p>
          <w:p>
            <w:pPr>
              <w:pStyle w:val="4"/>
              <w:keepNext w:val="0"/>
              <w:keepLines w:val="0"/>
              <w:widowControl/>
              <w:suppressLineNumbers w:val="0"/>
              <w:spacing w:line="315" w:lineRule="atLeast"/>
              <w:jc w:val="left"/>
            </w:pPr>
            <w:r>
              <w:rPr>
                <w:rFonts w:hint="eastAsia" w:ascii="宋体" w:hAnsi="宋体" w:eastAsia="宋体" w:cs="宋体"/>
                <w:sz w:val="24"/>
                <w:szCs w:val="24"/>
              </w:rPr>
              <w:t>空调防水墙1定制：加工</w:t>
            </w:r>
          </w:p>
          <w:p>
            <w:pPr>
              <w:pStyle w:val="4"/>
              <w:keepNext w:val="0"/>
              <w:keepLines w:val="0"/>
              <w:widowControl/>
              <w:suppressLineNumbers w:val="0"/>
              <w:spacing w:line="315" w:lineRule="atLeast"/>
              <w:jc w:val="left"/>
            </w:pPr>
            <w:r>
              <w:rPr>
                <w:rFonts w:hint="eastAsia" w:ascii="宋体" w:hAnsi="宋体" w:eastAsia="宋体" w:cs="宋体"/>
                <w:sz w:val="24"/>
                <w:szCs w:val="24"/>
              </w:rPr>
              <w:t>铝合金微孔吊顶板60M</w:t>
            </w:r>
            <w:r>
              <w:rPr>
                <w:rFonts w:hint="eastAsia" w:ascii="宋体" w:hAnsi="宋体" w:eastAsia="宋体" w:cs="宋体"/>
                <w:sz w:val="24"/>
                <w:szCs w:val="24"/>
                <w:vertAlign w:val="superscript"/>
              </w:rPr>
              <w:t>2</w:t>
            </w:r>
            <w:r>
              <w:rPr>
                <w:rFonts w:hint="eastAsia" w:ascii="宋体" w:hAnsi="宋体" w:eastAsia="宋体" w:cs="宋体"/>
                <w:sz w:val="24"/>
                <w:szCs w:val="24"/>
              </w:rPr>
              <w:t>:  600</w:t>
            </w:r>
            <w:r>
              <w:rPr>
                <w:rFonts w:hint="eastAsia" w:ascii="宋体" w:hAnsi="宋体" w:eastAsia="宋体" w:cs="宋体"/>
                <w:sz w:val="19"/>
                <w:szCs w:val="19"/>
              </w:rPr>
              <w:t>×</w:t>
            </w:r>
            <w:r>
              <w:rPr>
                <w:rFonts w:hint="eastAsia" w:ascii="宋体" w:hAnsi="宋体" w:eastAsia="宋体" w:cs="宋体"/>
                <w:sz w:val="24"/>
                <w:szCs w:val="24"/>
              </w:rPr>
              <w:t>600</w:t>
            </w:r>
            <w:r>
              <w:rPr>
                <w:rFonts w:hint="eastAsia" w:ascii="宋体" w:hAnsi="宋体" w:eastAsia="宋体" w:cs="宋体"/>
                <w:sz w:val="19"/>
                <w:szCs w:val="19"/>
              </w:rPr>
              <w:t>×</w:t>
            </w:r>
            <w:r>
              <w:rPr>
                <w:rFonts w:hint="eastAsia" w:ascii="宋体" w:hAnsi="宋体" w:eastAsia="宋体" w:cs="宋体"/>
                <w:sz w:val="24"/>
                <w:szCs w:val="24"/>
              </w:rPr>
              <w:t>0.8</w:t>
            </w:r>
          </w:p>
          <w:p>
            <w:pPr>
              <w:pStyle w:val="4"/>
              <w:keepNext w:val="0"/>
              <w:keepLines w:val="0"/>
              <w:widowControl/>
              <w:suppressLineNumbers w:val="0"/>
              <w:spacing w:line="315" w:lineRule="atLeast"/>
              <w:jc w:val="left"/>
            </w:pPr>
            <w:r>
              <w:rPr>
                <w:rFonts w:hint="eastAsia" w:ascii="宋体" w:hAnsi="宋体" w:eastAsia="宋体" w:cs="宋体"/>
                <w:sz w:val="24"/>
                <w:szCs w:val="24"/>
              </w:rPr>
              <w:t>吊顶龙骨：60M</w:t>
            </w:r>
            <w:r>
              <w:rPr>
                <w:rFonts w:hint="eastAsia" w:ascii="宋体" w:hAnsi="宋体" w:eastAsia="宋体" w:cs="宋体"/>
                <w:sz w:val="24"/>
                <w:szCs w:val="24"/>
                <w:vertAlign w:val="superscript"/>
              </w:rPr>
              <w:t>2</w:t>
            </w:r>
            <w:r>
              <w:rPr>
                <w:rFonts w:hint="eastAsia" w:ascii="宋体" w:hAnsi="宋体" w:eastAsia="宋体" w:cs="宋体"/>
                <w:sz w:val="24"/>
                <w:szCs w:val="24"/>
              </w:rPr>
              <w:t>  　</w:t>
            </w:r>
          </w:p>
          <w:p>
            <w:pPr>
              <w:pStyle w:val="4"/>
              <w:keepNext w:val="0"/>
              <w:keepLines w:val="0"/>
              <w:widowControl/>
              <w:suppressLineNumbers w:val="0"/>
              <w:spacing w:line="315" w:lineRule="atLeast"/>
              <w:jc w:val="left"/>
            </w:pPr>
            <w:r>
              <w:rPr>
                <w:rFonts w:hint="eastAsia" w:ascii="宋体" w:hAnsi="宋体" w:eastAsia="宋体" w:cs="宋体"/>
                <w:sz w:val="24"/>
                <w:szCs w:val="24"/>
              </w:rPr>
              <w:t>吊顶L型收边条：30M</w:t>
            </w:r>
          </w:p>
          <w:p>
            <w:pPr>
              <w:pStyle w:val="4"/>
              <w:keepNext w:val="0"/>
              <w:keepLines w:val="0"/>
              <w:widowControl/>
              <w:suppressLineNumbers w:val="0"/>
              <w:spacing w:line="315" w:lineRule="atLeast"/>
              <w:jc w:val="left"/>
            </w:pPr>
            <w:r>
              <w:rPr>
                <w:rFonts w:hint="eastAsia" w:ascii="宋体" w:hAnsi="宋体" w:eastAsia="宋体" w:cs="宋体"/>
                <w:sz w:val="24"/>
                <w:szCs w:val="24"/>
              </w:rPr>
              <w:t>吊顶除尘漆：65M；中灰</w:t>
            </w:r>
          </w:p>
          <w:p>
            <w:pPr>
              <w:pStyle w:val="4"/>
              <w:keepNext w:val="0"/>
              <w:keepLines w:val="0"/>
              <w:widowControl/>
              <w:suppressLineNumbers w:val="0"/>
              <w:spacing w:line="315" w:lineRule="atLeast"/>
              <w:jc w:val="left"/>
            </w:pPr>
            <w:r>
              <w:rPr>
                <w:rFonts w:hint="eastAsia" w:ascii="宋体" w:hAnsi="宋体" w:eastAsia="宋体" w:cs="宋体"/>
                <w:sz w:val="24"/>
                <w:szCs w:val="24"/>
              </w:rPr>
              <w:t>天棚保温橡塑板：65M</w:t>
            </w:r>
            <w:r>
              <w:rPr>
                <w:rFonts w:hint="eastAsia" w:ascii="宋体" w:hAnsi="宋体" w:eastAsia="宋体" w:cs="宋体"/>
                <w:sz w:val="24"/>
                <w:szCs w:val="24"/>
                <w:vertAlign w:val="superscript"/>
              </w:rPr>
              <w:t>2；</w:t>
            </w:r>
            <w:r>
              <w:rPr>
                <w:rFonts w:hint="eastAsia" w:ascii="宋体" w:hAnsi="宋体" w:eastAsia="宋体" w:cs="宋体"/>
                <w:sz w:val="24"/>
                <w:szCs w:val="24"/>
              </w:rPr>
              <w:t>20MM、B1</w:t>
            </w:r>
          </w:p>
          <w:p>
            <w:pPr>
              <w:pStyle w:val="4"/>
              <w:keepNext w:val="0"/>
              <w:keepLines w:val="0"/>
              <w:widowControl/>
              <w:suppressLineNumbers w:val="0"/>
              <w:spacing w:line="315" w:lineRule="atLeast"/>
              <w:jc w:val="left"/>
            </w:pPr>
            <w:r>
              <w:rPr>
                <w:rFonts w:hint="eastAsia" w:ascii="宋体" w:hAnsi="宋体" w:eastAsia="宋体" w:cs="宋体"/>
                <w:sz w:val="24"/>
                <w:szCs w:val="24"/>
              </w:rPr>
              <w:t>墙面彩钢板用轻钢龙骨基层:  145M</w:t>
            </w:r>
            <w:r>
              <w:rPr>
                <w:rFonts w:hint="eastAsia" w:ascii="宋体" w:hAnsi="宋体" w:eastAsia="宋体" w:cs="宋体"/>
                <w:sz w:val="24"/>
                <w:szCs w:val="24"/>
                <w:vertAlign w:val="superscript"/>
              </w:rPr>
              <w:t xml:space="preserve">2 </w:t>
            </w:r>
            <w:r>
              <w:rPr>
                <w:rFonts w:hint="eastAsia" w:ascii="宋体" w:hAnsi="宋体" w:eastAsia="宋体" w:cs="宋体"/>
                <w:sz w:val="24"/>
                <w:szCs w:val="24"/>
              </w:rPr>
              <w:t>；</w:t>
            </w:r>
            <w:r>
              <w:rPr>
                <w:rFonts w:hint="eastAsia" w:ascii="宋体" w:hAnsi="宋体" w:eastAsia="宋体" w:cs="宋体"/>
                <w:sz w:val="24"/>
                <w:szCs w:val="24"/>
                <w:vertAlign w:val="superscript"/>
              </w:rPr>
              <w:t xml:space="preserve">   </w:t>
            </w:r>
            <w:r>
              <w:rPr>
                <w:rFonts w:hint="eastAsia" w:ascii="宋体" w:hAnsi="宋体" w:eastAsia="宋体" w:cs="宋体"/>
                <w:sz w:val="24"/>
                <w:szCs w:val="24"/>
              </w:rPr>
              <w:t>75</w:t>
            </w:r>
            <w:r>
              <w:rPr>
                <w:rFonts w:hint="eastAsia" w:ascii="宋体" w:hAnsi="宋体" w:eastAsia="宋体" w:cs="宋体"/>
                <w:sz w:val="19"/>
                <w:szCs w:val="19"/>
              </w:rPr>
              <w:t>×</w:t>
            </w:r>
            <w:r>
              <w:rPr>
                <w:rFonts w:hint="eastAsia" w:ascii="宋体" w:hAnsi="宋体" w:eastAsia="宋体" w:cs="宋体"/>
                <w:sz w:val="24"/>
                <w:szCs w:val="24"/>
              </w:rPr>
              <w:t>45</w:t>
            </w:r>
            <w:r>
              <w:rPr>
                <w:rFonts w:hint="eastAsia" w:ascii="宋体" w:hAnsi="宋体" w:eastAsia="宋体" w:cs="宋体"/>
                <w:sz w:val="19"/>
                <w:szCs w:val="19"/>
              </w:rPr>
              <w:t>×</w:t>
            </w:r>
            <w:r>
              <w:rPr>
                <w:rFonts w:hint="eastAsia" w:ascii="宋体" w:hAnsi="宋体" w:eastAsia="宋体" w:cs="宋体"/>
                <w:sz w:val="24"/>
                <w:szCs w:val="24"/>
              </w:rPr>
              <w:t>0.6</w:t>
            </w:r>
          </w:p>
          <w:p>
            <w:pPr>
              <w:pStyle w:val="4"/>
              <w:keepNext w:val="0"/>
              <w:keepLines w:val="0"/>
              <w:widowControl/>
              <w:suppressLineNumbers w:val="0"/>
              <w:spacing w:line="315" w:lineRule="atLeast"/>
              <w:jc w:val="left"/>
            </w:pPr>
            <w:r>
              <w:rPr>
                <w:rFonts w:hint="eastAsia" w:ascii="宋体" w:hAnsi="宋体" w:eastAsia="宋体" w:cs="宋体"/>
                <w:sz w:val="24"/>
                <w:szCs w:val="24"/>
              </w:rPr>
              <w:t>龙骨内填保温玻璃纤维棉：145M</w:t>
            </w:r>
            <w:r>
              <w:rPr>
                <w:rFonts w:hint="eastAsia" w:ascii="宋体" w:hAnsi="宋体" w:eastAsia="宋体" w:cs="宋体"/>
                <w:sz w:val="24"/>
                <w:szCs w:val="24"/>
                <w:vertAlign w:val="superscript"/>
              </w:rPr>
              <w:t>2</w:t>
            </w:r>
            <w:r>
              <w:rPr>
                <w:rFonts w:hint="eastAsia" w:ascii="宋体" w:hAnsi="宋体" w:eastAsia="宋体" w:cs="宋体"/>
                <w:sz w:val="24"/>
                <w:szCs w:val="24"/>
              </w:rPr>
              <w:t>；5cm、32KG/m3</w:t>
            </w:r>
          </w:p>
          <w:p>
            <w:pPr>
              <w:pStyle w:val="4"/>
              <w:keepNext w:val="0"/>
              <w:keepLines w:val="0"/>
              <w:widowControl/>
              <w:suppressLineNumbers w:val="0"/>
              <w:spacing w:line="315" w:lineRule="atLeast"/>
              <w:jc w:val="left"/>
            </w:pPr>
            <w:r>
              <w:rPr>
                <w:rFonts w:hint="eastAsia" w:ascii="宋体" w:hAnsi="宋体" w:eastAsia="宋体" w:cs="宋体"/>
                <w:sz w:val="24"/>
                <w:szCs w:val="24"/>
              </w:rPr>
              <w:t>墙面金属彩钢板：100M</w:t>
            </w:r>
            <w:r>
              <w:rPr>
                <w:rFonts w:hint="eastAsia" w:ascii="宋体" w:hAnsi="宋体" w:eastAsia="宋体" w:cs="宋体"/>
                <w:sz w:val="24"/>
                <w:szCs w:val="24"/>
                <w:vertAlign w:val="superscript"/>
              </w:rPr>
              <w:t>2</w:t>
            </w:r>
            <w:r>
              <w:rPr>
                <w:rFonts w:hint="eastAsia" w:ascii="宋体" w:hAnsi="宋体" w:eastAsia="宋体" w:cs="宋体"/>
                <w:sz w:val="24"/>
                <w:szCs w:val="24"/>
              </w:rPr>
              <w:t>12mm</w:t>
            </w:r>
          </w:p>
          <w:p>
            <w:pPr>
              <w:pStyle w:val="4"/>
              <w:keepNext w:val="0"/>
              <w:keepLines w:val="0"/>
              <w:widowControl/>
              <w:suppressLineNumbers w:val="0"/>
              <w:spacing w:line="315" w:lineRule="atLeast"/>
              <w:jc w:val="left"/>
            </w:pPr>
            <w:r>
              <w:rPr>
                <w:rFonts w:hint="eastAsia" w:ascii="宋体" w:hAnsi="宋体" w:eastAsia="宋体" w:cs="宋体"/>
                <w:sz w:val="24"/>
                <w:szCs w:val="24"/>
              </w:rPr>
              <w:t>彩钢板上下硅酸钙板：45M</w:t>
            </w:r>
            <w:r>
              <w:rPr>
                <w:rFonts w:hint="eastAsia" w:ascii="宋体" w:hAnsi="宋体" w:eastAsia="宋体" w:cs="宋体"/>
                <w:sz w:val="24"/>
                <w:szCs w:val="24"/>
                <w:vertAlign w:val="superscript"/>
              </w:rPr>
              <w:t>2</w:t>
            </w:r>
            <w:r>
              <w:t>　</w:t>
            </w:r>
          </w:p>
          <w:p>
            <w:pPr>
              <w:pStyle w:val="4"/>
              <w:keepNext w:val="0"/>
              <w:keepLines w:val="0"/>
              <w:widowControl/>
              <w:suppressLineNumbers w:val="0"/>
              <w:spacing w:line="315" w:lineRule="atLeast"/>
              <w:jc w:val="left"/>
            </w:pPr>
            <w:r>
              <w:rPr>
                <w:rFonts w:hint="eastAsia" w:ascii="宋体" w:hAnsi="宋体" w:eastAsia="宋体" w:cs="宋体"/>
                <w:sz w:val="24"/>
                <w:szCs w:val="24"/>
              </w:rPr>
              <w:t>踢脚线：30M；100mm</w:t>
            </w:r>
          </w:p>
          <w:p>
            <w:pPr>
              <w:pStyle w:val="4"/>
              <w:keepNext w:val="0"/>
              <w:keepLines w:val="0"/>
              <w:widowControl/>
              <w:suppressLineNumbers w:val="0"/>
              <w:spacing w:line="315" w:lineRule="atLeast"/>
              <w:jc w:val="left"/>
            </w:pPr>
            <w:r>
              <w:rPr>
                <w:rFonts w:hint="eastAsia" w:ascii="宋体" w:hAnsi="宋体" w:eastAsia="宋体" w:cs="宋体"/>
                <w:sz w:val="24"/>
                <w:szCs w:val="24"/>
              </w:rPr>
              <w:t>窗贴玻璃纸：12M</w:t>
            </w:r>
            <w:r>
              <w:rPr>
                <w:rFonts w:hint="eastAsia" w:ascii="宋体" w:hAnsi="宋体" w:eastAsia="宋体" w:cs="宋体"/>
                <w:sz w:val="24"/>
                <w:szCs w:val="24"/>
                <w:vertAlign w:val="superscript"/>
              </w:rPr>
              <w:t>2</w:t>
            </w:r>
            <w:r>
              <w:rPr>
                <w:rFonts w:hint="eastAsia" w:ascii="宋体" w:hAnsi="宋体" w:eastAsia="宋体" w:cs="宋体"/>
                <w:sz w:val="24"/>
                <w:szCs w:val="24"/>
              </w:rPr>
              <w:t>；白磨砂玻璃纸</w:t>
            </w:r>
          </w:p>
          <w:p>
            <w:pPr>
              <w:pStyle w:val="4"/>
              <w:keepNext w:val="0"/>
              <w:keepLines w:val="0"/>
              <w:widowControl/>
              <w:suppressLineNumbers w:val="0"/>
              <w:spacing w:line="315" w:lineRule="atLeast"/>
            </w:pPr>
            <w:r>
              <w:rPr>
                <w:rFonts w:hint="eastAsia" w:ascii="宋体" w:hAnsi="宋体" w:eastAsia="宋体" w:cs="宋体"/>
                <w:sz w:val="24"/>
                <w:szCs w:val="24"/>
              </w:rPr>
              <w:t>窗户封堵：12M</w:t>
            </w:r>
            <w:r>
              <w:rPr>
                <w:rFonts w:hint="eastAsia" w:ascii="宋体" w:hAnsi="宋体" w:eastAsia="宋体" w:cs="宋体"/>
                <w:sz w:val="24"/>
                <w:szCs w:val="24"/>
                <w:vertAlign w:val="superscript"/>
              </w:rPr>
              <w:t>2</w:t>
            </w:r>
            <w:r>
              <w:rPr>
                <w:rFonts w:hint="eastAsia" w:ascii="宋体" w:hAnsi="宋体" w:eastAsia="宋体" w:cs="宋体"/>
                <w:sz w:val="24"/>
                <w:szCs w:val="24"/>
              </w:rPr>
              <w:t>；轻钢龙骨、硅酸钙板</w:t>
            </w:r>
          </w:p>
        </w:tc>
        <w:tc>
          <w:tcPr>
            <w:tcW w:w="536"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tc>
      </w:tr>
      <w:tr>
        <w:trPr>
          <w:trHeight w:val="3105" w:hRule="atLeast"/>
          <w:tblCellSpacing w:w="15" w:type="dxa"/>
        </w:trPr>
        <w:tc>
          <w:tcPr>
            <w:tcW w:w="905" w:type="dxa"/>
            <w:gridSpan w:val="2"/>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jc w:val="center"/>
            </w:pPr>
            <w:r>
              <w:rPr>
                <w:rFonts w:hint="default" w:ascii="Calibri" w:hAnsi="Calibri" w:cs="Calibri"/>
                <w:sz w:val="24"/>
                <w:szCs w:val="24"/>
              </w:rPr>
              <w:t>1-2-63</w:t>
            </w:r>
          </w:p>
        </w:tc>
        <w:tc>
          <w:tcPr>
            <w:tcW w:w="890"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pPr>
            <w:r>
              <w:rPr>
                <w:rFonts w:hint="eastAsia" w:ascii="宋体" w:hAnsi="宋体" w:eastAsia="宋体" w:cs="宋体"/>
                <w:sz w:val="24"/>
                <w:szCs w:val="24"/>
              </w:rPr>
              <w:t>机房配电系统</w:t>
            </w:r>
          </w:p>
        </w:tc>
        <w:tc>
          <w:tcPr>
            <w:tcW w:w="527"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jc w:val="center"/>
            </w:pPr>
            <w:r>
              <w:rPr>
                <w:rFonts w:hint="eastAsia" w:ascii="宋体" w:hAnsi="宋体" w:eastAsia="宋体" w:cs="宋体"/>
                <w:sz w:val="24"/>
                <w:szCs w:val="24"/>
              </w:rPr>
              <w:t>套</w:t>
            </w:r>
          </w:p>
        </w:tc>
        <w:tc>
          <w:tcPr>
            <w:tcW w:w="529"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jc w:val="center"/>
            </w:pPr>
            <w:r>
              <w:rPr>
                <w:rFonts w:hint="eastAsia" w:ascii="宋体" w:hAnsi="宋体" w:eastAsia="宋体" w:cs="宋体"/>
                <w:sz w:val="24"/>
                <w:szCs w:val="24"/>
              </w:rPr>
              <w:t>1</w:t>
            </w:r>
          </w:p>
        </w:tc>
        <w:tc>
          <w:tcPr>
            <w:tcW w:w="6407"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wordWrap w:val="0"/>
              <w:spacing w:line="315" w:lineRule="atLeast"/>
              <w:jc w:val="left"/>
            </w:pPr>
            <w:r>
              <w:rPr>
                <w:rFonts w:hint="eastAsia" w:ascii="宋体" w:hAnsi="宋体" w:eastAsia="宋体" w:cs="宋体"/>
                <w:sz w:val="24"/>
                <w:szCs w:val="24"/>
              </w:rPr>
              <w:t>双电源自动切换柜ATS  1台：≥850</w:t>
            </w:r>
            <w:r>
              <w:rPr>
                <w:rFonts w:hint="eastAsia" w:ascii="宋体" w:hAnsi="宋体" w:eastAsia="宋体" w:cs="宋体"/>
                <w:sz w:val="19"/>
                <w:szCs w:val="19"/>
              </w:rPr>
              <w:t>×</w:t>
            </w:r>
            <w:r>
              <w:rPr>
                <w:rFonts w:hint="eastAsia" w:ascii="宋体" w:hAnsi="宋体" w:eastAsia="宋体" w:cs="宋体"/>
                <w:sz w:val="24"/>
                <w:szCs w:val="24"/>
              </w:rPr>
              <w:t>305</w:t>
            </w:r>
            <w:r>
              <w:rPr>
                <w:rFonts w:hint="eastAsia" w:ascii="宋体" w:hAnsi="宋体" w:eastAsia="宋体" w:cs="宋体"/>
                <w:sz w:val="19"/>
                <w:szCs w:val="19"/>
              </w:rPr>
              <w:t>×</w:t>
            </w:r>
            <w:r>
              <w:rPr>
                <w:rFonts w:hint="eastAsia" w:ascii="宋体" w:hAnsi="宋体" w:eastAsia="宋体" w:cs="宋体"/>
                <w:sz w:val="24"/>
                <w:szCs w:val="24"/>
              </w:rPr>
              <w:t>1850MM；含ATS、智能数显表、OBO避雷器等（按设  计图纸标明的型号、规格和数量进行生产）</w:t>
            </w:r>
          </w:p>
          <w:p>
            <w:pPr>
              <w:pStyle w:val="4"/>
              <w:keepNext w:val="0"/>
              <w:keepLines w:val="0"/>
              <w:widowControl/>
              <w:suppressLineNumbers w:val="0"/>
              <w:wordWrap w:val="0"/>
              <w:spacing w:line="315" w:lineRule="atLeast"/>
              <w:jc w:val="left"/>
            </w:pPr>
            <w:r>
              <w:rPr>
                <w:rFonts w:hint="eastAsia" w:ascii="宋体" w:hAnsi="宋体" w:eastAsia="宋体" w:cs="宋体"/>
                <w:sz w:val="24"/>
                <w:szCs w:val="24"/>
              </w:rPr>
              <w:t>UPS输出配电柜UAP1(含弱电间）1台：≥850</w:t>
            </w:r>
            <w:r>
              <w:rPr>
                <w:rFonts w:hint="eastAsia" w:ascii="宋体" w:hAnsi="宋体" w:eastAsia="宋体" w:cs="宋体"/>
                <w:sz w:val="19"/>
                <w:szCs w:val="19"/>
              </w:rPr>
              <w:t>×</w:t>
            </w:r>
            <w:r>
              <w:rPr>
                <w:rFonts w:hint="eastAsia" w:ascii="宋体" w:hAnsi="宋体" w:eastAsia="宋体" w:cs="宋体"/>
                <w:sz w:val="24"/>
                <w:szCs w:val="24"/>
              </w:rPr>
              <w:t>305</w:t>
            </w:r>
            <w:r>
              <w:rPr>
                <w:rFonts w:hint="eastAsia" w:ascii="宋体" w:hAnsi="宋体" w:eastAsia="宋体" w:cs="宋体"/>
                <w:sz w:val="19"/>
                <w:szCs w:val="19"/>
              </w:rPr>
              <w:t>×</w:t>
            </w:r>
            <w:r>
              <w:rPr>
                <w:rFonts w:hint="eastAsia" w:ascii="宋体" w:hAnsi="宋体" w:eastAsia="宋体" w:cs="宋体"/>
                <w:sz w:val="24"/>
                <w:szCs w:val="24"/>
              </w:rPr>
              <w:t>1850MM；含智能数显表、OBO避雷器等（按设  计图纸标明的型号、规格和数量进行生产）</w:t>
            </w:r>
          </w:p>
          <w:p>
            <w:pPr>
              <w:pStyle w:val="4"/>
              <w:keepNext w:val="0"/>
              <w:keepLines w:val="0"/>
              <w:widowControl/>
              <w:suppressLineNumbers w:val="0"/>
              <w:wordWrap w:val="0"/>
              <w:spacing w:line="315" w:lineRule="atLeast"/>
              <w:jc w:val="left"/>
            </w:pPr>
            <w:r>
              <w:rPr>
                <w:rFonts w:hint="eastAsia" w:ascii="宋体" w:hAnsi="宋体" w:eastAsia="宋体" w:cs="宋体"/>
                <w:sz w:val="24"/>
                <w:szCs w:val="24"/>
              </w:rPr>
              <w:t>主干电缆双路引至负一楼电房200米：ZR-YJV-4</w:t>
            </w:r>
            <w:r>
              <w:rPr>
                <w:rFonts w:hint="eastAsia" w:ascii="宋体" w:hAnsi="宋体" w:eastAsia="宋体" w:cs="宋体"/>
                <w:sz w:val="19"/>
                <w:szCs w:val="19"/>
              </w:rPr>
              <w:t>×</w:t>
            </w:r>
            <w:r>
              <w:rPr>
                <w:rFonts w:hint="eastAsia" w:ascii="宋体" w:hAnsi="宋体" w:eastAsia="宋体" w:cs="宋体"/>
                <w:sz w:val="24"/>
                <w:szCs w:val="24"/>
              </w:rPr>
              <w:t>70+1</w:t>
            </w:r>
            <w:r>
              <w:rPr>
                <w:rFonts w:hint="eastAsia" w:ascii="宋体" w:hAnsi="宋体" w:eastAsia="宋体" w:cs="宋体"/>
                <w:sz w:val="19"/>
                <w:szCs w:val="19"/>
              </w:rPr>
              <w:t>×</w:t>
            </w:r>
            <w:r>
              <w:rPr>
                <w:rFonts w:hint="eastAsia" w:ascii="宋体" w:hAnsi="宋体" w:eastAsia="宋体" w:cs="宋体"/>
                <w:sz w:val="24"/>
                <w:szCs w:val="24"/>
              </w:rPr>
              <w:t>35</w:t>
            </w:r>
          </w:p>
          <w:p>
            <w:pPr>
              <w:pStyle w:val="4"/>
              <w:keepNext w:val="0"/>
              <w:keepLines w:val="0"/>
              <w:widowControl/>
              <w:suppressLineNumbers w:val="0"/>
              <w:wordWrap w:val="0"/>
              <w:spacing w:line="315" w:lineRule="atLeast"/>
              <w:jc w:val="left"/>
            </w:pPr>
            <w:r>
              <w:rPr>
                <w:rFonts w:hint="eastAsia" w:ascii="宋体" w:hAnsi="宋体" w:eastAsia="宋体" w:cs="宋体"/>
                <w:sz w:val="24"/>
                <w:szCs w:val="24"/>
              </w:rPr>
              <w:t>引大楼接地主线140米：ZR-BVR-50</w:t>
            </w:r>
          </w:p>
          <w:p>
            <w:pPr>
              <w:pStyle w:val="4"/>
              <w:keepNext w:val="0"/>
              <w:keepLines w:val="0"/>
              <w:widowControl/>
              <w:suppressLineNumbers w:val="0"/>
              <w:wordWrap w:val="0"/>
              <w:spacing w:line="315" w:lineRule="atLeast"/>
              <w:jc w:val="left"/>
            </w:pPr>
            <w:r>
              <w:rPr>
                <w:rFonts w:hint="eastAsia" w:ascii="宋体" w:hAnsi="宋体" w:eastAsia="宋体" w:cs="宋体"/>
                <w:sz w:val="24"/>
                <w:szCs w:val="24"/>
              </w:rPr>
              <w:t>机房至楼层弱电间电缆400米：ZR-YJV-3</w:t>
            </w:r>
            <w:r>
              <w:rPr>
                <w:rFonts w:hint="eastAsia" w:ascii="宋体" w:hAnsi="宋体" w:eastAsia="宋体" w:cs="宋体"/>
                <w:sz w:val="19"/>
                <w:szCs w:val="19"/>
              </w:rPr>
              <w:t>×</w:t>
            </w:r>
            <w:r>
              <w:rPr>
                <w:rFonts w:hint="eastAsia" w:ascii="宋体" w:hAnsi="宋体" w:eastAsia="宋体" w:cs="宋体"/>
                <w:sz w:val="24"/>
                <w:szCs w:val="24"/>
              </w:rPr>
              <w:t>6</w:t>
            </w:r>
          </w:p>
          <w:p>
            <w:pPr>
              <w:pStyle w:val="4"/>
              <w:keepNext w:val="0"/>
              <w:keepLines w:val="0"/>
              <w:widowControl/>
              <w:suppressLineNumbers w:val="0"/>
              <w:wordWrap w:val="0"/>
              <w:spacing w:line="315" w:lineRule="atLeast"/>
              <w:jc w:val="left"/>
            </w:pPr>
            <w:r>
              <w:rPr>
                <w:rFonts w:hint="eastAsia" w:ascii="宋体" w:hAnsi="宋体" w:eastAsia="宋体" w:cs="宋体"/>
                <w:sz w:val="24"/>
                <w:szCs w:val="24"/>
              </w:rPr>
              <w:t>UPS输入输出电缆30米：ZR-YJV-4</w:t>
            </w:r>
            <w:r>
              <w:rPr>
                <w:rFonts w:hint="eastAsia" w:ascii="宋体" w:hAnsi="宋体" w:eastAsia="宋体" w:cs="宋体"/>
                <w:sz w:val="19"/>
                <w:szCs w:val="19"/>
              </w:rPr>
              <w:t>×</w:t>
            </w:r>
            <w:r>
              <w:rPr>
                <w:rFonts w:hint="eastAsia" w:ascii="宋体" w:hAnsi="宋体" w:eastAsia="宋体" w:cs="宋体"/>
                <w:sz w:val="24"/>
                <w:szCs w:val="24"/>
              </w:rPr>
              <w:t>25+1</w:t>
            </w:r>
            <w:r>
              <w:rPr>
                <w:rFonts w:hint="eastAsia" w:ascii="宋体" w:hAnsi="宋体" w:eastAsia="宋体" w:cs="宋体"/>
                <w:sz w:val="19"/>
                <w:szCs w:val="19"/>
              </w:rPr>
              <w:t>×</w:t>
            </w:r>
            <w:r>
              <w:rPr>
                <w:rFonts w:hint="eastAsia" w:ascii="宋体" w:hAnsi="宋体" w:eastAsia="宋体" w:cs="宋体"/>
                <w:sz w:val="24"/>
                <w:szCs w:val="24"/>
              </w:rPr>
              <w:t>16</w:t>
            </w:r>
          </w:p>
          <w:p>
            <w:pPr>
              <w:pStyle w:val="4"/>
              <w:keepNext w:val="0"/>
              <w:keepLines w:val="0"/>
              <w:widowControl/>
              <w:suppressLineNumbers w:val="0"/>
              <w:wordWrap w:val="0"/>
              <w:spacing w:line="315" w:lineRule="atLeast"/>
              <w:jc w:val="left"/>
            </w:pPr>
            <w:r>
              <w:rPr>
                <w:rFonts w:hint="eastAsia" w:ascii="宋体" w:hAnsi="宋体" w:eastAsia="宋体" w:cs="宋体"/>
                <w:sz w:val="24"/>
                <w:szCs w:val="24"/>
              </w:rPr>
              <w:t>精密空调供电电缆30米：ZR-YJV-5</w:t>
            </w:r>
            <w:r>
              <w:rPr>
                <w:rFonts w:hint="eastAsia" w:ascii="宋体" w:hAnsi="宋体" w:eastAsia="宋体" w:cs="宋体"/>
                <w:sz w:val="19"/>
                <w:szCs w:val="19"/>
              </w:rPr>
              <w:t>×</w:t>
            </w:r>
            <w:r>
              <w:rPr>
                <w:rFonts w:hint="eastAsia" w:ascii="宋体" w:hAnsi="宋体" w:eastAsia="宋体" w:cs="宋体"/>
                <w:sz w:val="24"/>
                <w:szCs w:val="24"/>
              </w:rPr>
              <w:t>10</w:t>
            </w:r>
          </w:p>
          <w:p>
            <w:pPr>
              <w:pStyle w:val="4"/>
              <w:keepNext w:val="0"/>
              <w:keepLines w:val="0"/>
              <w:widowControl/>
              <w:suppressLineNumbers w:val="0"/>
              <w:wordWrap w:val="0"/>
              <w:spacing w:line="315" w:lineRule="atLeast"/>
              <w:jc w:val="left"/>
            </w:pPr>
            <w:r>
              <w:rPr>
                <w:rFonts w:hint="eastAsia" w:ascii="宋体" w:hAnsi="宋体" w:eastAsia="宋体" w:cs="宋体"/>
                <w:sz w:val="24"/>
                <w:szCs w:val="24"/>
              </w:rPr>
              <w:t>照明、插座供电电缆1200米：BV-2.5</w:t>
            </w:r>
          </w:p>
          <w:p>
            <w:pPr>
              <w:pStyle w:val="4"/>
              <w:keepNext w:val="0"/>
              <w:keepLines w:val="0"/>
              <w:widowControl/>
              <w:suppressLineNumbers w:val="0"/>
              <w:wordWrap w:val="0"/>
              <w:spacing w:line="315" w:lineRule="atLeast"/>
              <w:jc w:val="left"/>
            </w:pPr>
            <w:r>
              <w:rPr>
                <w:rFonts w:hint="eastAsia" w:ascii="宋体" w:hAnsi="宋体" w:eastAsia="宋体" w:cs="宋体"/>
                <w:sz w:val="24"/>
                <w:szCs w:val="24"/>
              </w:rPr>
              <w:t>UPS供电设备（PDU)输入电缆400米：YZ-3</w:t>
            </w:r>
            <w:r>
              <w:rPr>
                <w:rFonts w:hint="eastAsia" w:ascii="宋体" w:hAnsi="宋体" w:eastAsia="宋体" w:cs="宋体"/>
                <w:sz w:val="19"/>
                <w:szCs w:val="19"/>
              </w:rPr>
              <w:t>×</w:t>
            </w:r>
            <w:r>
              <w:rPr>
                <w:rFonts w:hint="eastAsia" w:ascii="宋体" w:hAnsi="宋体" w:eastAsia="宋体" w:cs="宋体"/>
                <w:sz w:val="24"/>
                <w:szCs w:val="24"/>
              </w:rPr>
              <w:t>6</w:t>
            </w:r>
          </w:p>
          <w:p>
            <w:pPr>
              <w:pStyle w:val="4"/>
              <w:keepNext w:val="0"/>
              <w:keepLines w:val="0"/>
              <w:widowControl/>
              <w:suppressLineNumbers w:val="0"/>
              <w:wordWrap w:val="0"/>
              <w:spacing w:line="315" w:lineRule="atLeast"/>
              <w:jc w:val="left"/>
            </w:pPr>
            <w:r>
              <w:rPr>
                <w:rFonts w:hint="eastAsia" w:ascii="宋体" w:hAnsi="宋体" w:eastAsia="宋体" w:cs="宋体"/>
                <w:sz w:val="24"/>
                <w:szCs w:val="24"/>
              </w:rPr>
              <w:t>墙面辅助插座5套：10A、16A</w:t>
            </w:r>
          </w:p>
          <w:p>
            <w:pPr>
              <w:pStyle w:val="4"/>
              <w:keepNext w:val="0"/>
              <w:keepLines w:val="0"/>
              <w:widowControl/>
              <w:suppressLineNumbers w:val="0"/>
              <w:wordWrap w:val="0"/>
              <w:spacing w:line="315" w:lineRule="atLeast"/>
              <w:jc w:val="left"/>
            </w:pPr>
            <w:r>
              <w:rPr>
                <w:rFonts w:hint="eastAsia" w:ascii="宋体" w:hAnsi="宋体" w:eastAsia="宋体" w:cs="宋体"/>
                <w:sz w:val="24"/>
                <w:szCs w:val="24"/>
              </w:rPr>
              <w:t>电子节能高效格栅灯盘12套：600×600，14W×3</w:t>
            </w:r>
          </w:p>
          <w:p>
            <w:pPr>
              <w:pStyle w:val="4"/>
              <w:keepNext w:val="0"/>
              <w:keepLines w:val="0"/>
              <w:widowControl/>
              <w:suppressLineNumbers w:val="0"/>
              <w:wordWrap w:val="0"/>
              <w:spacing w:line="315" w:lineRule="atLeast"/>
              <w:jc w:val="left"/>
            </w:pPr>
            <w:r>
              <w:rPr>
                <w:rFonts w:hint="eastAsia" w:ascii="宋体" w:hAnsi="宋体" w:eastAsia="宋体" w:cs="宋体"/>
                <w:sz w:val="24"/>
                <w:szCs w:val="24"/>
              </w:rPr>
              <w:t>高效格栅灯盘（带应急电源条）6套：600×600，14W×3</w:t>
            </w:r>
          </w:p>
          <w:p>
            <w:pPr>
              <w:pStyle w:val="4"/>
              <w:keepNext w:val="0"/>
              <w:keepLines w:val="0"/>
              <w:widowControl/>
              <w:suppressLineNumbers w:val="0"/>
              <w:wordWrap w:val="0"/>
              <w:spacing w:line="315" w:lineRule="atLeast"/>
              <w:jc w:val="left"/>
            </w:pPr>
            <w:r>
              <w:rPr>
                <w:rFonts w:hint="eastAsia" w:ascii="宋体" w:hAnsi="宋体" w:eastAsia="宋体" w:cs="宋体"/>
                <w:sz w:val="24"/>
                <w:szCs w:val="24"/>
              </w:rPr>
              <w:t>航空插头28套：32A/220V</w:t>
            </w:r>
          </w:p>
          <w:p>
            <w:pPr>
              <w:pStyle w:val="4"/>
              <w:keepNext w:val="0"/>
              <w:keepLines w:val="0"/>
              <w:widowControl/>
              <w:suppressLineNumbers w:val="0"/>
              <w:wordWrap w:val="0"/>
              <w:spacing w:line="315" w:lineRule="atLeast"/>
              <w:jc w:val="left"/>
            </w:pPr>
            <w:r>
              <w:rPr>
                <w:rFonts w:hint="eastAsia" w:ascii="宋体" w:hAnsi="宋体" w:eastAsia="宋体" w:cs="宋体"/>
                <w:sz w:val="24"/>
                <w:szCs w:val="24"/>
              </w:rPr>
              <w:t>24位机架式PDU 28套：AUE220-24（32A总输入，插孔规格可定制）</w:t>
            </w:r>
          </w:p>
          <w:p>
            <w:pPr>
              <w:pStyle w:val="4"/>
              <w:keepNext w:val="0"/>
              <w:keepLines w:val="0"/>
              <w:widowControl/>
              <w:suppressLineNumbers w:val="0"/>
              <w:wordWrap w:val="0"/>
              <w:spacing w:line="315" w:lineRule="atLeast"/>
              <w:jc w:val="left"/>
            </w:pPr>
            <w:r>
              <w:rPr>
                <w:rFonts w:hint="eastAsia" w:ascii="宋体" w:hAnsi="宋体" w:eastAsia="宋体" w:cs="宋体"/>
                <w:sz w:val="24"/>
                <w:szCs w:val="24"/>
              </w:rPr>
              <w:t>翘板开关3个：A8</w:t>
            </w:r>
          </w:p>
          <w:p>
            <w:pPr>
              <w:pStyle w:val="4"/>
              <w:keepNext w:val="0"/>
              <w:keepLines w:val="0"/>
              <w:widowControl/>
              <w:suppressLineNumbers w:val="0"/>
              <w:wordWrap w:val="0"/>
              <w:spacing w:line="315" w:lineRule="atLeast"/>
              <w:jc w:val="left"/>
            </w:pPr>
            <w:r>
              <w:rPr>
                <w:rFonts w:hint="eastAsia" w:ascii="宋体" w:hAnsi="宋体" w:eastAsia="宋体" w:cs="宋体"/>
                <w:sz w:val="24"/>
                <w:szCs w:val="24"/>
              </w:rPr>
              <w:t>安全出口指示灯：1套　</w:t>
            </w:r>
          </w:p>
          <w:p>
            <w:pPr>
              <w:pStyle w:val="4"/>
              <w:keepNext w:val="0"/>
              <w:keepLines w:val="0"/>
              <w:widowControl/>
              <w:suppressLineNumbers w:val="0"/>
              <w:wordWrap w:val="0"/>
              <w:spacing w:line="315" w:lineRule="atLeast"/>
              <w:jc w:val="left"/>
            </w:pPr>
            <w:r>
              <w:rPr>
                <w:rFonts w:hint="eastAsia" w:ascii="宋体" w:hAnsi="宋体" w:eastAsia="宋体" w:cs="宋体"/>
                <w:sz w:val="24"/>
                <w:szCs w:val="24"/>
              </w:rPr>
              <w:t>开放式网格桥架：24m；300×100</w:t>
            </w:r>
          </w:p>
          <w:p>
            <w:pPr>
              <w:pStyle w:val="4"/>
              <w:keepNext w:val="0"/>
              <w:keepLines w:val="0"/>
              <w:widowControl/>
              <w:suppressLineNumbers w:val="0"/>
              <w:wordWrap w:val="0"/>
              <w:spacing w:line="315" w:lineRule="atLeast"/>
              <w:jc w:val="left"/>
            </w:pPr>
            <w:r>
              <w:rPr>
                <w:rFonts w:hint="eastAsia" w:ascii="宋体" w:hAnsi="宋体" w:eastAsia="宋体" w:cs="宋体"/>
                <w:sz w:val="24"/>
                <w:szCs w:val="24"/>
              </w:rPr>
              <w:t>KGB钢管：280mDN20</w:t>
            </w:r>
          </w:p>
          <w:p>
            <w:pPr>
              <w:pStyle w:val="4"/>
              <w:keepNext w:val="0"/>
              <w:keepLines w:val="0"/>
              <w:widowControl/>
              <w:suppressLineNumbers w:val="0"/>
              <w:wordWrap w:val="0"/>
              <w:spacing w:line="315" w:lineRule="atLeast"/>
              <w:jc w:val="left"/>
            </w:pPr>
            <w:r>
              <w:rPr>
                <w:rFonts w:hint="eastAsia" w:ascii="宋体" w:hAnsi="宋体" w:eastAsia="宋体" w:cs="宋体"/>
                <w:sz w:val="24"/>
                <w:szCs w:val="24"/>
              </w:rPr>
              <w:t>塑套金属软管：50mφ16</w:t>
            </w:r>
          </w:p>
          <w:p>
            <w:pPr>
              <w:pStyle w:val="4"/>
              <w:keepNext w:val="0"/>
              <w:keepLines w:val="0"/>
              <w:widowControl/>
              <w:suppressLineNumbers w:val="0"/>
              <w:wordWrap w:val="0"/>
              <w:spacing w:line="315" w:lineRule="atLeast"/>
              <w:jc w:val="left"/>
            </w:pPr>
            <w:r>
              <w:rPr>
                <w:rFonts w:hint="eastAsia" w:ascii="宋体" w:hAnsi="宋体" w:eastAsia="宋体" w:cs="宋体"/>
                <w:sz w:val="24"/>
                <w:szCs w:val="24"/>
              </w:rPr>
              <w:t>钢质接线盒：50个；86</w:t>
            </w:r>
            <w:r>
              <w:rPr>
                <w:rFonts w:hint="eastAsia" w:ascii="宋体" w:hAnsi="宋体" w:eastAsia="宋体" w:cs="宋体"/>
                <w:sz w:val="19"/>
                <w:szCs w:val="19"/>
              </w:rPr>
              <w:t>×</w:t>
            </w:r>
            <w:r>
              <w:rPr>
                <w:rFonts w:hint="eastAsia" w:ascii="宋体" w:hAnsi="宋体" w:eastAsia="宋体" w:cs="宋体"/>
                <w:sz w:val="24"/>
                <w:szCs w:val="24"/>
              </w:rPr>
              <w:t>86</w:t>
            </w:r>
          </w:p>
          <w:p>
            <w:pPr>
              <w:pStyle w:val="4"/>
              <w:keepNext w:val="0"/>
              <w:keepLines w:val="0"/>
              <w:widowControl/>
              <w:suppressLineNumbers w:val="0"/>
              <w:wordWrap w:val="0"/>
              <w:spacing w:line="315" w:lineRule="atLeast"/>
              <w:jc w:val="left"/>
            </w:pPr>
            <w:r>
              <w:rPr>
                <w:rFonts w:hint="eastAsia" w:ascii="宋体" w:hAnsi="宋体" w:eastAsia="宋体" w:cs="宋体"/>
                <w:sz w:val="24"/>
                <w:szCs w:val="24"/>
              </w:rPr>
              <w:t>地板抗高频静电泄漏接地：10组BV6</w:t>
            </w:r>
          </w:p>
          <w:p>
            <w:pPr>
              <w:pStyle w:val="4"/>
              <w:keepNext w:val="0"/>
              <w:keepLines w:val="0"/>
              <w:widowControl/>
              <w:suppressLineNumbers w:val="0"/>
              <w:wordWrap w:val="0"/>
              <w:spacing w:line="315" w:lineRule="atLeast"/>
              <w:jc w:val="left"/>
            </w:pPr>
            <w:r>
              <w:rPr>
                <w:rFonts w:hint="eastAsia" w:ascii="宋体" w:hAnsi="宋体" w:eastAsia="宋体" w:cs="宋体"/>
                <w:sz w:val="24"/>
                <w:szCs w:val="24"/>
              </w:rPr>
              <w:t>等电位接地编织铜带200M：25mm</w:t>
            </w:r>
            <w:r>
              <w:rPr>
                <w:rFonts w:hint="eastAsia" w:ascii="宋体" w:hAnsi="宋体" w:eastAsia="宋体" w:cs="宋体"/>
                <w:sz w:val="24"/>
                <w:szCs w:val="24"/>
                <w:vertAlign w:val="superscript"/>
              </w:rPr>
              <w:t>2</w:t>
            </w:r>
          </w:p>
          <w:p>
            <w:pPr>
              <w:pStyle w:val="4"/>
              <w:keepNext w:val="0"/>
              <w:keepLines w:val="0"/>
              <w:widowControl/>
              <w:suppressLineNumbers w:val="0"/>
              <w:wordWrap w:val="0"/>
              <w:spacing w:line="315" w:lineRule="atLeast"/>
              <w:jc w:val="left"/>
            </w:pPr>
            <w:r>
              <w:rPr>
                <w:rFonts w:hint="eastAsia" w:ascii="宋体" w:hAnsi="宋体" w:eastAsia="宋体" w:cs="宋体"/>
                <w:sz w:val="24"/>
                <w:szCs w:val="24"/>
              </w:rPr>
              <w:t>等电位接地铜带40M：30×3</w:t>
            </w:r>
          </w:p>
          <w:p>
            <w:pPr>
              <w:pStyle w:val="4"/>
              <w:keepNext w:val="0"/>
              <w:keepLines w:val="0"/>
              <w:widowControl/>
              <w:suppressLineNumbers w:val="0"/>
              <w:wordWrap w:val="0"/>
              <w:spacing w:line="315" w:lineRule="atLeast"/>
              <w:jc w:val="left"/>
            </w:pPr>
            <w:r>
              <w:rPr>
                <w:rFonts w:hint="eastAsia" w:ascii="宋体" w:hAnsi="宋体" w:eastAsia="宋体" w:cs="宋体"/>
                <w:sz w:val="24"/>
                <w:szCs w:val="24"/>
              </w:rPr>
              <w:t>等电位母排：1个</w:t>
            </w:r>
          </w:p>
        </w:tc>
        <w:tc>
          <w:tcPr>
            <w:tcW w:w="536"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tc>
      </w:tr>
      <w:tr>
        <w:trPr>
          <w:trHeight w:val="2985" w:hRule="atLeast"/>
          <w:tblCellSpacing w:w="15" w:type="dxa"/>
        </w:trPr>
        <w:tc>
          <w:tcPr>
            <w:tcW w:w="905" w:type="dxa"/>
            <w:gridSpan w:val="2"/>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jc w:val="center"/>
            </w:pPr>
            <w:r>
              <w:rPr>
                <w:rFonts w:hint="default" w:ascii="Calibri" w:hAnsi="Calibri" w:cs="Calibri"/>
                <w:sz w:val="24"/>
                <w:szCs w:val="24"/>
              </w:rPr>
              <w:t>1-2-64</w:t>
            </w:r>
          </w:p>
        </w:tc>
        <w:tc>
          <w:tcPr>
            <w:tcW w:w="890"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pPr>
            <w:r>
              <w:rPr>
                <w:rFonts w:hint="eastAsia" w:ascii="宋体" w:hAnsi="宋体" w:eastAsia="宋体" w:cs="宋体"/>
                <w:sz w:val="24"/>
                <w:szCs w:val="24"/>
              </w:rPr>
              <w:t>机房消防系统</w:t>
            </w:r>
          </w:p>
        </w:tc>
        <w:tc>
          <w:tcPr>
            <w:tcW w:w="527"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jc w:val="center"/>
            </w:pPr>
            <w:r>
              <w:rPr>
                <w:rFonts w:hint="eastAsia" w:ascii="宋体" w:hAnsi="宋体" w:eastAsia="宋体" w:cs="宋体"/>
                <w:sz w:val="24"/>
                <w:szCs w:val="24"/>
              </w:rPr>
              <w:t>套</w:t>
            </w:r>
          </w:p>
        </w:tc>
        <w:tc>
          <w:tcPr>
            <w:tcW w:w="529"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jc w:val="center"/>
            </w:pPr>
            <w:r>
              <w:rPr>
                <w:rFonts w:hint="eastAsia" w:ascii="宋体" w:hAnsi="宋体" w:eastAsia="宋体" w:cs="宋体"/>
                <w:sz w:val="24"/>
                <w:szCs w:val="24"/>
              </w:rPr>
              <w:t>1</w:t>
            </w:r>
          </w:p>
        </w:tc>
        <w:tc>
          <w:tcPr>
            <w:tcW w:w="6407"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pPr>
            <w:r>
              <w:rPr>
                <w:rFonts w:hint="eastAsia" w:ascii="宋体" w:hAnsi="宋体" w:eastAsia="宋体" w:cs="宋体"/>
                <w:sz w:val="24"/>
                <w:szCs w:val="24"/>
              </w:rPr>
              <w:t>智能光电感烟探测器3只：JTY-GD-930</w:t>
            </w:r>
          </w:p>
          <w:p>
            <w:pPr>
              <w:pStyle w:val="4"/>
              <w:keepNext w:val="0"/>
              <w:keepLines w:val="0"/>
              <w:widowControl/>
              <w:suppressLineNumbers w:val="0"/>
              <w:spacing w:line="315" w:lineRule="atLeast"/>
            </w:pPr>
            <w:r>
              <w:rPr>
                <w:rFonts w:hint="eastAsia" w:ascii="宋体" w:hAnsi="宋体" w:eastAsia="宋体" w:cs="宋体"/>
                <w:sz w:val="24"/>
                <w:szCs w:val="24"/>
              </w:rPr>
              <w:t>智能电子差定温感温探测器6只：JTW-ZD-920</w:t>
            </w:r>
          </w:p>
          <w:p>
            <w:pPr>
              <w:pStyle w:val="4"/>
              <w:keepNext w:val="0"/>
              <w:keepLines w:val="0"/>
              <w:widowControl/>
              <w:suppressLineNumbers w:val="0"/>
              <w:spacing w:line="315" w:lineRule="atLeast"/>
            </w:pPr>
            <w:r>
              <w:rPr>
                <w:rFonts w:hint="eastAsia" w:ascii="宋体" w:hAnsi="宋体" w:eastAsia="宋体" w:cs="宋体"/>
                <w:sz w:val="24"/>
                <w:szCs w:val="24"/>
              </w:rPr>
              <w:t>消防声光报警器1只：SG991</w:t>
            </w:r>
          </w:p>
          <w:p>
            <w:pPr>
              <w:pStyle w:val="4"/>
              <w:keepNext w:val="0"/>
              <w:keepLines w:val="0"/>
              <w:widowControl/>
              <w:suppressLineNumbers w:val="0"/>
              <w:spacing w:line="315" w:lineRule="atLeast"/>
            </w:pPr>
            <w:r>
              <w:rPr>
                <w:rFonts w:hint="eastAsia" w:ascii="宋体" w:hAnsi="宋体" w:eastAsia="宋体" w:cs="宋体"/>
                <w:sz w:val="24"/>
                <w:szCs w:val="24"/>
              </w:rPr>
              <w:t>紧急启/停按钮1只：QM-AN-965</w:t>
            </w:r>
          </w:p>
          <w:p>
            <w:pPr>
              <w:pStyle w:val="4"/>
              <w:keepNext w:val="0"/>
              <w:keepLines w:val="0"/>
              <w:widowControl/>
              <w:suppressLineNumbers w:val="0"/>
              <w:spacing w:line="315" w:lineRule="atLeast"/>
            </w:pPr>
            <w:r>
              <w:rPr>
                <w:rFonts w:hint="eastAsia" w:ascii="宋体" w:hAnsi="宋体" w:eastAsia="宋体" w:cs="宋体"/>
                <w:sz w:val="24"/>
                <w:szCs w:val="24"/>
              </w:rPr>
              <w:t>气体喷洒指示灯1只：QM-AN-01</w:t>
            </w:r>
          </w:p>
          <w:p>
            <w:pPr>
              <w:pStyle w:val="4"/>
              <w:keepNext w:val="0"/>
              <w:keepLines w:val="0"/>
              <w:widowControl/>
              <w:suppressLineNumbers w:val="0"/>
              <w:spacing w:line="315" w:lineRule="atLeast"/>
            </w:pPr>
            <w:r>
              <w:rPr>
                <w:rFonts w:hint="eastAsia" w:ascii="宋体" w:hAnsi="宋体" w:eastAsia="宋体" w:cs="宋体"/>
                <w:sz w:val="24"/>
                <w:szCs w:val="24"/>
              </w:rPr>
              <w:t>气体控制盘1台：JB-QB-QM300/1</w:t>
            </w:r>
          </w:p>
          <w:p>
            <w:pPr>
              <w:pStyle w:val="4"/>
              <w:keepNext w:val="0"/>
              <w:keepLines w:val="0"/>
              <w:widowControl/>
              <w:suppressLineNumbers w:val="0"/>
              <w:spacing w:line="315" w:lineRule="atLeast"/>
            </w:pPr>
            <w:r>
              <w:rPr>
                <w:rFonts w:hint="eastAsia" w:ascii="宋体" w:hAnsi="宋体" w:eastAsia="宋体" w:cs="宋体"/>
                <w:sz w:val="24"/>
                <w:szCs w:val="24"/>
              </w:rPr>
              <w:t>七氟丙烷自动灭火柜（70升）2套：GQQ70A1/2.5</w:t>
            </w:r>
          </w:p>
          <w:p>
            <w:pPr>
              <w:pStyle w:val="4"/>
              <w:keepNext w:val="0"/>
              <w:keepLines w:val="0"/>
              <w:widowControl/>
              <w:suppressLineNumbers w:val="0"/>
              <w:spacing w:line="315" w:lineRule="atLeast"/>
            </w:pPr>
            <w:r>
              <w:rPr>
                <w:rFonts w:hint="eastAsia" w:ascii="宋体" w:hAnsi="宋体" w:eastAsia="宋体" w:cs="宋体"/>
                <w:sz w:val="24"/>
                <w:szCs w:val="24"/>
              </w:rPr>
              <w:t>七氟丙烷灭火剂：140kgFHC-227EA</w:t>
            </w:r>
          </w:p>
          <w:p>
            <w:pPr>
              <w:pStyle w:val="4"/>
              <w:keepNext w:val="0"/>
              <w:keepLines w:val="0"/>
              <w:widowControl/>
              <w:suppressLineNumbers w:val="0"/>
              <w:spacing w:line="315" w:lineRule="atLeast"/>
            </w:pPr>
            <w:r>
              <w:rPr>
                <w:rFonts w:hint="eastAsia" w:ascii="宋体" w:hAnsi="宋体" w:eastAsia="宋体" w:cs="宋体"/>
                <w:sz w:val="24"/>
                <w:szCs w:val="24"/>
              </w:rPr>
              <w:t>消防高温排烟轴流风机1台:2000m3/小时</w:t>
            </w:r>
          </w:p>
          <w:p>
            <w:pPr>
              <w:pStyle w:val="4"/>
              <w:keepNext w:val="0"/>
              <w:keepLines w:val="0"/>
              <w:widowControl/>
              <w:suppressLineNumbers w:val="0"/>
              <w:spacing w:line="315" w:lineRule="atLeast"/>
            </w:pPr>
            <w:r>
              <w:rPr>
                <w:rFonts w:hint="eastAsia" w:ascii="宋体" w:hAnsi="宋体" w:eastAsia="宋体" w:cs="宋体"/>
                <w:sz w:val="24"/>
                <w:szCs w:val="24"/>
              </w:rPr>
              <w:t>轴流风机管道15m:200×400</w:t>
            </w:r>
          </w:p>
          <w:p>
            <w:pPr>
              <w:pStyle w:val="4"/>
              <w:keepNext w:val="0"/>
              <w:keepLines w:val="0"/>
              <w:widowControl/>
              <w:suppressLineNumbers w:val="0"/>
              <w:spacing w:line="315" w:lineRule="atLeast"/>
            </w:pPr>
            <w:r>
              <w:rPr>
                <w:rFonts w:hint="eastAsia" w:ascii="宋体" w:hAnsi="宋体" w:eastAsia="宋体" w:cs="宋体"/>
                <w:sz w:val="24"/>
                <w:szCs w:val="24"/>
              </w:rPr>
              <w:t>抽风口1个:合金百叶</w:t>
            </w:r>
          </w:p>
          <w:p>
            <w:pPr>
              <w:pStyle w:val="4"/>
              <w:keepNext w:val="0"/>
              <w:keepLines w:val="0"/>
              <w:widowControl/>
              <w:suppressLineNumbers w:val="0"/>
              <w:spacing w:line="315" w:lineRule="atLeast"/>
            </w:pPr>
            <w:r>
              <w:rPr>
                <w:rFonts w:hint="eastAsia" w:ascii="宋体" w:hAnsi="宋体" w:eastAsia="宋体" w:cs="宋体"/>
                <w:sz w:val="24"/>
                <w:szCs w:val="24"/>
              </w:rPr>
              <w:t>泄压阀1个:0</w:t>
            </w:r>
            <w:r>
              <w:rPr>
                <w:rFonts w:hint="eastAsia" w:ascii="宋体" w:hAnsi="宋体" w:eastAsia="宋体" w:cs="宋体"/>
                <w:sz w:val="19"/>
                <w:szCs w:val="19"/>
              </w:rPr>
              <w:t>×</w:t>
            </w:r>
            <w:r>
              <w:rPr>
                <w:rFonts w:hint="eastAsia" w:ascii="宋体" w:hAnsi="宋体" w:eastAsia="宋体" w:cs="宋体"/>
                <w:sz w:val="24"/>
                <w:szCs w:val="24"/>
              </w:rPr>
              <w:t>520</w:t>
            </w:r>
          </w:p>
          <w:p>
            <w:pPr>
              <w:pStyle w:val="4"/>
              <w:keepNext w:val="0"/>
              <w:keepLines w:val="0"/>
              <w:widowControl/>
              <w:suppressLineNumbers w:val="0"/>
              <w:spacing w:line="315" w:lineRule="atLeast"/>
            </w:pPr>
            <w:r>
              <w:rPr>
                <w:rFonts w:hint="eastAsia" w:ascii="宋体" w:hAnsi="宋体" w:eastAsia="宋体" w:cs="宋体"/>
                <w:sz w:val="24"/>
                <w:szCs w:val="24"/>
              </w:rPr>
              <w:t>管内穿线多芯软导线300m:RVV－4X1.0</w:t>
            </w:r>
          </w:p>
        </w:tc>
        <w:tc>
          <w:tcPr>
            <w:tcW w:w="536"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tc>
      </w:tr>
      <w:tr>
        <w:trPr>
          <w:trHeight w:val="3300" w:hRule="atLeast"/>
          <w:tblCellSpacing w:w="15" w:type="dxa"/>
        </w:trPr>
        <w:tc>
          <w:tcPr>
            <w:tcW w:w="905" w:type="dxa"/>
            <w:gridSpan w:val="2"/>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jc w:val="center"/>
            </w:pPr>
            <w:r>
              <w:rPr>
                <w:rFonts w:hint="default" w:ascii="Calibri" w:hAnsi="Calibri" w:cs="Calibri"/>
                <w:sz w:val="24"/>
                <w:szCs w:val="24"/>
              </w:rPr>
              <w:t>1-2-65</w:t>
            </w:r>
          </w:p>
        </w:tc>
        <w:tc>
          <w:tcPr>
            <w:tcW w:w="890"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pPr>
            <w:r>
              <w:rPr>
                <w:rFonts w:hint="eastAsia" w:ascii="宋体" w:hAnsi="宋体" w:eastAsia="宋体" w:cs="宋体"/>
                <w:sz w:val="24"/>
                <w:szCs w:val="24"/>
              </w:rPr>
              <w:t>机房综合布线系统</w:t>
            </w:r>
          </w:p>
        </w:tc>
        <w:tc>
          <w:tcPr>
            <w:tcW w:w="527"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jc w:val="center"/>
            </w:pPr>
            <w:r>
              <w:rPr>
                <w:rFonts w:hint="eastAsia" w:ascii="宋体" w:hAnsi="宋体" w:eastAsia="宋体" w:cs="宋体"/>
                <w:sz w:val="24"/>
                <w:szCs w:val="24"/>
              </w:rPr>
              <w:t>套</w:t>
            </w:r>
          </w:p>
        </w:tc>
        <w:tc>
          <w:tcPr>
            <w:tcW w:w="529"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jc w:val="center"/>
            </w:pPr>
            <w:r>
              <w:rPr>
                <w:rFonts w:hint="eastAsia" w:ascii="宋体" w:hAnsi="宋体" w:eastAsia="宋体" w:cs="宋体"/>
                <w:sz w:val="24"/>
                <w:szCs w:val="24"/>
              </w:rPr>
              <w:t>1</w:t>
            </w:r>
          </w:p>
        </w:tc>
        <w:tc>
          <w:tcPr>
            <w:tcW w:w="6407"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jc w:val="left"/>
            </w:pPr>
            <w:r>
              <w:rPr>
                <w:rFonts w:hint="eastAsia" w:ascii="宋体" w:hAnsi="宋体" w:eastAsia="宋体" w:cs="宋体"/>
                <w:sz w:val="24"/>
                <w:szCs w:val="24"/>
              </w:rPr>
              <w:t>六类屏蔽24口配线架（含模块）16个:1933307-1</w:t>
            </w:r>
          </w:p>
          <w:p>
            <w:pPr>
              <w:pStyle w:val="4"/>
              <w:keepNext w:val="0"/>
              <w:keepLines w:val="0"/>
              <w:widowControl/>
              <w:suppressLineNumbers w:val="0"/>
              <w:spacing w:line="315" w:lineRule="atLeast"/>
              <w:jc w:val="left"/>
            </w:pPr>
            <w:r>
              <w:rPr>
                <w:rFonts w:hint="eastAsia" w:ascii="宋体" w:hAnsi="宋体" w:eastAsia="宋体" w:cs="宋体"/>
                <w:sz w:val="24"/>
                <w:szCs w:val="24"/>
              </w:rPr>
              <w:t>六类屏蔽双绞线缆8箱:1859204-6</w:t>
            </w:r>
          </w:p>
          <w:p>
            <w:pPr>
              <w:pStyle w:val="4"/>
              <w:keepNext w:val="0"/>
              <w:keepLines w:val="0"/>
              <w:widowControl/>
              <w:suppressLineNumbers w:val="0"/>
              <w:spacing w:line="315" w:lineRule="atLeast"/>
              <w:jc w:val="left"/>
            </w:pPr>
            <w:r>
              <w:rPr>
                <w:rFonts w:hint="eastAsia" w:ascii="宋体" w:hAnsi="宋体" w:eastAsia="宋体" w:cs="宋体"/>
                <w:sz w:val="24"/>
                <w:szCs w:val="24"/>
              </w:rPr>
              <w:t>理线架16个:1427632-1</w:t>
            </w:r>
          </w:p>
          <w:p>
            <w:pPr>
              <w:pStyle w:val="4"/>
              <w:keepNext w:val="0"/>
              <w:keepLines w:val="0"/>
              <w:widowControl/>
              <w:suppressLineNumbers w:val="0"/>
              <w:spacing w:line="315" w:lineRule="atLeast"/>
              <w:jc w:val="left"/>
            </w:pPr>
            <w:r>
              <w:rPr>
                <w:rFonts w:hint="eastAsia" w:ascii="宋体" w:hAnsi="宋体" w:eastAsia="宋体" w:cs="宋体"/>
                <w:sz w:val="24"/>
                <w:szCs w:val="24"/>
              </w:rPr>
              <w:t>2米六类屏蔽跳线100条:1427226-6</w:t>
            </w:r>
          </w:p>
          <w:p>
            <w:pPr>
              <w:pStyle w:val="4"/>
              <w:keepNext w:val="0"/>
              <w:keepLines w:val="0"/>
              <w:widowControl/>
              <w:suppressLineNumbers w:val="0"/>
              <w:spacing w:line="315" w:lineRule="atLeast"/>
              <w:jc w:val="left"/>
            </w:pPr>
            <w:r>
              <w:rPr>
                <w:rFonts w:hint="eastAsia" w:ascii="宋体" w:hAnsi="宋体" w:eastAsia="宋体" w:cs="宋体"/>
                <w:sz w:val="24"/>
                <w:szCs w:val="24"/>
              </w:rPr>
              <w:t>开放式网格桥架24米:300</w:t>
            </w:r>
            <w:r>
              <w:rPr>
                <w:rFonts w:hint="eastAsia" w:ascii="宋体" w:hAnsi="宋体" w:eastAsia="宋体" w:cs="宋体"/>
                <w:sz w:val="19"/>
                <w:szCs w:val="19"/>
              </w:rPr>
              <w:t>×</w:t>
            </w:r>
            <w:r>
              <w:rPr>
                <w:rFonts w:hint="eastAsia" w:ascii="宋体" w:hAnsi="宋体" w:eastAsia="宋体" w:cs="宋体"/>
                <w:sz w:val="24"/>
                <w:szCs w:val="24"/>
              </w:rPr>
              <w:t>100</w:t>
            </w:r>
          </w:p>
          <w:p>
            <w:pPr>
              <w:pStyle w:val="4"/>
              <w:keepNext w:val="0"/>
              <w:keepLines w:val="0"/>
              <w:widowControl/>
              <w:suppressLineNumbers w:val="0"/>
              <w:spacing w:line="315" w:lineRule="atLeast"/>
            </w:pPr>
            <w:r>
              <w:rPr>
                <w:rFonts w:hint="eastAsia" w:ascii="宋体" w:hAnsi="宋体" w:eastAsia="宋体" w:cs="宋体"/>
                <w:sz w:val="24"/>
                <w:szCs w:val="24"/>
              </w:rPr>
              <w:t>服务器机柜(九折型材）9台:≥600</w:t>
            </w:r>
            <w:r>
              <w:rPr>
                <w:rFonts w:hint="eastAsia" w:ascii="宋体" w:hAnsi="宋体" w:eastAsia="宋体" w:cs="宋体"/>
                <w:sz w:val="19"/>
                <w:szCs w:val="19"/>
              </w:rPr>
              <w:t>×</w:t>
            </w:r>
            <w:r>
              <w:rPr>
                <w:rFonts w:hint="eastAsia" w:ascii="宋体" w:hAnsi="宋体" w:eastAsia="宋体" w:cs="宋体"/>
                <w:sz w:val="24"/>
                <w:szCs w:val="24"/>
              </w:rPr>
              <w:t>1100</w:t>
            </w:r>
            <w:r>
              <w:rPr>
                <w:rFonts w:hint="eastAsia" w:ascii="宋体" w:hAnsi="宋体" w:eastAsia="宋体" w:cs="宋体"/>
                <w:sz w:val="19"/>
                <w:szCs w:val="19"/>
              </w:rPr>
              <w:t>×</w:t>
            </w:r>
            <w:r>
              <w:rPr>
                <w:rFonts w:hint="eastAsia" w:ascii="宋体" w:hAnsi="宋体" w:eastAsia="宋体" w:cs="宋体"/>
                <w:sz w:val="24"/>
                <w:szCs w:val="24"/>
              </w:rPr>
              <w:t>2000</w:t>
            </w:r>
          </w:p>
        </w:tc>
        <w:tc>
          <w:tcPr>
            <w:tcW w:w="536"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tc>
      </w:tr>
    </w:tbl>
    <w:p>
      <w:pPr>
        <w:pStyle w:val="4"/>
        <w:keepNext w:val="0"/>
        <w:keepLines w:val="0"/>
        <w:widowControl/>
        <w:suppressLineNumbers w:val="0"/>
        <w:ind w:left="0" w:firstLine="0"/>
      </w:pPr>
      <w:r>
        <w:rPr>
          <w:rFonts w:hint="eastAsia" w:ascii="宋体" w:hAnsi="宋体" w:eastAsia="宋体" w:cs="宋体"/>
          <w:color w:val="000000"/>
          <w:sz w:val="24"/>
          <w:szCs w:val="24"/>
        </w:rPr>
        <w:t>品目号1-3</w:t>
      </w:r>
    </w:p>
    <w:tbl>
      <w:tblPr>
        <w:tblStyle w:val="9"/>
        <w:tblW w:w="8573" w:type="dxa"/>
        <w:tblCellSpacing w:w="15"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15" w:type="dxa"/>
          <w:left w:w="15" w:type="dxa"/>
          <w:bottom w:w="15" w:type="dxa"/>
          <w:right w:w="15" w:type="dxa"/>
        </w:tblCellMar>
      </w:tblPr>
      <w:tblGrid>
        <w:gridCol w:w="759"/>
        <w:gridCol w:w="1764"/>
        <w:gridCol w:w="692"/>
        <w:gridCol w:w="914"/>
        <w:gridCol w:w="3399"/>
        <w:gridCol w:w="1045"/>
      </w:tblGrid>
      <w:tr>
        <w:trPr>
          <w:trHeight w:val="90" w:hRule="atLeast"/>
          <w:tblCellSpacing w:w="15" w:type="dxa"/>
        </w:trPr>
        <w:tc>
          <w:tcPr>
            <w:tcW w:w="714"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ind w:left="0" w:right="0"/>
              <w:jc w:val="center"/>
            </w:pPr>
            <w:r>
              <w:rPr>
                <w:rStyle w:val="6"/>
                <w:rFonts w:hint="eastAsia" w:ascii="宋体" w:hAnsi="宋体" w:eastAsia="宋体" w:cs="宋体"/>
                <w:b/>
              </w:rPr>
              <w:t>序号</w:t>
            </w:r>
          </w:p>
        </w:tc>
        <w:tc>
          <w:tcPr>
            <w:tcW w:w="1734" w:type="dxa"/>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ind w:left="0" w:right="0"/>
              <w:jc w:val="center"/>
            </w:pPr>
            <w:r>
              <w:rPr>
                <w:rStyle w:val="6"/>
                <w:rFonts w:hint="eastAsia" w:ascii="宋体" w:hAnsi="宋体" w:eastAsia="宋体" w:cs="宋体"/>
                <w:b/>
              </w:rPr>
              <w:t>设备名 称</w:t>
            </w:r>
          </w:p>
        </w:tc>
        <w:tc>
          <w:tcPr>
            <w:tcW w:w="662" w:type="dxa"/>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ind w:left="0" w:right="0"/>
              <w:jc w:val="center"/>
            </w:pPr>
            <w:r>
              <w:rPr>
                <w:rStyle w:val="6"/>
                <w:rFonts w:hint="eastAsia" w:ascii="宋体" w:hAnsi="宋体" w:eastAsia="宋体" w:cs="宋体"/>
                <w:b/>
              </w:rPr>
              <w:t>单位</w:t>
            </w:r>
          </w:p>
        </w:tc>
        <w:tc>
          <w:tcPr>
            <w:tcW w:w="884" w:type="dxa"/>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ind w:left="0" w:right="0"/>
              <w:jc w:val="center"/>
            </w:pPr>
            <w:r>
              <w:rPr>
                <w:rStyle w:val="6"/>
                <w:rFonts w:hint="eastAsia" w:ascii="宋体" w:hAnsi="宋体" w:eastAsia="宋体" w:cs="宋体"/>
                <w:b/>
              </w:rPr>
              <w:t>数量</w:t>
            </w:r>
          </w:p>
        </w:tc>
        <w:tc>
          <w:tcPr>
            <w:tcW w:w="3369" w:type="dxa"/>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ind w:left="0" w:right="0"/>
              <w:jc w:val="center"/>
            </w:pPr>
            <w:r>
              <w:rPr>
                <w:rStyle w:val="6"/>
                <w:rFonts w:hint="eastAsia" w:ascii="宋体" w:hAnsi="宋体" w:eastAsia="宋体" w:cs="宋体"/>
                <w:b/>
              </w:rPr>
              <w:t>技术参数</w:t>
            </w:r>
          </w:p>
        </w:tc>
        <w:tc>
          <w:tcPr>
            <w:tcW w:w="1000" w:type="dxa"/>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ind w:left="0" w:right="0"/>
              <w:jc w:val="center"/>
            </w:pPr>
            <w:r>
              <w:rPr>
                <w:rStyle w:val="6"/>
                <w:rFonts w:hint="eastAsia" w:ascii="宋体" w:hAnsi="宋体" w:eastAsia="宋体" w:cs="宋体"/>
                <w:b/>
              </w:rPr>
              <w:t>备注</w:t>
            </w:r>
          </w:p>
        </w:tc>
      </w:tr>
      <w:tr>
        <w:trPr>
          <w:trHeight w:val="525" w:hRule="atLeast"/>
          <w:tblCellSpacing w:w="15" w:type="dxa"/>
        </w:trPr>
        <w:tc>
          <w:tcPr>
            <w:tcW w:w="714" w:type="dxa"/>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jc w:val="center"/>
            </w:pPr>
            <w:r>
              <w:rPr>
                <w:rFonts w:hint="eastAsia" w:ascii="宋体" w:hAnsi="宋体" w:eastAsia="宋体" w:cs="宋体"/>
                <w:sz w:val="24"/>
                <w:szCs w:val="24"/>
              </w:rPr>
              <w:t>1</w:t>
            </w:r>
          </w:p>
        </w:tc>
        <w:tc>
          <w:tcPr>
            <w:tcW w:w="1734"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jc w:val="center"/>
            </w:pPr>
            <w:r>
              <w:rPr>
                <w:rFonts w:hint="eastAsia" w:ascii="宋体" w:hAnsi="宋体" w:eastAsia="宋体" w:cs="宋体"/>
                <w:b w:val="0"/>
                <w:sz w:val="18"/>
                <w:szCs w:val="18"/>
              </w:rPr>
              <w:t>专业技能培训服务</w:t>
            </w:r>
          </w:p>
        </w:tc>
        <w:tc>
          <w:tcPr>
            <w:tcW w:w="6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jc w:val="center"/>
            </w:pPr>
            <w:r>
              <w:rPr>
                <w:rFonts w:hint="eastAsia" w:ascii="宋体" w:hAnsi="宋体" w:eastAsia="宋体" w:cs="宋体"/>
                <w:sz w:val="24"/>
                <w:szCs w:val="24"/>
              </w:rPr>
              <w:t>批</w:t>
            </w:r>
          </w:p>
        </w:tc>
        <w:tc>
          <w:tcPr>
            <w:tcW w:w="884"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jc w:val="center"/>
            </w:pPr>
            <w:r>
              <w:rPr>
                <w:rFonts w:hint="eastAsia" w:ascii="宋体" w:hAnsi="宋体" w:eastAsia="宋体" w:cs="宋体"/>
                <w:sz w:val="24"/>
                <w:szCs w:val="24"/>
              </w:rPr>
              <w:t>1</w:t>
            </w:r>
          </w:p>
        </w:tc>
        <w:tc>
          <w:tcPr>
            <w:tcW w:w="3369"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line="315" w:lineRule="atLeast"/>
              <w:jc w:val="center"/>
            </w:pPr>
            <w:r>
              <w:rPr>
                <w:rFonts w:hint="eastAsia" w:ascii="宋体" w:hAnsi="宋体" w:eastAsia="宋体" w:cs="宋体"/>
                <w:b w:val="0"/>
                <w:sz w:val="28"/>
                <w:szCs w:val="28"/>
              </w:rPr>
              <w:t>专业技能培训服务</w:t>
            </w:r>
          </w:p>
        </w:tc>
        <w:tc>
          <w:tcPr>
            <w:tcW w:w="100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tc>
      </w:tr>
    </w:tbl>
    <w:p>
      <w:pPr>
        <w:pStyle w:val="4"/>
        <w:keepNext w:val="0"/>
        <w:keepLines w:val="0"/>
        <w:widowControl/>
        <w:suppressLineNumbers w:val="0"/>
        <w:ind w:left="0" w:firstLine="0"/>
      </w:pPr>
      <w:r>
        <w:rPr>
          <w:rFonts w:hint="eastAsia" w:ascii="宋体" w:hAnsi="宋体" w:eastAsia="宋体" w:cs="宋体"/>
          <w:color w:val="000000"/>
          <w:sz w:val="24"/>
          <w:szCs w:val="24"/>
        </w:rPr>
        <w:t> </w:t>
      </w:r>
    </w:p>
    <w:p>
      <w:pPr>
        <w:pStyle w:val="4"/>
        <w:keepNext w:val="0"/>
        <w:keepLines w:val="0"/>
        <w:widowControl/>
        <w:suppressLineNumbers w:val="0"/>
        <w:ind w:left="0" w:firstLine="0"/>
      </w:pPr>
      <w:r>
        <w:rPr>
          <w:rFonts w:hint="default" w:ascii="Calibri" w:hAnsi="Calibri" w:cs="Calibri"/>
          <w:color w:val="000000"/>
          <w:sz w:val="24"/>
          <w:szCs w:val="24"/>
        </w:rPr>
        <w:t>1.1</w:t>
      </w:r>
      <w:r>
        <w:rPr>
          <w:rFonts w:hint="default" w:ascii="Times New Roman" w:hAnsi="Times New Roman" w:cs="Times New Roman"/>
          <w:color w:val="000000"/>
          <w:sz w:val="13"/>
          <w:szCs w:val="13"/>
        </w:rPr>
        <w:t xml:space="preserve">   </w:t>
      </w:r>
      <w:r>
        <w:rPr>
          <w:rFonts w:hint="eastAsia" w:ascii="宋体" w:hAnsi="宋体" w:eastAsia="宋体" w:cs="宋体"/>
          <w:sz w:val="24"/>
          <w:szCs w:val="24"/>
        </w:rPr>
        <w:t>设</w:t>
      </w:r>
      <w:r>
        <w:rPr>
          <w:rFonts w:hint="default" w:ascii="Calibri" w:hAnsi="Calibri" w:cs="Calibri"/>
          <w:sz w:val="24"/>
          <w:szCs w:val="24"/>
        </w:rPr>
        <w:t xml:space="preserve">   </w:t>
      </w:r>
      <w:r>
        <w:rPr>
          <w:rFonts w:hint="eastAsia" w:ascii="宋体" w:hAnsi="宋体" w:eastAsia="宋体" w:cs="宋体"/>
          <w:sz w:val="24"/>
          <w:szCs w:val="24"/>
        </w:rPr>
        <w:t>计标准</w:t>
      </w:r>
    </w:p>
    <w:p>
      <w:pPr>
        <w:pStyle w:val="4"/>
        <w:keepNext w:val="0"/>
        <w:keepLines w:val="0"/>
        <w:widowControl/>
        <w:suppressLineNumbers w:val="0"/>
        <w:ind w:left="0" w:firstLine="480"/>
      </w:pPr>
      <w:r>
        <w:rPr>
          <w:rFonts w:hint="eastAsia" w:ascii="宋体" w:hAnsi="宋体" w:eastAsia="宋体" w:cs="宋体"/>
          <w:sz w:val="24"/>
          <w:szCs w:val="24"/>
        </w:rPr>
        <w:t>项目建设将遵循电子政务国家标准、行业标准、国际标准以及组织系统制定的业务和技术规范，包括信息资源标准、数据交换标准、项目管理标准等几个部分。</w:t>
      </w:r>
    </w:p>
    <w:p>
      <w:pPr>
        <w:pStyle w:val="4"/>
        <w:keepNext w:val="0"/>
        <w:keepLines w:val="0"/>
        <w:widowControl/>
        <w:suppressLineNumbers w:val="0"/>
        <w:ind w:left="0" w:firstLine="0"/>
      </w:pPr>
      <w:r>
        <w:rPr>
          <w:rFonts w:hint="default" w:ascii="Calibri" w:hAnsi="Calibri" w:cs="Calibri"/>
          <w:color w:val="000000"/>
          <w:sz w:val="24"/>
          <w:szCs w:val="24"/>
        </w:rPr>
        <w:t>1.2</w:t>
      </w:r>
      <w:r>
        <w:rPr>
          <w:rFonts w:hint="default" w:ascii="Times New Roman" w:hAnsi="Times New Roman" w:cs="Times New Roman"/>
          <w:color w:val="000000"/>
          <w:sz w:val="13"/>
          <w:szCs w:val="13"/>
        </w:rPr>
        <w:t xml:space="preserve">   </w:t>
      </w:r>
      <w:r>
        <w:rPr>
          <w:rFonts w:hint="eastAsia" w:ascii="宋体" w:hAnsi="宋体" w:eastAsia="宋体" w:cs="宋体"/>
          <w:sz w:val="24"/>
          <w:szCs w:val="24"/>
        </w:rPr>
        <w:t>方案总体设 </w:t>
      </w:r>
      <w:r>
        <w:rPr>
          <w:rFonts w:hint="default" w:ascii="Calibri" w:hAnsi="Calibri" w:cs="Calibri"/>
          <w:sz w:val="24"/>
          <w:szCs w:val="24"/>
        </w:rPr>
        <w:t xml:space="preserve"> </w:t>
      </w:r>
      <w:r>
        <w:rPr>
          <w:rFonts w:hint="eastAsia" w:ascii="宋体" w:hAnsi="宋体" w:eastAsia="宋体" w:cs="宋体"/>
          <w:sz w:val="24"/>
          <w:szCs w:val="24"/>
        </w:rPr>
        <w:t>计</w:t>
      </w:r>
    </w:p>
    <w:p>
      <w:pPr>
        <w:pStyle w:val="4"/>
        <w:keepNext w:val="0"/>
        <w:keepLines w:val="0"/>
        <w:widowControl/>
        <w:suppressLineNumbers w:val="0"/>
        <w:ind w:left="0" w:firstLine="0"/>
      </w:pPr>
      <w:r>
        <w:rPr>
          <w:rFonts w:hint="default" w:ascii="Calibri" w:hAnsi="Calibri" w:cs="Calibri"/>
          <w:color w:val="000000"/>
          <w:sz w:val="24"/>
          <w:szCs w:val="24"/>
        </w:rPr>
        <w:t>1.3</w:t>
      </w:r>
      <w:r>
        <w:rPr>
          <w:rFonts w:hint="default" w:ascii="Times New Roman" w:hAnsi="Times New Roman" w:cs="Times New Roman"/>
          <w:color w:val="000000"/>
          <w:sz w:val="13"/>
          <w:szCs w:val="13"/>
        </w:rPr>
        <w:t xml:space="preserve">   </w:t>
      </w:r>
      <w:r>
        <w:rPr>
          <w:rFonts w:hint="eastAsia" w:ascii="宋体" w:hAnsi="宋体" w:eastAsia="宋体" w:cs="宋体"/>
          <w:sz w:val="24"/>
          <w:szCs w:val="24"/>
        </w:rPr>
        <w:t>总体逻辑架构</w:t>
      </w:r>
    </w:p>
    <w:p>
      <w:pPr>
        <w:pStyle w:val="4"/>
        <w:keepNext w:val="0"/>
        <w:keepLines w:val="0"/>
        <w:widowControl/>
        <w:suppressLineNumbers w:val="0"/>
        <w:ind w:left="0" w:firstLine="480"/>
      </w:pPr>
      <w:r>
        <w:rPr>
          <w:rFonts w:hint="eastAsia" w:ascii="宋体" w:hAnsi="宋体" w:eastAsia="宋体" w:cs="宋体"/>
          <w:sz w:val="24"/>
          <w:szCs w:val="24"/>
        </w:rPr>
        <w:t>高新区行政服务中心智能化项目基于政务服务一体化平台建设，平台总体逻辑架构。平台设  计遵循相关行业标准及国家、地区政策要求，建设包含网络资源、计算资源、存储资源的数据中心基础软硬件环境，对接省市 级政务信息数据资源。本项目基于福州市服务一体化平台的接入，配合本地智能化服务大厅建设，实现行政服务中心一体化、一站式的服务功能。</w:t>
      </w:r>
    </w:p>
    <w:p>
      <w:pPr>
        <w:pStyle w:val="4"/>
        <w:keepNext w:val="0"/>
        <w:keepLines w:val="0"/>
        <w:widowControl/>
        <w:suppressLineNumbers w:val="0"/>
        <w:ind w:left="0" w:firstLine="0"/>
      </w:pPr>
      <w:r>
        <w:rPr>
          <w:rStyle w:val="6"/>
          <w:rFonts w:hint="default" w:ascii="Calibri" w:hAnsi="Calibri" w:cs="Calibri"/>
          <w:b/>
          <w:color w:val="000000"/>
        </w:rPr>
        <w:t>1.3.1</w:t>
      </w:r>
      <w:r>
        <w:rPr>
          <w:rStyle w:val="6"/>
          <w:rFonts w:hint="default" w:ascii="Times New Roman" w:hAnsi="Times New Roman" w:cs="Times New Roman"/>
          <w:b/>
          <w:color w:val="000000"/>
          <w:sz w:val="13"/>
          <w:szCs w:val="13"/>
        </w:rPr>
        <w:t xml:space="preserve">       </w:t>
      </w:r>
      <w:r>
        <w:rPr>
          <w:rStyle w:val="6"/>
          <w:rFonts w:ascii="黑体" w:hAnsi="宋体" w:eastAsia="黑体" w:cs="黑体"/>
          <w:b/>
          <w:color w:val="000000"/>
        </w:rPr>
        <w:t>智能化行政服务大厅系统</w:t>
      </w:r>
    </w:p>
    <w:p>
      <w:pPr>
        <w:pStyle w:val="4"/>
        <w:keepNext w:val="0"/>
        <w:keepLines w:val="0"/>
        <w:widowControl/>
        <w:suppressLineNumbers w:val="0"/>
        <w:ind w:left="0" w:firstLine="480"/>
      </w:pPr>
      <w:r>
        <w:rPr>
          <w:rFonts w:hint="eastAsia" w:ascii="宋体" w:hAnsi="宋体" w:eastAsia="宋体" w:cs="宋体"/>
          <w:sz w:val="24"/>
          <w:szCs w:val="24"/>
        </w:rPr>
        <w:t>智能化行政服务大厅配套设备建设包含：后端服务器、查询取号一体机、平板评价器、呼叫器、TV液晶显示器及窗口LED显示。</w:t>
      </w:r>
    </w:p>
    <w:p>
      <w:pPr>
        <w:pStyle w:val="4"/>
        <w:keepNext w:val="0"/>
        <w:keepLines w:val="0"/>
        <w:widowControl/>
        <w:suppressLineNumbers w:val="0"/>
        <w:ind w:left="0" w:firstLine="0"/>
      </w:pPr>
      <w:r>
        <w:rPr>
          <w:rFonts w:hint="eastAsia" w:ascii="宋体" w:hAnsi="宋体" w:eastAsia="宋体" w:cs="宋体"/>
          <w:sz w:val="24"/>
          <w:szCs w:val="24"/>
        </w:rPr>
        <w:t>1.3.2</w:t>
      </w:r>
      <w:r>
        <w:rPr>
          <w:rFonts w:hint="default" w:ascii="Times New Roman" w:hAnsi="Times New Roman" w:cs="Times New Roman"/>
          <w:sz w:val="13"/>
          <w:szCs w:val="13"/>
        </w:rPr>
        <w:t xml:space="preserve">   </w:t>
      </w:r>
      <w:r>
        <w:rPr>
          <w:rFonts w:hint="eastAsia" w:ascii="宋体" w:hAnsi="宋体" w:eastAsia="宋体" w:cs="宋体"/>
          <w:sz w:val="24"/>
          <w:szCs w:val="24"/>
        </w:rPr>
        <w:t>网络建设方案</w:t>
      </w:r>
    </w:p>
    <w:p>
      <w:pPr>
        <w:pStyle w:val="4"/>
        <w:keepNext w:val="0"/>
        <w:keepLines w:val="0"/>
        <w:widowControl/>
        <w:suppressLineNumbers w:val="0"/>
        <w:ind w:left="0" w:firstLine="480"/>
      </w:pPr>
      <w:r>
        <w:rPr>
          <w:rFonts w:hint="eastAsia" w:ascii="宋体" w:hAnsi="宋体" w:eastAsia="宋体" w:cs="宋体"/>
          <w:sz w:val="24"/>
          <w:szCs w:val="24"/>
        </w:rPr>
        <w:t>本次的网络设</w:t>
      </w:r>
      <w:r>
        <w:rPr>
          <w:rFonts w:hint="default" w:ascii="Calibri" w:hAnsi="Calibri" w:cs="Calibri"/>
          <w:sz w:val="24"/>
          <w:szCs w:val="24"/>
        </w:rPr>
        <w:t xml:space="preserve">   </w:t>
      </w:r>
      <w:r>
        <w:rPr>
          <w:rFonts w:hint="eastAsia" w:ascii="宋体" w:hAnsi="宋体" w:eastAsia="宋体" w:cs="宋体"/>
          <w:sz w:val="24"/>
          <w:szCs w:val="24"/>
        </w:rPr>
        <w:t>计规划整体包括：</w:t>
      </w:r>
      <w:r>
        <w:rPr>
          <w:rFonts w:hint="eastAsia" w:ascii="宋体" w:hAnsi="宋体" w:eastAsia="宋体" w:cs="宋体"/>
          <w:color w:val="000000"/>
          <w:sz w:val="24"/>
          <w:szCs w:val="24"/>
        </w:rPr>
        <w:t>政务外网（智网）、政务信息网、互联网及智能化本地专网，各网保持物理隔离或逻辑隔离。</w:t>
      </w:r>
    </w:p>
    <w:tbl>
      <w:tblPr>
        <w:tblStyle w:val="9"/>
        <w:tblW w:w="7498" w:type="dxa"/>
        <w:tblCellSpacing w:w="15" w:type="dxa"/>
        <w:tblInd w:w="-15"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15" w:type="dxa"/>
          <w:left w:w="15" w:type="dxa"/>
          <w:bottom w:w="15" w:type="dxa"/>
          <w:right w:w="15" w:type="dxa"/>
        </w:tblCellMar>
      </w:tblPr>
      <w:tblGrid>
        <w:gridCol w:w="1160"/>
        <w:gridCol w:w="3969"/>
        <w:gridCol w:w="1153"/>
        <w:gridCol w:w="1216"/>
      </w:tblGrid>
      <w:tr>
        <w:trPr>
          <w:trHeight w:val="765" w:hRule="atLeast"/>
          <w:tblCellSpacing w:w="15" w:type="dxa"/>
        </w:trPr>
        <w:tc>
          <w:tcPr>
            <w:tcW w:w="7438" w:type="dxa"/>
            <w:gridSpan w:val="4"/>
            <w:tcBorders>
              <w:top w:val="nil"/>
              <w:left w:val="nil"/>
              <w:bottom w:val="double" w:color="auto" w:sz="2" w:space="0"/>
              <w:right w:val="nil"/>
            </w:tcBorders>
            <w:shd w:val="clear" w:color="auto" w:fill="FFFFFF"/>
            <w:tcMar>
              <w:top w:w="0" w:type="dxa"/>
              <w:left w:w="105" w:type="dxa"/>
              <w:bottom w:w="0" w:type="dxa"/>
              <w:right w:w="105" w:type="dxa"/>
            </w:tcMar>
            <w:vAlign w:val="center"/>
          </w:tcPr>
          <w:p>
            <w:pPr>
              <w:pStyle w:val="4"/>
              <w:keepNext w:val="0"/>
              <w:keepLines w:val="0"/>
              <w:widowControl/>
              <w:suppressLineNumbers w:val="0"/>
              <w:ind w:left="0" w:firstLine="555"/>
              <w:jc w:val="center"/>
            </w:pPr>
            <w:r>
              <w:rPr>
                <w:rFonts w:hint="eastAsia" w:ascii="宋体" w:hAnsi="宋体" w:eastAsia="宋体" w:cs="宋体"/>
                <w:color w:val="000000"/>
                <w:sz w:val="24"/>
                <w:szCs w:val="24"/>
              </w:rPr>
              <w:t>表4.3-1  行政服务中心信息点位数量比统计表</w:t>
            </w:r>
          </w:p>
        </w:tc>
      </w:tr>
      <w:tr>
        <w:trPr>
          <w:trHeight w:val="450" w:hRule="atLeast"/>
          <w:tblCellSpacing w:w="15" w:type="dxa"/>
        </w:trPr>
        <w:tc>
          <w:tcPr>
            <w:tcW w:w="1115" w:type="dxa"/>
            <w:tcBorders>
              <w:top w:val="nil"/>
              <w:left w:val="double" w:color="auto" w:sz="2"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Style w:val="6"/>
                <w:rFonts w:hint="eastAsia" w:ascii="宋体" w:hAnsi="宋体" w:eastAsia="宋体" w:cs="宋体"/>
                <w:b/>
                <w:color w:val="000000"/>
              </w:rPr>
              <w:t>序号</w:t>
            </w:r>
          </w:p>
        </w:tc>
        <w:tc>
          <w:tcPr>
            <w:tcW w:w="3939"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Style w:val="6"/>
                <w:rFonts w:hint="eastAsia" w:ascii="宋体" w:hAnsi="宋体" w:eastAsia="宋体" w:cs="宋体"/>
                <w:b/>
                <w:color w:val="000000"/>
              </w:rPr>
              <w:t>名 称</w:t>
            </w:r>
          </w:p>
        </w:tc>
        <w:tc>
          <w:tcPr>
            <w:tcW w:w="1123"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Style w:val="6"/>
                <w:rFonts w:hint="eastAsia" w:ascii="宋体" w:hAnsi="宋体" w:eastAsia="宋体" w:cs="宋体"/>
                <w:b/>
                <w:color w:val="000000"/>
              </w:rPr>
              <w:t>数量</w:t>
            </w:r>
          </w:p>
        </w:tc>
        <w:tc>
          <w:tcPr>
            <w:tcW w:w="1171" w:type="dxa"/>
            <w:tcBorders>
              <w:top w:val="nil"/>
              <w:left w:val="nil"/>
              <w:bottom w:val="single" w:color="auto" w:sz="6" w:space="0"/>
              <w:right w:val="double" w:color="auto" w:sz="2"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Style w:val="6"/>
                <w:rFonts w:hint="eastAsia" w:ascii="宋体" w:hAnsi="宋体" w:eastAsia="宋体" w:cs="宋体"/>
                <w:b/>
                <w:color w:val="000000"/>
              </w:rPr>
              <w:t>备注</w:t>
            </w:r>
          </w:p>
        </w:tc>
      </w:tr>
      <w:tr>
        <w:trPr>
          <w:trHeight w:val="450" w:hRule="atLeast"/>
          <w:tblCellSpacing w:w="15" w:type="dxa"/>
        </w:trPr>
        <w:tc>
          <w:tcPr>
            <w:tcW w:w="1115" w:type="dxa"/>
            <w:tcBorders>
              <w:top w:val="nil"/>
              <w:left w:val="double" w:color="auto" w:sz="2"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4"/>
                <w:szCs w:val="24"/>
              </w:rPr>
              <w:t>1</w:t>
            </w:r>
          </w:p>
        </w:tc>
        <w:tc>
          <w:tcPr>
            <w:tcW w:w="3939"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4"/>
                <w:szCs w:val="24"/>
              </w:rPr>
              <w:t>政务外网(智网）</w:t>
            </w:r>
          </w:p>
        </w:tc>
        <w:tc>
          <w:tcPr>
            <w:tcW w:w="1123"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4"/>
                <w:szCs w:val="24"/>
              </w:rPr>
              <w:t>377</w:t>
            </w:r>
          </w:p>
        </w:tc>
        <w:tc>
          <w:tcPr>
            <w:tcW w:w="1171" w:type="dxa"/>
            <w:tcBorders>
              <w:top w:val="nil"/>
              <w:left w:val="nil"/>
              <w:bottom w:val="single" w:color="auto" w:sz="6" w:space="0"/>
              <w:right w:val="double" w:color="auto" w:sz="2"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tc>
      </w:tr>
      <w:tr>
        <w:trPr>
          <w:trHeight w:val="450" w:hRule="atLeast"/>
          <w:tblCellSpacing w:w="15" w:type="dxa"/>
        </w:trPr>
        <w:tc>
          <w:tcPr>
            <w:tcW w:w="1115" w:type="dxa"/>
            <w:tcBorders>
              <w:top w:val="nil"/>
              <w:left w:val="double" w:color="auto" w:sz="2"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4"/>
                <w:szCs w:val="24"/>
              </w:rPr>
              <w:t>2</w:t>
            </w:r>
          </w:p>
        </w:tc>
        <w:tc>
          <w:tcPr>
            <w:tcW w:w="3939"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4"/>
                <w:szCs w:val="24"/>
              </w:rPr>
              <w:t>政务信息网</w:t>
            </w:r>
          </w:p>
        </w:tc>
        <w:tc>
          <w:tcPr>
            <w:tcW w:w="1123"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4"/>
                <w:szCs w:val="24"/>
              </w:rPr>
              <w:t>192</w:t>
            </w:r>
          </w:p>
        </w:tc>
        <w:tc>
          <w:tcPr>
            <w:tcW w:w="1171" w:type="dxa"/>
            <w:tcBorders>
              <w:top w:val="nil"/>
              <w:left w:val="nil"/>
              <w:bottom w:val="single" w:color="auto" w:sz="6" w:space="0"/>
              <w:right w:val="double" w:color="auto" w:sz="2"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tc>
      </w:tr>
      <w:tr>
        <w:trPr>
          <w:trHeight w:val="450" w:hRule="atLeast"/>
          <w:tblCellSpacing w:w="15" w:type="dxa"/>
        </w:trPr>
        <w:tc>
          <w:tcPr>
            <w:tcW w:w="1115" w:type="dxa"/>
            <w:tcBorders>
              <w:top w:val="nil"/>
              <w:left w:val="double" w:color="auto" w:sz="2"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4"/>
                <w:szCs w:val="24"/>
              </w:rPr>
              <w:t>3</w:t>
            </w:r>
          </w:p>
        </w:tc>
        <w:tc>
          <w:tcPr>
            <w:tcW w:w="3939"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4"/>
                <w:szCs w:val="24"/>
              </w:rPr>
              <w:t>互联网</w:t>
            </w:r>
          </w:p>
        </w:tc>
        <w:tc>
          <w:tcPr>
            <w:tcW w:w="1123"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4"/>
                <w:szCs w:val="24"/>
              </w:rPr>
              <w:t>357</w:t>
            </w:r>
          </w:p>
        </w:tc>
        <w:tc>
          <w:tcPr>
            <w:tcW w:w="1171" w:type="dxa"/>
            <w:tcBorders>
              <w:top w:val="nil"/>
              <w:left w:val="nil"/>
              <w:bottom w:val="single" w:color="auto" w:sz="6" w:space="0"/>
              <w:right w:val="double" w:color="auto" w:sz="2"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tc>
      </w:tr>
      <w:tr>
        <w:trPr>
          <w:trHeight w:val="450" w:hRule="atLeast"/>
          <w:tblCellSpacing w:w="15" w:type="dxa"/>
        </w:trPr>
        <w:tc>
          <w:tcPr>
            <w:tcW w:w="1115" w:type="dxa"/>
            <w:tcBorders>
              <w:top w:val="nil"/>
              <w:left w:val="double" w:color="auto" w:sz="2"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4"/>
                <w:szCs w:val="24"/>
              </w:rPr>
              <w:t>4</w:t>
            </w:r>
          </w:p>
        </w:tc>
        <w:tc>
          <w:tcPr>
            <w:tcW w:w="3939"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4"/>
                <w:szCs w:val="24"/>
              </w:rPr>
              <w:t>视频监控智能化专网</w:t>
            </w:r>
          </w:p>
        </w:tc>
        <w:tc>
          <w:tcPr>
            <w:tcW w:w="1123"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4"/>
                <w:szCs w:val="24"/>
              </w:rPr>
              <w:t>89</w:t>
            </w:r>
          </w:p>
        </w:tc>
        <w:tc>
          <w:tcPr>
            <w:tcW w:w="1171" w:type="dxa"/>
            <w:tcBorders>
              <w:top w:val="nil"/>
              <w:left w:val="nil"/>
              <w:bottom w:val="single" w:color="auto" w:sz="6" w:space="0"/>
              <w:right w:val="double" w:color="auto" w:sz="2"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tc>
      </w:tr>
      <w:tr>
        <w:trPr>
          <w:trHeight w:val="450" w:hRule="atLeast"/>
          <w:tblCellSpacing w:w="15" w:type="dxa"/>
        </w:trPr>
        <w:tc>
          <w:tcPr>
            <w:tcW w:w="1115" w:type="dxa"/>
            <w:tcBorders>
              <w:top w:val="nil"/>
              <w:left w:val="double" w:color="auto" w:sz="2" w:space="0"/>
              <w:bottom w:val="double" w:color="auto" w:sz="2"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4"/>
                <w:szCs w:val="24"/>
              </w:rPr>
              <w:t>5</w:t>
            </w:r>
          </w:p>
        </w:tc>
        <w:tc>
          <w:tcPr>
            <w:tcW w:w="3939" w:type="dxa"/>
            <w:tcBorders>
              <w:top w:val="nil"/>
              <w:left w:val="nil"/>
              <w:bottom w:val="double" w:color="auto" w:sz="2"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4"/>
                <w:szCs w:val="24"/>
              </w:rPr>
              <w:t>共计</w:t>
            </w:r>
          </w:p>
        </w:tc>
        <w:tc>
          <w:tcPr>
            <w:tcW w:w="1123" w:type="dxa"/>
            <w:tcBorders>
              <w:top w:val="nil"/>
              <w:left w:val="nil"/>
              <w:bottom w:val="double" w:color="auto" w:sz="2"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4"/>
                <w:szCs w:val="24"/>
              </w:rPr>
              <w:t>1015</w:t>
            </w:r>
          </w:p>
        </w:tc>
        <w:tc>
          <w:tcPr>
            <w:tcW w:w="1171" w:type="dxa"/>
            <w:tcBorders>
              <w:top w:val="nil"/>
              <w:left w:val="nil"/>
              <w:bottom w:val="double" w:color="auto" w:sz="2" w:space="0"/>
              <w:right w:val="double" w:color="auto" w:sz="2"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tc>
      </w:tr>
    </w:tbl>
    <w:p>
      <w:pPr>
        <w:pStyle w:val="4"/>
        <w:keepNext w:val="0"/>
        <w:keepLines w:val="0"/>
        <w:widowControl/>
        <w:suppressLineNumbers w:val="0"/>
        <w:ind w:left="0" w:firstLine="480"/>
      </w:pPr>
      <w:r>
        <w:rPr>
          <w:rStyle w:val="6"/>
          <w:rFonts w:hint="eastAsia" w:ascii="宋体" w:hAnsi="宋体" w:eastAsia="宋体" w:cs="宋体"/>
          <w:b/>
        </w:rPr>
        <w:t>政务</w:t>
      </w:r>
      <w:r>
        <w:rPr>
          <w:rStyle w:val="6"/>
          <w:rFonts w:hint="eastAsia" w:ascii="宋体" w:hAnsi="宋体" w:eastAsia="宋体" w:cs="宋体"/>
          <w:b/>
          <w:color w:val="000000"/>
        </w:rPr>
        <w:t>外网（智网）</w:t>
      </w:r>
      <w:r>
        <w:rPr>
          <w:rFonts w:hint="eastAsia" w:ascii="宋体" w:hAnsi="宋体" w:eastAsia="宋体" w:cs="宋体"/>
          <w:sz w:val="24"/>
          <w:szCs w:val="24"/>
        </w:rPr>
        <w:t>是政府对外服务的业务专网，主要用于各级政府不同部门之间信息共享、各部门本系统内部横纵向专用</w:t>
      </w:r>
      <w:r>
        <w:rPr>
          <w:rFonts w:hint="default" w:ascii="Calibri" w:hAnsi="Calibri" w:cs="Calibri"/>
          <w:sz w:val="24"/>
          <w:szCs w:val="24"/>
        </w:rPr>
        <w:t>VPN</w:t>
      </w:r>
      <w:r>
        <w:rPr>
          <w:rFonts w:hint="eastAsia" w:ascii="宋体" w:hAnsi="宋体" w:eastAsia="宋体" w:cs="宋体"/>
          <w:sz w:val="24"/>
          <w:szCs w:val="24"/>
        </w:rPr>
        <w:t>网络搭建及各级政府提供的公众服务，与国际互联网通过防火墙逻辑隔离。</w:t>
      </w:r>
    </w:p>
    <w:p>
      <w:pPr>
        <w:pStyle w:val="4"/>
        <w:keepNext w:val="0"/>
        <w:keepLines w:val="0"/>
        <w:widowControl/>
        <w:suppressLineNumbers w:val="0"/>
        <w:ind w:left="0" w:firstLine="480"/>
      </w:pPr>
      <w:r>
        <w:rPr>
          <w:rStyle w:val="6"/>
          <w:rFonts w:hint="eastAsia" w:ascii="宋体" w:hAnsi="宋体" w:eastAsia="宋体" w:cs="宋体"/>
          <w:b/>
          <w:color w:val="000000"/>
        </w:rPr>
        <w:t>政务</w:t>
      </w:r>
      <w:r>
        <w:rPr>
          <w:rStyle w:val="6"/>
          <w:rFonts w:hint="eastAsia" w:ascii="宋体" w:hAnsi="宋体" w:eastAsia="宋体" w:cs="宋体"/>
          <w:b/>
        </w:rPr>
        <w:t>信息网</w:t>
      </w:r>
      <w:r>
        <w:rPr>
          <w:rFonts w:hint="eastAsia" w:ascii="宋体" w:hAnsi="宋体" w:eastAsia="宋体" w:cs="宋体"/>
          <w:color w:val="000000"/>
          <w:sz w:val="24"/>
          <w:szCs w:val="24"/>
        </w:rPr>
        <w:t>定位为非涉密的政府办公业务专网，供各级政府部门使用，与国际互联网物理</w:t>
      </w:r>
      <w:r>
        <w:rPr>
          <w:rFonts w:hint="eastAsia" w:ascii="宋体" w:hAnsi="宋体" w:eastAsia="宋体" w:cs="宋体"/>
          <w:sz w:val="24"/>
          <w:szCs w:val="24"/>
        </w:rPr>
        <w:t>隔离，主要满足各级政务部门内部办公、管理、协调、监督和决策的需要；</w:t>
      </w:r>
    </w:p>
    <w:p>
      <w:pPr>
        <w:pStyle w:val="4"/>
        <w:keepNext w:val="0"/>
        <w:keepLines w:val="0"/>
        <w:widowControl/>
        <w:suppressLineNumbers w:val="0"/>
        <w:ind w:left="0" w:firstLine="480"/>
      </w:pPr>
      <w:r>
        <w:rPr>
          <w:rStyle w:val="6"/>
          <w:rFonts w:hint="eastAsia" w:ascii="宋体" w:hAnsi="宋体" w:eastAsia="宋体" w:cs="宋体"/>
          <w:b/>
        </w:rPr>
        <w:t>互联网</w:t>
      </w:r>
      <w:r>
        <w:rPr>
          <w:rFonts w:hint="eastAsia" w:ascii="宋体" w:hAnsi="宋体" w:eastAsia="宋体" w:cs="宋体"/>
          <w:sz w:val="24"/>
          <w:szCs w:val="24"/>
        </w:rPr>
        <w:t>主要满足各级政务部门进行日常工作业务搜索、信息交流的需要。</w:t>
      </w:r>
    </w:p>
    <w:p>
      <w:pPr>
        <w:pStyle w:val="4"/>
        <w:keepNext w:val="0"/>
        <w:keepLines w:val="0"/>
        <w:widowControl/>
        <w:suppressLineNumbers w:val="0"/>
        <w:ind w:left="0" w:firstLine="480"/>
      </w:pPr>
      <w:r>
        <w:rPr>
          <w:rStyle w:val="6"/>
          <w:rFonts w:hint="eastAsia" w:ascii="宋体" w:hAnsi="宋体" w:eastAsia="宋体" w:cs="宋体"/>
          <w:b/>
        </w:rPr>
        <w:t>智能化专网</w:t>
      </w:r>
      <w:r>
        <w:rPr>
          <w:rFonts w:hint="eastAsia" w:ascii="宋体" w:hAnsi="宋体" w:eastAsia="宋体" w:cs="宋体"/>
          <w:sz w:val="24"/>
          <w:szCs w:val="24"/>
        </w:rPr>
        <w:t>各是满足本地各类信息智能类应用的本地网。</w:t>
      </w:r>
    </w:p>
    <w:p>
      <w:pPr>
        <w:pStyle w:val="4"/>
        <w:keepNext w:val="0"/>
        <w:keepLines w:val="0"/>
        <w:widowControl/>
        <w:suppressLineNumbers w:val="0"/>
        <w:ind w:left="0" w:firstLine="0"/>
      </w:pPr>
      <w:r>
        <w:rPr>
          <w:rFonts w:hint="eastAsia" w:ascii="宋体" w:hAnsi="宋体" w:eastAsia="宋体" w:cs="宋体"/>
          <w:sz w:val="24"/>
          <w:szCs w:val="24"/>
        </w:rPr>
        <w:t>1.3.3</w:t>
      </w:r>
      <w:r>
        <w:rPr>
          <w:rFonts w:hint="default" w:ascii="Times New Roman" w:hAnsi="Times New Roman" w:cs="Times New Roman"/>
          <w:sz w:val="13"/>
          <w:szCs w:val="13"/>
        </w:rPr>
        <w:t xml:space="preserve">   </w:t>
      </w:r>
      <w:r>
        <w:rPr>
          <w:rFonts w:hint="eastAsia" w:ascii="宋体" w:hAnsi="宋体" w:eastAsia="宋体" w:cs="宋体"/>
          <w:sz w:val="24"/>
          <w:szCs w:val="24"/>
        </w:rPr>
        <w:t>多媒体会议系统</w:t>
      </w:r>
    </w:p>
    <w:p>
      <w:pPr>
        <w:pStyle w:val="4"/>
        <w:keepNext w:val="0"/>
        <w:keepLines w:val="0"/>
        <w:widowControl/>
        <w:suppressLineNumbers w:val="0"/>
        <w:ind w:left="0" w:firstLine="480"/>
      </w:pPr>
      <w:r>
        <w:rPr>
          <w:rFonts w:hint="eastAsia" w:ascii="宋体" w:hAnsi="宋体" w:eastAsia="宋体" w:cs="宋体"/>
          <w:sz w:val="24"/>
          <w:szCs w:val="24"/>
        </w:rPr>
        <w:t>多媒体会议系统工程一个精密科学的系统工程，它必须同整个现场的实际情况结合，才能达到理想效果。</w:t>
      </w:r>
    </w:p>
    <w:p>
      <w:pPr>
        <w:pStyle w:val="4"/>
        <w:keepNext w:val="0"/>
        <w:keepLines w:val="0"/>
        <w:widowControl/>
        <w:suppressLineNumbers w:val="0"/>
        <w:ind w:left="0" w:firstLine="480"/>
      </w:pPr>
      <w:r>
        <w:rPr>
          <w:rFonts w:hint="eastAsia" w:ascii="宋体" w:hAnsi="宋体" w:eastAsia="宋体" w:cs="宋体"/>
          <w:sz w:val="24"/>
          <w:szCs w:val="24"/>
        </w:rPr>
        <w:t>多功能室是本方案的重要功能场所，其音频系统需满足语言扩声，在系统设</w:t>
      </w:r>
      <w:r>
        <w:rPr>
          <w:rFonts w:hint="default" w:ascii="Calibri" w:hAnsi="Calibri" w:cs="Calibri"/>
          <w:sz w:val="24"/>
          <w:szCs w:val="24"/>
        </w:rPr>
        <w:t xml:space="preserve">    </w:t>
      </w:r>
      <w:r>
        <w:rPr>
          <w:rFonts w:hint="eastAsia" w:ascii="宋体" w:hAnsi="宋体" w:eastAsia="宋体" w:cs="宋体"/>
          <w:sz w:val="24"/>
          <w:szCs w:val="24"/>
        </w:rPr>
        <w:t>计上以满足声音清晰度、声场覆盖均匀、自然准确的声像定位、能够满足会议使用功能的需要；其视频系统需满足会议室的显示效果；其会议高清录播及摄像系统需满足会议的需求；其智能化集中控制系统需满足各设备的远程控制功能。</w:t>
      </w:r>
    </w:p>
    <w:p>
      <w:pPr>
        <w:pStyle w:val="4"/>
        <w:keepNext w:val="0"/>
        <w:keepLines w:val="0"/>
        <w:widowControl/>
        <w:suppressLineNumbers w:val="0"/>
        <w:ind w:left="0" w:firstLine="480"/>
      </w:pPr>
      <w:r>
        <w:rPr>
          <w:rFonts w:hint="eastAsia" w:ascii="宋体" w:hAnsi="宋体" w:eastAsia="宋体" w:cs="宋体"/>
          <w:sz w:val="24"/>
          <w:szCs w:val="24"/>
        </w:rPr>
        <w:t>各会议室与开标室，其音频系统需满足语言扩声，在系统设</w:t>
      </w:r>
      <w:r>
        <w:rPr>
          <w:rFonts w:hint="default" w:ascii="Calibri" w:hAnsi="Calibri" w:cs="Calibri"/>
          <w:sz w:val="24"/>
          <w:szCs w:val="24"/>
        </w:rPr>
        <w:t xml:space="preserve">    </w:t>
      </w:r>
      <w:r>
        <w:rPr>
          <w:rFonts w:hint="eastAsia" w:ascii="宋体" w:hAnsi="宋体" w:eastAsia="宋体" w:cs="宋体"/>
          <w:sz w:val="24"/>
          <w:szCs w:val="24"/>
        </w:rPr>
        <w:t>计上以满足声音清晰度、声场覆盖均匀、自然准确的声像定位、能够满足会议使用功能的需要；其视频系统需满足会议室的显示效果；其智能化集中控制系统需满足各设备的远程控制功能。</w:t>
      </w:r>
    </w:p>
    <w:p>
      <w:pPr>
        <w:pStyle w:val="4"/>
        <w:keepNext w:val="0"/>
        <w:keepLines w:val="0"/>
        <w:widowControl/>
        <w:suppressLineNumbers w:val="0"/>
        <w:ind w:left="0" w:firstLine="480"/>
      </w:pPr>
      <w:r>
        <w:rPr>
          <w:rFonts w:hint="eastAsia" w:ascii="宋体" w:hAnsi="宋体" w:eastAsia="宋体" w:cs="宋体"/>
          <w:sz w:val="24"/>
          <w:szCs w:val="24"/>
        </w:rPr>
        <w:t>评标室，其音频系统需满足语言扩声，在系统设</w:t>
      </w:r>
      <w:r>
        <w:rPr>
          <w:rFonts w:hint="default" w:ascii="Calibri" w:hAnsi="Calibri" w:cs="Calibri"/>
          <w:sz w:val="24"/>
          <w:szCs w:val="24"/>
        </w:rPr>
        <w:t xml:space="preserve">    </w:t>
      </w:r>
      <w:r>
        <w:rPr>
          <w:rFonts w:hint="eastAsia" w:ascii="宋体" w:hAnsi="宋体" w:eastAsia="宋体" w:cs="宋体"/>
          <w:sz w:val="24"/>
          <w:szCs w:val="24"/>
        </w:rPr>
        <w:t>计上以满足声音清晰度、声场覆盖均匀、自然准确的声像定位、能够满足会议使用功能的需要；</w:t>
      </w:r>
    </w:p>
    <w:p>
      <w:pPr>
        <w:pStyle w:val="4"/>
        <w:keepNext w:val="0"/>
        <w:keepLines w:val="0"/>
        <w:widowControl/>
        <w:suppressLineNumbers w:val="0"/>
        <w:ind w:left="0" w:firstLine="0"/>
      </w:pPr>
      <w:r>
        <w:rPr>
          <w:rFonts w:hint="eastAsia" w:ascii="宋体" w:hAnsi="宋体" w:eastAsia="宋体" w:cs="宋体"/>
          <w:sz w:val="24"/>
          <w:szCs w:val="24"/>
        </w:rPr>
        <w:t>1.3.4</w:t>
      </w:r>
      <w:r>
        <w:rPr>
          <w:rFonts w:hint="default" w:ascii="Times New Roman" w:hAnsi="Times New Roman" w:cs="Times New Roman"/>
          <w:sz w:val="13"/>
          <w:szCs w:val="13"/>
        </w:rPr>
        <w:t xml:space="preserve">   </w:t>
      </w:r>
      <w:r>
        <w:rPr>
          <w:rFonts w:hint="eastAsia" w:ascii="宋体" w:hAnsi="宋体" w:eastAsia="宋体" w:cs="宋体"/>
          <w:sz w:val="24"/>
          <w:szCs w:val="24"/>
        </w:rPr>
        <w:t>公共安防监控系统</w:t>
      </w:r>
    </w:p>
    <w:p>
      <w:pPr>
        <w:pStyle w:val="4"/>
        <w:keepNext w:val="0"/>
        <w:keepLines w:val="0"/>
        <w:widowControl/>
        <w:suppressLineNumbers w:val="0"/>
        <w:spacing w:before="165" w:beforeAutospacing="0"/>
        <w:ind w:left="0" w:firstLine="480"/>
      </w:pPr>
      <w:r>
        <w:rPr>
          <w:rFonts w:hint="eastAsia" w:ascii="宋体" w:hAnsi="宋体" w:eastAsia="宋体" w:cs="宋体"/>
          <w:sz w:val="24"/>
          <w:szCs w:val="24"/>
        </w:rPr>
        <w:t>在公共交易中心设置访客安检及视频监控系统 。系统共计安装20个高清视频摄像机，同时在开标室安装同步录音录像系统，资料存储时间为90天。</w:t>
      </w:r>
    </w:p>
    <w:p>
      <w:pPr>
        <w:pStyle w:val="4"/>
        <w:keepNext w:val="0"/>
        <w:keepLines w:val="0"/>
        <w:widowControl/>
        <w:suppressLineNumbers w:val="0"/>
        <w:spacing w:before="165" w:beforeAutospacing="0"/>
        <w:ind w:left="0" w:firstLine="480"/>
        <w:jc w:val="center"/>
      </w:pPr>
      <w:r>
        <w:rPr>
          <w:rFonts w:hint="eastAsia" w:ascii="宋体" w:hAnsi="宋体" w:eastAsia="宋体" w:cs="宋体"/>
          <w:sz w:val="24"/>
          <w:szCs w:val="24"/>
        </w:rPr>
        <w:t>表4.3-2  公共交易区域视频监控前端部署设备统计表</w:t>
      </w:r>
    </w:p>
    <w:tbl>
      <w:tblPr>
        <w:tblStyle w:val="9"/>
        <w:tblW w:w="7962" w:type="dxa"/>
        <w:tblCellSpacing w:w="15"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15" w:type="dxa"/>
          <w:left w:w="15" w:type="dxa"/>
          <w:bottom w:w="15" w:type="dxa"/>
          <w:right w:w="15" w:type="dxa"/>
        </w:tblCellMar>
      </w:tblPr>
      <w:tblGrid>
        <w:gridCol w:w="1192"/>
        <w:gridCol w:w="3712"/>
        <w:gridCol w:w="1655"/>
        <w:gridCol w:w="1403"/>
      </w:tblGrid>
      <w:tr>
        <w:trPr>
          <w:trHeight w:val="450" w:hRule="atLeast"/>
          <w:tblCellSpacing w:w="15" w:type="dxa"/>
        </w:trPr>
        <w:tc>
          <w:tcPr>
            <w:tcW w:w="1147" w:type="dxa"/>
            <w:tcBorders>
              <w:top w:val="double" w:color="auto" w:sz="2" w:space="0"/>
              <w:left w:val="double" w:color="auto" w:sz="2" w:space="0"/>
              <w:bottom w:val="single" w:color="auto" w:sz="6" w:space="0"/>
              <w:right w:val="single" w:color="auto" w:sz="6" w:space="0"/>
            </w:tcBorders>
            <w:shd w:val="clear" w:color="auto" w:fill="FFFFFF"/>
            <w:tcMar>
              <w:top w:w="0" w:type="dxa"/>
              <w:left w:w="105" w:type="dxa"/>
              <w:bottom w:w="0" w:type="dxa"/>
              <w:right w:w="105" w:type="dxa"/>
            </w:tcMar>
            <w:vAlign w:val="top"/>
          </w:tcPr>
          <w:p>
            <w:pPr>
              <w:pStyle w:val="4"/>
              <w:keepNext w:val="0"/>
              <w:keepLines w:val="0"/>
              <w:widowControl/>
              <w:suppressLineNumbers w:val="0"/>
              <w:jc w:val="center"/>
            </w:pPr>
            <w:r>
              <w:rPr>
                <w:rStyle w:val="6"/>
                <w:rFonts w:hint="eastAsia" w:ascii="宋体" w:hAnsi="宋体" w:eastAsia="宋体" w:cs="宋体"/>
                <w:b/>
              </w:rPr>
              <w:t>序号</w:t>
            </w:r>
          </w:p>
        </w:tc>
        <w:tc>
          <w:tcPr>
            <w:tcW w:w="3682" w:type="dxa"/>
            <w:tcBorders>
              <w:top w:val="double" w:color="auto" w:sz="2" w:space="0"/>
              <w:left w:val="nil"/>
              <w:bottom w:val="single" w:color="auto" w:sz="6" w:space="0"/>
              <w:right w:val="single" w:color="auto" w:sz="6" w:space="0"/>
            </w:tcBorders>
            <w:shd w:val="clear" w:color="auto" w:fill="FFFFFF"/>
            <w:tcMar>
              <w:top w:w="0" w:type="dxa"/>
              <w:left w:w="105" w:type="dxa"/>
              <w:bottom w:w="0" w:type="dxa"/>
              <w:right w:w="105" w:type="dxa"/>
            </w:tcMar>
            <w:vAlign w:val="top"/>
          </w:tcPr>
          <w:p>
            <w:pPr>
              <w:pStyle w:val="4"/>
              <w:keepNext w:val="0"/>
              <w:keepLines w:val="0"/>
              <w:widowControl/>
              <w:suppressLineNumbers w:val="0"/>
              <w:jc w:val="center"/>
            </w:pPr>
            <w:r>
              <w:rPr>
                <w:rStyle w:val="6"/>
                <w:rFonts w:hint="eastAsia" w:ascii="宋体" w:hAnsi="宋体" w:eastAsia="宋体" w:cs="宋体"/>
                <w:b/>
              </w:rPr>
              <w:t>摄像头类型</w:t>
            </w:r>
          </w:p>
        </w:tc>
        <w:tc>
          <w:tcPr>
            <w:tcW w:w="1625" w:type="dxa"/>
            <w:tcBorders>
              <w:top w:val="double" w:color="auto" w:sz="2" w:space="0"/>
              <w:left w:val="nil"/>
              <w:bottom w:val="single" w:color="auto" w:sz="6" w:space="0"/>
              <w:right w:val="single" w:color="auto" w:sz="6" w:space="0"/>
            </w:tcBorders>
            <w:shd w:val="clear" w:color="auto" w:fill="FFFFFF"/>
            <w:tcMar>
              <w:top w:w="0" w:type="dxa"/>
              <w:left w:w="105" w:type="dxa"/>
              <w:bottom w:w="0" w:type="dxa"/>
              <w:right w:w="105" w:type="dxa"/>
            </w:tcMar>
            <w:vAlign w:val="top"/>
          </w:tcPr>
          <w:p>
            <w:pPr>
              <w:pStyle w:val="4"/>
              <w:keepNext w:val="0"/>
              <w:keepLines w:val="0"/>
              <w:widowControl/>
              <w:suppressLineNumbers w:val="0"/>
              <w:jc w:val="center"/>
            </w:pPr>
            <w:r>
              <w:rPr>
                <w:rStyle w:val="6"/>
                <w:rFonts w:hint="eastAsia" w:ascii="宋体" w:hAnsi="宋体" w:eastAsia="宋体" w:cs="宋体"/>
                <w:b/>
              </w:rPr>
              <w:t>摄像头数量</w:t>
            </w:r>
          </w:p>
        </w:tc>
        <w:tc>
          <w:tcPr>
            <w:tcW w:w="1358" w:type="dxa"/>
            <w:tcBorders>
              <w:top w:val="double" w:color="auto" w:sz="2" w:space="0"/>
              <w:left w:val="nil"/>
              <w:bottom w:val="single" w:color="auto" w:sz="6" w:space="0"/>
              <w:right w:val="double" w:color="auto" w:sz="2" w:space="0"/>
            </w:tcBorders>
            <w:shd w:val="clear" w:color="auto" w:fill="FFFFFF"/>
            <w:tcMar>
              <w:top w:w="0" w:type="dxa"/>
              <w:left w:w="105" w:type="dxa"/>
              <w:bottom w:w="0" w:type="dxa"/>
              <w:right w:w="105" w:type="dxa"/>
            </w:tcMar>
            <w:vAlign w:val="top"/>
          </w:tcPr>
          <w:p>
            <w:pPr>
              <w:pStyle w:val="4"/>
              <w:keepNext w:val="0"/>
              <w:keepLines w:val="0"/>
              <w:widowControl/>
              <w:suppressLineNumbers w:val="0"/>
              <w:jc w:val="center"/>
            </w:pPr>
            <w:r>
              <w:rPr>
                <w:rStyle w:val="6"/>
                <w:rFonts w:hint="eastAsia" w:ascii="宋体" w:hAnsi="宋体" w:eastAsia="宋体" w:cs="宋体"/>
                <w:b/>
              </w:rPr>
              <w:t>备注</w:t>
            </w:r>
          </w:p>
        </w:tc>
      </w:tr>
      <w:tr>
        <w:trPr>
          <w:trHeight w:val="450" w:hRule="atLeast"/>
          <w:tblCellSpacing w:w="15" w:type="dxa"/>
        </w:trPr>
        <w:tc>
          <w:tcPr>
            <w:tcW w:w="1147" w:type="dxa"/>
            <w:tcBorders>
              <w:top w:val="nil"/>
              <w:left w:val="double" w:color="auto" w:sz="2" w:space="0"/>
              <w:bottom w:val="single" w:color="auto" w:sz="6" w:space="0"/>
              <w:right w:val="single" w:color="auto" w:sz="6" w:space="0"/>
            </w:tcBorders>
            <w:shd w:val="clear" w:color="auto" w:fill="FFFFFF"/>
            <w:tcMar>
              <w:top w:w="0" w:type="dxa"/>
              <w:left w:w="105" w:type="dxa"/>
              <w:bottom w:w="0" w:type="dxa"/>
              <w:right w:w="105" w:type="dxa"/>
            </w:tcMar>
            <w:vAlign w:val="top"/>
          </w:tcPr>
          <w:p>
            <w:pPr>
              <w:pStyle w:val="4"/>
              <w:keepNext w:val="0"/>
              <w:keepLines w:val="0"/>
              <w:widowControl/>
              <w:suppressLineNumbers w:val="0"/>
              <w:jc w:val="center"/>
            </w:pPr>
            <w:r>
              <w:rPr>
                <w:rFonts w:hint="eastAsia" w:ascii="宋体" w:hAnsi="宋体" w:eastAsia="宋体" w:cs="宋体"/>
                <w:sz w:val="24"/>
                <w:szCs w:val="24"/>
              </w:rPr>
              <w:t>1</w:t>
            </w:r>
          </w:p>
        </w:tc>
        <w:tc>
          <w:tcPr>
            <w:tcW w:w="368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top"/>
          </w:tcPr>
          <w:p>
            <w:pPr>
              <w:pStyle w:val="4"/>
              <w:keepNext w:val="0"/>
              <w:keepLines w:val="0"/>
              <w:widowControl/>
              <w:suppressLineNumbers w:val="0"/>
              <w:ind w:left="345"/>
              <w:jc w:val="left"/>
            </w:pPr>
            <w:r>
              <w:rPr>
                <w:rFonts w:hint="eastAsia" w:ascii="宋体" w:hAnsi="宋体" w:eastAsia="宋体" w:cs="宋体"/>
                <w:sz w:val="24"/>
                <w:szCs w:val="24"/>
              </w:rPr>
              <w:t>高清半球网络摄像机</w:t>
            </w:r>
          </w:p>
        </w:tc>
        <w:tc>
          <w:tcPr>
            <w:tcW w:w="162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top"/>
          </w:tcPr>
          <w:p>
            <w:pPr>
              <w:pStyle w:val="4"/>
              <w:keepNext w:val="0"/>
              <w:keepLines w:val="0"/>
              <w:widowControl/>
              <w:suppressLineNumbers w:val="0"/>
              <w:jc w:val="center"/>
            </w:pPr>
            <w:r>
              <w:rPr>
                <w:rFonts w:hint="eastAsia" w:ascii="宋体" w:hAnsi="宋体" w:eastAsia="宋体" w:cs="宋体"/>
                <w:sz w:val="24"/>
                <w:szCs w:val="24"/>
              </w:rPr>
              <w:t>18</w:t>
            </w:r>
          </w:p>
        </w:tc>
        <w:tc>
          <w:tcPr>
            <w:tcW w:w="1358" w:type="dxa"/>
            <w:tcBorders>
              <w:top w:val="nil"/>
              <w:left w:val="nil"/>
              <w:bottom w:val="single" w:color="auto" w:sz="6" w:space="0"/>
              <w:right w:val="double" w:color="auto" w:sz="2" w:space="0"/>
            </w:tcBorders>
            <w:shd w:val="clear" w:color="auto" w:fill="FFFFFF"/>
            <w:tcMar>
              <w:top w:w="0" w:type="dxa"/>
              <w:left w:w="105" w:type="dxa"/>
              <w:bottom w:w="0" w:type="dxa"/>
              <w:right w:w="105" w:type="dxa"/>
            </w:tcMar>
            <w:vAlign w:val="top"/>
          </w:tcPr>
          <w:p>
            <w:pPr>
              <w:keepNext w:val="0"/>
              <w:keepLines w:val="0"/>
              <w:widowControl/>
              <w:suppressLineNumbers w:val="0"/>
              <w:jc w:val="left"/>
            </w:pPr>
          </w:p>
        </w:tc>
      </w:tr>
      <w:tr>
        <w:trPr>
          <w:trHeight w:val="450" w:hRule="atLeast"/>
          <w:tblCellSpacing w:w="15" w:type="dxa"/>
        </w:trPr>
        <w:tc>
          <w:tcPr>
            <w:tcW w:w="1147" w:type="dxa"/>
            <w:tcBorders>
              <w:top w:val="nil"/>
              <w:left w:val="double" w:color="auto" w:sz="2" w:space="0"/>
              <w:bottom w:val="single" w:color="auto" w:sz="6" w:space="0"/>
              <w:right w:val="single" w:color="auto" w:sz="6" w:space="0"/>
            </w:tcBorders>
            <w:shd w:val="clear" w:color="auto" w:fill="FFFFFF"/>
            <w:tcMar>
              <w:top w:w="0" w:type="dxa"/>
              <w:left w:w="105" w:type="dxa"/>
              <w:bottom w:w="0" w:type="dxa"/>
              <w:right w:w="105" w:type="dxa"/>
            </w:tcMar>
            <w:vAlign w:val="top"/>
          </w:tcPr>
          <w:p>
            <w:pPr>
              <w:pStyle w:val="4"/>
              <w:keepNext w:val="0"/>
              <w:keepLines w:val="0"/>
              <w:widowControl/>
              <w:suppressLineNumbers w:val="0"/>
              <w:jc w:val="center"/>
            </w:pPr>
            <w:r>
              <w:rPr>
                <w:rFonts w:hint="eastAsia" w:ascii="宋体" w:hAnsi="宋体" w:eastAsia="宋体" w:cs="宋体"/>
                <w:sz w:val="24"/>
                <w:szCs w:val="24"/>
              </w:rPr>
              <w:t>2</w:t>
            </w:r>
          </w:p>
        </w:tc>
        <w:tc>
          <w:tcPr>
            <w:tcW w:w="368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top"/>
          </w:tcPr>
          <w:p>
            <w:pPr>
              <w:pStyle w:val="4"/>
              <w:keepNext w:val="0"/>
              <w:keepLines w:val="0"/>
              <w:widowControl/>
              <w:suppressLineNumbers w:val="0"/>
              <w:ind w:left="345"/>
              <w:jc w:val="left"/>
            </w:pPr>
            <w:r>
              <w:rPr>
                <w:rFonts w:hint="eastAsia" w:ascii="宋体" w:hAnsi="宋体" w:eastAsia="宋体" w:cs="宋体"/>
                <w:sz w:val="24"/>
                <w:szCs w:val="24"/>
              </w:rPr>
              <w:t>云台快球摄像机</w:t>
            </w:r>
          </w:p>
        </w:tc>
        <w:tc>
          <w:tcPr>
            <w:tcW w:w="162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top"/>
          </w:tcPr>
          <w:p>
            <w:pPr>
              <w:pStyle w:val="4"/>
              <w:keepNext w:val="0"/>
              <w:keepLines w:val="0"/>
              <w:widowControl/>
              <w:suppressLineNumbers w:val="0"/>
              <w:jc w:val="center"/>
            </w:pPr>
            <w:r>
              <w:rPr>
                <w:rFonts w:hint="eastAsia" w:ascii="宋体" w:hAnsi="宋体" w:eastAsia="宋体" w:cs="宋体"/>
                <w:sz w:val="24"/>
                <w:szCs w:val="24"/>
              </w:rPr>
              <w:t>2</w:t>
            </w:r>
          </w:p>
        </w:tc>
        <w:tc>
          <w:tcPr>
            <w:tcW w:w="1358" w:type="dxa"/>
            <w:tcBorders>
              <w:top w:val="nil"/>
              <w:left w:val="nil"/>
              <w:bottom w:val="single" w:color="auto" w:sz="6" w:space="0"/>
              <w:right w:val="double" w:color="auto" w:sz="2" w:space="0"/>
            </w:tcBorders>
            <w:shd w:val="clear" w:color="auto" w:fill="FFFFFF"/>
            <w:tcMar>
              <w:top w:w="0" w:type="dxa"/>
              <w:left w:w="105" w:type="dxa"/>
              <w:bottom w:w="0" w:type="dxa"/>
              <w:right w:w="105" w:type="dxa"/>
            </w:tcMar>
            <w:vAlign w:val="top"/>
          </w:tcPr>
          <w:p>
            <w:pPr>
              <w:keepNext w:val="0"/>
              <w:keepLines w:val="0"/>
              <w:widowControl/>
              <w:suppressLineNumbers w:val="0"/>
              <w:jc w:val="left"/>
            </w:pPr>
          </w:p>
        </w:tc>
      </w:tr>
      <w:tr>
        <w:trPr>
          <w:trHeight w:val="510" w:hRule="atLeast"/>
          <w:tblCellSpacing w:w="15" w:type="dxa"/>
        </w:trPr>
        <w:tc>
          <w:tcPr>
            <w:tcW w:w="1147" w:type="dxa"/>
            <w:tcBorders>
              <w:top w:val="nil"/>
              <w:left w:val="double" w:color="auto" w:sz="2" w:space="0"/>
              <w:bottom w:val="double" w:color="auto" w:sz="2" w:space="0"/>
              <w:right w:val="single" w:color="auto" w:sz="6" w:space="0"/>
            </w:tcBorders>
            <w:shd w:val="clear" w:color="auto" w:fill="FFFFFF"/>
            <w:tcMar>
              <w:top w:w="0" w:type="dxa"/>
              <w:left w:w="105" w:type="dxa"/>
              <w:bottom w:w="0" w:type="dxa"/>
              <w:right w:w="105" w:type="dxa"/>
            </w:tcMar>
            <w:vAlign w:val="top"/>
          </w:tcPr>
          <w:p>
            <w:pPr>
              <w:pStyle w:val="4"/>
              <w:keepNext w:val="0"/>
              <w:keepLines w:val="0"/>
              <w:widowControl/>
              <w:suppressLineNumbers w:val="0"/>
              <w:jc w:val="center"/>
            </w:pPr>
            <w:r>
              <w:rPr>
                <w:rFonts w:hint="eastAsia" w:ascii="宋体" w:hAnsi="宋体" w:eastAsia="宋体" w:cs="宋体"/>
                <w:sz w:val="24"/>
                <w:szCs w:val="24"/>
              </w:rPr>
              <w:t>3</w:t>
            </w:r>
          </w:p>
        </w:tc>
        <w:tc>
          <w:tcPr>
            <w:tcW w:w="3682" w:type="dxa"/>
            <w:tcBorders>
              <w:top w:val="nil"/>
              <w:left w:val="nil"/>
              <w:bottom w:val="double" w:color="auto" w:sz="2" w:space="0"/>
              <w:right w:val="single" w:color="auto" w:sz="6" w:space="0"/>
            </w:tcBorders>
            <w:shd w:val="clear" w:color="auto" w:fill="FFFFFF"/>
            <w:tcMar>
              <w:top w:w="0" w:type="dxa"/>
              <w:left w:w="105" w:type="dxa"/>
              <w:bottom w:w="0" w:type="dxa"/>
              <w:right w:w="105" w:type="dxa"/>
            </w:tcMar>
            <w:vAlign w:val="top"/>
          </w:tcPr>
          <w:p>
            <w:pPr>
              <w:pStyle w:val="4"/>
              <w:keepNext w:val="0"/>
              <w:keepLines w:val="0"/>
              <w:widowControl/>
              <w:suppressLineNumbers w:val="0"/>
              <w:ind w:left="345"/>
              <w:jc w:val="left"/>
            </w:pPr>
            <w:r>
              <w:rPr>
                <w:rFonts w:hint="eastAsia" w:ascii="宋体" w:hAnsi="宋体" w:eastAsia="宋体" w:cs="宋体"/>
                <w:sz w:val="24"/>
                <w:szCs w:val="24"/>
              </w:rPr>
              <w:t>全向监控拾音器</w:t>
            </w:r>
          </w:p>
        </w:tc>
        <w:tc>
          <w:tcPr>
            <w:tcW w:w="1625" w:type="dxa"/>
            <w:tcBorders>
              <w:top w:val="nil"/>
              <w:left w:val="nil"/>
              <w:bottom w:val="double" w:color="auto" w:sz="2" w:space="0"/>
              <w:right w:val="single" w:color="auto" w:sz="6" w:space="0"/>
            </w:tcBorders>
            <w:shd w:val="clear" w:color="auto" w:fill="FFFFFF"/>
            <w:tcMar>
              <w:top w:w="0" w:type="dxa"/>
              <w:left w:w="105" w:type="dxa"/>
              <w:bottom w:w="0" w:type="dxa"/>
              <w:right w:w="105" w:type="dxa"/>
            </w:tcMar>
            <w:vAlign w:val="top"/>
          </w:tcPr>
          <w:p>
            <w:pPr>
              <w:pStyle w:val="4"/>
              <w:keepNext w:val="0"/>
              <w:keepLines w:val="0"/>
              <w:widowControl/>
              <w:suppressLineNumbers w:val="0"/>
              <w:jc w:val="center"/>
            </w:pPr>
            <w:r>
              <w:rPr>
                <w:rFonts w:hint="eastAsia" w:ascii="宋体" w:hAnsi="宋体" w:eastAsia="宋体" w:cs="宋体"/>
                <w:sz w:val="24"/>
                <w:szCs w:val="24"/>
              </w:rPr>
              <w:t>8</w:t>
            </w:r>
          </w:p>
        </w:tc>
        <w:tc>
          <w:tcPr>
            <w:tcW w:w="1358" w:type="dxa"/>
            <w:tcBorders>
              <w:top w:val="nil"/>
              <w:left w:val="nil"/>
              <w:bottom w:val="double" w:color="auto" w:sz="2" w:space="0"/>
              <w:right w:val="double" w:color="auto" w:sz="2" w:space="0"/>
            </w:tcBorders>
            <w:shd w:val="clear" w:color="auto" w:fill="FFFFFF"/>
            <w:tcMar>
              <w:top w:w="0" w:type="dxa"/>
              <w:left w:w="105" w:type="dxa"/>
              <w:bottom w:w="0" w:type="dxa"/>
              <w:right w:w="105" w:type="dxa"/>
            </w:tcMar>
            <w:vAlign w:val="top"/>
          </w:tcPr>
          <w:p>
            <w:pPr>
              <w:keepNext w:val="0"/>
              <w:keepLines w:val="0"/>
              <w:widowControl/>
              <w:suppressLineNumbers w:val="0"/>
              <w:jc w:val="left"/>
            </w:pPr>
          </w:p>
        </w:tc>
      </w:tr>
    </w:tbl>
    <w:p>
      <w:pPr>
        <w:pStyle w:val="4"/>
        <w:keepNext w:val="0"/>
        <w:keepLines w:val="0"/>
        <w:widowControl/>
        <w:suppressLineNumbers w:val="0"/>
        <w:ind w:left="0" w:firstLine="0"/>
      </w:pPr>
      <w:r>
        <w:rPr>
          <w:rFonts w:hint="eastAsia" w:ascii="宋体" w:hAnsi="宋体" w:eastAsia="宋体" w:cs="宋体"/>
          <w:sz w:val="24"/>
          <w:szCs w:val="24"/>
        </w:rPr>
        <w:t>1.3.5</w:t>
      </w:r>
      <w:r>
        <w:rPr>
          <w:rFonts w:hint="default" w:ascii="Times New Roman" w:hAnsi="Times New Roman" w:cs="Times New Roman"/>
          <w:sz w:val="13"/>
          <w:szCs w:val="13"/>
        </w:rPr>
        <w:t xml:space="preserve">   </w:t>
      </w:r>
      <w:r>
        <w:rPr>
          <w:rFonts w:hint="eastAsia" w:ascii="宋体" w:hAnsi="宋体" w:eastAsia="宋体" w:cs="宋体"/>
          <w:sz w:val="24"/>
          <w:szCs w:val="24"/>
        </w:rPr>
        <w:t>门禁管理系统</w:t>
      </w:r>
    </w:p>
    <w:p>
      <w:pPr>
        <w:pStyle w:val="4"/>
        <w:keepNext w:val="0"/>
        <w:keepLines w:val="0"/>
        <w:widowControl/>
        <w:suppressLineNumbers w:val="0"/>
        <w:spacing w:before="165" w:beforeAutospacing="0"/>
        <w:ind w:left="0" w:firstLine="480"/>
      </w:pPr>
      <w:r>
        <w:rPr>
          <w:rFonts w:hint="eastAsia" w:ascii="宋体" w:hAnsi="宋体" w:eastAsia="宋体" w:cs="宋体"/>
          <w:sz w:val="24"/>
          <w:szCs w:val="24"/>
        </w:rPr>
        <w:t>门禁管理软件具有门禁控制、编程管理、卡及持卡人管理、在线监控和报警功能及数据和事件记录查询及生成报表等功能。根据人员出入识别要求在公共交易中心机房、评标室等区域共计7处位置安装了门禁识别 装置。安装位置如下：</w:t>
      </w:r>
    </w:p>
    <w:p>
      <w:pPr>
        <w:pStyle w:val="4"/>
        <w:keepNext w:val="0"/>
        <w:keepLines w:val="0"/>
        <w:widowControl/>
        <w:suppressLineNumbers w:val="0"/>
        <w:spacing w:before="165" w:beforeAutospacing="0"/>
        <w:ind w:left="0" w:firstLine="480"/>
        <w:jc w:val="center"/>
      </w:pPr>
      <w:r>
        <w:rPr>
          <w:rFonts w:hint="eastAsia" w:ascii="宋体" w:hAnsi="宋体" w:eastAsia="宋体" w:cs="宋体"/>
          <w:sz w:val="24"/>
          <w:szCs w:val="24"/>
        </w:rPr>
        <w:t>表4.3-3  公共交易区域门禁识别点位部署统计表</w:t>
      </w:r>
    </w:p>
    <w:tbl>
      <w:tblPr>
        <w:tblStyle w:val="9"/>
        <w:tblW w:w="7962" w:type="dxa"/>
        <w:tblCellSpacing w:w="15"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15" w:type="dxa"/>
          <w:left w:w="15" w:type="dxa"/>
          <w:bottom w:w="15" w:type="dxa"/>
          <w:right w:w="15" w:type="dxa"/>
        </w:tblCellMar>
      </w:tblPr>
      <w:tblGrid>
        <w:gridCol w:w="1106"/>
        <w:gridCol w:w="4231"/>
        <w:gridCol w:w="1134"/>
        <w:gridCol w:w="1491"/>
      </w:tblGrid>
      <w:tr>
        <w:trPr>
          <w:tblCellSpacing w:w="15" w:type="dxa"/>
        </w:trPr>
        <w:tc>
          <w:tcPr>
            <w:tcW w:w="1061" w:type="dxa"/>
            <w:tcBorders>
              <w:top w:val="double" w:color="auto" w:sz="2" w:space="0"/>
              <w:left w:val="double" w:color="auto" w:sz="2"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Style w:val="6"/>
                <w:rFonts w:hint="eastAsia" w:ascii="宋体" w:hAnsi="宋体" w:eastAsia="宋体" w:cs="宋体"/>
                <w:b/>
              </w:rPr>
              <w:t>序号</w:t>
            </w:r>
          </w:p>
        </w:tc>
        <w:tc>
          <w:tcPr>
            <w:tcW w:w="4201" w:type="dxa"/>
            <w:tcBorders>
              <w:top w:val="double" w:color="auto" w:sz="2"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Style w:val="6"/>
                <w:rFonts w:hint="eastAsia" w:ascii="宋体" w:hAnsi="宋体" w:eastAsia="宋体" w:cs="宋体"/>
                <w:b/>
              </w:rPr>
              <w:t>安装位置</w:t>
            </w:r>
          </w:p>
        </w:tc>
        <w:tc>
          <w:tcPr>
            <w:tcW w:w="1104" w:type="dxa"/>
            <w:tcBorders>
              <w:top w:val="double" w:color="auto" w:sz="2"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Style w:val="6"/>
                <w:rFonts w:hint="eastAsia" w:ascii="宋体" w:hAnsi="宋体" w:eastAsia="宋体" w:cs="宋体"/>
                <w:b/>
              </w:rPr>
              <w:t>数量</w:t>
            </w:r>
          </w:p>
        </w:tc>
        <w:tc>
          <w:tcPr>
            <w:tcW w:w="1446" w:type="dxa"/>
            <w:tcBorders>
              <w:top w:val="double" w:color="auto" w:sz="2" w:space="0"/>
              <w:left w:val="nil"/>
              <w:bottom w:val="single" w:color="auto" w:sz="6" w:space="0"/>
              <w:right w:val="double" w:color="auto" w:sz="2"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Style w:val="6"/>
                <w:rFonts w:hint="eastAsia" w:ascii="宋体" w:hAnsi="宋体" w:eastAsia="宋体" w:cs="宋体"/>
                <w:b/>
              </w:rPr>
              <w:t>备注</w:t>
            </w:r>
          </w:p>
        </w:tc>
      </w:tr>
      <w:tr>
        <w:trPr>
          <w:tblCellSpacing w:w="15" w:type="dxa"/>
        </w:trPr>
        <w:tc>
          <w:tcPr>
            <w:tcW w:w="1061" w:type="dxa"/>
            <w:tcBorders>
              <w:top w:val="nil"/>
              <w:left w:val="double" w:color="auto" w:sz="2" w:space="0"/>
              <w:bottom w:val="single" w:color="auto" w:sz="6" w:space="0"/>
              <w:right w:val="single" w:color="auto" w:sz="6" w:space="0"/>
            </w:tcBorders>
            <w:shd w:val="clear" w:color="auto" w:fill="FFFFFF"/>
            <w:tcMar>
              <w:top w:w="0" w:type="dxa"/>
              <w:left w:w="105" w:type="dxa"/>
              <w:bottom w:w="0" w:type="dxa"/>
              <w:right w:w="105" w:type="dxa"/>
            </w:tcMar>
            <w:vAlign w:val="top"/>
          </w:tcPr>
          <w:p>
            <w:pPr>
              <w:pStyle w:val="4"/>
              <w:keepNext w:val="0"/>
              <w:keepLines w:val="0"/>
              <w:widowControl/>
              <w:suppressLineNumbers w:val="0"/>
              <w:jc w:val="center"/>
            </w:pPr>
            <w:r>
              <w:rPr>
                <w:rFonts w:hint="eastAsia" w:ascii="宋体" w:hAnsi="宋体" w:eastAsia="宋体" w:cs="宋体"/>
                <w:sz w:val="24"/>
                <w:szCs w:val="24"/>
              </w:rPr>
              <w:t>1</w:t>
            </w:r>
          </w:p>
        </w:tc>
        <w:tc>
          <w:tcPr>
            <w:tcW w:w="4201"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top"/>
          </w:tcPr>
          <w:p>
            <w:pPr>
              <w:pStyle w:val="4"/>
              <w:keepNext w:val="0"/>
              <w:keepLines w:val="0"/>
              <w:widowControl/>
              <w:suppressLineNumbers w:val="0"/>
              <w:jc w:val="center"/>
            </w:pPr>
            <w:r>
              <w:rPr>
                <w:rFonts w:hint="eastAsia" w:ascii="宋体" w:hAnsi="宋体" w:eastAsia="宋体" w:cs="宋体"/>
                <w:sz w:val="24"/>
                <w:szCs w:val="24"/>
              </w:rPr>
              <w:t>评标室</w:t>
            </w:r>
          </w:p>
        </w:tc>
        <w:tc>
          <w:tcPr>
            <w:tcW w:w="1104"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top"/>
          </w:tcPr>
          <w:p>
            <w:pPr>
              <w:pStyle w:val="4"/>
              <w:keepNext w:val="0"/>
              <w:keepLines w:val="0"/>
              <w:widowControl/>
              <w:suppressLineNumbers w:val="0"/>
              <w:jc w:val="center"/>
            </w:pPr>
            <w:r>
              <w:rPr>
                <w:rFonts w:hint="eastAsia" w:ascii="宋体" w:hAnsi="宋体" w:eastAsia="宋体" w:cs="宋体"/>
                <w:sz w:val="24"/>
                <w:szCs w:val="24"/>
              </w:rPr>
              <w:t>2</w:t>
            </w:r>
          </w:p>
        </w:tc>
        <w:tc>
          <w:tcPr>
            <w:tcW w:w="1446" w:type="dxa"/>
            <w:tcBorders>
              <w:top w:val="nil"/>
              <w:left w:val="nil"/>
              <w:bottom w:val="single" w:color="auto" w:sz="6" w:space="0"/>
              <w:right w:val="double" w:color="auto" w:sz="2" w:space="0"/>
            </w:tcBorders>
            <w:shd w:val="clear" w:color="auto" w:fill="FFFFFF"/>
            <w:tcMar>
              <w:top w:w="0" w:type="dxa"/>
              <w:left w:w="105" w:type="dxa"/>
              <w:bottom w:w="0" w:type="dxa"/>
              <w:right w:w="105" w:type="dxa"/>
            </w:tcMar>
            <w:vAlign w:val="top"/>
          </w:tcPr>
          <w:p>
            <w:pPr>
              <w:keepNext w:val="0"/>
              <w:keepLines w:val="0"/>
              <w:widowControl/>
              <w:suppressLineNumbers w:val="0"/>
              <w:jc w:val="left"/>
            </w:pPr>
          </w:p>
        </w:tc>
      </w:tr>
      <w:tr>
        <w:trPr>
          <w:tblCellSpacing w:w="15" w:type="dxa"/>
        </w:trPr>
        <w:tc>
          <w:tcPr>
            <w:tcW w:w="1061" w:type="dxa"/>
            <w:tcBorders>
              <w:top w:val="nil"/>
              <w:left w:val="double" w:color="auto" w:sz="2" w:space="0"/>
              <w:bottom w:val="single" w:color="auto" w:sz="6" w:space="0"/>
              <w:right w:val="single" w:color="auto" w:sz="6" w:space="0"/>
            </w:tcBorders>
            <w:shd w:val="clear" w:color="auto" w:fill="FFFFFF"/>
            <w:tcMar>
              <w:top w:w="0" w:type="dxa"/>
              <w:left w:w="105" w:type="dxa"/>
              <w:bottom w:w="0" w:type="dxa"/>
              <w:right w:w="105" w:type="dxa"/>
            </w:tcMar>
            <w:vAlign w:val="top"/>
          </w:tcPr>
          <w:p>
            <w:pPr>
              <w:pStyle w:val="4"/>
              <w:keepNext w:val="0"/>
              <w:keepLines w:val="0"/>
              <w:widowControl/>
              <w:suppressLineNumbers w:val="0"/>
              <w:jc w:val="center"/>
            </w:pPr>
            <w:r>
              <w:rPr>
                <w:rFonts w:hint="eastAsia" w:ascii="宋体" w:hAnsi="宋体" w:eastAsia="宋体" w:cs="宋体"/>
                <w:sz w:val="24"/>
                <w:szCs w:val="24"/>
              </w:rPr>
              <w:t>2</w:t>
            </w:r>
          </w:p>
        </w:tc>
        <w:tc>
          <w:tcPr>
            <w:tcW w:w="4201"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top"/>
          </w:tcPr>
          <w:p>
            <w:pPr>
              <w:pStyle w:val="4"/>
              <w:keepNext w:val="0"/>
              <w:keepLines w:val="0"/>
              <w:widowControl/>
              <w:suppressLineNumbers w:val="0"/>
              <w:jc w:val="center"/>
            </w:pPr>
            <w:r>
              <w:rPr>
                <w:rFonts w:hint="eastAsia" w:ascii="宋体" w:hAnsi="宋体" w:eastAsia="宋体" w:cs="宋体"/>
                <w:sz w:val="24"/>
                <w:szCs w:val="24"/>
              </w:rPr>
              <w:t>网络机房</w:t>
            </w:r>
          </w:p>
        </w:tc>
        <w:tc>
          <w:tcPr>
            <w:tcW w:w="1104"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top"/>
          </w:tcPr>
          <w:p>
            <w:pPr>
              <w:pStyle w:val="4"/>
              <w:keepNext w:val="0"/>
              <w:keepLines w:val="0"/>
              <w:widowControl/>
              <w:suppressLineNumbers w:val="0"/>
              <w:jc w:val="center"/>
            </w:pPr>
            <w:r>
              <w:rPr>
                <w:rFonts w:hint="eastAsia" w:ascii="宋体" w:hAnsi="宋体" w:eastAsia="宋体" w:cs="宋体"/>
                <w:sz w:val="24"/>
                <w:szCs w:val="24"/>
              </w:rPr>
              <w:t>1</w:t>
            </w:r>
          </w:p>
        </w:tc>
        <w:tc>
          <w:tcPr>
            <w:tcW w:w="1446" w:type="dxa"/>
            <w:tcBorders>
              <w:top w:val="nil"/>
              <w:left w:val="nil"/>
              <w:bottom w:val="single" w:color="auto" w:sz="6" w:space="0"/>
              <w:right w:val="double" w:color="auto" w:sz="2" w:space="0"/>
            </w:tcBorders>
            <w:shd w:val="clear" w:color="auto" w:fill="FFFFFF"/>
            <w:tcMar>
              <w:top w:w="0" w:type="dxa"/>
              <w:left w:w="105" w:type="dxa"/>
              <w:bottom w:w="0" w:type="dxa"/>
              <w:right w:w="105" w:type="dxa"/>
            </w:tcMar>
            <w:vAlign w:val="top"/>
          </w:tcPr>
          <w:p>
            <w:pPr>
              <w:keepNext w:val="0"/>
              <w:keepLines w:val="0"/>
              <w:widowControl/>
              <w:suppressLineNumbers w:val="0"/>
              <w:jc w:val="left"/>
            </w:pPr>
          </w:p>
        </w:tc>
      </w:tr>
      <w:tr>
        <w:trPr>
          <w:tblCellSpacing w:w="15" w:type="dxa"/>
        </w:trPr>
        <w:tc>
          <w:tcPr>
            <w:tcW w:w="1061" w:type="dxa"/>
            <w:tcBorders>
              <w:top w:val="nil"/>
              <w:left w:val="double" w:color="auto" w:sz="2" w:space="0"/>
              <w:bottom w:val="single" w:color="auto" w:sz="6" w:space="0"/>
              <w:right w:val="single" w:color="auto" w:sz="6" w:space="0"/>
            </w:tcBorders>
            <w:shd w:val="clear" w:color="auto" w:fill="FFFFFF"/>
            <w:tcMar>
              <w:top w:w="0" w:type="dxa"/>
              <w:left w:w="105" w:type="dxa"/>
              <w:bottom w:w="0" w:type="dxa"/>
              <w:right w:w="105" w:type="dxa"/>
            </w:tcMar>
            <w:vAlign w:val="top"/>
          </w:tcPr>
          <w:p>
            <w:pPr>
              <w:pStyle w:val="4"/>
              <w:keepNext w:val="0"/>
              <w:keepLines w:val="0"/>
              <w:widowControl/>
              <w:suppressLineNumbers w:val="0"/>
              <w:jc w:val="center"/>
            </w:pPr>
            <w:r>
              <w:rPr>
                <w:rFonts w:hint="eastAsia" w:ascii="宋体" w:hAnsi="宋体" w:eastAsia="宋体" w:cs="宋体"/>
                <w:sz w:val="24"/>
                <w:szCs w:val="24"/>
              </w:rPr>
              <w:t>3</w:t>
            </w:r>
          </w:p>
        </w:tc>
        <w:tc>
          <w:tcPr>
            <w:tcW w:w="4201"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top"/>
          </w:tcPr>
          <w:p>
            <w:pPr>
              <w:pStyle w:val="4"/>
              <w:keepNext w:val="0"/>
              <w:keepLines w:val="0"/>
              <w:widowControl/>
              <w:suppressLineNumbers w:val="0"/>
              <w:jc w:val="center"/>
            </w:pPr>
            <w:r>
              <w:rPr>
                <w:rFonts w:hint="eastAsia" w:ascii="宋体" w:hAnsi="宋体" w:eastAsia="宋体" w:cs="宋体"/>
                <w:sz w:val="24"/>
                <w:szCs w:val="24"/>
              </w:rPr>
              <w:t>监控室</w:t>
            </w:r>
          </w:p>
        </w:tc>
        <w:tc>
          <w:tcPr>
            <w:tcW w:w="1104"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top"/>
          </w:tcPr>
          <w:p>
            <w:pPr>
              <w:pStyle w:val="4"/>
              <w:keepNext w:val="0"/>
              <w:keepLines w:val="0"/>
              <w:widowControl/>
              <w:suppressLineNumbers w:val="0"/>
              <w:jc w:val="center"/>
            </w:pPr>
            <w:r>
              <w:rPr>
                <w:rFonts w:hint="eastAsia" w:ascii="宋体" w:hAnsi="宋体" w:eastAsia="宋体" w:cs="宋体"/>
                <w:sz w:val="24"/>
                <w:szCs w:val="24"/>
              </w:rPr>
              <w:t>1</w:t>
            </w:r>
          </w:p>
        </w:tc>
        <w:tc>
          <w:tcPr>
            <w:tcW w:w="1446" w:type="dxa"/>
            <w:tcBorders>
              <w:top w:val="nil"/>
              <w:left w:val="nil"/>
              <w:bottom w:val="single" w:color="auto" w:sz="6" w:space="0"/>
              <w:right w:val="double" w:color="auto" w:sz="2" w:space="0"/>
            </w:tcBorders>
            <w:shd w:val="clear" w:color="auto" w:fill="FFFFFF"/>
            <w:tcMar>
              <w:top w:w="0" w:type="dxa"/>
              <w:left w:w="105" w:type="dxa"/>
              <w:bottom w:w="0" w:type="dxa"/>
              <w:right w:w="105" w:type="dxa"/>
            </w:tcMar>
            <w:vAlign w:val="top"/>
          </w:tcPr>
          <w:p>
            <w:pPr>
              <w:keepNext w:val="0"/>
              <w:keepLines w:val="0"/>
              <w:widowControl/>
              <w:suppressLineNumbers w:val="0"/>
              <w:jc w:val="left"/>
            </w:pPr>
          </w:p>
        </w:tc>
      </w:tr>
      <w:tr>
        <w:trPr>
          <w:tblCellSpacing w:w="15" w:type="dxa"/>
        </w:trPr>
        <w:tc>
          <w:tcPr>
            <w:tcW w:w="1061" w:type="dxa"/>
            <w:tcBorders>
              <w:top w:val="nil"/>
              <w:left w:val="double" w:color="auto" w:sz="2" w:space="0"/>
              <w:bottom w:val="single" w:color="auto" w:sz="6" w:space="0"/>
              <w:right w:val="single" w:color="auto" w:sz="6" w:space="0"/>
            </w:tcBorders>
            <w:shd w:val="clear" w:color="auto" w:fill="FFFFFF"/>
            <w:tcMar>
              <w:top w:w="0" w:type="dxa"/>
              <w:left w:w="105" w:type="dxa"/>
              <w:bottom w:w="0" w:type="dxa"/>
              <w:right w:w="105" w:type="dxa"/>
            </w:tcMar>
            <w:vAlign w:val="top"/>
          </w:tcPr>
          <w:p>
            <w:pPr>
              <w:pStyle w:val="4"/>
              <w:keepNext w:val="0"/>
              <w:keepLines w:val="0"/>
              <w:widowControl/>
              <w:suppressLineNumbers w:val="0"/>
              <w:jc w:val="center"/>
            </w:pPr>
            <w:r>
              <w:rPr>
                <w:rFonts w:hint="eastAsia" w:ascii="宋体" w:hAnsi="宋体" w:eastAsia="宋体" w:cs="宋体"/>
                <w:sz w:val="24"/>
                <w:szCs w:val="24"/>
              </w:rPr>
              <w:t>4</w:t>
            </w:r>
          </w:p>
        </w:tc>
        <w:tc>
          <w:tcPr>
            <w:tcW w:w="4201"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top"/>
          </w:tcPr>
          <w:p>
            <w:pPr>
              <w:pStyle w:val="4"/>
              <w:keepNext w:val="0"/>
              <w:keepLines w:val="0"/>
              <w:widowControl/>
              <w:suppressLineNumbers w:val="0"/>
              <w:jc w:val="center"/>
            </w:pPr>
            <w:r>
              <w:rPr>
                <w:rFonts w:hint="eastAsia" w:ascii="宋体" w:hAnsi="宋体" w:eastAsia="宋体" w:cs="宋体"/>
                <w:sz w:val="24"/>
                <w:szCs w:val="24"/>
              </w:rPr>
              <w:t>主要出入口</w:t>
            </w:r>
          </w:p>
        </w:tc>
        <w:tc>
          <w:tcPr>
            <w:tcW w:w="1104"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top"/>
          </w:tcPr>
          <w:p>
            <w:pPr>
              <w:pStyle w:val="4"/>
              <w:keepNext w:val="0"/>
              <w:keepLines w:val="0"/>
              <w:widowControl/>
              <w:suppressLineNumbers w:val="0"/>
              <w:jc w:val="center"/>
            </w:pPr>
            <w:r>
              <w:rPr>
                <w:rFonts w:hint="eastAsia" w:ascii="宋体" w:hAnsi="宋体" w:eastAsia="宋体" w:cs="宋体"/>
                <w:sz w:val="24"/>
                <w:szCs w:val="24"/>
              </w:rPr>
              <w:t>2</w:t>
            </w:r>
          </w:p>
        </w:tc>
        <w:tc>
          <w:tcPr>
            <w:tcW w:w="1446" w:type="dxa"/>
            <w:tcBorders>
              <w:top w:val="nil"/>
              <w:left w:val="nil"/>
              <w:bottom w:val="single" w:color="auto" w:sz="6" w:space="0"/>
              <w:right w:val="double" w:color="auto" w:sz="2" w:space="0"/>
            </w:tcBorders>
            <w:shd w:val="clear" w:color="auto" w:fill="FFFFFF"/>
            <w:tcMar>
              <w:top w:w="0" w:type="dxa"/>
              <w:left w:w="105" w:type="dxa"/>
              <w:bottom w:w="0" w:type="dxa"/>
              <w:right w:w="105" w:type="dxa"/>
            </w:tcMar>
            <w:vAlign w:val="top"/>
          </w:tcPr>
          <w:p>
            <w:pPr>
              <w:keepNext w:val="0"/>
              <w:keepLines w:val="0"/>
              <w:widowControl/>
              <w:suppressLineNumbers w:val="0"/>
              <w:jc w:val="left"/>
            </w:pPr>
          </w:p>
        </w:tc>
      </w:tr>
      <w:tr>
        <w:trPr>
          <w:tblCellSpacing w:w="15" w:type="dxa"/>
        </w:trPr>
        <w:tc>
          <w:tcPr>
            <w:tcW w:w="1061" w:type="dxa"/>
            <w:tcBorders>
              <w:top w:val="nil"/>
              <w:left w:val="double" w:color="auto" w:sz="2" w:space="0"/>
              <w:bottom w:val="double" w:color="auto" w:sz="2" w:space="0"/>
              <w:right w:val="single" w:color="auto" w:sz="6" w:space="0"/>
            </w:tcBorders>
            <w:shd w:val="clear" w:color="auto" w:fill="FFFFFF"/>
            <w:tcMar>
              <w:top w:w="0" w:type="dxa"/>
              <w:left w:w="105" w:type="dxa"/>
              <w:bottom w:w="0" w:type="dxa"/>
              <w:right w:w="105" w:type="dxa"/>
            </w:tcMar>
            <w:vAlign w:val="top"/>
          </w:tcPr>
          <w:p>
            <w:pPr>
              <w:pStyle w:val="4"/>
              <w:keepNext w:val="0"/>
              <w:keepLines w:val="0"/>
              <w:widowControl/>
              <w:suppressLineNumbers w:val="0"/>
              <w:jc w:val="center"/>
            </w:pPr>
            <w:r>
              <w:rPr>
                <w:rFonts w:hint="eastAsia" w:ascii="宋体" w:hAnsi="宋体" w:eastAsia="宋体" w:cs="宋体"/>
                <w:sz w:val="24"/>
                <w:szCs w:val="24"/>
              </w:rPr>
              <w:t>5</w:t>
            </w:r>
          </w:p>
        </w:tc>
        <w:tc>
          <w:tcPr>
            <w:tcW w:w="4201" w:type="dxa"/>
            <w:tcBorders>
              <w:top w:val="nil"/>
              <w:left w:val="nil"/>
              <w:bottom w:val="double" w:color="auto" w:sz="2" w:space="0"/>
              <w:right w:val="single" w:color="auto" w:sz="6" w:space="0"/>
            </w:tcBorders>
            <w:shd w:val="clear" w:color="auto" w:fill="FFFFFF"/>
            <w:tcMar>
              <w:top w:w="0" w:type="dxa"/>
              <w:left w:w="105" w:type="dxa"/>
              <w:bottom w:w="0" w:type="dxa"/>
              <w:right w:w="105" w:type="dxa"/>
            </w:tcMar>
            <w:vAlign w:val="top"/>
          </w:tcPr>
          <w:p>
            <w:pPr>
              <w:pStyle w:val="4"/>
              <w:keepNext w:val="0"/>
              <w:keepLines w:val="0"/>
              <w:widowControl/>
              <w:suppressLineNumbers w:val="0"/>
              <w:jc w:val="center"/>
            </w:pPr>
            <w:r>
              <w:rPr>
                <w:rFonts w:hint="eastAsia" w:ascii="宋体" w:hAnsi="宋体" w:eastAsia="宋体" w:cs="宋体"/>
                <w:sz w:val="24"/>
                <w:szCs w:val="24"/>
              </w:rPr>
              <w:t>备用间</w:t>
            </w:r>
          </w:p>
        </w:tc>
        <w:tc>
          <w:tcPr>
            <w:tcW w:w="1104" w:type="dxa"/>
            <w:tcBorders>
              <w:top w:val="nil"/>
              <w:left w:val="nil"/>
              <w:bottom w:val="double" w:color="auto" w:sz="2" w:space="0"/>
              <w:right w:val="single" w:color="auto" w:sz="6" w:space="0"/>
            </w:tcBorders>
            <w:shd w:val="clear" w:color="auto" w:fill="FFFFFF"/>
            <w:tcMar>
              <w:top w:w="0" w:type="dxa"/>
              <w:left w:w="105" w:type="dxa"/>
              <w:bottom w:w="0" w:type="dxa"/>
              <w:right w:w="105" w:type="dxa"/>
            </w:tcMar>
            <w:vAlign w:val="top"/>
          </w:tcPr>
          <w:p>
            <w:pPr>
              <w:pStyle w:val="4"/>
              <w:keepNext w:val="0"/>
              <w:keepLines w:val="0"/>
              <w:widowControl/>
              <w:suppressLineNumbers w:val="0"/>
              <w:jc w:val="center"/>
            </w:pPr>
            <w:r>
              <w:rPr>
                <w:rFonts w:hint="eastAsia" w:ascii="宋体" w:hAnsi="宋体" w:eastAsia="宋体" w:cs="宋体"/>
                <w:sz w:val="24"/>
                <w:szCs w:val="24"/>
              </w:rPr>
              <w:t>1</w:t>
            </w:r>
          </w:p>
        </w:tc>
        <w:tc>
          <w:tcPr>
            <w:tcW w:w="1446" w:type="dxa"/>
            <w:tcBorders>
              <w:top w:val="nil"/>
              <w:left w:val="nil"/>
              <w:bottom w:val="double" w:color="auto" w:sz="2" w:space="0"/>
              <w:right w:val="double" w:color="auto" w:sz="2" w:space="0"/>
            </w:tcBorders>
            <w:shd w:val="clear" w:color="auto" w:fill="FFFFFF"/>
            <w:tcMar>
              <w:top w:w="0" w:type="dxa"/>
              <w:left w:w="105" w:type="dxa"/>
              <w:bottom w:w="0" w:type="dxa"/>
              <w:right w:w="105" w:type="dxa"/>
            </w:tcMar>
            <w:vAlign w:val="top"/>
          </w:tcPr>
          <w:p>
            <w:pPr>
              <w:keepNext w:val="0"/>
              <w:keepLines w:val="0"/>
              <w:widowControl/>
              <w:suppressLineNumbers w:val="0"/>
              <w:jc w:val="left"/>
            </w:pPr>
          </w:p>
        </w:tc>
      </w:tr>
    </w:tbl>
    <w:p>
      <w:pPr>
        <w:pStyle w:val="4"/>
        <w:keepNext w:val="0"/>
        <w:keepLines w:val="0"/>
        <w:widowControl/>
        <w:suppressLineNumbers w:val="0"/>
        <w:spacing w:before="165" w:beforeAutospacing="0"/>
        <w:ind w:left="0" w:firstLine="480"/>
      </w:pPr>
      <w:r>
        <w:rPr>
          <w:rFonts w:hint="eastAsia" w:ascii="宋体" w:hAnsi="宋体" w:eastAsia="宋体" w:cs="宋体"/>
          <w:sz w:val="24"/>
          <w:szCs w:val="24"/>
        </w:rPr>
        <w:t> </w:t>
      </w:r>
    </w:p>
    <w:p>
      <w:pPr>
        <w:pStyle w:val="4"/>
        <w:keepNext w:val="0"/>
        <w:keepLines w:val="0"/>
        <w:widowControl/>
        <w:suppressLineNumbers w:val="0"/>
        <w:spacing w:line="300" w:lineRule="atLeast"/>
        <w:ind w:left="0" w:firstLine="0"/>
        <w:jc w:val="both"/>
      </w:pPr>
      <w:r>
        <w:rPr>
          <w:rFonts w:hint="eastAsia" w:ascii="宋体" w:hAnsi="宋体" w:eastAsia="宋体" w:cs="宋体"/>
          <w:sz w:val="24"/>
          <w:szCs w:val="24"/>
        </w:rPr>
        <w:t>1.3.6</w:t>
      </w:r>
      <w:r>
        <w:rPr>
          <w:rFonts w:hint="default" w:ascii="Times New Roman" w:hAnsi="Times New Roman" w:cs="Times New Roman"/>
          <w:sz w:val="13"/>
          <w:szCs w:val="13"/>
        </w:rPr>
        <w:t xml:space="preserve">   </w:t>
      </w:r>
      <w:r>
        <w:rPr>
          <w:rFonts w:hint="eastAsia" w:ascii="宋体" w:hAnsi="宋体" w:eastAsia="宋体" w:cs="宋体"/>
          <w:sz w:val="24"/>
          <w:szCs w:val="24"/>
        </w:rPr>
        <w:t>机房管理系统</w:t>
      </w:r>
    </w:p>
    <w:p>
      <w:pPr>
        <w:pStyle w:val="4"/>
        <w:keepNext w:val="0"/>
        <w:keepLines w:val="0"/>
        <w:widowControl/>
        <w:suppressLineNumbers w:val="0"/>
        <w:spacing w:line="300" w:lineRule="atLeast"/>
        <w:ind w:left="0" w:firstLine="480"/>
      </w:pPr>
      <w:r>
        <w:rPr>
          <w:rFonts w:hint="eastAsia" w:ascii="宋体" w:hAnsi="宋体" w:eastAsia="宋体" w:cs="宋体"/>
          <w:sz w:val="24"/>
          <w:szCs w:val="24"/>
        </w:rPr>
        <w:t>二层数据中心按照《电子计算机机房设</w:t>
      </w:r>
      <w:r>
        <w:rPr>
          <w:rFonts w:hint="default" w:ascii="Calibri" w:hAnsi="Calibri" w:cs="Calibri"/>
          <w:sz w:val="24"/>
          <w:szCs w:val="24"/>
        </w:rPr>
        <w:t xml:space="preserve">    </w:t>
      </w:r>
      <w:r>
        <w:rPr>
          <w:rFonts w:hint="eastAsia" w:ascii="宋体" w:hAnsi="宋体" w:eastAsia="宋体" w:cs="宋体"/>
          <w:sz w:val="24"/>
          <w:szCs w:val="24"/>
        </w:rPr>
        <w:t>计规范》国家</w:t>
      </w:r>
      <w:r>
        <w:rPr>
          <w:rFonts w:hint="default" w:ascii="Calibri" w:hAnsi="Calibri" w:cs="Calibri"/>
          <w:sz w:val="24"/>
          <w:szCs w:val="24"/>
        </w:rPr>
        <w:t>B</w:t>
      </w:r>
      <w:r>
        <w:rPr>
          <w:rFonts w:hint="eastAsia" w:ascii="宋体" w:hAnsi="宋体" w:eastAsia="宋体" w:cs="宋体"/>
          <w:sz w:val="24"/>
          <w:szCs w:val="24"/>
        </w:rPr>
        <w:t>级机房标准进行设  计，面积共计</w:t>
      </w:r>
      <w:r>
        <w:rPr>
          <w:rFonts w:hint="default" w:ascii="Calibri" w:hAnsi="Calibri" w:cs="Calibri"/>
          <w:sz w:val="24"/>
          <w:szCs w:val="24"/>
        </w:rPr>
        <w:t>61</w:t>
      </w:r>
      <w:r>
        <w:rPr>
          <w:rFonts w:hint="eastAsia" w:ascii="宋体" w:hAnsi="宋体" w:eastAsia="宋体" w:cs="宋体"/>
          <w:sz w:val="24"/>
          <w:szCs w:val="24"/>
        </w:rPr>
        <w:t>平方。</w:t>
      </w:r>
    </w:p>
    <w:p>
      <w:pPr>
        <w:pStyle w:val="4"/>
        <w:keepNext w:val="0"/>
        <w:keepLines w:val="0"/>
        <w:widowControl/>
        <w:suppressLineNumbers w:val="0"/>
        <w:spacing w:line="300" w:lineRule="atLeast"/>
        <w:ind w:left="0" w:firstLine="480"/>
      </w:pPr>
      <w:r>
        <w:rPr>
          <w:rFonts w:hint="eastAsia" w:ascii="宋体" w:hAnsi="宋体" w:eastAsia="宋体" w:cs="宋体"/>
          <w:sz w:val="24"/>
          <w:szCs w:val="24"/>
        </w:rPr>
        <w:t>机房建设内容包括：机房平面布局、机房装修、机房配电系统、机房防雷接地系统、机房空调通风系统、机房综合布线系统、机房场地环境监控系统、机房</w:t>
      </w:r>
      <w:r>
        <w:rPr>
          <w:rFonts w:hint="default" w:ascii="Calibri" w:hAnsi="Calibri" w:cs="Calibri"/>
          <w:sz w:val="24"/>
          <w:szCs w:val="24"/>
        </w:rPr>
        <w:t>KVM</w:t>
      </w:r>
      <w:r>
        <w:rPr>
          <w:rFonts w:hint="eastAsia" w:ascii="宋体" w:hAnsi="宋体" w:eastAsia="宋体" w:cs="宋体"/>
          <w:sz w:val="24"/>
          <w:szCs w:val="24"/>
        </w:rPr>
        <w:t>系统、机房安全防范系统</w:t>
      </w:r>
      <w:r>
        <w:rPr>
          <w:rFonts w:hint="default" w:ascii="Calibri" w:hAnsi="Calibri" w:cs="Calibri"/>
          <w:sz w:val="24"/>
          <w:szCs w:val="24"/>
        </w:rPr>
        <w:t>(</w:t>
      </w:r>
      <w:r>
        <w:rPr>
          <w:rFonts w:hint="eastAsia" w:ascii="宋体" w:hAnsi="宋体" w:eastAsia="宋体" w:cs="宋体"/>
          <w:sz w:val="24"/>
          <w:szCs w:val="24"/>
        </w:rPr>
        <w:t>包括出入口控制系统、视频安防监控系统、入侵报警系统</w:t>
      </w:r>
      <w:r>
        <w:rPr>
          <w:rFonts w:hint="default" w:ascii="Calibri" w:hAnsi="Calibri" w:cs="Calibri"/>
          <w:sz w:val="24"/>
          <w:szCs w:val="24"/>
        </w:rPr>
        <w:t>)</w:t>
      </w:r>
      <w:r>
        <w:rPr>
          <w:rFonts w:hint="eastAsia" w:ascii="宋体" w:hAnsi="宋体" w:eastAsia="宋体" w:cs="宋体"/>
          <w:sz w:val="24"/>
          <w:szCs w:val="24"/>
        </w:rPr>
        <w:t>、机房消防系统。</w:t>
      </w:r>
    </w:p>
    <w:p>
      <w:pPr>
        <w:pStyle w:val="4"/>
        <w:keepNext w:val="0"/>
        <w:keepLines w:val="0"/>
        <w:widowControl/>
        <w:suppressLineNumbers w:val="0"/>
        <w:ind w:left="0" w:firstLine="0"/>
      </w:pPr>
      <w:r>
        <w:rPr>
          <w:rFonts w:hint="eastAsia" w:ascii="宋体" w:hAnsi="宋体" w:eastAsia="宋体" w:cs="宋体"/>
          <w:color w:val="000000"/>
          <w:sz w:val="24"/>
          <w:szCs w:val="24"/>
        </w:rPr>
        <w:t>1.4</w:t>
      </w:r>
      <w:r>
        <w:rPr>
          <w:rFonts w:hint="default" w:ascii="Times New Roman" w:hAnsi="Times New Roman" w:cs="Times New Roman"/>
          <w:color w:val="000000"/>
          <w:sz w:val="13"/>
          <w:szCs w:val="13"/>
        </w:rPr>
        <w:t xml:space="preserve">   </w:t>
      </w:r>
      <w:r>
        <w:rPr>
          <w:rStyle w:val="6"/>
          <w:rFonts w:hint="eastAsia" w:ascii="宋体" w:hAnsi="宋体" w:eastAsia="宋体" w:cs="宋体"/>
          <w:b/>
          <w:color w:val="000000"/>
          <w:sz w:val="24"/>
          <w:szCs w:val="24"/>
        </w:rPr>
        <w:t>智能化行政服务大厅系统迁移方案</w:t>
      </w:r>
    </w:p>
    <w:p>
      <w:pPr>
        <w:pStyle w:val="4"/>
        <w:keepNext w:val="0"/>
        <w:keepLines w:val="0"/>
        <w:widowControl/>
        <w:suppressLineNumbers w:val="0"/>
        <w:ind w:left="0" w:firstLine="0"/>
      </w:pPr>
      <w:r>
        <w:rPr>
          <w:rFonts w:hint="eastAsia" w:ascii="宋体" w:hAnsi="宋体" w:eastAsia="宋体" w:cs="宋体"/>
          <w:sz w:val="24"/>
          <w:szCs w:val="24"/>
        </w:rPr>
        <w:t>1.4.1</w:t>
      </w:r>
      <w:r>
        <w:rPr>
          <w:rFonts w:hint="default" w:ascii="Times New Roman" w:hAnsi="Times New Roman" w:cs="Times New Roman"/>
          <w:sz w:val="13"/>
          <w:szCs w:val="13"/>
        </w:rPr>
        <w:t xml:space="preserve">     </w:t>
      </w:r>
      <w:r>
        <w:rPr>
          <w:rFonts w:hint="eastAsia" w:ascii="宋体" w:hAnsi="宋体" w:eastAsia="宋体" w:cs="宋体"/>
          <w:sz w:val="24"/>
          <w:szCs w:val="24"/>
        </w:rPr>
        <w:t>系统迁移概述</w:t>
      </w:r>
    </w:p>
    <w:p>
      <w:pPr>
        <w:pStyle w:val="4"/>
        <w:keepNext w:val="0"/>
        <w:keepLines w:val="0"/>
        <w:widowControl/>
        <w:suppressLineNumbers w:val="0"/>
        <w:spacing w:line="300" w:lineRule="atLeast"/>
        <w:ind w:left="0" w:firstLine="480"/>
      </w:pPr>
      <w:r>
        <w:rPr>
          <w:rFonts w:hint="eastAsia" w:ascii="宋体" w:hAnsi="宋体" w:eastAsia="宋体" w:cs="宋体"/>
          <w:sz w:val="24"/>
          <w:szCs w:val="24"/>
        </w:rPr>
        <w:t>项目计划将现建设于福州市高新区产业园创新园</w:t>
      </w:r>
      <w:r>
        <w:rPr>
          <w:rFonts w:hint="default" w:ascii="Calibri" w:hAnsi="Calibri" w:cs="Calibri"/>
          <w:sz w:val="24"/>
          <w:szCs w:val="24"/>
        </w:rPr>
        <w:t>1</w:t>
      </w:r>
      <w:r>
        <w:rPr>
          <w:rFonts w:hint="eastAsia" w:ascii="宋体" w:hAnsi="宋体" w:eastAsia="宋体" w:cs="宋体"/>
          <w:sz w:val="24"/>
          <w:szCs w:val="24"/>
        </w:rPr>
        <w:t>号楼（管委会大楼）</w:t>
      </w:r>
      <w:r>
        <w:rPr>
          <w:rFonts w:hint="default" w:ascii="Calibri" w:hAnsi="Calibri" w:cs="Calibri"/>
          <w:sz w:val="24"/>
          <w:szCs w:val="24"/>
        </w:rPr>
        <w:t>2F</w:t>
      </w:r>
      <w:r>
        <w:rPr>
          <w:rFonts w:hint="eastAsia" w:ascii="宋体" w:hAnsi="宋体" w:eastAsia="宋体" w:cs="宋体"/>
          <w:sz w:val="24"/>
          <w:szCs w:val="24"/>
        </w:rPr>
        <w:t>的行政服务中心搬迁至高新区安置房</w:t>
      </w:r>
      <w:r>
        <w:rPr>
          <w:rFonts w:hint="default" w:ascii="Calibri" w:hAnsi="Calibri" w:cs="Calibri"/>
          <w:sz w:val="24"/>
          <w:szCs w:val="24"/>
        </w:rPr>
        <w:t>54</w:t>
      </w:r>
      <w:r>
        <w:rPr>
          <w:rFonts w:hint="eastAsia" w:ascii="宋体" w:hAnsi="宋体" w:eastAsia="宋体" w:cs="宋体"/>
          <w:sz w:val="24"/>
          <w:szCs w:val="24"/>
        </w:rPr>
        <w:t>号楼新建的高新区行政服务中心大厅。</w:t>
      </w:r>
    </w:p>
    <w:p>
      <w:pPr>
        <w:pStyle w:val="4"/>
        <w:keepNext w:val="0"/>
        <w:keepLines w:val="0"/>
        <w:widowControl/>
        <w:suppressLineNumbers w:val="0"/>
        <w:ind w:left="0" w:firstLine="480"/>
      </w:pPr>
      <w:r>
        <w:rPr>
          <w:rFonts w:hint="eastAsia" w:ascii="宋体" w:hAnsi="宋体" w:eastAsia="宋体" w:cs="宋体"/>
          <w:sz w:val="24"/>
          <w:szCs w:val="24"/>
        </w:rPr>
        <w:t>迁移内容是已建设的智能化行政服务大厅系统，包括服务器（自带存储）、防火墙、入侵防御设备、多类应用终端等物理设备及</w:t>
      </w:r>
      <w:r>
        <w:rPr>
          <w:rFonts w:hint="default" w:ascii="Calibri" w:hAnsi="Calibri" w:cs="Calibri"/>
          <w:sz w:val="24"/>
          <w:szCs w:val="24"/>
        </w:rPr>
        <w:t>1</w:t>
      </w:r>
      <w:r>
        <w:rPr>
          <w:rFonts w:hint="eastAsia" w:ascii="宋体" w:hAnsi="宋体" w:eastAsia="宋体" w:cs="宋体"/>
          <w:sz w:val="24"/>
          <w:szCs w:val="24"/>
        </w:rPr>
        <w:t>套智能化行政服务应用系统。考虑至迁移系统业务应用的重要性，要求迁移工作保证系统的完整性和业务运行连续性，最大限度减少系统停机时间。</w:t>
      </w:r>
    </w:p>
    <w:p>
      <w:pPr>
        <w:pStyle w:val="4"/>
        <w:keepNext w:val="0"/>
        <w:keepLines w:val="0"/>
        <w:widowControl/>
        <w:suppressLineNumbers w:val="0"/>
        <w:ind w:left="0" w:firstLine="0"/>
      </w:pPr>
      <w:r>
        <w:rPr>
          <w:rFonts w:hint="eastAsia" w:ascii="宋体" w:hAnsi="宋体" w:eastAsia="宋体" w:cs="宋体"/>
          <w:color w:val="000000"/>
          <w:sz w:val="24"/>
          <w:szCs w:val="24"/>
        </w:rPr>
        <w:t>1.5</w:t>
      </w:r>
      <w:r>
        <w:rPr>
          <w:rFonts w:hint="default" w:ascii="Times New Roman" w:hAnsi="Times New Roman" w:cs="Times New Roman"/>
          <w:color w:val="000000"/>
          <w:sz w:val="13"/>
          <w:szCs w:val="13"/>
        </w:rPr>
        <w:t xml:space="preserve">   </w:t>
      </w:r>
      <w:r>
        <w:rPr>
          <w:rStyle w:val="6"/>
          <w:rFonts w:hint="eastAsia" w:ascii="宋体" w:hAnsi="宋体" w:eastAsia="宋体" w:cs="宋体"/>
          <w:b/>
          <w:color w:val="000000"/>
          <w:sz w:val="24"/>
          <w:szCs w:val="24"/>
        </w:rPr>
        <w:t>迁移目标</w:t>
      </w:r>
    </w:p>
    <w:p>
      <w:pPr>
        <w:pStyle w:val="4"/>
        <w:keepNext w:val="0"/>
        <w:keepLines w:val="0"/>
        <w:widowControl/>
        <w:suppressLineNumbers w:val="0"/>
        <w:ind w:left="0" w:firstLine="0"/>
      </w:pPr>
      <w:r>
        <w:rPr>
          <w:rFonts w:hint="eastAsia" w:ascii="宋体" w:hAnsi="宋体" w:eastAsia="宋体" w:cs="宋体"/>
          <w:color w:val="000000"/>
          <w:sz w:val="24"/>
          <w:szCs w:val="24"/>
        </w:rPr>
        <w:t>1.6</w:t>
      </w:r>
      <w:r>
        <w:rPr>
          <w:rFonts w:hint="default" w:ascii="Times New Roman" w:hAnsi="Times New Roman" w:cs="Times New Roman"/>
          <w:color w:val="000000"/>
          <w:sz w:val="13"/>
          <w:szCs w:val="13"/>
        </w:rPr>
        <w:t xml:space="preserve">   </w:t>
      </w:r>
      <w:r>
        <w:rPr>
          <w:rStyle w:val="6"/>
          <w:rFonts w:hint="eastAsia" w:ascii="宋体" w:hAnsi="宋体" w:eastAsia="宋体" w:cs="宋体"/>
          <w:b/>
          <w:color w:val="000000"/>
          <w:sz w:val="24"/>
          <w:szCs w:val="24"/>
        </w:rPr>
        <w:t>系统迁移的主要目标</w:t>
      </w:r>
    </w:p>
    <w:p>
      <w:pPr>
        <w:pStyle w:val="4"/>
        <w:keepNext w:val="0"/>
        <w:keepLines w:val="0"/>
        <w:widowControl/>
        <w:suppressLineNumbers w:val="0"/>
        <w:ind w:left="900"/>
      </w:pPr>
      <w:r>
        <w:rPr>
          <w:rFonts w:ascii="Wingdings" w:hAnsi="Wingdings" w:cs="Wingdings"/>
          <w:sz w:val="24"/>
          <w:szCs w:val="24"/>
        </w:rPr>
        <w:t>l</w:t>
      </w:r>
      <w:r>
        <w:rPr>
          <w:rFonts w:hint="default" w:ascii="Times New Roman" w:hAnsi="Times New Roman" w:cs="Times New Roman"/>
          <w:sz w:val="13"/>
          <w:szCs w:val="13"/>
        </w:rPr>
        <w:t xml:space="preserve">  </w:t>
      </w:r>
      <w:r>
        <w:rPr>
          <w:rFonts w:hint="eastAsia" w:ascii="宋体" w:hAnsi="宋体" w:eastAsia="宋体" w:cs="宋体"/>
          <w:sz w:val="24"/>
          <w:szCs w:val="24"/>
        </w:rPr>
        <w:t>保证系统正常运行</w:t>
      </w:r>
    </w:p>
    <w:p>
      <w:pPr>
        <w:pStyle w:val="4"/>
        <w:keepNext w:val="0"/>
        <w:keepLines w:val="0"/>
        <w:widowControl/>
        <w:suppressLineNumbers w:val="0"/>
        <w:ind w:left="0" w:firstLine="480"/>
      </w:pPr>
      <w:r>
        <w:rPr>
          <w:rFonts w:hint="eastAsia" w:ascii="宋体" w:hAnsi="宋体" w:eastAsia="宋体" w:cs="宋体"/>
          <w:sz w:val="24"/>
          <w:szCs w:val="24"/>
        </w:rPr>
        <w:t>在数据转换过程中，由于原有的系统数据的复杂性，给数据转换工作带来了很大的难度，为了在新系统启动后不影响原系统正常的业务，因此数据转换完成后，必须保证新系统的正常运行。</w:t>
      </w:r>
    </w:p>
    <w:p>
      <w:pPr>
        <w:pStyle w:val="4"/>
        <w:keepNext w:val="0"/>
        <w:keepLines w:val="0"/>
        <w:widowControl/>
        <w:suppressLineNumbers w:val="0"/>
        <w:ind w:left="900"/>
      </w:pPr>
      <w:r>
        <w:rPr>
          <w:rFonts w:hint="default" w:ascii="Wingdings" w:hAnsi="Wingdings" w:cs="Wingdings"/>
          <w:sz w:val="24"/>
          <w:szCs w:val="24"/>
        </w:rPr>
        <w:t>l</w:t>
      </w:r>
      <w:r>
        <w:rPr>
          <w:rFonts w:hint="default" w:ascii="Times New Roman" w:hAnsi="Times New Roman" w:cs="Times New Roman"/>
          <w:sz w:val="13"/>
          <w:szCs w:val="13"/>
        </w:rPr>
        <w:t xml:space="preserve">  </w:t>
      </w:r>
      <w:r>
        <w:rPr>
          <w:rFonts w:hint="eastAsia" w:ascii="宋体" w:hAnsi="宋体" w:eastAsia="宋体" w:cs="宋体"/>
          <w:sz w:val="24"/>
          <w:szCs w:val="24"/>
        </w:rPr>
        <w:t>保证原有系统在新系统中的独立性</w:t>
      </w:r>
    </w:p>
    <w:p>
      <w:pPr>
        <w:pStyle w:val="4"/>
        <w:keepNext w:val="0"/>
        <w:keepLines w:val="0"/>
        <w:widowControl/>
        <w:suppressLineNumbers w:val="0"/>
        <w:ind w:left="0" w:firstLine="480"/>
      </w:pPr>
      <w:r>
        <w:rPr>
          <w:rFonts w:hint="eastAsia" w:ascii="宋体" w:hAnsi="宋体" w:eastAsia="宋体" w:cs="宋体"/>
          <w:sz w:val="24"/>
          <w:szCs w:val="24"/>
        </w:rPr>
        <w:t>原有系统是独立运行的系统，数据在新系统中虽然是集中存放的，但是各个系统由于存在业务上的差别，数据在逻辑上应当保持一定的独立性。</w:t>
      </w:r>
    </w:p>
    <w:p>
      <w:pPr>
        <w:pStyle w:val="4"/>
        <w:keepNext w:val="0"/>
        <w:keepLines w:val="0"/>
        <w:widowControl/>
        <w:suppressLineNumbers w:val="0"/>
      </w:pPr>
      <w:r>
        <w:rPr>
          <w:rFonts w:hint="default" w:ascii="Calibri" w:hAnsi="Calibri" w:cs="Calibri"/>
          <w:sz w:val="24"/>
          <w:szCs w:val="24"/>
        </w:rPr>
        <w:t>1.6.1.1</w:t>
      </w:r>
      <w:r>
        <w:rPr>
          <w:rFonts w:hint="default" w:ascii="Times New Roman" w:hAnsi="Times New Roman" w:cs="Times New Roman"/>
          <w:sz w:val="13"/>
          <w:szCs w:val="13"/>
        </w:rPr>
        <w:t xml:space="preserve">    </w:t>
      </w:r>
      <w:r>
        <w:rPr>
          <w:rFonts w:hint="eastAsia" w:ascii="宋体" w:hAnsi="宋体" w:eastAsia="宋体" w:cs="宋体"/>
          <w:sz w:val="24"/>
          <w:szCs w:val="24"/>
        </w:rPr>
        <w:t>系统整合的目标</w:t>
      </w:r>
    </w:p>
    <w:p>
      <w:pPr>
        <w:pStyle w:val="4"/>
        <w:keepNext w:val="0"/>
        <w:keepLines w:val="0"/>
        <w:widowControl/>
        <w:suppressLineNumbers w:val="0"/>
        <w:ind w:left="0" w:firstLine="480"/>
      </w:pPr>
      <w:r>
        <w:rPr>
          <w:rFonts w:hint="eastAsia" w:ascii="宋体" w:hAnsi="宋体" w:eastAsia="宋体" w:cs="宋体"/>
          <w:sz w:val="24"/>
          <w:szCs w:val="24"/>
        </w:rPr>
        <w:t>保证直接关联的系统互动，保证业务的正常办理。例如公众服务系统与基本业务系统之间互动，基本业务与协同业务之间互动等等。</w:t>
      </w:r>
    </w:p>
    <w:p>
      <w:pPr>
        <w:pStyle w:val="4"/>
        <w:keepNext w:val="0"/>
        <w:keepLines w:val="0"/>
        <w:widowControl/>
        <w:suppressLineNumbers w:val="0"/>
        <w:ind w:left="0" w:firstLine="0"/>
      </w:pPr>
      <w:r>
        <w:rPr>
          <w:rFonts w:hint="eastAsia" w:ascii="宋体" w:hAnsi="宋体" w:eastAsia="宋体" w:cs="宋体"/>
          <w:sz w:val="24"/>
          <w:szCs w:val="24"/>
        </w:rPr>
        <w:t>1.6.2</w:t>
      </w:r>
      <w:r>
        <w:rPr>
          <w:rFonts w:hint="default" w:ascii="Times New Roman" w:hAnsi="Times New Roman" w:cs="Times New Roman"/>
          <w:sz w:val="13"/>
          <w:szCs w:val="13"/>
        </w:rPr>
        <w:t xml:space="preserve">   </w:t>
      </w:r>
      <w:r>
        <w:rPr>
          <w:rFonts w:hint="eastAsia" w:ascii="宋体" w:hAnsi="宋体" w:eastAsia="宋体" w:cs="宋体"/>
          <w:sz w:val="24"/>
          <w:szCs w:val="24"/>
        </w:rPr>
        <w:t>迁移原则</w:t>
      </w:r>
    </w:p>
    <w:p>
      <w:pPr>
        <w:pStyle w:val="4"/>
        <w:keepNext w:val="0"/>
        <w:keepLines w:val="0"/>
        <w:widowControl/>
        <w:suppressLineNumbers w:val="0"/>
        <w:ind w:left="0" w:firstLine="480"/>
      </w:pPr>
      <w:r>
        <w:rPr>
          <w:rFonts w:hint="eastAsia" w:ascii="宋体" w:hAnsi="宋体" w:eastAsia="宋体" w:cs="宋体"/>
          <w:sz w:val="24"/>
          <w:szCs w:val="24"/>
        </w:rPr>
        <w:t>本次迁移搬迁涉及到行政服务大厅智能化系统的中心核心关键业务部分，直接影响至搬迁后新建行政服务中心大楼的政务服务业务开展。因此迁移工作如何保证过程的安全可靠，对相关业务的影响降低到最小，持续的时间最短是搬迁中重点考虑的问题。</w:t>
      </w:r>
    </w:p>
    <w:p>
      <w:pPr>
        <w:pStyle w:val="4"/>
        <w:keepNext w:val="0"/>
        <w:keepLines w:val="0"/>
        <w:widowControl/>
        <w:suppressLineNumbers w:val="0"/>
        <w:ind w:left="0" w:firstLine="0"/>
      </w:pPr>
      <w:r>
        <w:rPr>
          <w:rFonts w:hint="default" w:ascii="Calibri" w:hAnsi="Calibri" w:cs="Calibri"/>
          <w:sz w:val="24"/>
          <w:szCs w:val="24"/>
        </w:rPr>
        <w:t xml:space="preserve">1.6.3 </w:t>
      </w:r>
      <w:r>
        <w:rPr>
          <w:rFonts w:hint="eastAsia" w:ascii="黑体" w:hAnsi="宋体" w:eastAsia="黑体" w:cs="黑体"/>
          <w:sz w:val="24"/>
          <w:szCs w:val="24"/>
        </w:rPr>
        <w:t>迁移内容</w:t>
      </w:r>
    </w:p>
    <w:p>
      <w:pPr>
        <w:pStyle w:val="4"/>
        <w:keepNext w:val="0"/>
        <w:keepLines w:val="0"/>
        <w:widowControl/>
        <w:suppressLineNumbers w:val="0"/>
        <w:ind w:left="0" w:firstLine="480"/>
      </w:pPr>
      <w:r>
        <w:rPr>
          <w:rFonts w:hint="eastAsia" w:ascii="宋体" w:hAnsi="宋体" w:eastAsia="宋体" w:cs="宋体"/>
          <w:sz w:val="24"/>
          <w:szCs w:val="24"/>
        </w:rPr>
        <w:t>原福州高新区行政服务中心已接入政务服务一体化平台并建成智能化行政服务大厅系统。本次迁移主要内容如下：</w:t>
      </w:r>
    </w:p>
    <w:p>
      <w:pPr>
        <w:pStyle w:val="4"/>
        <w:keepNext w:val="0"/>
        <w:keepLines w:val="0"/>
        <w:widowControl/>
        <w:suppressLineNumbers w:val="0"/>
        <w:ind w:left="0" w:firstLine="480"/>
        <w:jc w:val="center"/>
      </w:pPr>
      <w:r>
        <w:rPr>
          <w:rFonts w:hint="eastAsia" w:ascii="宋体" w:hAnsi="宋体" w:eastAsia="宋体" w:cs="宋体"/>
          <w:sz w:val="24"/>
          <w:szCs w:val="24"/>
        </w:rPr>
        <w:t>表</w:t>
      </w:r>
      <w:r>
        <w:rPr>
          <w:rFonts w:hint="default" w:ascii="Calibri" w:hAnsi="Calibri" w:cs="Calibri"/>
          <w:sz w:val="24"/>
          <w:szCs w:val="24"/>
        </w:rPr>
        <w:t xml:space="preserve">5.1-1  </w:t>
      </w:r>
      <w:r>
        <w:rPr>
          <w:rFonts w:hint="eastAsia" w:ascii="宋体" w:hAnsi="宋体" w:eastAsia="宋体" w:cs="宋体"/>
          <w:sz w:val="24"/>
          <w:szCs w:val="24"/>
        </w:rPr>
        <w:t>项目迁移内容表</w:t>
      </w:r>
    </w:p>
    <w:tbl>
      <w:tblPr>
        <w:tblStyle w:val="9"/>
        <w:tblW w:w="7768" w:type="dxa"/>
        <w:tblCellSpacing w:w="15"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15" w:type="dxa"/>
          <w:left w:w="15" w:type="dxa"/>
          <w:bottom w:w="15" w:type="dxa"/>
          <w:right w:w="15" w:type="dxa"/>
        </w:tblCellMar>
      </w:tblPr>
      <w:tblGrid>
        <w:gridCol w:w="989"/>
        <w:gridCol w:w="843"/>
        <w:gridCol w:w="1935"/>
        <w:gridCol w:w="1829"/>
        <w:gridCol w:w="2172"/>
      </w:tblGrid>
      <w:tr>
        <w:trPr>
          <w:trHeight w:val="285" w:hRule="atLeast"/>
          <w:tblCellSpacing w:w="15" w:type="dxa"/>
        </w:trPr>
        <w:tc>
          <w:tcPr>
            <w:tcW w:w="944" w:type="dxa"/>
            <w:tcBorders>
              <w:top w:val="double" w:color="auto" w:sz="2" w:space="0"/>
              <w:left w:val="double" w:color="auto" w:sz="2"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Style w:val="6"/>
                <w:rFonts w:hint="eastAsia" w:ascii="宋体" w:hAnsi="宋体" w:eastAsia="宋体" w:cs="宋体"/>
                <w:b/>
                <w:color w:val="000000"/>
              </w:rPr>
              <w:t>序号</w:t>
            </w:r>
          </w:p>
        </w:tc>
        <w:tc>
          <w:tcPr>
            <w:tcW w:w="2748" w:type="dxa"/>
            <w:gridSpan w:val="2"/>
            <w:tcBorders>
              <w:top w:val="double" w:color="auto" w:sz="2"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Style w:val="6"/>
                <w:rFonts w:hint="eastAsia" w:ascii="宋体" w:hAnsi="宋体" w:eastAsia="宋体" w:cs="宋体"/>
                <w:b/>
                <w:color w:val="000000"/>
              </w:rPr>
              <w:t>迁移内容</w:t>
            </w:r>
          </w:p>
        </w:tc>
        <w:tc>
          <w:tcPr>
            <w:tcW w:w="1799" w:type="dxa"/>
            <w:tcBorders>
              <w:top w:val="double" w:color="auto" w:sz="2"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Style w:val="6"/>
                <w:rFonts w:hint="eastAsia" w:ascii="宋体" w:hAnsi="宋体" w:eastAsia="宋体" w:cs="宋体"/>
                <w:b/>
                <w:color w:val="000000"/>
              </w:rPr>
              <w:t>迁移工作量</w:t>
            </w:r>
          </w:p>
        </w:tc>
        <w:tc>
          <w:tcPr>
            <w:tcW w:w="2127" w:type="dxa"/>
            <w:tcBorders>
              <w:top w:val="double" w:color="auto" w:sz="2" w:space="0"/>
              <w:left w:val="nil"/>
              <w:bottom w:val="single" w:color="auto" w:sz="6" w:space="0"/>
              <w:right w:val="double" w:color="auto" w:sz="2"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Style w:val="6"/>
                <w:rFonts w:hint="eastAsia" w:ascii="宋体" w:hAnsi="宋体" w:eastAsia="宋体" w:cs="宋体"/>
                <w:b/>
                <w:color w:val="000000"/>
              </w:rPr>
              <w:t>说明</w:t>
            </w:r>
          </w:p>
        </w:tc>
      </w:tr>
      <w:tr>
        <w:trPr>
          <w:trHeight w:val="285" w:hRule="atLeast"/>
          <w:tblCellSpacing w:w="15" w:type="dxa"/>
        </w:trPr>
        <w:tc>
          <w:tcPr>
            <w:tcW w:w="7708" w:type="dxa"/>
            <w:gridSpan w:val="5"/>
            <w:tcBorders>
              <w:top w:val="nil"/>
              <w:left w:val="double" w:color="auto" w:sz="2" w:space="0"/>
              <w:bottom w:val="single" w:color="auto" w:sz="6" w:space="0"/>
              <w:right w:val="double" w:color="auto" w:sz="2"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4"/>
                <w:szCs w:val="24"/>
              </w:rPr>
              <w:t>物理设备</w:t>
            </w:r>
          </w:p>
        </w:tc>
      </w:tr>
      <w:tr>
        <w:trPr>
          <w:trHeight w:val="285" w:hRule="atLeast"/>
          <w:tblCellSpacing w:w="15" w:type="dxa"/>
        </w:trPr>
        <w:tc>
          <w:tcPr>
            <w:tcW w:w="944" w:type="dxa"/>
            <w:tcBorders>
              <w:top w:val="nil"/>
              <w:left w:val="double" w:color="auto" w:sz="2"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4"/>
                <w:szCs w:val="24"/>
              </w:rPr>
              <w:t>1</w:t>
            </w:r>
          </w:p>
        </w:tc>
        <w:tc>
          <w:tcPr>
            <w:tcW w:w="2748" w:type="dxa"/>
            <w:gridSpan w:val="2"/>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4"/>
                <w:szCs w:val="24"/>
              </w:rPr>
              <w:t>防火墙</w:t>
            </w:r>
          </w:p>
        </w:tc>
        <w:tc>
          <w:tcPr>
            <w:tcW w:w="1799"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4"/>
                <w:szCs w:val="24"/>
              </w:rPr>
              <w:t>1台</w:t>
            </w:r>
          </w:p>
        </w:tc>
        <w:tc>
          <w:tcPr>
            <w:tcW w:w="2127" w:type="dxa"/>
            <w:tcBorders>
              <w:top w:val="nil"/>
              <w:left w:val="nil"/>
              <w:bottom w:val="single" w:color="auto" w:sz="6" w:space="0"/>
              <w:right w:val="double" w:color="auto" w:sz="2"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tc>
      </w:tr>
      <w:tr>
        <w:trPr>
          <w:trHeight w:val="285" w:hRule="atLeast"/>
          <w:tblCellSpacing w:w="15" w:type="dxa"/>
        </w:trPr>
        <w:tc>
          <w:tcPr>
            <w:tcW w:w="944" w:type="dxa"/>
            <w:tcBorders>
              <w:top w:val="nil"/>
              <w:left w:val="double" w:color="auto" w:sz="2"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4"/>
                <w:szCs w:val="24"/>
              </w:rPr>
              <w:t>2</w:t>
            </w:r>
          </w:p>
        </w:tc>
        <w:tc>
          <w:tcPr>
            <w:tcW w:w="2748" w:type="dxa"/>
            <w:gridSpan w:val="2"/>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4"/>
                <w:szCs w:val="24"/>
              </w:rPr>
              <w:t>入侵防御设备</w:t>
            </w:r>
          </w:p>
        </w:tc>
        <w:tc>
          <w:tcPr>
            <w:tcW w:w="1799"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4"/>
                <w:szCs w:val="24"/>
              </w:rPr>
              <w:t>1台</w:t>
            </w:r>
          </w:p>
        </w:tc>
        <w:tc>
          <w:tcPr>
            <w:tcW w:w="2127" w:type="dxa"/>
            <w:tcBorders>
              <w:top w:val="nil"/>
              <w:left w:val="nil"/>
              <w:bottom w:val="single" w:color="auto" w:sz="6" w:space="0"/>
              <w:right w:val="double" w:color="auto" w:sz="2"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tc>
      </w:tr>
      <w:tr>
        <w:trPr>
          <w:trHeight w:val="285" w:hRule="atLeast"/>
          <w:tblCellSpacing w:w="15" w:type="dxa"/>
        </w:trPr>
        <w:tc>
          <w:tcPr>
            <w:tcW w:w="944" w:type="dxa"/>
            <w:tcBorders>
              <w:top w:val="nil"/>
              <w:left w:val="double" w:color="auto" w:sz="2"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4"/>
                <w:szCs w:val="24"/>
              </w:rPr>
              <w:t>3</w:t>
            </w:r>
          </w:p>
        </w:tc>
        <w:tc>
          <w:tcPr>
            <w:tcW w:w="2748" w:type="dxa"/>
            <w:gridSpan w:val="2"/>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4"/>
                <w:szCs w:val="24"/>
              </w:rPr>
              <w:t>应用服务器</w:t>
            </w:r>
          </w:p>
        </w:tc>
        <w:tc>
          <w:tcPr>
            <w:tcW w:w="1799"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4"/>
                <w:szCs w:val="24"/>
              </w:rPr>
              <w:t>1台</w:t>
            </w:r>
          </w:p>
        </w:tc>
        <w:tc>
          <w:tcPr>
            <w:tcW w:w="2127" w:type="dxa"/>
            <w:tcBorders>
              <w:top w:val="nil"/>
              <w:left w:val="nil"/>
              <w:bottom w:val="single" w:color="auto" w:sz="6" w:space="0"/>
              <w:right w:val="double" w:color="auto" w:sz="2"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tc>
      </w:tr>
      <w:tr>
        <w:trPr>
          <w:trHeight w:val="285" w:hRule="atLeast"/>
          <w:tblCellSpacing w:w="15" w:type="dxa"/>
        </w:trPr>
        <w:tc>
          <w:tcPr>
            <w:tcW w:w="944" w:type="dxa"/>
            <w:tcBorders>
              <w:top w:val="nil"/>
              <w:left w:val="double" w:color="auto" w:sz="2"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4"/>
                <w:szCs w:val="24"/>
              </w:rPr>
              <w:t>4</w:t>
            </w:r>
          </w:p>
        </w:tc>
        <w:tc>
          <w:tcPr>
            <w:tcW w:w="2748" w:type="dxa"/>
            <w:gridSpan w:val="2"/>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4"/>
                <w:szCs w:val="24"/>
              </w:rPr>
              <w:t>数据库服务器</w:t>
            </w:r>
          </w:p>
        </w:tc>
        <w:tc>
          <w:tcPr>
            <w:tcW w:w="1799"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4"/>
                <w:szCs w:val="24"/>
              </w:rPr>
              <w:t>1台</w:t>
            </w:r>
          </w:p>
        </w:tc>
        <w:tc>
          <w:tcPr>
            <w:tcW w:w="2127" w:type="dxa"/>
            <w:tcBorders>
              <w:top w:val="nil"/>
              <w:left w:val="nil"/>
              <w:bottom w:val="single" w:color="auto" w:sz="6" w:space="0"/>
              <w:right w:val="double" w:color="auto" w:sz="2"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tc>
      </w:tr>
      <w:tr>
        <w:trPr>
          <w:trHeight w:val="285" w:hRule="atLeast"/>
          <w:tblCellSpacing w:w="15" w:type="dxa"/>
        </w:trPr>
        <w:tc>
          <w:tcPr>
            <w:tcW w:w="944" w:type="dxa"/>
            <w:tcBorders>
              <w:top w:val="nil"/>
              <w:left w:val="double" w:color="auto" w:sz="2"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4"/>
                <w:szCs w:val="24"/>
              </w:rPr>
              <w:t>5</w:t>
            </w:r>
          </w:p>
        </w:tc>
        <w:tc>
          <w:tcPr>
            <w:tcW w:w="2748" w:type="dxa"/>
            <w:gridSpan w:val="2"/>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4"/>
                <w:szCs w:val="24"/>
              </w:rPr>
              <w:t>查询一体机</w:t>
            </w:r>
          </w:p>
        </w:tc>
        <w:tc>
          <w:tcPr>
            <w:tcW w:w="1799"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4"/>
                <w:szCs w:val="24"/>
              </w:rPr>
              <w:t>2台</w:t>
            </w:r>
          </w:p>
        </w:tc>
        <w:tc>
          <w:tcPr>
            <w:tcW w:w="2127" w:type="dxa"/>
            <w:tcBorders>
              <w:top w:val="nil"/>
              <w:left w:val="nil"/>
              <w:bottom w:val="single" w:color="auto" w:sz="6" w:space="0"/>
              <w:right w:val="double" w:color="auto" w:sz="2"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tc>
      </w:tr>
      <w:tr>
        <w:trPr>
          <w:trHeight w:val="285" w:hRule="atLeast"/>
          <w:tblCellSpacing w:w="15" w:type="dxa"/>
        </w:trPr>
        <w:tc>
          <w:tcPr>
            <w:tcW w:w="944" w:type="dxa"/>
            <w:tcBorders>
              <w:top w:val="nil"/>
              <w:left w:val="double" w:color="auto" w:sz="2"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4"/>
                <w:szCs w:val="24"/>
              </w:rPr>
              <w:t>6</w:t>
            </w:r>
          </w:p>
        </w:tc>
        <w:tc>
          <w:tcPr>
            <w:tcW w:w="2748" w:type="dxa"/>
            <w:gridSpan w:val="2"/>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4"/>
                <w:szCs w:val="24"/>
              </w:rPr>
              <w:t>平板评价器</w:t>
            </w:r>
          </w:p>
        </w:tc>
        <w:tc>
          <w:tcPr>
            <w:tcW w:w="1799"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4"/>
                <w:szCs w:val="24"/>
              </w:rPr>
              <w:t>23台</w:t>
            </w:r>
          </w:p>
        </w:tc>
        <w:tc>
          <w:tcPr>
            <w:tcW w:w="2127" w:type="dxa"/>
            <w:tcBorders>
              <w:top w:val="nil"/>
              <w:left w:val="nil"/>
              <w:bottom w:val="single" w:color="auto" w:sz="6" w:space="0"/>
              <w:right w:val="double" w:color="auto" w:sz="2"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tc>
      </w:tr>
      <w:tr>
        <w:trPr>
          <w:trHeight w:val="285" w:hRule="atLeast"/>
          <w:tblCellSpacing w:w="15" w:type="dxa"/>
        </w:trPr>
        <w:tc>
          <w:tcPr>
            <w:tcW w:w="944" w:type="dxa"/>
            <w:tcBorders>
              <w:top w:val="nil"/>
              <w:left w:val="double" w:color="auto" w:sz="2"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4"/>
                <w:szCs w:val="24"/>
              </w:rPr>
              <w:t>7</w:t>
            </w:r>
          </w:p>
        </w:tc>
        <w:tc>
          <w:tcPr>
            <w:tcW w:w="2748" w:type="dxa"/>
            <w:gridSpan w:val="2"/>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4"/>
                <w:szCs w:val="24"/>
              </w:rPr>
              <w:t>TV液晶显示器</w:t>
            </w:r>
          </w:p>
        </w:tc>
        <w:tc>
          <w:tcPr>
            <w:tcW w:w="1799"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4"/>
                <w:szCs w:val="24"/>
              </w:rPr>
              <w:t>2台</w:t>
            </w:r>
          </w:p>
        </w:tc>
        <w:tc>
          <w:tcPr>
            <w:tcW w:w="2127" w:type="dxa"/>
            <w:tcBorders>
              <w:top w:val="nil"/>
              <w:left w:val="nil"/>
              <w:bottom w:val="single" w:color="auto" w:sz="6" w:space="0"/>
              <w:right w:val="double" w:color="auto" w:sz="2"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tc>
      </w:tr>
      <w:tr>
        <w:trPr>
          <w:trHeight w:val="285" w:hRule="atLeast"/>
          <w:tblCellSpacing w:w="15" w:type="dxa"/>
        </w:trPr>
        <w:tc>
          <w:tcPr>
            <w:tcW w:w="7708" w:type="dxa"/>
            <w:gridSpan w:val="5"/>
            <w:tcBorders>
              <w:top w:val="nil"/>
              <w:left w:val="double" w:color="auto" w:sz="2" w:space="0"/>
              <w:bottom w:val="single" w:color="auto" w:sz="6" w:space="0"/>
              <w:right w:val="double" w:color="auto" w:sz="2"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4"/>
                <w:szCs w:val="24"/>
              </w:rPr>
              <w:t>软件系统</w:t>
            </w:r>
          </w:p>
        </w:tc>
      </w:tr>
      <w:tr>
        <w:trPr>
          <w:trHeight w:val="285" w:hRule="atLeast"/>
          <w:tblCellSpacing w:w="15" w:type="dxa"/>
        </w:trPr>
        <w:tc>
          <w:tcPr>
            <w:tcW w:w="944" w:type="dxa"/>
            <w:tcBorders>
              <w:top w:val="nil"/>
              <w:left w:val="double" w:color="auto" w:sz="2"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4"/>
                <w:szCs w:val="24"/>
              </w:rPr>
              <w:t>1</w:t>
            </w:r>
          </w:p>
        </w:tc>
        <w:tc>
          <w:tcPr>
            <w:tcW w:w="813" w:type="dxa"/>
            <w:vMerge w:val="restart"/>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4"/>
                <w:szCs w:val="24"/>
              </w:rPr>
              <w:t>政务服务一体化平台</w:t>
            </w:r>
          </w:p>
        </w:tc>
        <w:tc>
          <w:tcPr>
            <w:tcW w:w="190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left"/>
            </w:pPr>
            <w:r>
              <w:rPr>
                <w:rFonts w:hint="eastAsia" w:ascii="宋体" w:hAnsi="宋体" w:eastAsia="宋体" w:cs="宋体"/>
                <w:color w:val="000000"/>
                <w:sz w:val="24"/>
                <w:szCs w:val="24"/>
              </w:rPr>
              <w:t>综合受理子系统</w:t>
            </w:r>
          </w:p>
        </w:tc>
        <w:tc>
          <w:tcPr>
            <w:tcW w:w="1799" w:type="dxa"/>
            <w:vMerge w:val="restart"/>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4"/>
                <w:szCs w:val="24"/>
              </w:rPr>
              <w:t>不迁移</w:t>
            </w:r>
          </w:p>
        </w:tc>
        <w:tc>
          <w:tcPr>
            <w:tcW w:w="2127" w:type="dxa"/>
            <w:vMerge w:val="restart"/>
            <w:tcBorders>
              <w:top w:val="nil"/>
              <w:left w:val="nil"/>
              <w:bottom w:val="single" w:color="auto" w:sz="6" w:space="0"/>
              <w:right w:val="double" w:color="auto" w:sz="2"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left"/>
            </w:pPr>
            <w:r>
              <w:rPr>
                <w:rFonts w:hint="eastAsia" w:ascii="宋体" w:hAnsi="宋体" w:eastAsia="宋体" w:cs="宋体"/>
                <w:color w:val="000000"/>
                <w:sz w:val="24"/>
                <w:szCs w:val="24"/>
              </w:rPr>
              <w:t>部署在福州政务云平台上，需网络接入</w:t>
            </w:r>
          </w:p>
        </w:tc>
      </w:tr>
      <w:tr>
        <w:trPr>
          <w:trHeight w:val="285" w:hRule="atLeast"/>
          <w:tblCellSpacing w:w="15" w:type="dxa"/>
        </w:trPr>
        <w:tc>
          <w:tcPr>
            <w:tcW w:w="944" w:type="dxa"/>
            <w:tcBorders>
              <w:top w:val="nil"/>
              <w:left w:val="double" w:color="auto" w:sz="2"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4"/>
                <w:szCs w:val="24"/>
              </w:rPr>
              <w:t>2</w:t>
            </w:r>
          </w:p>
        </w:tc>
        <w:tc>
          <w:tcPr>
            <w:tcW w:w="813" w:type="dxa"/>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rPr>
                <w:rFonts w:hint="eastAsia" w:ascii="宋体"/>
                <w:sz w:val="24"/>
                <w:szCs w:val="24"/>
              </w:rPr>
            </w:pPr>
          </w:p>
        </w:tc>
        <w:tc>
          <w:tcPr>
            <w:tcW w:w="190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left"/>
            </w:pPr>
            <w:r>
              <w:rPr>
                <w:rFonts w:hint="eastAsia" w:ascii="宋体" w:hAnsi="宋体" w:eastAsia="宋体" w:cs="宋体"/>
                <w:color w:val="000000"/>
                <w:sz w:val="24"/>
                <w:szCs w:val="24"/>
              </w:rPr>
              <w:t>行政审批子系统</w:t>
            </w:r>
          </w:p>
        </w:tc>
        <w:tc>
          <w:tcPr>
            <w:tcW w:w="1799" w:type="dxa"/>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rPr>
                <w:rFonts w:hint="eastAsia" w:ascii="宋体"/>
                <w:sz w:val="24"/>
                <w:szCs w:val="24"/>
              </w:rPr>
            </w:pPr>
          </w:p>
        </w:tc>
        <w:tc>
          <w:tcPr>
            <w:tcW w:w="2127" w:type="dxa"/>
            <w:vMerge w:val="continue"/>
            <w:tcBorders>
              <w:top w:val="nil"/>
              <w:left w:val="nil"/>
              <w:bottom w:val="single" w:color="auto" w:sz="6" w:space="0"/>
              <w:right w:val="double" w:color="auto" w:sz="2" w:space="0"/>
            </w:tcBorders>
            <w:shd w:val="clear" w:color="auto" w:fill="FFFFFF"/>
            <w:tcMar>
              <w:top w:w="0" w:type="dxa"/>
              <w:left w:w="105" w:type="dxa"/>
              <w:bottom w:w="0" w:type="dxa"/>
              <w:right w:w="105" w:type="dxa"/>
            </w:tcMar>
            <w:vAlign w:val="center"/>
          </w:tcPr>
          <w:p>
            <w:pPr>
              <w:rPr>
                <w:rFonts w:hint="eastAsia" w:ascii="宋体"/>
                <w:sz w:val="24"/>
                <w:szCs w:val="24"/>
              </w:rPr>
            </w:pPr>
          </w:p>
        </w:tc>
      </w:tr>
      <w:tr>
        <w:trPr>
          <w:trHeight w:val="285" w:hRule="atLeast"/>
          <w:tblCellSpacing w:w="15" w:type="dxa"/>
        </w:trPr>
        <w:tc>
          <w:tcPr>
            <w:tcW w:w="944" w:type="dxa"/>
            <w:tcBorders>
              <w:top w:val="nil"/>
              <w:left w:val="double" w:color="auto" w:sz="2"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4"/>
                <w:szCs w:val="24"/>
              </w:rPr>
              <w:t>3</w:t>
            </w:r>
          </w:p>
        </w:tc>
        <w:tc>
          <w:tcPr>
            <w:tcW w:w="813" w:type="dxa"/>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rPr>
                <w:rFonts w:hint="eastAsia" w:ascii="宋体"/>
                <w:sz w:val="24"/>
                <w:szCs w:val="24"/>
              </w:rPr>
            </w:pPr>
          </w:p>
        </w:tc>
        <w:tc>
          <w:tcPr>
            <w:tcW w:w="190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left"/>
            </w:pPr>
            <w:r>
              <w:rPr>
                <w:rFonts w:hint="eastAsia" w:ascii="宋体" w:hAnsi="宋体" w:eastAsia="宋体" w:cs="宋体"/>
                <w:color w:val="000000"/>
                <w:sz w:val="24"/>
                <w:szCs w:val="24"/>
              </w:rPr>
              <w:t>应用支撑平台</w:t>
            </w:r>
          </w:p>
        </w:tc>
        <w:tc>
          <w:tcPr>
            <w:tcW w:w="1799" w:type="dxa"/>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rPr>
                <w:rFonts w:hint="eastAsia" w:ascii="宋体"/>
                <w:sz w:val="24"/>
                <w:szCs w:val="24"/>
              </w:rPr>
            </w:pPr>
          </w:p>
        </w:tc>
        <w:tc>
          <w:tcPr>
            <w:tcW w:w="2127" w:type="dxa"/>
            <w:vMerge w:val="continue"/>
            <w:tcBorders>
              <w:top w:val="nil"/>
              <w:left w:val="nil"/>
              <w:bottom w:val="single" w:color="auto" w:sz="6" w:space="0"/>
              <w:right w:val="double" w:color="auto" w:sz="2" w:space="0"/>
            </w:tcBorders>
            <w:shd w:val="clear" w:color="auto" w:fill="FFFFFF"/>
            <w:tcMar>
              <w:top w:w="0" w:type="dxa"/>
              <w:left w:w="105" w:type="dxa"/>
              <w:bottom w:w="0" w:type="dxa"/>
              <w:right w:w="105" w:type="dxa"/>
            </w:tcMar>
            <w:vAlign w:val="center"/>
          </w:tcPr>
          <w:p>
            <w:pPr>
              <w:rPr>
                <w:rFonts w:hint="eastAsia" w:ascii="宋体"/>
                <w:sz w:val="24"/>
                <w:szCs w:val="24"/>
              </w:rPr>
            </w:pPr>
          </w:p>
        </w:tc>
      </w:tr>
      <w:tr>
        <w:trPr>
          <w:trHeight w:val="285" w:hRule="atLeast"/>
          <w:tblCellSpacing w:w="15" w:type="dxa"/>
        </w:trPr>
        <w:tc>
          <w:tcPr>
            <w:tcW w:w="944" w:type="dxa"/>
            <w:tcBorders>
              <w:top w:val="nil"/>
              <w:left w:val="double" w:color="auto" w:sz="2"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4"/>
                <w:szCs w:val="24"/>
              </w:rPr>
              <w:t>4</w:t>
            </w:r>
          </w:p>
        </w:tc>
        <w:tc>
          <w:tcPr>
            <w:tcW w:w="813" w:type="dxa"/>
            <w:vMerge w:val="restart"/>
            <w:tcBorders>
              <w:top w:val="nil"/>
              <w:left w:val="nil"/>
              <w:bottom w:val="double" w:color="auto" w:sz="2"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4"/>
                <w:szCs w:val="24"/>
              </w:rPr>
              <w:t>智能化行政服务大厅大厅系统</w:t>
            </w:r>
          </w:p>
        </w:tc>
        <w:tc>
          <w:tcPr>
            <w:tcW w:w="190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left"/>
            </w:pPr>
            <w:r>
              <w:rPr>
                <w:rFonts w:hint="eastAsia" w:ascii="宋体" w:hAnsi="宋体" w:eastAsia="宋体" w:cs="宋体"/>
                <w:color w:val="000000"/>
                <w:sz w:val="24"/>
                <w:szCs w:val="24"/>
              </w:rPr>
              <w:t>大厅管理系统</w:t>
            </w:r>
          </w:p>
        </w:tc>
        <w:tc>
          <w:tcPr>
            <w:tcW w:w="1799"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4"/>
                <w:szCs w:val="24"/>
              </w:rPr>
              <w:t>1套</w:t>
            </w:r>
          </w:p>
        </w:tc>
        <w:tc>
          <w:tcPr>
            <w:tcW w:w="2127" w:type="dxa"/>
            <w:tcBorders>
              <w:top w:val="nil"/>
              <w:left w:val="nil"/>
              <w:bottom w:val="single" w:color="auto" w:sz="6" w:space="0"/>
              <w:right w:val="double" w:color="auto" w:sz="2"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left"/>
            </w:pPr>
            <w:r>
              <w:rPr>
                <w:rFonts w:hint="eastAsia" w:ascii="宋体" w:hAnsi="宋体" w:eastAsia="宋体" w:cs="宋体"/>
                <w:color w:val="000000"/>
                <w:sz w:val="24"/>
                <w:szCs w:val="24"/>
              </w:rPr>
              <w:t>迁移调试</w:t>
            </w:r>
          </w:p>
        </w:tc>
      </w:tr>
      <w:tr>
        <w:trPr>
          <w:trHeight w:val="285" w:hRule="atLeast"/>
          <w:tblCellSpacing w:w="15" w:type="dxa"/>
        </w:trPr>
        <w:tc>
          <w:tcPr>
            <w:tcW w:w="944" w:type="dxa"/>
            <w:tcBorders>
              <w:top w:val="nil"/>
              <w:left w:val="double" w:color="auto" w:sz="2"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4"/>
                <w:szCs w:val="24"/>
              </w:rPr>
              <w:t>5</w:t>
            </w:r>
          </w:p>
        </w:tc>
        <w:tc>
          <w:tcPr>
            <w:tcW w:w="813" w:type="dxa"/>
            <w:vMerge w:val="continue"/>
            <w:tcBorders>
              <w:top w:val="nil"/>
              <w:left w:val="nil"/>
              <w:bottom w:val="double" w:color="auto" w:sz="2" w:space="0"/>
              <w:right w:val="single" w:color="auto" w:sz="6" w:space="0"/>
            </w:tcBorders>
            <w:shd w:val="clear" w:color="auto" w:fill="FFFFFF"/>
            <w:tcMar>
              <w:top w:w="0" w:type="dxa"/>
              <w:left w:w="105" w:type="dxa"/>
              <w:bottom w:w="0" w:type="dxa"/>
              <w:right w:w="105" w:type="dxa"/>
            </w:tcMar>
            <w:vAlign w:val="center"/>
          </w:tcPr>
          <w:p>
            <w:pPr>
              <w:rPr>
                <w:rFonts w:hint="eastAsia" w:ascii="宋体"/>
                <w:sz w:val="24"/>
                <w:szCs w:val="24"/>
              </w:rPr>
            </w:pPr>
          </w:p>
        </w:tc>
        <w:tc>
          <w:tcPr>
            <w:tcW w:w="1905" w:type="dxa"/>
            <w:vMerge w:val="restart"/>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4"/>
                <w:szCs w:val="24"/>
              </w:rPr>
              <w:t>排队叫号系统</w:t>
            </w:r>
          </w:p>
        </w:tc>
        <w:tc>
          <w:tcPr>
            <w:tcW w:w="1799"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left"/>
            </w:pPr>
            <w:r>
              <w:rPr>
                <w:rFonts w:hint="eastAsia" w:ascii="宋体" w:hAnsi="宋体" w:eastAsia="宋体" w:cs="宋体"/>
                <w:color w:val="000000"/>
                <w:sz w:val="24"/>
                <w:szCs w:val="24"/>
              </w:rPr>
              <w:t>1套主程序</w:t>
            </w:r>
          </w:p>
        </w:tc>
        <w:tc>
          <w:tcPr>
            <w:tcW w:w="2127" w:type="dxa"/>
            <w:tcBorders>
              <w:top w:val="nil"/>
              <w:left w:val="nil"/>
              <w:bottom w:val="single" w:color="auto" w:sz="6" w:space="0"/>
              <w:right w:val="double" w:color="auto" w:sz="2"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left"/>
            </w:pPr>
            <w:r>
              <w:rPr>
                <w:rFonts w:hint="eastAsia" w:ascii="宋体" w:hAnsi="宋体" w:eastAsia="宋体" w:cs="宋体"/>
                <w:color w:val="000000"/>
                <w:sz w:val="24"/>
                <w:szCs w:val="24"/>
              </w:rPr>
              <w:t>迁移调试</w:t>
            </w:r>
          </w:p>
        </w:tc>
      </w:tr>
      <w:tr>
        <w:trPr>
          <w:trHeight w:val="285" w:hRule="atLeast"/>
          <w:tblCellSpacing w:w="15" w:type="dxa"/>
        </w:trPr>
        <w:tc>
          <w:tcPr>
            <w:tcW w:w="944" w:type="dxa"/>
            <w:tcBorders>
              <w:top w:val="nil"/>
              <w:left w:val="double" w:color="auto" w:sz="2"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4"/>
                <w:szCs w:val="24"/>
              </w:rPr>
              <w:t>6</w:t>
            </w:r>
          </w:p>
        </w:tc>
        <w:tc>
          <w:tcPr>
            <w:tcW w:w="813" w:type="dxa"/>
            <w:vMerge w:val="continue"/>
            <w:tcBorders>
              <w:top w:val="nil"/>
              <w:left w:val="nil"/>
              <w:bottom w:val="double" w:color="auto" w:sz="2" w:space="0"/>
              <w:right w:val="single" w:color="auto" w:sz="6" w:space="0"/>
            </w:tcBorders>
            <w:shd w:val="clear" w:color="auto" w:fill="FFFFFF"/>
            <w:tcMar>
              <w:top w:w="0" w:type="dxa"/>
              <w:left w:w="105" w:type="dxa"/>
              <w:bottom w:w="0" w:type="dxa"/>
              <w:right w:w="105" w:type="dxa"/>
            </w:tcMar>
            <w:vAlign w:val="center"/>
          </w:tcPr>
          <w:p>
            <w:pPr>
              <w:rPr>
                <w:rFonts w:hint="eastAsia" w:ascii="宋体"/>
                <w:sz w:val="24"/>
                <w:szCs w:val="24"/>
              </w:rPr>
            </w:pPr>
          </w:p>
        </w:tc>
        <w:tc>
          <w:tcPr>
            <w:tcW w:w="1905" w:type="dxa"/>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rPr>
                <w:rFonts w:hint="eastAsia" w:ascii="宋体"/>
                <w:sz w:val="24"/>
                <w:szCs w:val="24"/>
              </w:rPr>
            </w:pPr>
          </w:p>
        </w:tc>
        <w:tc>
          <w:tcPr>
            <w:tcW w:w="1799"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left"/>
            </w:pPr>
            <w:r>
              <w:rPr>
                <w:rFonts w:hint="eastAsia" w:ascii="宋体" w:hAnsi="宋体" w:eastAsia="宋体" w:cs="宋体"/>
                <w:color w:val="000000"/>
                <w:sz w:val="24"/>
                <w:szCs w:val="24"/>
              </w:rPr>
              <w:t>1套取号程序</w:t>
            </w:r>
          </w:p>
        </w:tc>
        <w:tc>
          <w:tcPr>
            <w:tcW w:w="2127" w:type="dxa"/>
            <w:tcBorders>
              <w:top w:val="nil"/>
              <w:left w:val="nil"/>
              <w:bottom w:val="single" w:color="auto" w:sz="6" w:space="0"/>
              <w:right w:val="double" w:color="auto" w:sz="2"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tc>
      </w:tr>
      <w:tr>
        <w:trPr>
          <w:trHeight w:val="285" w:hRule="atLeast"/>
          <w:tblCellSpacing w:w="15" w:type="dxa"/>
        </w:trPr>
        <w:tc>
          <w:tcPr>
            <w:tcW w:w="944" w:type="dxa"/>
            <w:tcBorders>
              <w:top w:val="nil"/>
              <w:left w:val="double" w:color="auto" w:sz="2"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4"/>
                <w:szCs w:val="24"/>
              </w:rPr>
              <w:t>7</w:t>
            </w:r>
          </w:p>
        </w:tc>
        <w:tc>
          <w:tcPr>
            <w:tcW w:w="813" w:type="dxa"/>
            <w:vMerge w:val="continue"/>
            <w:tcBorders>
              <w:top w:val="nil"/>
              <w:left w:val="nil"/>
              <w:bottom w:val="double" w:color="auto" w:sz="2" w:space="0"/>
              <w:right w:val="single" w:color="auto" w:sz="6" w:space="0"/>
            </w:tcBorders>
            <w:shd w:val="clear" w:color="auto" w:fill="FFFFFF"/>
            <w:tcMar>
              <w:top w:w="0" w:type="dxa"/>
              <w:left w:w="105" w:type="dxa"/>
              <w:bottom w:w="0" w:type="dxa"/>
              <w:right w:w="105" w:type="dxa"/>
            </w:tcMar>
            <w:vAlign w:val="center"/>
          </w:tcPr>
          <w:p>
            <w:pPr>
              <w:rPr>
                <w:rFonts w:hint="eastAsia" w:ascii="宋体"/>
                <w:sz w:val="24"/>
                <w:szCs w:val="24"/>
              </w:rPr>
            </w:pPr>
          </w:p>
        </w:tc>
        <w:tc>
          <w:tcPr>
            <w:tcW w:w="1905" w:type="dxa"/>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rPr>
                <w:rFonts w:hint="eastAsia" w:ascii="宋体"/>
                <w:sz w:val="24"/>
                <w:szCs w:val="24"/>
              </w:rPr>
            </w:pPr>
          </w:p>
        </w:tc>
        <w:tc>
          <w:tcPr>
            <w:tcW w:w="1799"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left"/>
            </w:pPr>
            <w:r>
              <w:rPr>
                <w:rFonts w:hint="eastAsia" w:ascii="宋体" w:hAnsi="宋体" w:eastAsia="宋体" w:cs="宋体"/>
                <w:color w:val="000000"/>
                <w:sz w:val="24"/>
                <w:szCs w:val="24"/>
              </w:rPr>
              <w:t>50个叫号程序终端</w:t>
            </w:r>
          </w:p>
        </w:tc>
        <w:tc>
          <w:tcPr>
            <w:tcW w:w="2127" w:type="dxa"/>
            <w:tcBorders>
              <w:top w:val="nil"/>
              <w:left w:val="nil"/>
              <w:bottom w:val="single" w:color="auto" w:sz="6" w:space="0"/>
              <w:right w:val="double" w:color="auto" w:sz="2"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tc>
      </w:tr>
      <w:tr>
        <w:trPr>
          <w:trHeight w:val="285" w:hRule="atLeast"/>
          <w:tblCellSpacing w:w="15" w:type="dxa"/>
        </w:trPr>
        <w:tc>
          <w:tcPr>
            <w:tcW w:w="944" w:type="dxa"/>
            <w:tcBorders>
              <w:top w:val="nil"/>
              <w:left w:val="double" w:color="auto" w:sz="2"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4"/>
                <w:szCs w:val="24"/>
              </w:rPr>
              <w:t>8</w:t>
            </w:r>
          </w:p>
        </w:tc>
        <w:tc>
          <w:tcPr>
            <w:tcW w:w="813" w:type="dxa"/>
            <w:vMerge w:val="continue"/>
            <w:tcBorders>
              <w:top w:val="nil"/>
              <w:left w:val="nil"/>
              <w:bottom w:val="double" w:color="auto" w:sz="2" w:space="0"/>
              <w:right w:val="single" w:color="auto" w:sz="6" w:space="0"/>
            </w:tcBorders>
            <w:shd w:val="clear" w:color="auto" w:fill="FFFFFF"/>
            <w:tcMar>
              <w:top w:w="0" w:type="dxa"/>
              <w:left w:w="105" w:type="dxa"/>
              <w:bottom w:w="0" w:type="dxa"/>
              <w:right w:w="105" w:type="dxa"/>
            </w:tcMar>
            <w:vAlign w:val="center"/>
          </w:tcPr>
          <w:p>
            <w:pPr>
              <w:rPr>
                <w:rFonts w:hint="eastAsia" w:ascii="宋体"/>
                <w:sz w:val="24"/>
                <w:szCs w:val="24"/>
              </w:rPr>
            </w:pPr>
          </w:p>
        </w:tc>
        <w:tc>
          <w:tcPr>
            <w:tcW w:w="190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left"/>
            </w:pPr>
            <w:r>
              <w:rPr>
                <w:rFonts w:hint="eastAsia" w:ascii="宋体" w:hAnsi="宋体" w:eastAsia="宋体" w:cs="宋体"/>
                <w:color w:val="000000"/>
                <w:sz w:val="24"/>
                <w:szCs w:val="24"/>
              </w:rPr>
              <w:t>TV叫号显示系统</w:t>
            </w:r>
          </w:p>
        </w:tc>
        <w:tc>
          <w:tcPr>
            <w:tcW w:w="1799"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4"/>
                <w:szCs w:val="24"/>
              </w:rPr>
              <w:t>2台</w:t>
            </w:r>
          </w:p>
        </w:tc>
        <w:tc>
          <w:tcPr>
            <w:tcW w:w="2127" w:type="dxa"/>
            <w:tcBorders>
              <w:top w:val="nil"/>
              <w:left w:val="nil"/>
              <w:bottom w:val="single" w:color="auto" w:sz="6" w:space="0"/>
              <w:right w:val="double" w:color="auto" w:sz="2"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left"/>
            </w:pPr>
            <w:r>
              <w:rPr>
                <w:rFonts w:hint="eastAsia" w:ascii="宋体" w:hAnsi="宋体" w:eastAsia="宋体" w:cs="宋体"/>
                <w:color w:val="000000"/>
                <w:sz w:val="24"/>
                <w:szCs w:val="24"/>
              </w:rPr>
              <w:t>迁移调试</w:t>
            </w:r>
          </w:p>
        </w:tc>
      </w:tr>
      <w:tr>
        <w:trPr>
          <w:trHeight w:val="285" w:hRule="atLeast"/>
          <w:tblCellSpacing w:w="15" w:type="dxa"/>
        </w:trPr>
        <w:tc>
          <w:tcPr>
            <w:tcW w:w="944" w:type="dxa"/>
            <w:tcBorders>
              <w:top w:val="nil"/>
              <w:left w:val="double" w:color="auto" w:sz="2"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4"/>
                <w:szCs w:val="24"/>
              </w:rPr>
              <w:t>9</w:t>
            </w:r>
          </w:p>
        </w:tc>
        <w:tc>
          <w:tcPr>
            <w:tcW w:w="813" w:type="dxa"/>
            <w:vMerge w:val="continue"/>
            <w:tcBorders>
              <w:top w:val="nil"/>
              <w:left w:val="nil"/>
              <w:bottom w:val="double" w:color="auto" w:sz="2" w:space="0"/>
              <w:right w:val="single" w:color="auto" w:sz="6" w:space="0"/>
            </w:tcBorders>
            <w:shd w:val="clear" w:color="auto" w:fill="FFFFFF"/>
            <w:tcMar>
              <w:top w:w="0" w:type="dxa"/>
              <w:left w:w="105" w:type="dxa"/>
              <w:bottom w:w="0" w:type="dxa"/>
              <w:right w:w="105" w:type="dxa"/>
            </w:tcMar>
            <w:vAlign w:val="center"/>
          </w:tcPr>
          <w:p>
            <w:pPr>
              <w:rPr>
                <w:rFonts w:hint="eastAsia" w:ascii="宋体"/>
                <w:sz w:val="24"/>
                <w:szCs w:val="24"/>
              </w:rPr>
            </w:pPr>
          </w:p>
        </w:tc>
        <w:tc>
          <w:tcPr>
            <w:tcW w:w="190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left"/>
            </w:pPr>
            <w:r>
              <w:rPr>
                <w:rFonts w:hint="eastAsia" w:ascii="宋体" w:hAnsi="宋体" w:eastAsia="宋体" w:cs="宋体"/>
                <w:color w:val="000000"/>
                <w:sz w:val="24"/>
                <w:szCs w:val="24"/>
              </w:rPr>
              <w:t>查询一体机系统</w:t>
            </w:r>
          </w:p>
        </w:tc>
        <w:tc>
          <w:tcPr>
            <w:tcW w:w="1799"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4"/>
                <w:szCs w:val="24"/>
              </w:rPr>
              <w:t>2台</w:t>
            </w:r>
          </w:p>
        </w:tc>
        <w:tc>
          <w:tcPr>
            <w:tcW w:w="2127" w:type="dxa"/>
            <w:tcBorders>
              <w:top w:val="nil"/>
              <w:left w:val="nil"/>
              <w:bottom w:val="single" w:color="auto" w:sz="6" w:space="0"/>
              <w:right w:val="double" w:color="auto" w:sz="2"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left"/>
            </w:pPr>
            <w:r>
              <w:rPr>
                <w:rFonts w:hint="eastAsia" w:ascii="宋体" w:hAnsi="宋体" w:eastAsia="宋体" w:cs="宋体"/>
                <w:color w:val="000000"/>
                <w:sz w:val="24"/>
                <w:szCs w:val="24"/>
              </w:rPr>
              <w:t>迁移调试</w:t>
            </w:r>
          </w:p>
        </w:tc>
      </w:tr>
      <w:tr>
        <w:trPr>
          <w:trHeight w:val="285" w:hRule="atLeast"/>
          <w:tblCellSpacing w:w="15" w:type="dxa"/>
        </w:trPr>
        <w:tc>
          <w:tcPr>
            <w:tcW w:w="944" w:type="dxa"/>
            <w:tcBorders>
              <w:top w:val="nil"/>
              <w:left w:val="double" w:color="auto" w:sz="2"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4"/>
                <w:szCs w:val="24"/>
              </w:rPr>
              <w:t>10</w:t>
            </w:r>
          </w:p>
        </w:tc>
        <w:tc>
          <w:tcPr>
            <w:tcW w:w="813" w:type="dxa"/>
            <w:vMerge w:val="continue"/>
            <w:tcBorders>
              <w:top w:val="nil"/>
              <w:left w:val="nil"/>
              <w:bottom w:val="double" w:color="auto" w:sz="2" w:space="0"/>
              <w:right w:val="single" w:color="auto" w:sz="6" w:space="0"/>
            </w:tcBorders>
            <w:shd w:val="clear" w:color="auto" w:fill="FFFFFF"/>
            <w:tcMar>
              <w:top w:w="0" w:type="dxa"/>
              <w:left w:w="105" w:type="dxa"/>
              <w:bottom w:w="0" w:type="dxa"/>
              <w:right w:w="105" w:type="dxa"/>
            </w:tcMar>
            <w:vAlign w:val="center"/>
          </w:tcPr>
          <w:p>
            <w:pPr>
              <w:rPr>
                <w:rFonts w:hint="eastAsia" w:ascii="宋体"/>
                <w:sz w:val="24"/>
                <w:szCs w:val="24"/>
              </w:rPr>
            </w:pPr>
          </w:p>
        </w:tc>
        <w:tc>
          <w:tcPr>
            <w:tcW w:w="190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left"/>
            </w:pPr>
            <w:r>
              <w:rPr>
                <w:rFonts w:hint="eastAsia" w:ascii="宋体" w:hAnsi="宋体" w:eastAsia="宋体" w:cs="宋体"/>
                <w:color w:val="000000"/>
                <w:sz w:val="24"/>
                <w:szCs w:val="24"/>
              </w:rPr>
              <w:t>评价器系统</w:t>
            </w:r>
          </w:p>
        </w:tc>
        <w:tc>
          <w:tcPr>
            <w:tcW w:w="1799"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4"/>
                <w:szCs w:val="24"/>
              </w:rPr>
              <w:t>50个评价器终端</w:t>
            </w:r>
          </w:p>
        </w:tc>
        <w:tc>
          <w:tcPr>
            <w:tcW w:w="2127" w:type="dxa"/>
            <w:tcBorders>
              <w:top w:val="nil"/>
              <w:left w:val="nil"/>
              <w:bottom w:val="single" w:color="auto" w:sz="6" w:space="0"/>
              <w:right w:val="double" w:color="auto" w:sz="2"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left"/>
            </w:pPr>
            <w:r>
              <w:rPr>
                <w:rFonts w:hint="eastAsia" w:ascii="宋体" w:hAnsi="宋体" w:eastAsia="宋体" w:cs="宋体"/>
                <w:color w:val="000000"/>
                <w:sz w:val="24"/>
                <w:szCs w:val="24"/>
              </w:rPr>
              <w:t>迁移调试</w:t>
            </w:r>
          </w:p>
        </w:tc>
      </w:tr>
      <w:tr>
        <w:trPr>
          <w:trHeight w:val="570" w:hRule="atLeast"/>
          <w:tblCellSpacing w:w="15" w:type="dxa"/>
        </w:trPr>
        <w:tc>
          <w:tcPr>
            <w:tcW w:w="944" w:type="dxa"/>
            <w:tcBorders>
              <w:top w:val="nil"/>
              <w:left w:val="double" w:color="auto" w:sz="2" w:space="0"/>
              <w:bottom w:val="double" w:color="auto" w:sz="2"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4"/>
                <w:szCs w:val="24"/>
              </w:rPr>
              <w:t>11</w:t>
            </w:r>
          </w:p>
        </w:tc>
        <w:tc>
          <w:tcPr>
            <w:tcW w:w="813" w:type="dxa"/>
            <w:vMerge w:val="continue"/>
            <w:tcBorders>
              <w:top w:val="nil"/>
              <w:left w:val="nil"/>
              <w:bottom w:val="double" w:color="auto" w:sz="2" w:space="0"/>
              <w:right w:val="single" w:color="auto" w:sz="6" w:space="0"/>
            </w:tcBorders>
            <w:shd w:val="clear" w:color="auto" w:fill="FFFFFF"/>
            <w:tcMar>
              <w:top w:w="0" w:type="dxa"/>
              <w:left w:w="105" w:type="dxa"/>
              <w:bottom w:w="0" w:type="dxa"/>
              <w:right w:w="105" w:type="dxa"/>
            </w:tcMar>
            <w:vAlign w:val="center"/>
          </w:tcPr>
          <w:p>
            <w:pPr>
              <w:rPr>
                <w:rFonts w:hint="eastAsia" w:ascii="宋体"/>
                <w:sz w:val="24"/>
                <w:szCs w:val="24"/>
              </w:rPr>
            </w:pPr>
          </w:p>
        </w:tc>
        <w:tc>
          <w:tcPr>
            <w:tcW w:w="1905" w:type="dxa"/>
            <w:tcBorders>
              <w:top w:val="nil"/>
              <w:left w:val="nil"/>
              <w:bottom w:val="double" w:color="auto" w:sz="2"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left"/>
            </w:pPr>
            <w:r>
              <w:rPr>
                <w:rFonts w:hint="eastAsia" w:ascii="宋体" w:hAnsi="宋体" w:eastAsia="宋体" w:cs="宋体"/>
                <w:color w:val="000000"/>
                <w:sz w:val="24"/>
                <w:szCs w:val="24"/>
              </w:rPr>
              <w:t>LED显示屏对接调试</w:t>
            </w:r>
          </w:p>
        </w:tc>
        <w:tc>
          <w:tcPr>
            <w:tcW w:w="1799" w:type="dxa"/>
            <w:tcBorders>
              <w:top w:val="nil"/>
              <w:left w:val="nil"/>
              <w:bottom w:val="double" w:color="auto" w:sz="2"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4"/>
                <w:szCs w:val="24"/>
              </w:rPr>
              <w:t>1套</w:t>
            </w:r>
          </w:p>
        </w:tc>
        <w:tc>
          <w:tcPr>
            <w:tcW w:w="2127" w:type="dxa"/>
            <w:tcBorders>
              <w:top w:val="nil"/>
              <w:left w:val="nil"/>
              <w:bottom w:val="double" w:color="auto" w:sz="2" w:space="0"/>
              <w:right w:val="double" w:color="auto" w:sz="2"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left"/>
            </w:pPr>
            <w:r>
              <w:rPr>
                <w:rFonts w:hint="eastAsia" w:ascii="宋体" w:hAnsi="宋体" w:eastAsia="宋体" w:cs="宋体"/>
                <w:color w:val="000000"/>
                <w:sz w:val="24"/>
                <w:szCs w:val="24"/>
              </w:rPr>
              <w:t>本期新大厅新采购LED显示屏</w:t>
            </w:r>
          </w:p>
        </w:tc>
      </w:tr>
    </w:tbl>
    <w:p>
      <w:pPr>
        <w:pStyle w:val="4"/>
        <w:keepNext w:val="0"/>
        <w:keepLines w:val="0"/>
        <w:widowControl/>
        <w:suppressLineNumbers w:val="0"/>
        <w:ind w:left="0" w:firstLine="0"/>
      </w:pPr>
      <w:r>
        <w:rPr>
          <w:rFonts w:hint="default" w:ascii="Calibri" w:hAnsi="Calibri" w:cs="Calibri"/>
          <w:sz w:val="24"/>
          <w:szCs w:val="24"/>
        </w:rPr>
        <w:t xml:space="preserve">1.6.4 </w:t>
      </w:r>
      <w:r>
        <w:rPr>
          <w:rFonts w:hint="eastAsia" w:ascii="黑体" w:hAnsi="宋体" w:eastAsia="黑体" w:cs="黑体"/>
          <w:sz w:val="24"/>
          <w:szCs w:val="24"/>
        </w:rPr>
        <w:t>应用系统迁移</w:t>
      </w:r>
    </w:p>
    <w:p>
      <w:pPr>
        <w:pStyle w:val="4"/>
        <w:keepNext w:val="0"/>
        <w:keepLines w:val="0"/>
        <w:widowControl/>
        <w:suppressLineNumbers w:val="0"/>
        <w:ind w:left="0" w:firstLine="0"/>
      </w:pPr>
      <w:r>
        <w:rPr>
          <w:rFonts w:hint="default" w:ascii="Calibri" w:hAnsi="Calibri" w:cs="Calibri"/>
          <w:sz w:val="24"/>
          <w:szCs w:val="24"/>
        </w:rPr>
        <w:t xml:space="preserve">1.6.5 </w:t>
      </w:r>
      <w:r>
        <w:rPr>
          <w:rFonts w:hint="eastAsia" w:ascii="黑体" w:hAnsi="宋体" w:eastAsia="黑体" w:cs="黑体"/>
          <w:sz w:val="24"/>
          <w:szCs w:val="24"/>
        </w:rPr>
        <w:t>应用系统迁移要求规范</w:t>
      </w:r>
    </w:p>
    <w:p>
      <w:pPr>
        <w:pStyle w:val="4"/>
        <w:keepNext w:val="0"/>
        <w:keepLines w:val="0"/>
        <w:widowControl/>
        <w:suppressLineNumbers w:val="0"/>
        <w:ind w:left="0" w:firstLine="480"/>
      </w:pPr>
      <w:r>
        <w:rPr>
          <w:rFonts w:hint="default" w:ascii="Calibri" w:hAnsi="Calibri" w:cs="Calibri"/>
          <w:sz w:val="24"/>
          <w:szCs w:val="24"/>
        </w:rPr>
        <w:t>1</w:t>
      </w:r>
      <w:r>
        <w:rPr>
          <w:rFonts w:hint="eastAsia" w:ascii="宋体" w:hAnsi="宋体" w:eastAsia="宋体" w:cs="宋体"/>
          <w:sz w:val="24"/>
          <w:szCs w:val="24"/>
        </w:rPr>
        <w:t>、本次迁移采用应用系统随物理设备一起搬迁的物理搬迁方案。为保证业务运行的持续性，搬迁的应用服务器和数据库服务器及各类应用终端要求其保持原有配置不改变（包括</w:t>
      </w:r>
      <w:r>
        <w:rPr>
          <w:rFonts w:hint="default" w:ascii="Calibri" w:hAnsi="Calibri" w:cs="Calibri"/>
          <w:sz w:val="24"/>
          <w:szCs w:val="24"/>
        </w:rPr>
        <w:t>IP</w:t>
      </w:r>
      <w:r>
        <w:rPr>
          <w:rFonts w:hint="eastAsia" w:ascii="宋体" w:hAnsi="宋体" w:eastAsia="宋体" w:cs="宋体"/>
          <w:sz w:val="24"/>
          <w:szCs w:val="24"/>
        </w:rPr>
        <w:t>地址）。</w:t>
      </w:r>
    </w:p>
    <w:p>
      <w:pPr>
        <w:pStyle w:val="4"/>
        <w:keepNext w:val="0"/>
        <w:keepLines w:val="0"/>
        <w:widowControl/>
        <w:suppressLineNumbers w:val="0"/>
        <w:ind w:left="0" w:firstLine="480"/>
      </w:pPr>
      <w:r>
        <w:rPr>
          <w:rFonts w:hint="default" w:ascii="Calibri" w:hAnsi="Calibri" w:cs="Calibri"/>
          <w:sz w:val="24"/>
          <w:szCs w:val="24"/>
        </w:rPr>
        <w:t>2</w:t>
      </w:r>
      <w:r>
        <w:rPr>
          <w:rFonts w:hint="eastAsia" w:ascii="宋体" w:hAnsi="宋体" w:eastAsia="宋体" w:cs="宋体"/>
          <w:sz w:val="24"/>
          <w:szCs w:val="24"/>
        </w:rPr>
        <w:t>、搬迁前做好设备软件、配置及数据备份工作。搬迁前将现有应用系统进行数据备份，避免由于设备搬迁过程中故障导致数据受损，以保障数据的完整性和可靠性。</w:t>
      </w:r>
    </w:p>
    <w:p>
      <w:pPr>
        <w:pStyle w:val="4"/>
        <w:keepNext w:val="0"/>
        <w:keepLines w:val="0"/>
        <w:widowControl/>
        <w:suppressLineNumbers w:val="0"/>
        <w:ind w:left="0" w:firstLine="480"/>
      </w:pPr>
      <w:r>
        <w:rPr>
          <w:rFonts w:hint="default" w:ascii="Calibri" w:hAnsi="Calibri" w:cs="Calibri"/>
          <w:sz w:val="24"/>
          <w:szCs w:val="24"/>
        </w:rPr>
        <w:t>3</w:t>
      </w:r>
      <w:r>
        <w:rPr>
          <w:rFonts w:hint="eastAsia" w:ascii="宋体" w:hAnsi="宋体" w:eastAsia="宋体" w:cs="宋体"/>
          <w:sz w:val="24"/>
          <w:szCs w:val="24"/>
        </w:rPr>
        <w:t>、搬迁后做好测试验证工作，以保证应用系统在搬迁后快速恢复正常运行。</w:t>
      </w:r>
    </w:p>
    <w:p>
      <w:pPr>
        <w:pStyle w:val="4"/>
        <w:keepNext w:val="0"/>
        <w:keepLines w:val="0"/>
        <w:widowControl/>
        <w:suppressLineNumbers w:val="0"/>
      </w:pPr>
      <w:r>
        <w:rPr>
          <w:rFonts w:hint="default" w:ascii="Calibri" w:hAnsi="Calibri" w:cs="Calibri"/>
          <w:sz w:val="24"/>
          <w:szCs w:val="24"/>
        </w:rPr>
        <w:t>1.6.5.1</w:t>
      </w:r>
      <w:r>
        <w:rPr>
          <w:rFonts w:hint="default" w:ascii="Times New Roman" w:hAnsi="Times New Roman" w:cs="Times New Roman"/>
          <w:sz w:val="13"/>
          <w:szCs w:val="13"/>
        </w:rPr>
        <w:t xml:space="preserve">    </w:t>
      </w:r>
      <w:r>
        <w:rPr>
          <w:rFonts w:hint="eastAsia" w:ascii="宋体" w:hAnsi="宋体" w:eastAsia="宋体" w:cs="宋体"/>
          <w:sz w:val="24"/>
          <w:szCs w:val="24"/>
        </w:rPr>
        <w:t>应用系统迁移说明</w:t>
      </w:r>
    </w:p>
    <w:p>
      <w:pPr>
        <w:pStyle w:val="4"/>
        <w:keepNext w:val="0"/>
        <w:keepLines w:val="0"/>
        <w:widowControl/>
        <w:suppressLineNumbers w:val="0"/>
        <w:ind w:left="0" w:firstLine="0"/>
      </w:pPr>
      <w:r>
        <w:rPr>
          <w:rFonts w:hint="default" w:ascii="Calibri" w:hAnsi="Calibri" w:cs="Calibri"/>
          <w:sz w:val="24"/>
          <w:szCs w:val="24"/>
        </w:rPr>
        <w:t>1.6.5.1.1</w:t>
      </w:r>
      <w:r>
        <w:rPr>
          <w:rFonts w:hint="default" w:ascii="Times New Roman" w:hAnsi="Times New Roman" w:cs="Times New Roman"/>
          <w:sz w:val="13"/>
          <w:szCs w:val="13"/>
        </w:rPr>
        <w:t xml:space="preserve">        </w:t>
      </w:r>
      <w:r>
        <w:rPr>
          <w:rFonts w:hint="eastAsia" w:ascii="宋体" w:hAnsi="宋体" w:eastAsia="宋体" w:cs="宋体"/>
          <w:sz w:val="24"/>
          <w:szCs w:val="24"/>
        </w:rPr>
        <w:t>政务服务一体化平台</w:t>
      </w:r>
    </w:p>
    <w:p>
      <w:pPr>
        <w:pStyle w:val="4"/>
        <w:keepNext w:val="0"/>
        <w:keepLines w:val="0"/>
        <w:widowControl/>
        <w:suppressLineNumbers w:val="0"/>
        <w:ind w:left="0" w:firstLine="480"/>
      </w:pPr>
      <w:r>
        <w:rPr>
          <w:rFonts w:hint="eastAsia" w:ascii="宋体" w:hAnsi="宋体" w:eastAsia="宋体" w:cs="宋体"/>
          <w:sz w:val="24"/>
          <w:szCs w:val="24"/>
        </w:rPr>
        <w:t>现福州高新区行政服务中心大厅已接入福州市政务服务一体化平台，平台系统包含：</w:t>
      </w:r>
    </w:p>
    <w:p>
      <w:pPr>
        <w:pStyle w:val="4"/>
        <w:keepNext w:val="0"/>
        <w:keepLines w:val="0"/>
        <w:widowControl/>
        <w:suppressLineNumbers w:val="0"/>
        <w:spacing w:before="0" w:beforeAutospacing="1" w:after="0" w:afterAutospacing="1"/>
        <w:ind w:left="900" w:right="0"/>
      </w:pPr>
      <w:r>
        <w:rPr>
          <w:rFonts w:hint="default" w:ascii="Calibri" w:hAnsi="Calibri" w:cs="Calibri"/>
          <w:sz w:val="24"/>
          <w:szCs w:val="24"/>
        </w:rPr>
        <w:t>1.</w:t>
      </w:r>
      <w:r>
        <w:rPr>
          <w:rFonts w:hint="default" w:ascii="Times New Roman" w:hAnsi="Times New Roman" w:cs="Times New Roman"/>
          <w:sz w:val="13"/>
          <w:szCs w:val="13"/>
        </w:rPr>
        <w:t xml:space="preserve">         </w:t>
      </w:r>
      <w:r>
        <w:rPr>
          <w:rFonts w:hint="eastAsia" w:ascii="宋体" w:hAnsi="宋体" w:eastAsia="宋体" w:cs="宋体"/>
          <w:sz w:val="24"/>
          <w:szCs w:val="24"/>
        </w:rPr>
        <w:t>综合受理子系统：含统一业务咨询管理、综合受理模块、统一出件模块和统一补齐补正共计</w:t>
      </w:r>
      <w:r>
        <w:rPr>
          <w:rFonts w:hint="default" w:ascii="Calibri" w:hAnsi="Calibri" w:cs="Calibri"/>
          <w:sz w:val="24"/>
          <w:szCs w:val="24"/>
        </w:rPr>
        <w:t>4</w:t>
      </w:r>
      <w:r>
        <w:rPr>
          <w:rFonts w:hint="eastAsia" w:ascii="宋体" w:hAnsi="宋体" w:eastAsia="宋体" w:cs="宋体"/>
          <w:sz w:val="24"/>
          <w:szCs w:val="24"/>
        </w:rPr>
        <w:t>个功能模块。</w:t>
      </w:r>
    </w:p>
    <w:p>
      <w:pPr>
        <w:pStyle w:val="4"/>
        <w:keepNext w:val="0"/>
        <w:keepLines w:val="0"/>
        <w:widowControl/>
        <w:suppressLineNumbers w:val="0"/>
        <w:spacing w:before="0" w:beforeAutospacing="1" w:after="0" w:afterAutospacing="1"/>
        <w:ind w:left="900" w:right="0"/>
      </w:pPr>
      <w:r>
        <w:rPr>
          <w:rFonts w:hint="default" w:ascii="Calibri" w:hAnsi="Calibri" w:cs="Calibri"/>
          <w:sz w:val="24"/>
          <w:szCs w:val="24"/>
        </w:rPr>
        <w:t>2.</w:t>
      </w:r>
      <w:r>
        <w:rPr>
          <w:rFonts w:hint="default" w:ascii="Times New Roman" w:hAnsi="Times New Roman" w:cs="Times New Roman"/>
          <w:sz w:val="13"/>
          <w:szCs w:val="13"/>
        </w:rPr>
        <w:t xml:space="preserve">         </w:t>
      </w:r>
      <w:r>
        <w:rPr>
          <w:rFonts w:hint="eastAsia" w:ascii="宋体" w:hAnsi="宋体" w:eastAsia="宋体" w:cs="宋体"/>
          <w:sz w:val="24"/>
          <w:szCs w:val="24"/>
        </w:rPr>
        <w:t>行政审批子系统：含业务办理模块、办公业务模块、统计分析模块、证照应用、电子签章集成、服务对象管理模块、归档管理模块和系统管理模块共计</w:t>
      </w:r>
      <w:r>
        <w:rPr>
          <w:rFonts w:hint="default" w:ascii="Calibri" w:hAnsi="Calibri" w:cs="Calibri"/>
          <w:sz w:val="24"/>
          <w:szCs w:val="24"/>
        </w:rPr>
        <w:t>8</w:t>
      </w:r>
      <w:r>
        <w:rPr>
          <w:rFonts w:hint="eastAsia" w:ascii="宋体" w:hAnsi="宋体" w:eastAsia="宋体" w:cs="宋体"/>
          <w:sz w:val="24"/>
          <w:szCs w:val="24"/>
        </w:rPr>
        <w:t>个功能模块。</w:t>
      </w:r>
    </w:p>
    <w:p>
      <w:pPr>
        <w:pStyle w:val="4"/>
        <w:keepNext w:val="0"/>
        <w:keepLines w:val="0"/>
        <w:widowControl/>
        <w:suppressLineNumbers w:val="0"/>
        <w:spacing w:before="0" w:beforeAutospacing="1" w:after="0" w:afterAutospacing="1"/>
        <w:ind w:left="900" w:right="0"/>
      </w:pPr>
      <w:r>
        <w:rPr>
          <w:rFonts w:hint="default" w:ascii="Calibri" w:hAnsi="Calibri" w:cs="Calibri"/>
          <w:sz w:val="24"/>
          <w:szCs w:val="24"/>
        </w:rPr>
        <w:t>3.</w:t>
      </w:r>
      <w:r>
        <w:rPr>
          <w:rFonts w:hint="default" w:ascii="Times New Roman" w:hAnsi="Times New Roman" w:cs="Times New Roman"/>
          <w:sz w:val="13"/>
          <w:szCs w:val="13"/>
        </w:rPr>
        <w:t xml:space="preserve">         </w:t>
      </w:r>
      <w:r>
        <w:rPr>
          <w:rFonts w:hint="eastAsia" w:ascii="宋体" w:hAnsi="宋体" w:eastAsia="宋体" w:cs="宋体"/>
          <w:sz w:val="24"/>
          <w:szCs w:val="24"/>
        </w:rPr>
        <w:t>应用支撑平台：含平台资源管理、组织机构、用户管理、权限管理、身份认证、应用管理共计</w:t>
      </w:r>
      <w:r>
        <w:rPr>
          <w:rFonts w:hint="default" w:ascii="Calibri" w:hAnsi="Calibri" w:cs="Calibri"/>
          <w:sz w:val="24"/>
          <w:szCs w:val="24"/>
        </w:rPr>
        <w:t>6</w:t>
      </w:r>
      <w:r>
        <w:rPr>
          <w:rFonts w:hint="eastAsia" w:ascii="宋体" w:hAnsi="宋体" w:eastAsia="宋体" w:cs="宋体"/>
          <w:sz w:val="24"/>
          <w:szCs w:val="24"/>
        </w:rPr>
        <w:t>个功能模块。</w:t>
      </w:r>
    </w:p>
    <w:p>
      <w:pPr>
        <w:pStyle w:val="4"/>
        <w:keepNext w:val="0"/>
        <w:keepLines w:val="0"/>
        <w:widowControl/>
        <w:suppressLineNumbers w:val="0"/>
        <w:ind w:left="0" w:firstLine="480"/>
      </w:pPr>
      <w:r>
        <w:rPr>
          <w:rFonts w:hint="eastAsia" w:ascii="宋体" w:hAnsi="宋体" w:eastAsia="宋体" w:cs="宋体"/>
          <w:sz w:val="24"/>
          <w:szCs w:val="24"/>
        </w:rPr>
        <w:t>福州市政务服务一体化平台部署在福州市政务云上，承载于智网环境，行政服务大厅通过</w:t>
      </w:r>
      <w:r>
        <w:rPr>
          <w:rFonts w:hint="default" w:ascii="Calibri" w:hAnsi="Calibri" w:cs="Calibri"/>
          <w:sz w:val="24"/>
          <w:szCs w:val="24"/>
        </w:rPr>
        <w:t>WEB</w:t>
      </w:r>
      <w:r>
        <w:rPr>
          <w:rFonts w:hint="eastAsia" w:ascii="宋体" w:hAnsi="宋体" w:eastAsia="宋体" w:cs="宋体"/>
          <w:sz w:val="24"/>
          <w:szCs w:val="24"/>
        </w:rPr>
        <w:t>方式访问上述应用系统，实现日常业务运行。</w:t>
      </w:r>
    </w:p>
    <w:p>
      <w:pPr>
        <w:pStyle w:val="4"/>
        <w:keepNext w:val="0"/>
        <w:keepLines w:val="0"/>
        <w:widowControl/>
        <w:suppressLineNumbers w:val="0"/>
        <w:ind w:left="0" w:firstLine="480"/>
      </w:pPr>
      <w:r>
        <w:rPr>
          <w:rFonts w:hint="eastAsia" w:ascii="宋体" w:hAnsi="宋体" w:eastAsia="宋体" w:cs="宋体"/>
          <w:sz w:val="24"/>
          <w:szCs w:val="24"/>
        </w:rPr>
        <w:t>此次大厅搬迁后，新建行政服务大厅需接入福州市政务服务一体化平台。</w:t>
      </w:r>
    </w:p>
    <w:p>
      <w:pPr>
        <w:pStyle w:val="4"/>
        <w:keepNext w:val="0"/>
        <w:keepLines w:val="0"/>
        <w:widowControl/>
        <w:suppressLineNumbers w:val="0"/>
        <w:ind w:left="0" w:firstLine="0"/>
      </w:pPr>
      <w:r>
        <w:rPr>
          <w:rFonts w:hint="default" w:ascii="Calibri" w:hAnsi="Calibri" w:cs="Calibri"/>
          <w:sz w:val="24"/>
          <w:szCs w:val="24"/>
        </w:rPr>
        <w:t>1.6.5.1.2</w:t>
      </w:r>
      <w:r>
        <w:rPr>
          <w:rFonts w:hint="default" w:ascii="Times New Roman" w:hAnsi="Times New Roman" w:cs="Times New Roman"/>
          <w:sz w:val="13"/>
          <w:szCs w:val="13"/>
        </w:rPr>
        <w:t xml:space="preserve">        </w:t>
      </w:r>
      <w:r>
        <w:rPr>
          <w:rFonts w:hint="eastAsia" w:ascii="宋体" w:hAnsi="宋体" w:eastAsia="宋体" w:cs="宋体"/>
          <w:sz w:val="24"/>
          <w:szCs w:val="24"/>
        </w:rPr>
        <w:t>智能化行政服务大厅系统</w:t>
      </w:r>
    </w:p>
    <w:p>
      <w:pPr>
        <w:pStyle w:val="4"/>
        <w:keepNext w:val="0"/>
        <w:keepLines w:val="0"/>
        <w:widowControl/>
        <w:suppressLineNumbers w:val="0"/>
        <w:ind w:left="0" w:firstLine="480"/>
      </w:pPr>
      <w:r>
        <w:rPr>
          <w:rFonts w:hint="eastAsia" w:ascii="宋体" w:hAnsi="宋体" w:eastAsia="宋体" w:cs="宋体"/>
          <w:sz w:val="24"/>
          <w:szCs w:val="24"/>
        </w:rPr>
        <w:t>基于政务服务一体化平台，行政服务中心建设了智能化行政服务大厅系统，形成政务服务网上服务与部门实体服务大厅（窗口）服务、线上服务与线下服务相结合的一体化政务服务模式。智能化行政服务大厅系统主要建设系统有：</w:t>
      </w:r>
    </w:p>
    <w:p>
      <w:pPr>
        <w:pStyle w:val="4"/>
        <w:keepNext w:val="0"/>
        <w:keepLines w:val="0"/>
        <w:widowControl/>
        <w:suppressLineNumbers w:val="0"/>
        <w:spacing w:before="0" w:beforeAutospacing="1" w:after="0" w:afterAutospacing="1"/>
        <w:ind w:left="900" w:right="0"/>
      </w:pPr>
      <w:r>
        <w:rPr>
          <w:rFonts w:hint="eastAsia" w:ascii="宋体" w:hAnsi="宋体" w:eastAsia="宋体" w:cs="宋体"/>
          <w:sz w:val="24"/>
          <w:szCs w:val="24"/>
        </w:rPr>
        <w:t>1.</w:t>
      </w:r>
      <w:r>
        <w:rPr>
          <w:rFonts w:hint="default" w:ascii="Times New Roman" w:hAnsi="Times New Roman" w:cs="Times New Roman"/>
          <w:sz w:val="13"/>
          <w:szCs w:val="13"/>
        </w:rPr>
        <w:t xml:space="preserve">   </w:t>
      </w:r>
      <w:r>
        <w:rPr>
          <w:rFonts w:hint="eastAsia" w:ascii="宋体" w:hAnsi="宋体" w:eastAsia="宋体" w:cs="宋体"/>
          <w:sz w:val="24"/>
          <w:szCs w:val="24"/>
        </w:rPr>
        <w:t>大厅管理系统</w:t>
      </w:r>
    </w:p>
    <w:p>
      <w:pPr>
        <w:pStyle w:val="4"/>
        <w:keepNext w:val="0"/>
        <w:keepLines w:val="0"/>
        <w:widowControl/>
        <w:suppressLineNumbers w:val="0"/>
        <w:spacing w:before="0" w:beforeAutospacing="1" w:after="0" w:afterAutospacing="1"/>
        <w:ind w:left="900" w:right="0"/>
      </w:pPr>
      <w:r>
        <w:rPr>
          <w:rFonts w:hint="eastAsia" w:ascii="宋体" w:hAnsi="宋体" w:eastAsia="宋体" w:cs="宋体"/>
          <w:sz w:val="24"/>
          <w:szCs w:val="24"/>
        </w:rPr>
        <w:t>2.</w:t>
      </w:r>
      <w:r>
        <w:rPr>
          <w:rFonts w:hint="default" w:ascii="Times New Roman" w:hAnsi="Times New Roman" w:cs="Times New Roman"/>
          <w:sz w:val="13"/>
          <w:szCs w:val="13"/>
        </w:rPr>
        <w:t xml:space="preserve">   </w:t>
      </w:r>
      <w:r>
        <w:rPr>
          <w:rFonts w:hint="eastAsia" w:ascii="宋体" w:hAnsi="宋体" w:eastAsia="宋体" w:cs="宋体"/>
          <w:sz w:val="24"/>
          <w:szCs w:val="24"/>
        </w:rPr>
        <w:t>排队叫号系统</w:t>
      </w:r>
    </w:p>
    <w:p>
      <w:pPr>
        <w:pStyle w:val="4"/>
        <w:keepNext w:val="0"/>
        <w:keepLines w:val="0"/>
        <w:widowControl/>
        <w:suppressLineNumbers w:val="0"/>
        <w:spacing w:before="0" w:beforeAutospacing="1" w:after="0" w:afterAutospacing="1"/>
        <w:ind w:left="900" w:right="0"/>
      </w:pPr>
      <w:r>
        <w:rPr>
          <w:rFonts w:hint="eastAsia" w:ascii="宋体" w:hAnsi="宋体" w:eastAsia="宋体" w:cs="宋体"/>
          <w:sz w:val="24"/>
          <w:szCs w:val="24"/>
        </w:rPr>
        <w:t>3.</w:t>
      </w:r>
      <w:r>
        <w:rPr>
          <w:rFonts w:hint="default" w:ascii="Times New Roman" w:hAnsi="Times New Roman" w:cs="Times New Roman"/>
          <w:sz w:val="13"/>
          <w:szCs w:val="13"/>
        </w:rPr>
        <w:t xml:space="preserve">   </w:t>
      </w:r>
      <w:r>
        <w:rPr>
          <w:rFonts w:hint="eastAsia" w:ascii="宋体" w:hAnsi="宋体" w:eastAsia="宋体" w:cs="宋体"/>
          <w:sz w:val="24"/>
          <w:szCs w:val="24"/>
        </w:rPr>
        <w:t>TV叫号显示系统</w:t>
      </w:r>
    </w:p>
    <w:p>
      <w:pPr>
        <w:pStyle w:val="4"/>
        <w:keepNext w:val="0"/>
        <w:keepLines w:val="0"/>
        <w:widowControl/>
        <w:suppressLineNumbers w:val="0"/>
        <w:spacing w:before="0" w:beforeAutospacing="1" w:after="0" w:afterAutospacing="1"/>
        <w:ind w:left="900" w:right="0"/>
      </w:pPr>
      <w:r>
        <w:rPr>
          <w:rFonts w:hint="eastAsia" w:ascii="宋体" w:hAnsi="宋体" w:eastAsia="宋体" w:cs="宋体"/>
          <w:sz w:val="24"/>
          <w:szCs w:val="24"/>
        </w:rPr>
        <w:t>4.</w:t>
      </w:r>
      <w:r>
        <w:rPr>
          <w:rFonts w:hint="default" w:ascii="Times New Roman" w:hAnsi="Times New Roman" w:cs="Times New Roman"/>
          <w:sz w:val="13"/>
          <w:szCs w:val="13"/>
        </w:rPr>
        <w:t xml:space="preserve">   </w:t>
      </w:r>
      <w:r>
        <w:rPr>
          <w:rFonts w:hint="eastAsia" w:ascii="宋体" w:hAnsi="宋体" w:eastAsia="宋体" w:cs="宋体"/>
          <w:sz w:val="24"/>
          <w:szCs w:val="24"/>
        </w:rPr>
        <w:t>查询一体机系统</w:t>
      </w:r>
    </w:p>
    <w:p>
      <w:pPr>
        <w:pStyle w:val="4"/>
        <w:keepNext w:val="0"/>
        <w:keepLines w:val="0"/>
        <w:widowControl/>
        <w:suppressLineNumbers w:val="0"/>
        <w:spacing w:before="0" w:beforeAutospacing="1" w:after="0" w:afterAutospacing="1"/>
        <w:ind w:left="900" w:right="0"/>
      </w:pPr>
      <w:r>
        <w:rPr>
          <w:rFonts w:hint="eastAsia" w:ascii="宋体" w:hAnsi="宋体" w:eastAsia="宋体" w:cs="宋体"/>
          <w:sz w:val="24"/>
          <w:szCs w:val="24"/>
        </w:rPr>
        <w:t>5.</w:t>
      </w:r>
      <w:r>
        <w:rPr>
          <w:rFonts w:hint="default" w:ascii="Times New Roman" w:hAnsi="Times New Roman" w:cs="Times New Roman"/>
          <w:sz w:val="13"/>
          <w:szCs w:val="13"/>
        </w:rPr>
        <w:t xml:space="preserve">   </w:t>
      </w:r>
      <w:r>
        <w:rPr>
          <w:rFonts w:hint="eastAsia" w:ascii="宋体" w:hAnsi="宋体" w:eastAsia="宋体" w:cs="宋体"/>
          <w:sz w:val="24"/>
          <w:szCs w:val="24"/>
        </w:rPr>
        <w:t>评价器系统</w:t>
      </w:r>
    </w:p>
    <w:p>
      <w:pPr>
        <w:pStyle w:val="4"/>
        <w:keepNext w:val="0"/>
        <w:keepLines w:val="0"/>
        <w:widowControl/>
        <w:suppressLineNumbers w:val="0"/>
        <w:spacing w:before="0" w:beforeAutospacing="1" w:after="0" w:afterAutospacing="1"/>
        <w:ind w:left="900" w:right="0"/>
      </w:pPr>
      <w:r>
        <w:rPr>
          <w:rFonts w:hint="eastAsia" w:ascii="宋体" w:hAnsi="宋体" w:eastAsia="宋体" w:cs="宋体"/>
          <w:sz w:val="24"/>
          <w:szCs w:val="24"/>
        </w:rPr>
        <w:t>6.</w:t>
      </w:r>
      <w:r>
        <w:rPr>
          <w:rFonts w:hint="default" w:ascii="Times New Roman" w:hAnsi="Times New Roman" w:cs="Times New Roman"/>
          <w:sz w:val="13"/>
          <w:szCs w:val="13"/>
        </w:rPr>
        <w:t xml:space="preserve">   </w:t>
      </w:r>
      <w:r>
        <w:rPr>
          <w:rFonts w:hint="eastAsia" w:ascii="宋体" w:hAnsi="宋体" w:eastAsia="宋体" w:cs="宋体"/>
          <w:sz w:val="24"/>
          <w:szCs w:val="24"/>
        </w:rPr>
        <w:t>LED显示屏</w:t>
      </w:r>
    </w:p>
    <w:p>
      <w:pPr>
        <w:pStyle w:val="4"/>
        <w:keepNext w:val="0"/>
        <w:keepLines w:val="0"/>
        <w:widowControl/>
        <w:suppressLineNumbers w:val="0"/>
        <w:ind w:left="0" w:firstLine="480"/>
      </w:pPr>
      <w:r>
        <w:rPr>
          <w:rFonts w:hint="eastAsia" w:ascii="宋体" w:hAnsi="宋体" w:eastAsia="宋体" w:cs="宋体"/>
          <w:sz w:val="24"/>
          <w:szCs w:val="24"/>
        </w:rPr>
        <w:t>本次搬迁以上系统需要进行重新调试，调试内容见后面详细方案</w:t>
      </w:r>
    </w:p>
    <w:p>
      <w:pPr>
        <w:pStyle w:val="4"/>
        <w:keepNext w:val="0"/>
        <w:keepLines w:val="0"/>
        <w:widowControl/>
        <w:suppressLineNumbers w:val="0"/>
      </w:pPr>
      <w:r>
        <w:rPr>
          <w:rFonts w:hint="default" w:ascii="Calibri" w:hAnsi="Calibri" w:cs="Calibri"/>
          <w:sz w:val="24"/>
          <w:szCs w:val="24"/>
        </w:rPr>
        <w:t xml:space="preserve">1.6.5.2 </w:t>
      </w:r>
      <w:r>
        <w:rPr>
          <w:rFonts w:hint="eastAsia" w:ascii="宋体" w:hAnsi="宋体" w:eastAsia="宋体" w:cs="宋体"/>
          <w:sz w:val="24"/>
          <w:szCs w:val="24"/>
        </w:rPr>
        <w:t>系统和数据备份恢复</w:t>
      </w:r>
    </w:p>
    <w:p>
      <w:pPr>
        <w:pStyle w:val="4"/>
        <w:keepNext w:val="0"/>
        <w:keepLines w:val="0"/>
        <w:widowControl/>
        <w:suppressLineNumbers w:val="0"/>
        <w:ind w:left="0" w:firstLine="0"/>
      </w:pPr>
      <w:r>
        <w:rPr>
          <w:rFonts w:hint="default" w:ascii="Calibri" w:hAnsi="Calibri" w:cs="Calibri"/>
          <w:sz w:val="24"/>
          <w:szCs w:val="24"/>
        </w:rPr>
        <w:t>1.6.5.2.1</w:t>
      </w:r>
      <w:r>
        <w:rPr>
          <w:rFonts w:hint="default" w:ascii="Times New Roman" w:hAnsi="Times New Roman" w:cs="Times New Roman"/>
          <w:sz w:val="13"/>
          <w:szCs w:val="13"/>
        </w:rPr>
        <w:t xml:space="preserve">        </w:t>
      </w:r>
      <w:r>
        <w:rPr>
          <w:rFonts w:hint="eastAsia" w:ascii="宋体" w:hAnsi="宋体" w:eastAsia="宋体" w:cs="宋体"/>
          <w:sz w:val="24"/>
          <w:szCs w:val="24"/>
        </w:rPr>
        <w:t>数据备份保障</w:t>
      </w:r>
    </w:p>
    <w:p>
      <w:pPr>
        <w:pStyle w:val="4"/>
        <w:keepNext w:val="0"/>
        <w:keepLines w:val="0"/>
        <w:widowControl/>
        <w:suppressLineNumbers w:val="0"/>
        <w:ind w:left="360" w:firstLine="480"/>
      </w:pPr>
      <w:r>
        <w:rPr>
          <w:rFonts w:hint="eastAsia" w:ascii="宋体" w:hAnsi="宋体" w:eastAsia="宋体" w:cs="宋体"/>
          <w:sz w:val="24"/>
          <w:szCs w:val="24"/>
        </w:rPr>
        <w:t>智能化行政服务大厅系统的支行产生了业务数据存储于服务自带的存储中。在迁移前需进行数据提取、清洗和整理，可采用系统自带程度或其他专业应用工具进行数据的转载。</w:t>
      </w:r>
    </w:p>
    <w:p>
      <w:pPr>
        <w:pStyle w:val="4"/>
        <w:keepNext w:val="0"/>
        <w:keepLines w:val="0"/>
        <w:widowControl/>
        <w:suppressLineNumbers w:val="0"/>
        <w:ind w:left="0" w:firstLine="0"/>
      </w:pPr>
      <w:r>
        <w:rPr>
          <w:rFonts w:hint="default" w:ascii="Calibri" w:hAnsi="Calibri" w:cs="Calibri"/>
          <w:sz w:val="24"/>
          <w:szCs w:val="24"/>
        </w:rPr>
        <w:t>1.6.5.2.2</w:t>
      </w:r>
      <w:r>
        <w:rPr>
          <w:rFonts w:hint="default" w:ascii="Times New Roman" w:hAnsi="Times New Roman" w:cs="Times New Roman"/>
          <w:sz w:val="13"/>
          <w:szCs w:val="13"/>
        </w:rPr>
        <w:t xml:space="preserve">        </w:t>
      </w:r>
      <w:r>
        <w:rPr>
          <w:rFonts w:hint="eastAsia" w:ascii="宋体" w:hAnsi="宋体" w:eastAsia="宋体" w:cs="宋体"/>
          <w:sz w:val="24"/>
          <w:szCs w:val="24"/>
        </w:rPr>
        <w:t>程序及配置文件备份</w:t>
      </w:r>
    </w:p>
    <w:p>
      <w:pPr>
        <w:pStyle w:val="4"/>
        <w:keepNext w:val="0"/>
        <w:keepLines w:val="0"/>
        <w:widowControl/>
        <w:suppressLineNumbers w:val="0"/>
        <w:ind w:left="360" w:firstLine="480"/>
      </w:pPr>
      <w:r>
        <w:rPr>
          <w:rFonts w:hint="eastAsia" w:ascii="宋体" w:hAnsi="宋体" w:eastAsia="宋体" w:cs="宋体"/>
          <w:sz w:val="24"/>
          <w:szCs w:val="24"/>
        </w:rPr>
        <w:t>针对需要搬迁的业务系统，若是</w:t>
      </w:r>
      <w:r>
        <w:rPr>
          <w:rFonts w:hint="default" w:ascii="Calibri" w:hAnsi="Calibri" w:cs="Calibri"/>
          <w:sz w:val="24"/>
          <w:szCs w:val="24"/>
        </w:rPr>
        <w:t>BS</w:t>
      </w:r>
      <w:r>
        <w:rPr>
          <w:rFonts w:hint="eastAsia" w:ascii="宋体" w:hAnsi="宋体" w:eastAsia="宋体" w:cs="宋体"/>
          <w:sz w:val="24"/>
          <w:szCs w:val="24"/>
        </w:rPr>
        <w:t>架构的系统，且部署在福州政务云平台上应用，无需备份；若是</w:t>
      </w:r>
      <w:r>
        <w:rPr>
          <w:rFonts w:hint="default" w:ascii="Calibri" w:hAnsi="Calibri" w:cs="Calibri"/>
          <w:sz w:val="24"/>
          <w:szCs w:val="24"/>
        </w:rPr>
        <w:t>CS</w:t>
      </w:r>
      <w:r>
        <w:rPr>
          <w:rFonts w:hint="eastAsia" w:ascii="宋体" w:hAnsi="宋体" w:eastAsia="宋体" w:cs="宋体"/>
          <w:sz w:val="24"/>
          <w:szCs w:val="24"/>
        </w:rPr>
        <w:t>架构的系统，在终端设备停机的状态下，随终端设备一并搬迁。</w:t>
      </w:r>
    </w:p>
    <w:p>
      <w:pPr>
        <w:pStyle w:val="4"/>
        <w:keepNext w:val="0"/>
        <w:keepLines w:val="0"/>
        <w:widowControl/>
        <w:suppressLineNumbers w:val="0"/>
        <w:ind w:left="0" w:firstLine="0"/>
      </w:pPr>
      <w:r>
        <w:rPr>
          <w:rFonts w:hint="default" w:ascii="Calibri" w:hAnsi="Calibri" w:cs="Calibri"/>
          <w:sz w:val="24"/>
          <w:szCs w:val="24"/>
        </w:rPr>
        <w:t>1.6.5.2.3</w:t>
      </w:r>
      <w:r>
        <w:rPr>
          <w:rFonts w:hint="default" w:ascii="Times New Roman" w:hAnsi="Times New Roman" w:cs="Times New Roman"/>
          <w:sz w:val="13"/>
          <w:szCs w:val="13"/>
        </w:rPr>
        <w:t xml:space="preserve">        </w:t>
      </w:r>
      <w:r>
        <w:rPr>
          <w:rFonts w:hint="eastAsia" w:ascii="宋体" w:hAnsi="宋体" w:eastAsia="宋体" w:cs="宋体"/>
          <w:sz w:val="24"/>
          <w:szCs w:val="24"/>
        </w:rPr>
        <w:t>设备重启测试验证</w:t>
      </w:r>
    </w:p>
    <w:p>
      <w:pPr>
        <w:pStyle w:val="4"/>
        <w:keepNext w:val="0"/>
        <w:keepLines w:val="0"/>
        <w:widowControl/>
        <w:suppressLineNumbers w:val="0"/>
        <w:ind w:left="360" w:firstLine="480"/>
      </w:pPr>
      <w:r>
        <w:rPr>
          <w:rFonts w:hint="eastAsia" w:ascii="宋体" w:hAnsi="宋体" w:eastAsia="宋体" w:cs="宋体"/>
          <w:sz w:val="24"/>
          <w:szCs w:val="24"/>
        </w:rPr>
        <w:t>由于搬迁后的网络环境变化，需针对各个系统进行逐个客户端的调试。</w:t>
      </w:r>
    </w:p>
    <w:p>
      <w:pPr>
        <w:pStyle w:val="4"/>
        <w:keepNext w:val="0"/>
        <w:keepLines w:val="0"/>
        <w:widowControl/>
        <w:suppressLineNumbers w:val="0"/>
        <w:ind w:left="0" w:firstLine="0"/>
      </w:pPr>
      <w:r>
        <w:rPr>
          <w:rFonts w:hint="eastAsia" w:ascii="宋体" w:hAnsi="宋体" w:eastAsia="宋体" w:cs="宋体"/>
          <w:sz w:val="24"/>
          <w:szCs w:val="24"/>
        </w:rPr>
        <w:t>1.6.6</w:t>
      </w:r>
      <w:r>
        <w:rPr>
          <w:rFonts w:hint="default" w:ascii="Times New Roman" w:hAnsi="Times New Roman" w:cs="Times New Roman"/>
          <w:sz w:val="13"/>
          <w:szCs w:val="13"/>
        </w:rPr>
        <w:t xml:space="preserve">   </w:t>
      </w:r>
      <w:r>
        <w:rPr>
          <w:rFonts w:hint="eastAsia" w:ascii="宋体" w:hAnsi="宋体" w:eastAsia="宋体" w:cs="宋体"/>
          <w:sz w:val="24"/>
          <w:szCs w:val="24"/>
        </w:rPr>
        <w:t>搬迁时间保障</w:t>
      </w:r>
    </w:p>
    <w:p>
      <w:pPr>
        <w:pStyle w:val="4"/>
        <w:keepNext w:val="0"/>
        <w:keepLines w:val="0"/>
        <w:widowControl/>
        <w:suppressLineNumbers w:val="0"/>
        <w:ind w:left="360" w:firstLine="480"/>
      </w:pPr>
      <w:r>
        <w:rPr>
          <w:rFonts w:hint="eastAsia" w:ascii="宋体" w:hAnsi="宋体" w:eastAsia="宋体" w:cs="宋体"/>
          <w:sz w:val="24"/>
          <w:szCs w:val="24"/>
        </w:rPr>
        <w:t>为保障业务受理不被中断，搬迁时间定在非工作日进行，同时为了保障在工作日前启用，承建公司需要保障人力投入，确保搬迁工作在非工作日内完成。</w:t>
      </w:r>
    </w:p>
    <w:p>
      <w:pPr>
        <w:pStyle w:val="4"/>
        <w:keepNext w:val="0"/>
        <w:keepLines w:val="0"/>
        <w:widowControl/>
        <w:suppressLineNumbers w:val="0"/>
        <w:ind w:left="0" w:firstLine="0"/>
      </w:pPr>
      <w:r>
        <w:rPr>
          <w:rFonts w:hint="eastAsia" w:ascii="宋体" w:hAnsi="宋体" w:eastAsia="宋体" w:cs="宋体"/>
          <w:color w:val="000000"/>
          <w:sz w:val="24"/>
          <w:szCs w:val="24"/>
        </w:rPr>
        <w:t>1.7</w:t>
      </w:r>
      <w:r>
        <w:rPr>
          <w:rFonts w:hint="default" w:ascii="Times New Roman" w:hAnsi="Times New Roman" w:cs="Times New Roman"/>
          <w:color w:val="000000"/>
          <w:sz w:val="13"/>
          <w:szCs w:val="13"/>
        </w:rPr>
        <w:t xml:space="preserve">   </w:t>
      </w:r>
      <w:r>
        <w:rPr>
          <w:rFonts w:hint="eastAsia" w:ascii="宋体" w:hAnsi="宋体" w:eastAsia="宋体" w:cs="宋体"/>
          <w:sz w:val="24"/>
          <w:szCs w:val="24"/>
        </w:rPr>
        <w:t>智能化行政服务大厅系统调试</w:t>
      </w:r>
    </w:p>
    <w:p>
      <w:pPr>
        <w:pStyle w:val="4"/>
        <w:keepNext w:val="0"/>
        <w:keepLines w:val="0"/>
        <w:widowControl/>
        <w:suppressLineNumbers w:val="0"/>
        <w:ind w:left="0" w:firstLine="0"/>
      </w:pPr>
      <w:r>
        <w:rPr>
          <w:rFonts w:hint="eastAsia" w:ascii="宋体" w:hAnsi="宋体" w:eastAsia="宋体" w:cs="宋体"/>
          <w:sz w:val="24"/>
          <w:szCs w:val="24"/>
        </w:rPr>
        <w:t>1.7.1</w:t>
      </w:r>
      <w:r>
        <w:rPr>
          <w:rFonts w:hint="default" w:ascii="Times New Roman" w:hAnsi="Times New Roman" w:cs="Times New Roman"/>
          <w:sz w:val="13"/>
          <w:szCs w:val="13"/>
        </w:rPr>
        <w:t xml:space="preserve">     </w:t>
      </w:r>
      <w:r>
        <w:rPr>
          <w:rFonts w:hint="eastAsia" w:ascii="宋体" w:hAnsi="宋体" w:eastAsia="宋体" w:cs="宋体"/>
          <w:sz w:val="24"/>
          <w:szCs w:val="24"/>
        </w:rPr>
        <w:t>大厅管理系统</w:t>
      </w:r>
    </w:p>
    <w:p>
      <w:pPr>
        <w:pStyle w:val="4"/>
        <w:keepNext w:val="0"/>
        <w:keepLines w:val="0"/>
        <w:widowControl/>
        <w:suppressLineNumbers w:val="0"/>
        <w:ind w:left="420" w:firstLine="0"/>
      </w:pPr>
      <w:r>
        <w:rPr>
          <w:rFonts w:hint="default" w:ascii="Calibri" w:hAnsi="Calibri" w:cs="Calibri"/>
          <w:sz w:val="24"/>
          <w:szCs w:val="24"/>
        </w:rPr>
        <w:t>1.7.1.1</w:t>
      </w:r>
      <w:r>
        <w:rPr>
          <w:rFonts w:hint="default" w:ascii="Times New Roman" w:hAnsi="Times New Roman" w:cs="Times New Roman"/>
          <w:sz w:val="13"/>
          <w:szCs w:val="13"/>
        </w:rPr>
        <w:t xml:space="preserve">      </w:t>
      </w:r>
      <w:r>
        <w:rPr>
          <w:rFonts w:hint="eastAsia" w:ascii="宋体" w:hAnsi="宋体" w:eastAsia="宋体" w:cs="宋体"/>
          <w:sz w:val="24"/>
          <w:szCs w:val="24"/>
        </w:rPr>
        <w:t>调试数量</w:t>
      </w:r>
    </w:p>
    <w:p>
      <w:pPr>
        <w:pStyle w:val="4"/>
        <w:keepNext w:val="0"/>
        <w:keepLines w:val="0"/>
        <w:widowControl/>
        <w:suppressLineNumbers w:val="0"/>
        <w:ind w:left="360" w:firstLine="480"/>
      </w:pPr>
      <w:r>
        <w:rPr>
          <w:rFonts w:hint="eastAsia" w:ascii="宋体" w:hAnsi="宋体" w:eastAsia="宋体" w:cs="宋体"/>
          <w:sz w:val="24"/>
          <w:szCs w:val="24"/>
        </w:rPr>
        <w:t>政务服务大厅管理系统</w:t>
      </w:r>
      <w:r>
        <w:rPr>
          <w:rFonts w:hint="default" w:ascii="Calibri" w:hAnsi="Calibri" w:cs="Calibri"/>
          <w:sz w:val="24"/>
          <w:szCs w:val="24"/>
        </w:rPr>
        <w:t>1</w:t>
      </w:r>
      <w:r>
        <w:rPr>
          <w:rFonts w:hint="eastAsia" w:ascii="宋体" w:hAnsi="宋体" w:eastAsia="宋体" w:cs="宋体"/>
          <w:sz w:val="24"/>
          <w:szCs w:val="24"/>
        </w:rPr>
        <w:t>套。</w:t>
      </w:r>
    </w:p>
    <w:p>
      <w:pPr>
        <w:pStyle w:val="4"/>
        <w:keepNext w:val="0"/>
        <w:keepLines w:val="0"/>
        <w:widowControl/>
        <w:suppressLineNumbers w:val="0"/>
        <w:ind w:left="420" w:firstLine="0"/>
      </w:pPr>
      <w:r>
        <w:rPr>
          <w:rFonts w:hint="default" w:ascii="Calibri" w:hAnsi="Calibri" w:cs="Calibri"/>
          <w:sz w:val="24"/>
          <w:szCs w:val="24"/>
        </w:rPr>
        <w:t>1.7.1.2</w:t>
      </w:r>
      <w:r>
        <w:rPr>
          <w:rFonts w:hint="default" w:ascii="Times New Roman" w:hAnsi="Times New Roman" w:cs="Times New Roman"/>
          <w:sz w:val="13"/>
          <w:szCs w:val="13"/>
        </w:rPr>
        <w:t xml:space="preserve">      </w:t>
      </w:r>
      <w:r>
        <w:rPr>
          <w:rFonts w:hint="eastAsia" w:ascii="宋体" w:hAnsi="宋体" w:eastAsia="宋体" w:cs="宋体"/>
          <w:sz w:val="24"/>
          <w:szCs w:val="24"/>
        </w:rPr>
        <w:t>调试功能明细</w:t>
      </w:r>
    </w:p>
    <w:p>
      <w:pPr>
        <w:pStyle w:val="4"/>
        <w:keepNext w:val="0"/>
        <w:keepLines w:val="0"/>
        <w:widowControl/>
        <w:suppressLineNumbers w:val="0"/>
        <w:ind w:left="0" w:firstLine="0"/>
      </w:pPr>
      <w:r>
        <w:rPr>
          <w:rFonts w:hint="eastAsia" w:ascii="宋体" w:hAnsi="宋体" w:eastAsia="宋体" w:cs="宋体"/>
          <w:sz w:val="24"/>
          <w:szCs w:val="24"/>
        </w:rPr>
        <w:t>1.7.1.2.1</w:t>
      </w:r>
      <w:r>
        <w:rPr>
          <w:rFonts w:hint="default" w:ascii="Times New Roman" w:hAnsi="Times New Roman" w:cs="Times New Roman"/>
          <w:sz w:val="13"/>
          <w:szCs w:val="13"/>
        </w:rPr>
        <w:t xml:space="preserve">   </w:t>
      </w:r>
      <w:r>
        <w:rPr>
          <w:rFonts w:hint="eastAsia" w:ascii="宋体" w:hAnsi="宋体" w:eastAsia="宋体" w:cs="宋体"/>
          <w:sz w:val="24"/>
          <w:szCs w:val="24"/>
        </w:rPr>
        <w:t>服务部门管理</w:t>
      </w:r>
    </w:p>
    <w:p>
      <w:pPr>
        <w:pStyle w:val="4"/>
        <w:keepNext w:val="0"/>
        <w:keepLines w:val="0"/>
        <w:widowControl/>
        <w:suppressLineNumbers w:val="0"/>
        <w:ind w:left="420" w:firstLine="135"/>
      </w:pPr>
      <w:r>
        <w:rPr>
          <w:rFonts w:hint="eastAsia" w:ascii="宋体" w:hAnsi="宋体" w:eastAsia="宋体" w:cs="宋体"/>
          <w:sz w:val="24"/>
          <w:szCs w:val="24"/>
        </w:rPr>
        <w:t>1.7.1.2.1.1</w:t>
      </w:r>
      <w:r>
        <w:rPr>
          <w:rFonts w:hint="default" w:ascii="Times New Roman" w:hAnsi="Times New Roman" w:cs="Times New Roman"/>
          <w:sz w:val="13"/>
          <w:szCs w:val="13"/>
        </w:rPr>
        <w:t xml:space="preserve">   </w:t>
      </w:r>
      <w:r>
        <w:rPr>
          <w:rFonts w:hint="eastAsia" w:ascii="宋体" w:hAnsi="宋体" w:eastAsia="宋体" w:cs="宋体"/>
          <w:sz w:val="24"/>
          <w:szCs w:val="24"/>
        </w:rPr>
        <w:t>人员入驻管理</w:t>
      </w:r>
    </w:p>
    <w:p>
      <w:pPr>
        <w:pStyle w:val="4"/>
        <w:keepNext w:val="0"/>
        <w:keepLines w:val="0"/>
        <w:widowControl/>
        <w:suppressLineNumbers w:val="0"/>
        <w:ind w:left="0" w:firstLine="480"/>
      </w:pPr>
      <w:r>
        <w:rPr>
          <w:rFonts w:hint="eastAsia" w:ascii="宋体" w:hAnsi="宋体" w:eastAsia="宋体" w:cs="宋体"/>
          <w:sz w:val="24"/>
          <w:szCs w:val="24"/>
        </w:rPr>
        <w:t>提供人员入驻管理流程，对进驻政务服务中心的人员进行流程化管理，为人员分配工位、系统帐号、人员照片等，并可与各业务系统进行自动联动，包括人员的入驻、变更、注销、调遣等流程。</w:t>
      </w:r>
    </w:p>
    <w:p>
      <w:pPr>
        <w:pStyle w:val="4"/>
        <w:keepNext w:val="0"/>
        <w:keepLines w:val="0"/>
        <w:widowControl/>
        <w:suppressLineNumbers w:val="0"/>
        <w:ind w:left="420" w:firstLine="135"/>
      </w:pPr>
      <w:r>
        <w:rPr>
          <w:rFonts w:hint="eastAsia" w:ascii="宋体" w:hAnsi="宋体" w:eastAsia="宋体" w:cs="宋体"/>
          <w:sz w:val="24"/>
          <w:szCs w:val="24"/>
        </w:rPr>
        <w:t>1.7.1.2.1.2</w:t>
      </w:r>
      <w:r>
        <w:rPr>
          <w:rFonts w:hint="default" w:ascii="Times New Roman" w:hAnsi="Times New Roman" w:cs="Times New Roman"/>
          <w:sz w:val="13"/>
          <w:szCs w:val="13"/>
        </w:rPr>
        <w:t xml:space="preserve">   </w:t>
      </w:r>
      <w:r>
        <w:rPr>
          <w:rFonts w:hint="eastAsia" w:ascii="宋体" w:hAnsi="宋体" w:eastAsia="宋体" w:cs="宋体"/>
          <w:sz w:val="24"/>
          <w:szCs w:val="24"/>
        </w:rPr>
        <w:t>部门入驻联动管理</w:t>
      </w:r>
    </w:p>
    <w:p>
      <w:pPr>
        <w:pStyle w:val="4"/>
        <w:keepNext w:val="0"/>
        <w:keepLines w:val="0"/>
        <w:widowControl/>
        <w:suppressLineNumbers w:val="0"/>
        <w:ind w:left="0" w:firstLine="480"/>
      </w:pPr>
      <w:r>
        <w:rPr>
          <w:rFonts w:hint="eastAsia" w:ascii="宋体" w:hAnsi="宋体" w:eastAsia="宋体" w:cs="宋体"/>
          <w:sz w:val="24"/>
          <w:szCs w:val="24"/>
        </w:rPr>
        <w:t>委办局申请进驻政务服务大厅时，先需要与政务服务中心沟通进驻需要的房间、窗口、进驻大厅的人员以及各窗口办理的业务，同时提出对相关配备的电脑、网口等需求，政务服务中心进行指导，帮助委局完成相关表格。</w:t>
      </w:r>
    </w:p>
    <w:p>
      <w:pPr>
        <w:pStyle w:val="4"/>
        <w:keepNext w:val="0"/>
        <w:keepLines w:val="0"/>
        <w:widowControl/>
        <w:suppressLineNumbers w:val="0"/>
        <w:ind w:left="0" w:firstLine="480"/>
      </w:pPr>
      <w:r>
        <w:rPr>
          <w:rFonts w:hint="eastAsia" w:ascii="宋体" w:hAnsi="宋体" w:eastAsia="宋体" w:cs="宋体"/>
          <w:sz w:val="24"/>
          <w:szCs w:val="24"/>
        </w:rPr>
        <w:t>系统同时提供了变更、注销等联动管理功能。</w:t>
      </w:r>
    </w:p>
    <w:p>
      <w:pPr>
        <w:pStyle w:val="4"/>
        <w:keepNext w:val="0"/>
        <w:keepLines w:val="0"/>
        <w:widowControl/>
        <w:suppressLineNumbers w:val="0"/>
        <w:ind w:left="420" w:firstLine="135"/>
      </w:pPr>
      <w:r>
        <w:rPr>
          <w:rFonts w:hint="eastAsia" w:ascii="宋体" w:hAnsi="宋体" w:eastAsia="宋体" w:cs="宋体"/>
          <w:sz w:val="24"/>
          <w:szCs w:val="24"/>
        </w:rPr>
        <w:t>1.7.1.2.1.3</w:t>
      </w:r>
      <w:r>
        <w:rPr>
          <w:rFonts w:hint="default" w:ascii="Times New Roman" w:hAnsi="Times New Roman" w:cs="Times New Roman"/>
          <w:sz w:val="13"/>
          <w:szCs w:val="13"/>
        </w:rPr>
        <w:t xml:space="preserve">   </w:t>
      </w:r>
      <w:r>
        <w:rPr>
          <w:rFonts w:hint="eastAsia" w:ascii="宋体" w:hAnsi="宋体" w:eastAsia="宋体" w:cs="宋体"/>
          <w:sz w:val="24"/>
          <w:szCs w:val="24"/>
        </w:rPr>
        <w:t>人员信息管理</w:t>
      </w:r>
    </w:p>
    <w:p>
      <w:pPr>
        <w:pStyle w:val="4"/>
        <w:keepNext w:val="0"/>
        <w:keepLines w:val="0"/>
        <w:widowControl/>
        <w:suppressLineNumbers w:val="0"/>
        <w:ind w:left="0" w:firstLine="480"/>
      </w:pPr>
      <w:r>
        <w:rPr>
          <w:rFonts w:hint="eastAsia" w:ascii="宋体" w:hAnsi="宋体" w:eastAsia="宋体" w:cs="宋体"/>
          <w:sz w:val="24"/>
          <w:szCs w:val="24"/>
        </w:rPr>
        <w:t>人员信息管理主要为对窗口人员进行维护管理，主要是完成人员信息的维护，包括添加修改删除等。人员信息主要包括姓名、岗位、单位、电子照片，格言等固定信息，同时还提供动态属性管理功能，根据每个单位的实际情况，可以动态添加人员的属性，比如服务用语、党员先锋岗等个性化属性。</w:t>
      </w:r>
    </w:p>
    <w:p>
      <w:pPr>
        <w:pStyle w:val="4"/>
        <w:keepNext w:val="0"/>
        <w:keepLines w:val="0"/>
        <w:widowControl/>
        <w:suppressLineNumbers w:val="0"/>
        <w:ind w:left="420" w:firstLine="135"/>
      </w:pPr>
      <w:r>
        <w:rPr>
          <w:rFonts w:hint="eastAsia" w:ascii="宋体" w:hAnsi="宋体" w:eastAsia="宋体" w:cs="宋体"/>
          <w:sz w:val="24"/>
          <w:szCs w:val="24"/>
        </w:rPr>
        <w:t>1.7.1.2.1.4</w:t>
      </w:r>
      <w:r>
        <w:rPr>
          <w:rFonts w:hint="default" w:ascii="Times New Roman" w:hAnsi="Times New Roman" w:cs="Times New Roman"/>
          <w:sz w:val="13"/>
          <w:szCs w:val="13"/>
        </w:rPr>
        <w:t xml:space="preserve">   </w:t>
      </w:r>
      <w:r>
        <w:rPr>
          <w:rFonts w:hint="eastAsia" w:ascii="宋体" w:hAnsi="宋体" w:eastAsia="宋体" w:cs="宋体"/>
          <w:sz w:val="24"/>
          <w:szCs w:val="24"/>
        </w:rPr>
        <w:t>窗口房间管理</w:t>
      </w:r>
    </w:p>
    <w:p>
      <w:pPr>
        <w:pStyle w:val="4"/>
        <w:keepNext w:val="0"/>
        <w:keepLines w:val="0"/>
        <w:widowControl/>
        <w:suppressLineNumbers w:val="0"/>
        <w:ind w:left="0" w:firstLine="480"/>
      </w:pPr>
      <w:r>
        <w:rPr>
          <w:rFonts w:hint="eastAsia" w:ascii="宋体" w:hAnsi="宋体" w:eastAsia="宋体" w:cs="宋体"/>
          <w:sz w:val="24"/>
          <w:szCs w:val="24"/>
        </w:rPr>
        <w:t>房间管理的作用是为管理人员提供维护房间信息、分配房间使用、多条件检索的功能。可维护的房间的信息包括：房间号、面积（平米）、所属机构、电话口数量、房间类型、卡座数量、所在楼层、网口数量、资产、备注。</w:t>
      </w:r>
    </w:p>
    <w:p>
      <w:pPr>
        <w:pStyle w:val="4"/>
        <w:keepNext w:val="0"/>
        <w:keepLines w:val="0"/>
        <w:widowControl/>
        <w:suppressLineNumbers w:val="0"/>
        <w:ind w:left="0" w:firstLine="0"/>
      </w:pPr>
      <w:r>
        <w:rPr>
          <w:rFonts w:hint="default" w:ascii="Calibri" w:hAnsi="Calibri" w:cs="Calibri"/>
          <w:sz w:val="24"/>
          <w:szCs w:val="24"/>
        </w:rPr>
        <w:t>1.7.1.2.2</w:t>
      </w:r>
      <w:r>
        <w:rPr>
          <w:rFonts w:hint="default" w:ascii="Times New Roman" w:hAnsi="Times New Roman" w:cs="Times New Roman"/>
          <w:sz w:val="13"/>
          <w:szCs w:val="13"/>
        </w:rPr>
        <w:t xml:space="preserve">        </w:t>
      </w:r>
      <w:r>
        <w:rPr>
          <w:rFonts w:hint="eastAsia" w:ascii="宋体" w:hAnsi="宋体" w:eastAsia="宋体" w:cs="宋体"/>
          <w:sz w:val="24"/>
          <w:szCs w:val="24"/>
        </w:rPr>
        <w:t>事项接入管理</w:t>
      </w:r>
    </w:p>
    <w:p>
      <w:pPr>
        <w:pStyle w:val="4"/>
        <w:keepNext w:val="0"/>
        <w:keepLines w:val="0"/>
        <w:widowControl/>
        <w:suppressLineNumbers w:val="0"/>
        <w:ind w:left="0" w:firstLine="480"/>
      </w:pPr>
      <w:r>
        <w:rPr>
          <w:rFonts w:hint="eastAsia" w:ascii="宋体" w:hAnsi="宋体" w:eastAsia="宋体" w:cs="宋体"/>
          <w:sz w:val="24"/>
          <w:szCs w:val="24"/>
        </w:rPr>
        <w:t>该业务信息不同于网办事项信息，这个是针对窗口所办理的业务，和事项是一对多的关系，一个业务下可以包含多个事项，将可以办理的业务和事项信息进行关联，并设置业务办理的时间段，以及各个时间段内，可以预约办理的最大数值。</w:t>
      </w:r>
    </w:p>
    <w:p>
      <w:pPr>
        <w:pStyle w:val="4"/>
        <w:keepNext w:val="0"/>
        <w:keepLines w:val="0"/>
        <w:widowControl/>
        <w:suppressLineNumbers w:val="0"/>
        <w:ind w:left="0" w:firstLine="0"/>
      </w:pPr>
      <w:r>
        <w:rPr>
          <w:rFonts w:hint="default" w:ascii="Calibri" w:hAnsi="Calibri" w:cs="Calibri"/>
          <w:sz w:val="24"/>
          <w:szCs w:val="24"/>
        </w:rPr>
        <w:t>1.7.1.2.3</w:t>
      </w:r>
      <w:r>
        <w:rPr>
          <w:rFonts w:hint="default" w:ascii="Times New Roman" w:hAnsi="Times New Roman" w:cs="Times New Roman"/>
          <w:sz w:val="13"/>
          <w:szCs w:val="13"/>
        </w:rPr>
        <w:t xml:space="preserve">        </w:t>
      </w:r>
      <w:r>
        <w:rPr>
          <w:rFonts w:hint="eastAsia" w:ascii="宋体" w:hAnsi="宋体" w:eastAsia="宋体" w:cs="宋体"/>
          <w:sz w:val="24"/>
          <w:szCs w:val="24"/>
        </w:rPr>
        <w:t>智能终端管理</w:t>
      </w:r>
    </w:p>
    <w:p>
      <w:pPr>
        <w:pStyle w:val="4"/>
        <w:keepNext w:val="0"/>
        <w:keepLines w:val="0"/>
        <w:widowControl/>
        <w:suppressLineNumbers w:val="0"/>
        <w:ind w:left="0" w:firstLine="375"/>
      </w:pPr>
      <w:r>
        <w:rPr>
          <w:rFonts w:hint="eastAsia" w:ascii="宋体" w:hAnsi="宋体" w:eastAsia="宋体" w:cs="宋体"/>
          <w:sz w:val="24"/>
          <w:szCs w:val="24"/>
        </w:rPr>
        <w:t>对大厅智能终端包括查询机，排队设备，显示屏，服务器等设备进行汇总并实行监控管理。并可对每台设备配置监控人员，便于设备分化管理，更能有效的监控设备的运行状态。</w:t>
      </w:r>
    </w:p>
    <w:p>
      <w:pPr>
        <w:pStyle w:val="4"/>
        <w:keepNext w:val="0"/>
        <w:keepLines w:val="0"/>
        <w:widowControl/>
        <w:suppressLineNumbers w:val="0"/>
        <w:ind w:left="420" w:firstLine="135"/>
      </w:pPr>
      <w:r>
        <w:rPr>
          <w:rFonts w:hint="eastAsia" w:ascii="宋体" w:hAnsi="宋体" w:eastAsia="宋体" w:cs="宋体"/>
          <w:sz w:val="24"/>
          <w:szCs w:val="24"/>
        </w:rPr>
        <w:t>1.7.1.2.3.1</w:t>
      </w:r>
      <w:r>
        <w:rPr>
          <w:rFonts w:hint="default" w:ascii="Times New Roman" w:hAnsi="Times New Roman" w:cs="Times New Roman"/>
          <w:sz w:val="13"/>
          <w:szCs w:val="13"/>
        </w:rPr>
        <w:t xml:space="preserve">   </w:t>
      </w:r>
      <w:r>
        <w:rPr>
          <w:rFonts w:hint="eastAsia" w:ascii="宋体" w:hAnsi="宋体" w:eastAsia="宋体" w:cs="宋体"/>
          <w:sz w:val="24"/>
          <w:szCs w:val="24"/>
        </w:rPr>
        <w:t>评价内容管理</w:t>
      </w:r>
    </w:p>
    <w:p>
      <w:pPr>
        <w:pStyle w:val="4"/>
        <w:keepNext w:val="0"/>
        <w:keepLines w:val="0"/>
        <w:widowControl/>
        <w:suppressLineNumbers w:val="0"/>
        <w:ind w:left="0" w:firstLine="480"/>
      </w:pPr>
      <w:r>
        <w:rPr>
          <w:rFonts w:hint="eastAsia" w:ascii="宋体" w:hAnsi="宋体" w:eastAsia="宋体" w:cs="宋体"/>
          <w:sz w:val="24"/>
          <w:szCs w:val="24"/>
        </w:rPr>
        <w:t>评价内容管理是系统提供评价选项的自定义管理功能，支撑层状选项的设定，可以根据工作需要自由设定选项，并制定选项的顺序。同时支持设定每个评价选项的应用范围，为不同部门提供个性化的设定。</w:t>
      </w:r>
    </w:p>
    <w:p>
      <w:pPr>
        <w:pStyle w:val="4"/>
        <w:keepNext w:val="0"/>
        <w:keepLines w:val="0"/>
        <w:widowControl/>
        <w:suppressLineNumbers w:val="0"/>
        <w:ind w:left="420" w:firstLine="135"/>
      </w:pPr>
      <w:r>
        <w:rPr>
          <w:rFonts w:hint="eastAsia" w:ascii="宋体" w:hAnsi="宋体" w:eastAsia="宋体" w:cs="宋体"/>
          <w:sz w:val="24"/>
          <w:szCs w:val="24"/>
        </w:rPr>
        <w:t>1.7.1.2.3.2</w:t>
      </w:r>
      <w:r>
        <w:rPr>
          <w:rFonts w:hint="default" w:ascii="Times New Roman" w:hAnsi="Times New Roman" w:cs="Times New Roman"/>
          <w:sz w:val="13"/>
          <w:szCs w:val="13"/>
        </w:rPr>
        <w:t xml:space="preserve">   </w:t>
      </w:r>
      <w:r>
        <w:rPr>
          <w:rFonts w:hint="eastAsia" w:ascii="宋体" w:hAnsi="宋体" w:eastAsia="宋体" w:cs="宋体"/>
          <w:sz w:val="24"/>
          <w:szCs w:val="24"/>
        </w:rPr>
        <w:t>排队评价设置</w:t>
      </w:r>
    </w:p>
    <w:p>
      <w:pPr>
        <w:pStyle w:val="4"/>
        <w:keepNext w:val="0"/>
        <w:keepLines w:val="0"/>
        <w:widowControl/>
        <w:suppressLineNumbers w:val="0"/>
        <w:spacing w:before="0" w:beforeAutospacing="1" w:after="0" w:afterAutospacing="1"/>
        <w:ind w:left="840" w:right="0"/>
      </w:pPr>
      <w:r>
        <w:rPr>
          <w:rFonts w:hint="default" w:ascii="Wingdings" w:hAnsi="Wingdings" w:cs="Wingdings"/>
          <w:sz w:val="24"/>
          <w:szCs w:val="24"/>
        </w:rPr>
        <w:t>l</w:t>
      </w:r>
      <w:r>
        <w:rPr>
          <w:rFonts w:hint="default" w:ascii="Times New Roman" w:hAnsi="Times New Roman" w:cs="Times New Roman"/>
          <w:sz w:val="13"/>
          <w:szCs w:val="13"/>
        </w:rPr>
        <w:t xml:space="preserve">  </w:t>
      </w:r>
      <w:r>
        <w:rPr>
          <w:rFonts w:hint="eastAsia" w:ascii="宋体" w:hAnsi="宋体" w:eastAsia="宋体" w:cs="宋体"/>
          <w:sz w:val="24"/>
          <w:szCs w:val="24"/>
        </w:rPr>
        <w:t>预约设置</w:t>
      </w:r>
    </w:p>
    <w:p>
      <w:pPr>
        <w:pStyle w:val="4"/>
        <w:keepNext w:val="0"/>
        <w:keepLines w:val="0"/>
        <w:widowControl/>
        <w:suppressLineNumbers w:val="0"/>
        <w:ind w:left="120" w:firstLine="480"/>
      </w:pPr>
      <w:r>
        <w:rPr>
          <w:rFonts w:hint="eastAsia" w:ascii="宋体" w:hAnsi="宋体" w:eastAsia="宋体" w:cs="宋体"/>
          <w:sz w:val="24"/>
          <w:szCs w:val="24"/>
        </w:rPr>
        <w:t>设置部门的预约业务，包括业务是否可预约设置、</w:t>
      </w:r>
      <w:r>
        <w:rPr>
          <w:rFonts w:hint="default" w:ascii="Calibri" w:hAnsi="Calibri" w:cs="Calibri"/>
          <w:sz w:val="24"/>
          <w:szCs w:val="24"/>
        </w:rPr>
        <w:t> </w:t>
      </w:r>
      <w:r>
        <w:rPr>
          <w:rFonts w:hint="eastAsia" w:ascii="宋体" w:hAnsi="宋体" w:eastAsia="宋体" w:cs="宋体"/>
          <w:sz w:val="24"/>
          <w:szCs w:val="24"/>
        </w:rPr>
        <w:t>业务预约时间设置、业务预约最大人数设置等。</w:t>
      </w:r>
    </w:p>
    <w:p>
      <w:pPr>
        <w:pStyle w:val="4"/>
        <w:keepNext w:val="0"/>
        <w:keepLines w:val="0"/>
        <w:widowControl/>
        <w:suppressLineNumbers w:val="0"/>
        <w:spacing w:before="0" w:beforeAutospacing="1" w:after="0" w:afterAutospacing="1"/>
        <w:ind w:left="840" w:right="0"/>
      </w:pPr>
      <w:r>
        <w:rPr>
          <w:rFonts w:hint="default" w:ascii="Wingdings" w:hAnsi="Wingdings" w:cs="Wingdings"/>
          <w:sz w:val="24"/>
          <w:szCs w:val="24"/>
        </w:rPr>
        <w:t>l</w:t>
      </w:r>
      <w:r>
        <w:rPr>
          <w:rFonts w:hint="default" w:ascii="Times New Roman" w:hAnsi="Times New Roman" w:cs="Times New Roman"/>
          <w:sz w:val="13"/>
          <w:szCs w:val="13"/>
        </w:rPr>
        <w:t xml:space="preserve">  </w:t>
      </w:r>
      <w:r>
        <w:rPr>
          <w:rFonts w:hint="eastAsia" w:ascii="宋体" w:hAnsi="宋体" w:eastAsia="宋体" w:cs="宋体"/>
          <w:sz w:val="24"/>
          <w:szCs w:val="24"/>
        </w:rPr>
        <w:t>常见问题</w:t>
      </w:r>
    </w:p>
    <w:p>
      <w:pPr>
        <w:pStyle w:val="4"/>
        <w:keepNext w:val="0"/>
        <w:keepLines w:val="0"/>
        <w:widowControl/>
        <w:suppressLineNumbers w:val="0"/>
        <w:ind w:left="0" w:firstLine="480"/>
      </w:pPr>
      <w:r>
        <w:rPr>
          <w:rFonts w:hint="eastAsia" w:ascii="宋体" w:hAnsi="宋体" w:eastAsia="宋体" w:cs="宋体"/>
          <w:sz w:val="24"/>
          <w:szCs w:val="24"/>
        </w:rPr>
        <w:t>对评价常见问题进行管理，包括常见问题新增、修改和删除。</w:t>
      </w:r>
    </w:p>
    <w:p>
      <w:pPr>
        <w:pStyle w:val="4"/>
        <w:keepNext w:val="0"/>
        <w:keepLines w:val="0"/>
        <w:widowControl/>
        <w:suppressLineNumbers w:val="0"/>
        <w:ind w:left="420" w:firstLine="135"/>
      </w:pPr>
      <w:r>
        <w:rPr>
          <w:rFonts w:hint="eastAsia" w:ascii="宋体" w:hAnsi="宋体" w:eastAsia="宋体" w:cs="宋体"/>
          <w:sz w:val="24"/>
          <w:szCs w:val="24"/>
        </w:rPr>
        <w:t>1.7.1.2.3.3</w:t>
      </w:r>
      <w:r>
        <w:rPr>
          <w:rFonts w:hint="default" w:ascii="Times New Roman" w:hAnsi="Times New Roman" w:cs="Times New Roman"/>
          <w:sz w:val="13"/>
          <w:szCs w:val="13"/>
        </w:rPr>
        <w:t xml:space="preserve">   </w:t>
      </w:r>
      <w:r>
        <w:rPr>
          <w:rFonts w:hint="eastAsia" w:ascii="宋体" w:hAnsi="宋体" w:eastAsia="宋体" w:cs="宋体"/>
          <w:sz w:val="24"/>
          <w:szCs w:val="24"/>
        </w:rPr>
        <w:t>通知管理</w:t>
      </w:r>
    </w:p>
    <w:p>
      <w:pPr>
        <w:pStyle w:val="4"/>
        <w:keepNext w:val="0"/>
        <w:keepLines w:val="0"/>
        <w:widowControl/>
        <w:suppressLineNumbers w:val="0"/>
        <w:ind w:left="0" w:firstLine="480"/>
      </w:pPr>
      <w:r>
        <w:rPr>
          <w:rFonts w:hint="eastAsia" w:ascii="宋体" w:hAnsi="宋体" w:eastAsia="宋体" w:cs="宋体"/>
          <w:sz w:val="24"/>
          <w:szCs w:val="24"/>
        </w:rPr>
        <w:t>通知管理是提供管理员为不同的部门窗口发布相应的通知公告所提供的功能，该同志可以自由定义发布的权限和应用范围，并且可以根据每个窗口的业务范围显示不同的通知。该通知管理支持多级管理，每个部门的子系统管理员可以自行发布通知公告，该通知公告最终在评价终端动态显示。</w:t>
      </w:r>
    </w:p>
    <w:p>
      <w:pPr>
        <w:pStyle w:val="4"/>
        <w:keepNext w:val="0"/>
        <w:keepLines w:val="0"/>
        <w:widowControl/>
        <w:suppressLineNumbers w:val="0"/>
        <w:ind w:left="420" w:firstLine="135"/>
      </w:pPr>
      <w:r>
        <w:rPr>
          <w:rFonts w:hint="eastAsia" w:ascii="宋体" w:hAnsi="宋体" w:eastAsia="宋体" w:cs="宋体"/>
          <w:sz w:val="24"/>
          <w:szCs w:val="24"/>
        </w:rPr>
        <w:t>1.7.1.2.3.4</w:t>
      </w:r>
      <w:r>
        <w:rPr>
          <w:rFonts w:hint="default" w:ascii="Times New Roman" w:hAnsi="Times New Roman" w:cs="Times New Roman"/>
          <w:sz w:val="13"/>
          <w:szCs w:val="13"/>
        </w:rPr>
        <w:t xml:space="preserve">   </w:t>
      </w:r>
      <w:r>
        <w:rPr>
          <w:rFonts w:hint="eastAsia" w:ascii="宋体" w:hAnsi="宋体" w:eastAsia="宋体" w:cs="宋体"/>
          <w:sz w:val="24"/>
          <w:szCs w:val="24"/>
        </w:rPr>
        <w:t>评价数据管理</w:t>
      </w:r>
    </w:p>
    <w:p>
      <w:pPr>
        <w:pStyle w:val="4"/>
        <w:keepNext w:val="0"/>
        <w:keepLines w:val="0"/>
        <w:widowControl/>
        <w:suppressLineNumbers w:val="0"/>
        <w:ind w:left="0" w:firstLine="480"/>
      </w:pPr>
      <w:r>
        <w:rPr>
          <w:rFonts w:hint="eastAsia" w:ascii="宋体" w:hAnsi="宋体" w:eastAsia="宋体" w:cs="宋体"/>
          <w:sz w:val="24"/>
          <w:szCs w:val="24"/>
        </w:rPr>
        <w:t>评价数据管理是对评价完成后的数据的管理维护，主要是根据实际情况对评价数据进行调整，该调整动作将自动记录到系统日志中。</w:t>
      </w:r>
    </w:p>
    <w:p>
      <w:pPr>
        <w:pStyle w:val="4"/>
        <w:keepNext w:val="0"/>
        <w:keepLines w:val="0"/>
        <w:widowControl/>
        <w:suppressLineNumbers w:val="0"/>
        <w:ind w:left="420" w:firstLine="135"/>
      </w:pPr>
      <w:r>
        <w:rPr>
          <w:rFonts w:hint="eastAsia" w:ascii="宋体" w:hAnsi="宋体" w:eastAsia="宋体" w:cs="宋体"/>
          <w:sz w:val="24"/>
          <w:szCs w:val="24"/>
        </w:rPr>
        <w:t>1.7.1.2.3.5</w:t>
      </w:r>
      <w:r>
        <w:rPr>
          <w:rFonts w:hint="default" w:ascii="Times New Roman" w:hAnsi="Times New Roman" w:cs="Times New Roman"/>
          <w:sz w:val="13"/>
          <w:szCs w:val="13"/>
        </w:rPr>
        <w:t xml:space="preserve">   </w:t>
      </w:r>
      <w:r>
        <w:rPr>
          <w:rFonts w:hint="eastAsia" w:ascii="宋体" w:hAnsi="宋体" w:eastAsia="宋体" w:cs="宋体"/>
          <w:sz w:val="24"/>
          <w:szCs w:val="24"/>
        </w:rPr>
        <w:t>评价数据变更管理</w:t>
      </w:r>
    </w:p>
    <w:p>
      <w:pPr>
        <w:pStyle w:val="4"/>
        <w:keepNext w:val="0"/>
        <w:keepLines w:val="0"/>
        <w:widowControl/>
        <w:suppressLineNumbers w:val="0"/>
        <w:ind w:left="0" w:firstLine="480"/>
      </w:pPr>
      <w:r>
        <w:rPr>
          <w:rFonts w:hint="eastAsia" w:ascii="宋体" w:hAnsi="宋体" w:eastAsia="宋体" w:cs="宋体"/>
          <w:sz w:val="24"/>
          <w:szCs w:val="24"/>
        </w:rPr>
        <w:t>评价数据变更管理主要是窗口工作人员由于各种原因需要改变评价数据的管理，主要包括变更申请、变更审核、变更确定和办结，并可以根据每个单位的不同情况就行流程的设定，通过变更申请的管理完成对评价数据日常业务的变化。</w:t>
      </w:r>
    </w:p>
    <w:p>
      <w:pPr>
        <w:pStyle w:val="4"/>
        <w:keepNext w:val="0"/>
        <w:keepLines w:val="0"/>
        <w:widowControl/>
        <w:suppressLineNumbers w:val="0"/>
        <w:ind w:left="420" w:firstLine="135"/>
      </w:pPr>
      <w:r>
        <w:rPr>
          <w:rFonts w:hint="eastAsia" w:ascii="宋体" w:hAnsi="宋体" w:eastAsia="宋体" w:cs="宋体"/>
          <w:sz w:val="24"/>
          <w:szCs w:val="24"/>
        </w:rPr>
        <w:t>1.7.1.2.3.6</w:t>
      </w:r>
      <w:r>
        <w:rPr>
          <w:rFonts w:hint="default" w:ascii="Times New Roman" w:hAnsi="Times New Roman" w:cs="Times New Roman"/>
          <w:sz w:val="13"/>
          <w:szCs w:val="13"/>
        </w:rPr>
        <w:t xml:space="preserve">   </w:t>
      </w:r>
      <w:r>
        <w:rPr>
          <w:rFonts w:hint="eastAsia" w:ascii="宋体" w:hAnsi="宋体" w:eastAsia="宋体" w:cs="宋体"/>
          <w:sz w:val="24"/>
          <w:szCs w:val="24"/>
        </w:rPr>
        <w:t>统计分析</w:t>
      </w:r>
    </w:p>
    <w:p>
      <w:pPr>
        <w:pStyle w:val="4"/>
        <w:keepNext w:val="0"/>
        <w:keepLines w:val="0"/>
        <w:widowControl/>
        <w:suppressLineNumbers w:val="0"/>
        <w:ind w:left="840"/>
      </w:pPr>
      <w:r>
        <w:rPr>
          <w:rFonts w:hint="default" w:ascii="Calibri" w:hAnsi="Calibri" w:cs="Calibri"/>
          <w:sz w:val="24"/>
          <w:szCs w:val="24"/>
        </w:rPr>
        <w:t>1.</w:t>
      </w:r>
      <w:r>
        <w:rPr>
          <w:rFonts w:hint="default" w:ascii="Times New Roman" w:hAnsi="Times New Roman" w:cs="Times New Roman"/>
          <w:sz w:val="13"/>
          <w:szCs w:val="13"/>
        </w:rPr>
        <w:t xml:space="preserve">        </w:t>
      </w:r>
      <w:r>
        <w:rPr>
          <w:rFonts w:hint="eastAsia" w:ascii="宋体" w:hAnsi="宋体" w:eastAsia="宋体" w:cs="宋体"/>
          <w:sz w:val="24"/>
          <w:szCs w:val="24"/>
        </w:rPr>
        <w:t>单位评价分析</w:t>
      </w:r>
    </w:p>
    <w:p>
      <w:pPr>
        <w:pStyle w:val="4"/>
        <w:keepNext w:val="0"/>
        <w:keepLines w:val="0"/>
        <w:widowControl/>
        <w:suppressLineNumbers w:val="0"/>
        <w:ind w:left="0" w:firstLine="480"/>
      </w:pPr>
      <w:r>
        <w:rPr>
          <w:rFonts w:hint="eastAsia" w:ascii="宋体" w:hAnsi="宋体" w:eastAsia="宋体" w:cs="宋体"/>
          <w:sz w:val="24"/>
          <w:szCs w:val="24"/>
        </w:rPr>
        <w:t>单位评价分析是根据时间等条件，按单位进行统计分析评价数据，分析出某个单位各个事项的评价情况，默认提供日统计、月统计和历史数据统计三种模式。并可以查询出报表，提供导出</w:t>
      </w:r>
      <w:r>
        <w:rPr>
          <w:rFonts w:hint="default" w:ascii="Calibri" w:hAnsi="Calibri" w:cs="Calibri"/>
          <w:sz w:val="24"/>
          <w:szCs w:val="24"/>
        </w:rPr>
        <w:t>EXCEL</w:t>
      </w:r>
      <w:r>
        <w:rPr>
          <w:rFonts w:hint="eastAsia" w:ascii="宋体" w:hAnsi="宋体" w:eastAsia="宋体" w:cs="宋体"/>
          <w:sz w:val="24"/>
          <w:szCs w:val="24"/>
        </w:rPr>
        <w:t>格式文件等功能。</w:t>
      </w:r>
    </w:p>
    <w:p>
      <w:pPr>
        <w:pStyle w:val="4"/>
        <w:keepNext w:val="0"/>
        <w:keepLines w:val="0"/>
        <w:widowControl/>
        <w:suppressLineNumbers w:val="0"/>
        <w:ind w:left="840"/>
      </w:pPr>
      <w:r>
        <w:rPr>
          <w:rFonts w:hint="default" w:ascii="Calibri" w:hAnsi="Calibri" w:cs="Calibri"/>
          <w:sz w:val="24"/>
          <w:szCs w:val="24"/>
        </w:rPr>
        <w:t>2.</w:t>
      </w:r>
      <w:r>
        <w:rPr>
          <w:rFonts w:hint="default" w:ascii="Times New Roman" w:hAnsi="Times New Roman" w:cs="Times New Roman"/>
          <w:sz w:val="13"/>
          <w:szCs w:val="13"/>
        </w:rPr>
        <w:t xml:space="preserve">        </w:t>
      </w:r>
      <w:r>
        <w:rPr>
          <w:rFonts w:hint="eastAsia" w:ascii="宋体" w:hAnsi="宋体" w:eastAsia="宋体" w:cs="宋体"/>
          <w:sz w:val="24"/>
          <w:szCs w:val="24"/>
        </w:rPr>
        <w:t>人员评价分析</w:t>
      </w:r>
    </w:p>
    <w:p>
      <w:pPr>
        <w:pStyle w:val="4"/>
        <w:keepNext w:val="0"/>
        <w:keepLines w:val="0"/>
        <w:widowControl/>
        <w:suppressLineNumbers w:val="0"/>
        <w:ind w:left="0" w:firstLine="480"/>
      </w:pPr>
      <w:r>
        <w:rPr>
          <w:rFonts w:hint="eastAsia" w:ascii="宋体" w:hAnsi="宋体" w:eastAsia="宋体" w:cs="宋体"/>
          <w:sz w:val="24"/>
          <w:szCs w:val="24"/>
        </w:rPr>
        <w:t>人员评价分析是按照窗口人员为主线，提供该人员在某段时间内的评价情况，并能按照预定义的报表进行显示，提供导出</w:t>
      </w:r>
      <w:r>
        <w:rPr>
          <w:rFonts w:hint="default" w:ascii="Calibri" w:hAnsi="Calibri" w:cs="Calibri"/>
          <w:sz w:val="24"/>
          <w:szCs w:val="24"/>
        </w:rPr>
        <w:t>EXCEL</w:t>
      </w:r>
      <w:r>
        <w:rPr>
          <w:rFonts w:hint="eastAsia" w:ascii="宋体" w:hAnsi="宋体" w:eastAsia="宋体" w:cs="宋体"/>
          <w:sz w:val="24"/>
          <w:szCs w:val="24"/>
        </w:rPr>
        <w:t>格式文件功能。</w:t>
      </w:r>
    </w:p>
    <w:p>
      <w:pPr>
        <w:pStyle w:val="4"/>
        <w:keepNext w:val="0"/>
        <w:keepLines w:val="0"/>
        <w:widowControl/>
        <w:suppressLineNumbers w:val="0"/>
        <w:ind w:left="840"/>
      </w:pPr>
      <w:r>
        <w:rPr>
          <w:rFonts w:hint="default" w:ascii="Calibri" w:hAnsi="Calibri" w:cs="Calibri"/>
          <w:sz w:val="24"/>
          <w:szCs w:val="24"/>
        </w:rPr>
        <w:t>3.</w:t>
      </w:r>
      <w:r>
        <w:rPr>
          <w:rFonts w:hint="default" w:ascii="Times New Roman" w:hAnsi="Times New Roman" w:cs="Times New Roman"/>
          <w:sz w:val="13"/>
          <w:szCs w:val="13"/>
        </w:rPr>
        <w:t xml:space="preserve">        </w:t>
      </w:r>
      <w:r>
        <w:rPr>
          <w:rFonts w:hint="eastAsia" w:ascii="宋体" w:hAnsi="宋体" w:eastAsia="宋体" w:cs="宋体"/>
          <w:sz w:val="24"/>
          <w:szCs w:val="24"/>
        </w:rPr>
        <w:t>终端评价分析统计</w:t>
      </w:r>
    </w:p>
    <w:p>
      <w:pPr>
        <w:pStyle w:val="4"/>
        <w:keepNext w:val="0"/>
        <w:keepLines w:val="0"/>
        <w:widowControl/>
        <w:suppressLineNumbers w:val="0"/>
        <w:ind w:left="0" w:firstLine="480"/>
      </w:pPr>
      <w:r>
        <w:rPr>
          <w:rFonts w:hint="eastAsia" w:ascii="宋体" w:hAnsi="宋体" w:eastAsia="宋体" w:cs="宋体"/>
          <w:sz w:val="24"/>
          <w:szCs w:val="24"/>
        </w:rPr>
        <w:t>终端评价分析是按照窗口来统计该窗口所有人员所有事项的评价情况，并可以按照预定的报表样式进行统计查询，对结果提供导出</w:t>
      </w:r>
      <w:r>
        <w:rPr>
          <w:rFonts w:hint="default" w:ascii="Calibri" w:hAnsi="Calibri" w:cs="Calibri"/>
          <w:sz w:val="24"/>
          <w:szCs w:val="24"/>
        </w:rPr>
        <w:t>EXCEL</w:t>
      </w:r>
      <w:r>
        <w:rPr>
          <w:rFonts w:hint="eastAsia" w:ascii="宋体" w:hAnsi="宋体" w:eastAsia="宋体" w:cs="宋体"/>
          <w:sz w:val="24"/>
          <w:szCs w:val="24"/>
        </w:rPr>
        <w:t>格式文件功能。</w:t>
      </w:r>
    </w:p>
    <w:p>
      <w:pPr>
        <w:pStyle w:val="4"/>
        <w:keepNext w:val="0"/>
        <w:keepLines w:val="0"/>
        <w:widowControl/>
        <w:suppressLineNumbers w:val="0"/>
        <w:ind w:left="0" w:firstLine="0"/>
      </w:pPr>
      <w:r>
        <w:rPr>
          <w:rFonts w:hint="default" w:ascii="Calibri" w:hAnsi="Calibri" w:cs="Calibri"/>
          <w:sz w:val="24"/>
          <w:szCs w:val="24"/>
        </w:rPr>
        <w:t>1.7.1.2.4</w:t>
      </w:r>
      <w:r>
        <w:rPr>
          <w:rFonts w:hint="default" w:ascii="Times New Roman" w:hAnsi="Times New Roman" w:cs="Times New Roman"/>
          <w:sz w:val="13"/>
          <w:szCs w:val="13"/>
        </w:rPr>
        <w:t xml:space="preserve">        </w:t>
      </w:r>
      <w:r>
        <w:rPr>
          <w:rFonts w:hint="eastAsia" w:ascii="宋体" w:hAnsi="宋体" w:eastAsia="宋体" w:cs="宋体"/>
          <w:sz w:val="24"/>
          <w:szCs w:val="24"/>
        </w:rPr>
        <w:t>大厅效能管理</w:t>
      </w:r>
    </w:p>
    <w:p>
      <w:pPr>
        <w:pStyle w:val="4"/>
        <w:keepNext w:val="0"/>
        <w:keepLines w:val="0"/>
        <w:widowControl/>
        <w:suppressLineNumbers w:val="0"/>
        <w:ind w:left="420" w:firstLine="135"/>
      </w:pPr>
      <w:r>
        <w:rPr>
          <w:rFonts w:hint="eastAsia" w:ascii="宋体" w:hAnsi="宋体" w:eastAsia="宋体" w:cs="宋体"/>
          <w:sz w:val="24"/>
          <w:szCs w:val="24"/>
        </w:rPr>
        <w:t>1.7.1.2.4.1</w:t>
      </w:r>
      <w:r>
        <w:rPr>
          <w:rFonts w:hint="default" w:ascii="Times New Roman" w:hAnsi="Times New Roman" w:cs="Times New Roman"/>
          <w:sz w:val="13"/>
          <w:szCs w:val="13"/>
        </w:rPr>
        <w:t xml:space="preserve">   </w:t>
      </w:r>
      <w:r>
        <w:rPr>
          <w:rFonts w:hint="eastAsia" w:ascii="宋体" w:hAnsi="宋体" w:eastAsia="宋体" w:cs="宋体"/>
          <w:sz w:val="24"/>
          <w:szCs w:val="24"/>
        </w:rPr>
        <w:t>荣誉评优</w:t>
      </w:r>
    </w:p>
    <w:p>
      <w:pPr>
        <w:pStyle w:val="4"/>
        <w:keepNext w:val="0"/>
        <w:keepLines w:val="0"/>
        <w:widowControl/>
        <w:suppressLineNumbers w:val="0"/>
        <w:ind w:left="0" w:firstLine="480"/>
      </w:pPr>
      <w:r>
        <w:rPr>
          <w:rFonts w:hint="eastAsia" w:ascii="宋体" w:hAnsi="宋体" w:eastAsia="宋体" w:cs="宋体"/>
          <w:sz w:val="24"/>
          <w:szCs w:val="24"/>
        </w:rPr>
        <w:t>荣誉评优包括服务之星以及光荣榜，用于设置各个部门的服务之星，优秀工作人员和服务标兵，并能够通过设置各个光荣榜信息，上传照片，最终显示在各个查询机上面，以供表彰。</w:t>
      </w:r>
    </w:p>
    <w:p>
      <w:pPr>
        <w:pStyle w:val="4"/>
        <w:keepNext w:val="0"/>
        <w:keepLines w:val="0"/>
        <w:widowControl/>
        <w:suppressLineNumbers w:val="0"/>
        <w:ind w:left="420" w:firstLine="135"/>
      </w:pPr>
      <w:r>
        <w:rPr>
          <w:rFonts w:hint="eastAsia" w:ascii="宋体" w:hAnsi="宋体" w:eastAsia="宋体" w:cs="宋体"/>
          <w:sz w:val="24"/>
          <w:szCs w:val="24"/>
        </w:rPr>
        <w:t>1.7.1.2.4.2</w:t>
      </w:r>
      <w:r>
        <w:rPr>
          <w:rFonts w:hint="default" w:ascii="Times New Roman" w:hAnsi="Times New Roman" w:cs="Times New Roman"/>
          <w:sz w:val="13"/>
          <w:szCs w:val="13"/>
        </w:rPr>
        <w:t xml:space="preserve">   </w:t>
      </w:r>
      <w:r>
        <w:rPr>
          <w:rFonts w:hint="eastAsia" w:ascii="宋体" w:hAnsi="宋体" w:eastAsia="宋体" w:cs="宋体"/>
          <w:sz w:val="24"/>
          <w:szCs w:val="24"/>
        </w:rPr>
        <w:t>窗口综合考评</w:t>
      </w:r>
    </w:p>
    <w:p>
      <w:pPr>
        <w:pStyle w:val="4"/>
        <w:keepNext w:val="0"/>
        <w:keepLines w:val="0"/>
        <w:widowControl/>
        <w:suppressLineNumbers w:val="0"/>
        <w:ind w:left="0" w:firstLine="480"/>
      </w:pPr>
      <w:r>
        <w:rPr>
          <w:rFonts w:hint="eastAsia" w:ascii="宋体" w:hAnsi="宋体" w:eastAsia="宋体" w:cs="宋体"/>
          <w:sz w:val="24"/>
          <w:szCs w:val="24"/>
        </w:rPr>
        <w:t>考核评价管理是指根据服务质量、合</w:t>
      </w:r>
      <w:r>
        <w:rPr>
          <w:rFonts w:hint="default" w:ascii="Calibri" w:hAnsi="Calibri" w:cs="Calibri"/>
          <w:sz w:val="24"/>
          <w:szCs w:val="24"/>
        </w:rPr>
        <w:t> </w:t>
      </w:r>
      <w:r>
        <w:rPr>
          <w:rFonts w:hint="eastAsia" w:ascii="宋体" w:hAnsi="宋体" w:eastAsia="宋体" w:cs="宋体"/>
          <w:sz w:val="24"/>
          <w:szCs w:val="24"/>
        </w:rPr>
        <w:t>作表现、基础业务管理等指标，对窗口服务人员及委办局的后台服务人员进行考核评估的过程。</w:t>
      </w:r>
    </w:p>
    <w:p>
      <w:pPr>
        <w:pStyle w:val="4"/>
        <w:keepNext w:val="0"/>
        <w:keepLines w:val="0"/>
        <w:widowControl/>
        <w:suppressLineNumbers w:val="0"/>
        <w:ind w:left="420" w:firstLine="135"/>
      </w:pPr>
      <w:r>
        <w:rPr>
          <w:rFonts w:hint="eastAsia" w:ascii="宋体" w:hAnsi="宋体" w:eastAsia="宋体" w:cs="宋体"/>
          <w:sz w:val="24"/>
          <w:szCs w:val="24"/>
        </w:rPr>
        <w:t>1.7.1.2.4.3</w:t>
      </w:r>
      <w:r>
        <w:rPr>
          <w:rFonts w:hint="default" w:ascii="Times New Roman" w:hAnsi="Times New Roman" w:cs="Times New Roman"/>
          <w:sz w:val="13"/>
          <w:szCs w:val="13"/>
        </w:rPr>
        <w:t xml:space="preserve">   </w:t>
      </w:r>
      <w:r>
        <w:rPr>
          <w:rFonts w:hint="eastAsia" w:ascii="宋体" w:hAnsi="宋体" w:eastAsia="宋体" w:cs="宋体"/>
          <w:sz w:val="24"/>
          <w:szCs w:val="24"/>
        </w:rPr>
        <w:t>统计分析</w:t>
      </w:r>
      <w:r>
        <w:rPr>
          <w:rFonts w:hint="default" w:ascii="Calibri" w:hAnsi="Calibri" w:cs="Calibri"/>
          <w:sz w:val="24"/>
          <w:szCs w:val="24"/>
        </w:rPr>
        <w:t>    </w:t>
      </w:r>
    </w:p>
    <w:p>
      <w:pPr>
        <w:pStyle w:val="4"/>
        <w:keepNext w:val="0"/>
        <w:keepLines w:val="0"/>
        <w:widowControl/>
        <w:suppressLineNumbers w:val="0"/>
        <w:ind w:left="0" w:firstLine="480"/>
      </w:pPr>
      <w:r>
        <w:rPr>
          <w:rFonts w:hint="eastAsia" w:ascii="宋体" w:hAnsi="宋体" w:eastAsia="宋体" w:cs="宋体"/>
          <w:sz w:val="24"/>
          <w:szCs w:val="24"/>
        </w:rPr>
        <w:t>对业务、人员情况进行统计分析。</w:t>
      </w:r>
    </w:p>
    <w:p>
      <w:pPr>
        <w:pStyle w:val="4"/>
        <w:keepNext w:val="0"/>
        <w:keepLines w:val="0"/>
        <w:widowControl/>
        <w:suppressLineNumbers w:val="0"/>
        <w:ind w:left="0" w:firstLine="0"/>
      </w:pPr>
      <w:r>
        <w:rPr>
          <w:rFonts w:hint="eastAsia" w:ascii="宋体" w:hAnsi="宋体" w:eastAsia="宋体" w:cs="宋体"/>
          <w:sz w:val="24"/>
          <w:szCs w:val="24"/>
        </w:rPr>
        <w:t>1.7.2</w:t>
      </w:r>
      <w:r>
        <w:rPr>
          <w:rFonts w:hint="default" w:ascii="Times New Roman" w:hAnsi="Times New Roman" w:cs="Times New Roman"/>
          <w:sz w:val="13"/>
          <w:szCs w:val="13"/>
        </w:rPr>
        <w:t xml:space="preserve">   </w:t>
      </w:r>
      <w:r>
        <w:rPr>
          <w:rFonts w:hint="eastAsia" w:ascii="宋体" w:hAnsi="宋体" w:eastAsia="宋体" w:cs="宋体"/>
          <w:sz w:val="24"/>
          <w:szCs w:val="24"/>
        </w:rPr>
        <w:t>排队叫号系统</w:t>
      </w:r>
    </w:p>
    <w:p>
      <w:pPr>
        <w:pStyle w:val="4"/>
        <w:keepNext w:val="0"/>
        <w:keepLines w:val="0"/>
        <w:widowControl/>
        <w:suppressLineNumbers w:val="0"/>
      </w:pPr>
      <w:r>
        <w:rPr>
          <w:rFonts w:hint="default" w:ascii="Calibri" w:hAnsi="Calibri" w:cs="Calibri"/>
          <w:sz w:val="24"/>
          <w:szCs w:val="24"/>
        </w:rPr>
        <w:t xml:space="preserve">1.7.2.1 </w:t>
      </w:r>
      <w:r>
        <w:rPr>
          <w:rFonts w:hint="eastAsia" w:ascii="宋体" w:hAnsi="宋体" w:eastAsia="宋体" w:cs="宋体"/>
          <w:sz w:val="24"/>
          <w:szCs w:val="24"/>
        </w:rPr>
        <w:t>调试数量</w:t>
      </w:r>
    </w:p>
    <w:p>
      <w:pPr>
        <w:pStyle w:val="4"/>
        <w:keepNext w:val="0"/>
        <w:keepLines w:val="0"/>
        <w:widowControl/>
        <w:suppressLineNumbers w:val="0"/>
        <w:ind w:left="0" w:firstLine="480"/>
      </w:pPr>
      <w:r>
        <w:rPr>
          <w:rFonts w:hint="eastAsia" w:ascii="宋体" w:hAnsi="宋体" w:eastAsia="宋体" w:cs="宋体"/>
          <w:sz w:val="24"/>
          <w:szCs w:val="24"/>
        </w:rPr>
        <w:t>1套系统主程序</w:t>
      </w:r>
    </w:p>
    <w:p>
      <w:pPr>
        <w:pStyle w:val="4"/>
        <w:keepNext w:val="0"/>
        <w:keepLines w:val="0"/>
        <w:widowControl/>
        <w:suppressLineNumbers w:val="0"/>
        <w:ind w:left="0" w:firstLine="480"/>
      </w:pPr>
      <w:r>
        <w:rPr>
          <w:rFonts w:hint="eastAsia" w:ascii="宋体" w:hAnsi="宋体" w:eastAsia="宋体" w:cs="宋体"/>
          <w:sz w:val="24"/>
          <w:szCs w:val="24"/>
        </w:rPr>
        <w:t>1套取号程序系统。</w:t>
      </w:r>
    </w:p>
    <w:p>
      <w:pPr>
        <w:pStyle w:val="4"/>
        <w:keepNext w:val="0"/>
        <w:keepLines w:val="0"/>
        <w:widowControl/>
        <w:suppressLineNumbers w:val="0"/>
        <w:ind w:left="0" w:firstLine="480"/>
      </w:pPr>
      <w:r>
        <w:rPr>
          <w:rFonts w:hint="eastAsia" w:ascii="宋体" w:hAnsi="宋体" w:eastAsia="宋体" w:cs="宋体"/>
          <w:sz w:val="24"/>
          <w:szCs w:val="24"/>
        </w:rPr>
        <w:t>约50个窗口的虚拟叫号终端。</w:t>
      </w:r>
    </w:p>
    <w:p>
      <w:pPr>
        <w:pStyle w:val="4"/>
        <w:keepNext w:val="0"/>
        <w:keepLines w:val="0"/>
        <w:widowControl/>
        <w:suppressLineNumbers w:val="0"/>
      </w:pPr>
      <w:r>
        <w:rPr>
          <w:rFonts w:hint="default" w:ascii="Calibri" w:hAnsi="Calibri" w:cs="Calibri"/>
          <w:sz w:val="24"/>
          <w:szCs w:val="24"/>
        </w:rPr>
        <w:t xml:space="preserve">1.7.2.2 </w:t>
      </w:r>
      <w:r>
        <w:rPr>
          <w:rFonts w:hint="eastAsia" w:ascii="宋体" w:hAnsi="宋体" w:eastAsia="宋体" w:cs="宋体"/>
          <w:sz w:val="24"/>
          <w:szCs w:val="24"/>
        </w:rPr>
        <w:t>调试功能明细</w:t>
      </w:r>
    </w:p>
    <w:p>
      <w:pPr>
        <w:pStyle w:val="4"/>
        <w:keepNext w:val="0"/>
        <w:keepLines w:val="0"/>
        <w:widowControl/>
        <w:suppressLineNumbers w:val="0"/>
        <w:ind w:left="0" w:firstLine="0"/>
      </w:pPr>
      <w:r>
        <w:rPr>
          <w:rFonts w:hint="default" w:ascii="Calibri" w:hAnsi="Calibri" w:cs="Calibri"/>
          <w:sz w:val="24"/>
          <w:szCs w:val="24"/>
        </w:rPr>
        <w:t>1.7.2.2.1</w:t>
      </w:r>
      <w:r>
        <w:rPr>
          <w:rFonts w:hint="default" w:ascii="Times New Roman" w:hAnsi="Times New Roman" w:cs="Times New Roman"/>
          <w:sz w:val="13"/>
          <w:szCs w:val="13"/>
        </w:rPr>
        <w:t xml:space="preserve">        </w:t>
      </w:r>
      <w:r>
        <w:rPr>
          <w:rFonts w:hint="eastAsia" w:ascii="宋体" w:hAnsi="宋体" w:eastAsia="宋体" w:cs="宋体"/>
          <w:sz w:val="24"/>
          <w:szCs w:val="24"/>
        </w:rPr>
        <w:t>系统概述</w:t>
      </w:r>
    </w:p>
    <w:p>
      <w:pPr>
        <w:pStyle w:val="4"/>
        <w:keepNext w:val="0"/>
        <w:keepLines w:val="0"/>
        <w:widowControl/>
        <w:suppressLineNumbers w:val="0"/>
        <w:ind w:left="0" w:firstLine="480"/>
      </w:pPr>
      <w:r>
        <w:rPr>
          <w:rFonts w:hint="eastAsia" w:ascii="宋体" w:hAnsi="宋体" w:eastAsia="宋体" w:cs="宋体"/>
          <w:color w:val="auto"/>
          <w:u w:val="none"/>
        </w:rPr>
        <w:t>排队叫号系统</w:t>
      </w:r>
      <w:r>
        <w:rPr>
          <w:rFonts w:hint="eastAsia" w:ascii="宋体" w:hAnsi="宋体" w:eastAsia="宋体" w:cs="宋体"/>
          <w:sz w:val="24"/>
          <w:szCs w:val="24"/>
        </w:rPr>
        <w:t>综合运用计算机、网络、多媒体、通讯控制等高新技术，以取代各类服务性窗口传统的顾客站立排队方式，改由计算机系统代替客户进行排队，适用于行政服务中心各个服务窗口。</w:t>
      </w:r>
    </w:p>
    <w:p>
      <w:pPr>
        <w:pStyle w:val="4"/>
        <w:keepNext w:val="0"/>
        <w:keepLines w:val="0"/>
        <w:widowControl/>
        <w:suppressLineNumbers w:val="0"/>
        <w:ind w:left="0" w:firstLine="480"/>
      </w:pPr>
      <w:r>
        <w:rPr>
          <w:rFonts w:hint="eastAsia" w:ascii="宋体" w:hAnsi="宋体" w:eastAsia="宋体" w:cs="宋体"/>
          <w:sz w:val="24"/>
          <w:szCs w:val="24"/>
        </w:rPr>
        <w:t>排队叫号系统可设置业务开始和结束办理的时间、每天处理的最大业务数量、业务是否暂停办理，并能实现上下午分开设置等多种功能，是当下行政服务中心智能化系统不可或缺的重要组成部分。系统拓扑图如下：</w:t>
      </w:r>
    </w:p>
    <w:p>
      <w:pPr>
        <w:pStyle w:val="4"/>
        <w:keepNext w:val="0"/>
        <w:keepLines w:val="0"/>
        <w:widowControl/>
        <w:suppressLineNumbers w:val="0"/>
        <w:ind w:left="0" w:firstLine="0"/>
      </w:pPr>
      <w:r>
        <w:rPr>
          <w:rFonts w:hint="default" w:ascii="Calibri" w:hAnsi="Calibri" w:cs="Calibri"/>
          <w:sz w:val="24"/>
          <w:szCs w:val="24"/>
        </w:rPr>
        <w:t>1.7.2.2.2</w:t>
      </w:r>
      <w:r>
        <w:rPr>
          <w:rFonts w:hint="default" w:ascii="Times New Roman" w:hAnsi="Times New Roman" w:cs="Times New Roman"/>
          <w:sz w:val="13"/>
          <w:szCs w:val="13"/>
        </w:rPr>
        <w:t xml:space="preserve">        </w:t>
      </w:r>
      <w:r>
        <w:rPr>
          <w:rFonts w:hint="eastAsia" w:ascii="宋体" w:hAnsi="宋体" w:eastAsia="宋体" w:cs="宋体"/>
          <w:sz w:val="24"/>
          <w:szCs w:val="24"/>
        </w:rPr>
        <w:t>系统程序构成及业务流程</w:t>
      </w:r>
    </w:p>
    <w:p>
      <w:pPr>
        <w:pStyle w:val="4"/>
        <w:keepNext w:val="0"/>
        <w:keepLines w:val="0"/>
        <w:widowControl/>
        <w:suppressLineNumbers w:val="0"/>
        <w:jc w:val="center"/>
      </w:pPr>
      <w:r>
        <w:rPr>
          <w:rFonts w:hint="eastAsia" w:ascii="宋体" w:hAnsi="宋体" w:eastAsia="宋体" w:cs="宋体"/>
          <w:sz w:val="24"/>
          <w:szCs w:val="24"/>
        </w:rPr>
        <w:t>本系统应用于行政服务中心带有取号、叫号功能的后台设备和终端设备，包括主程序、取号程序、虚拟叫号终端控制软件。主程序调试</w:t>
      </w:r>
    </w:p>
    <w:p>
      <w:pPr>
        <w:pStyle w:val="4"/>
        <w:keepNext w:val="0"/>
        <w:keepLines w:val="0"/>
        <w:widowControl/>
        <w:suppressLineNumbers w:val="0"/>
        <w:ind w:left="0" w:firstLine="480"/>
      </w:pPr>
      <w:r>
        <w:rPr>
          <w:rFonts w:hint="eastAsia" w:ascii="宋体" w:hAnsi="宋体" w:eastAsia="宋体" w:cs="宋体"/>
          <w:sz w:val="24"/>
          <w:szCs w:val="24"/>
        </w:rPr>
        <w:t>主程序可以实时监视系统的运行状态，系统可以自动地跟踪各个服务队列的状态，做到自动调整。同时通过与其他系统集成使服务系统形成一个完整的服务体系。可查看所有服务队列状态、外围设备连接状态、部门工作状态等信息。通过内嵌的设置模块可对各个业务进行管理及设置（多任务、多队列管理），对使用部门及人员进行管理控制。同时提供异地维护和管理功能，操作人员可以远程对系统状态进行监控和管理。</w:t>
      </w:r>
    </w:p>
    <w:p>
      <w:pPr>
        <w:pStyle w:val="4"/>
        <w:keepNext w:val="0"/>
        <w:keepLines w:val="0"/>
        <w:widowControl/>
        <w:suppressLineNumbers w:val="0"/>
        <w:ind w:left="0" w:firstLine="0"/>
      </w:pPr>
      <w:r>
        <w:rPr>
          <w:rFonts w:hint="default" w:ascii="Calibri" w:hAnsi="Calibri" w:cs="Calibri"/>
          <w:sz w:val="24"/>
          <w:szCs w:val="24"/>
        </w:rPr>
        <w:t>1.7.2.2.3</w:t>
      </w:r>
      <w:r>
        <w:rPr>
          <w:rFonts w:hint="default" w:ascii="Times New Roman" w:hAnsi="Times New Roman" w:cs="Times New Roman"/>
          <w:sz w:val="13"/>
          <w:szCs w:val="13"/>
        </w:rPr>
        <w:t xml:space="preserve">        </w:t>
      </w:r>
      <w:r>
        <w:rPr>
          <w:rFonts w:hint="eastAsia" w:ascii="宋体" w:hAnsi="宋体" w:eastAsia="宋体" w:cs="宋体"/>
          <w:sz w:val="24"/>
          <w:szCs w:val="24"/>
        </w:rPr>
        <w:t>取号程序调试</w:t>
      </w:r>
    </w:p>
    <w:p>
      <w:pPr>
        <w:pStyle w:val="4"/>
        <w:keepNext w:val="0"/>
        <w:keepLines w:val="0"/>
        <w:widowControl/>
        <w:suppressLineNumbers w:val="0"/>
        <w:ind w:left="0" w:firstLine="480"/>
      </w:pPr>
      <w:r>
        <w:rPr>
          <w:rFonts w:hint="eastAsia" w:ascii="宋体" w:hAnsi="宋体" w:eastAsia="宋体" w:cs="宋体"/>
          <w:sz w:val="24"/>
          <w:szCs w:val="24"/>
        </w:rPr>
        <w:t>供群众拿取号票。可支持多种不同业务，可实现多级别菜单操作选项。号票内容可由用户自由维护和更改，号票上用户可自由设置是否打印单位徽标；同时取票界面及号票样式可根据客户要求做相应调整；取号系统的业务能根据后台系统的设置自动更新；根据使用方的要求定制其他功能；设置显示该业务的办理指南功能；按键取号时声音提示。</w:t>
      </w:r>
    </w:p>
    <w:p>
      <w:pPr>
        <w:pStyle w:val="4"/>
        <w:keepNext w:val="0"/>
        <w:keepLines w:val="0"/>
        <w:widowControl/>
        <w:suppressLineNumbers w:val="0"/>
        <w:ind w:left="0" w:firstLine="480"/>
        <w:jc w:val="left"/>
      </w:pPr>
      <w:r>
        <w:rPr>
          <w:rFonts w:hint="eastAsia" w:ascii="宋体" w:hAnsi="宋体" w:eastAsia="宋体" w:cs="宋体"/>
          <w:sz w:val="24"/>
          <w:szCs w:val="24"/>
        </w:rPr>
        <w:t>1、预约取号</w:t>
      </w:r>
    </w:p>
    <w:p>
      <w:pPr>
        <w:pStyle w:val="4"/>
        <w:keepNext w:val="0"/>
        <w:keepLines w:val="0"/>
        <w:widowControl/>
        <w:suppressLineNumbers w:val="0"/>
        <w:ind w:left="0" w:firstLine="480"/>
      </w:pPr>
      <w:r>
        <w:rPr>
          <w:rFonts w:hint="eastAsia" w:ascii="宋体" w:hAnsi="宋体" w:eastAsia="宋体" w:cs="宋体"/>
          <w:sz w:val="24"/>
          <w:szCs w:val="24"/>
        </w:rPr>
        <w:t>已经网上预约的用户取号，刷二代身份证或输入身份证号码、手机号码后自动出现预约信息，选定预约记录打印带有二维码的号票，进入排队序列。</w:t>
      </w:r>
    </w:p>
    <w:p>
      <w:pPr>
        <w:pStyle w:val="4"/>
        <w:keepNext w:val="0"/>
        <w:keepLines w:val="0"/>
        <w:widowControl/>
        <w:suppressLineNumbers w:val="0"/>
        <w:ind w:left="0" w:firstLine="480"/>
      </w:pPr>
      <w:r>
        <w:rPr>
          <w:rFonts w:hint="eastAsia" w:ascii="宋体" w:hAnsi="宋体" w:eastAsia="宋体" w:cs="宋体"/>
          <w:sz w:val="24"/>
          <w:szCs w:val="24"/>
        </w:rPr>
        <w:t>如果没有网上预约，可以直接在一体机上进行预约。</w:t>
      </w:r>
    </w:p>
    <w:p>
      <w:pPr>
        <w:pStyle w:val="4"/>
        <w:keepNext w:val="0"/>
        <w:keepLines w:val="0"/>
        <w:widowControl/>
        <w:suppressLineNumbers w:val="0"/>
        <w:ind w:left="0" w:firstLine="480"/>
        <w:jc w:val="left"/>
      </w:pPr>
      <w:r>
        <w:rPr>
          <w:rFonts w:hint="eastAsia" w:ascii="宋体" w:hAnsi="宋体" w:eastAsia="宋体" w:cs="宋体"/>
          <w:sz w:val="24"/>
          <w:szCs w:val="24"/>
        </w:rPr>
        <w:t>（1）预约入口</w:t>
      </w:r>
    </w:p>
    <w:p>
      <w:pPr>
        <w:pStyle w:val="4"/>
        <w:keepNext w:val="0"/>
        <w:keepLines w:val="0"/>
        <w:widowControl/>
        <w:suppressLineNumbers w:val="0"/>
        <w:ind w:left="0" w:firstLine="480"/>
      </w:pPr>
      <w:r>
        <w:rPr>
          <w:rFonts w:hint="eastAsia" w:ascii="宋体" w:hAnsi="宋体" w:eastAsia="宋体" w:cs="宋体"/>
          <w:sz w:val="24"/>
          <w:szCs w:val="24"/>
        </w:rPr>
        <w:t>申请人可以在一体机上进行预约，预约时显示的内容与排队时显示的内容是一样的，由排队机系统提供。</w:t>
      </w:r>
    </w:p>
    <w:p>
      <w:pPr>
        <w:pStyle w:val="4"/>
        <w:keepNext w:val="0"/>
        <w:keepLines w:val="0"/>
        <w:widowControl/>
        <w:suppressLineNumbers w:val="0"/>
        <w:ind w:left="0" w:firstLine="480"/>
      </w:pPr>
      <w:r>
        <w:rPr>
          <w:rFonts w:hint="eastAsia" w:ascii="宋体" w:hAnsi="宋体" w:eastAsia="宋体" w:cs="宋体"/>
          <w:sz w:val="24"/>
          <w:szCs w:val="24"/>
        </w:rPr>
        <w:t>（2）按时间段预约</w:t>
      </w:r>
    </w:p>
    <w:p>
      <w:pPr>
        <w:pStyle w:val="4"/>
        <w:keepNext w:val="0"/>
        <w:keepLines w:val="0"/>
        <w:widowControl/>
        <w:suppressLineNumbers w:val="0"/>
        <w:ind w:left="0" w:firstLine="480"/>
      </w:pPr>
      <w:r>
        <w:rPr>
          <w:rFonts w:hint="eastAsia" w:ascii="宋体" w:hAnsi="宋体" w:eastAsia="宋体" w:cs="宋体"/>
          <w:sz w:val="24"/>
          <w:szCs w:val="24"/>
        </w:rPr>
        <w:t>对某个业务的预约只能预约到某个时间段，例如9：00-10：00；申请人完成预约后，系统会自动发送包含预约号的短信给申请人。大厅排队机的预约提供提前半天到五天之内的预约。</w:t>
      </w:r>
    </w:p>
    <w:p>
      <w:pPr>
        <w:pStyle w:val="4"/>
        <w:keepNext w:val="0"/>
        <w:keepLines w:val="0"/>
        <w:widowControl/>
        <w:suppressLineNumbers w:val="0"/>
        <w:ind w:left="0" w:firstLine="480"/>
      </w:pPr>
      <w:r>
        <w:rPr>
          <w:rFonts w:hint="eastAsia" w:ascii="宋体" w:hAnsi="宋体" w:eastAsia="宋体" w:cs="宋体"/>
          <w:sz w:val="24"/>
          <w:szCs w:val="24"/>
        </w:rPr>
        <w:t>（3）预约数量的限制</w:t>
      </w:r>
    </w:p>
    <w:p>
      <w:pPr>
        <w:pStyle w:val="4"/>
        <w:keepNext w:val="0"/>
        <w:keepLines w:val="0"/>
        <w:widowControl/>
        <w:suppressLineNumbers w:val="0"/>
        <w:ind w:left="0" w:firstLine="480"/>
      </w:pPr>
      <w:r>
        <w:rPr>
          <w:rFonts w:hint="eastAsia" w:ascii="宋体" w:hAnsi="宋体" w:eastAsia="宋体" w:cs="宋体"/>
          <w:sz w:val="24"/>
          <w:szCs w:val="24"/>
        </w:rPr>
        <w:t>每个窗口在同一天的同一个时间段内提供默认5个预约服务，超过5个后提示“约满”。但系统可以根据不同窗口业务量的情况对预约的数量进行修改。</w:t>
      </w:r>
    </w:p>
    <w:p>
      <w:pPr>
        <w:pStyle w:val="4"/>
        <w:keepNext w:val="0"/>
        <w:keepLines w:val="0"/>
        <w:widowControl/>
        <w:suppressLineNumbers w:val="0"/>
        <w:ind w:left="0" w:firstLine="480"/>
      </w:pPr>
      <w:r>
        <w:rPr>
          <w:rFonts w:hint="eastAsia" w:ascii="宋体" w:hAnsi="宋体" w:eastAsia="宋体" w:cs="宋体"/>
          <w:sz w:val="24"/>
          <w:szCs w:val="24"/>
        </w:rPr>
        <w:t>（4）窗口人员叫号</w:t>
      </w:r>
    </w:p>
    <w:p>
      <w:pPr>
        <w:pStyle w:val="4"/>
        <w:keepNext w:val="0"/>
        <w:keepLines w:val="0"/>
        <w:widowControl/>
        <w:suppressLineNumbers w:val="0"/>
        <w:ind w:left="0" w:firstLine="480"/>
      </w:pPr>
      <w:r>
        <w:rPr>
          <w:rFonts w:hint="eastAsia" w:ascii="宋体" w:hAnsi="宋体" w:eastAsia="宋体" w:cs="宋体"/>
          <w:sz w:val="24"/>
          <w:szCs w:val="24"/>
        </w:rPr>
        <w:t>窗口人员叫号时，如果在时间段内有预约人员，优先叫预约人员，但是下一个的叫号必须是排队人员，即预约对列和正常排队交叉叫号，不能一直叫预约人员。</w:t>
      </w:r>
    </w:p>
    <w:p>
      <w:pPr>
        <w:pStyle w:val="4"/>
        <w:keepNext w:val="0"/>
        <w:keepLines w:val="0"/>
        <w:widowControl/>
        <w:suppressLineNumbers w:val="0"/>
        <w:ind w:left="0" w:firstLine="480"/>
      </w:pPr>
      <w:r>
        <w:rPr>
          <w:rFonts w:hint="eastAsia" w:ascii="宋体" w:hAnsi="宋体" w:eastAsia="宋体" w:cs="宋体"/>
          <w:sz w:val="24"/>
          <w:szCs w:val="24"/>
        </w:rPr>
        <w:t>2、排队取号</w:t>
      </w:r>
    </w:p>
    <w:p>
      <w:pPr>
        <w:pStyle w:val="4"/>
        <w:keepNext w:val="0"/>
        <w:keepLines w:val="0"/>
        <w:widowControl/>
        <w:suppressLineNumbers w:val="0"/>
        <w:ind w:left="0" w:firstLine="480"/>
      </w:pPr>
      <w:r>
        <w:rPr>
          <w:rFonts w:hint="eastAsia" w:ascii="宋体" w:hAnsi="宋体" w:eastAsia="宋体" w:cs="宋体"/>
          <w:sz w:val="24"/>
          <w:szCs w:val="24"/>
        </w:rPr>
        <w:t>申请人在自助登记终端设备自助登记后，系统提示申请人刷取二代身份证，身份证信息获取后显示在大屏幕上，如果申请人以前刷过身份证并完善过手机号等数据，也一并显示出来。最后在20秒时间内点击确认按钮。</w:t>
      </w:r>
    </w:p>
    <w:p>
      <w:pPr>
        <w:pStyle w:val="4"/>
        <w:keepNext w:val="0"/>
        <w:keepLines w:val="0"/>
        <w:widowControl/>
        <w:suppressLineNumbers w:val="0"/>
        <w:ind w:left="0" w:firstLine="480"/>
      </w:pPr>
      <w:r>
        <w:rPr>
          <w:rFonts w:hint="eastAsia" w:ascii="宋体" w:hAnsi="宋体" w:eastAsia="宋体" w:cs="宋体"/>
          <w:sz w:val="24"/>
          <w:szCs w:val="24"/>
        </w:rPr>
        <w:t>在打印凭条上带有二维码排队号单，信息包括：身份证号码（隐藏部分信息）、排队号码、窗口号、办理事项、等待人数等信息。</w:t>
      </w:r>
    </w:p>
    <w:p>
      <w:pPr>
        <w:pStyle w:val="4"/>
        <w:keepNext w:val="0"/>
        <w:keepLines w:val="0"/>
        <w:widowControl/>
        <w:suppressLineNumbers w:val="0"/>
        <w:ind w:left="0" w:firstLine="0"/>
      </w:pPr>
      <w:r>
        <w:rPr>
          <w:rFonts w:hint="default" w:ascii="Calibri" w:hAnsi="Calibri" w:cs="Calibri"/>
          <w:sz w:val="24"/>
          <w:szCs w:val="24"/>
        </w:rPr>
        <w:t>1.7.2.2.4</w:t>
      </w:r>
      <w:r>
        <w:rPr>
          <w:rFonts w:hint="default" w:ascii="Times New Roman" w:hAnsi="Times New Roman" w:cs="Times New Roman"/>
          <w:sz w:val="13"/>
          <w:szCs w:val="13"/>
        </w:rPr>
        <w:t xml:space="preserve">        </w:t>
      </w:r>
      <w:r>
        <w:rPr>
          <w:rFonts w:hint="eastAsia" w:ascii="宋体" w:hAnsi="宋体" w:eastAsia="宋体" w:cs="宋体"/>
          <w:sz w:val="24"/>
          <w:szCs w:val="24"/>
        </w:rPr>
        <w:t>虚拟叫号终端</w:t>
      </w:r>
    </w:p>
    <w:p>
      <w:pPr>
        <w:pStyle w:val="4"/>
        <w:keepNext w:val="0"/>
        <w:keepLines w:val="0"/>
        <w:widowControl/>
        <w:suppressLineNumbers w:val="0"/>
        <w:ind w:left="0" w:firstLine="480"/>
      </w:pPr>
      <w:r>
        <w:rPr>
          <w:rFonts w:hint="eastAsia" w:ascii="宋体" w:hAnsi="宋体" w:eastAsia="宋体" w:cs="宋体"/>
          <w:sz w:val="24"/>
          <w:szCs w:val="24"/>
        </w:rPr>
        <w:t>窗口虚拟呼叫程序集成到行政许可网络运行系统中，部门服务人员呼叫按钮，同时评议窗口显示屏显示客户的票号及邀请窗口号。下图为窗口的LED显示。</w:t>
      </w:r>
    </w:p>
    <w:p>
      <w:pPr>
        <w:pStyle w:val="4"/>
        <w:keepNext w:val="0"/>
        <w:keepLines w:val="0"/>
        <w:widowControl/>
        <w:suppressLineNumbers w:val="0"/>
        <w:ind w:left="0" w:firstLine="480"/>
        <w:jc w:val="both"/>
      </w:pPr>
      <w:r>
        <w:br w:type="textWrapping"/>
      </w:r>
      <w:r>
        <w:rPr>
          <w:rFonts w:hint="default" w:ascii="Calibri" w:hAnsi="Calibri" w:cs="Calibri"/>
          <w:sz w:val="24"/>
          <w:szCs w:val="24"/>
        </w:rPr>
        <w:t> </w:t>
      </w:r>
      <w:r>
        <w:rPr>
          <w:rFonts w:hint="default" w:ascii="Calibri" w:hAnsi="Calibri" w:cs="Calibri"/>
          <w:sz w:val="24"/>
          <w:szCs w:val="24"/>
        </w:rPr>
        <w:drawing>
          <wp:inline distT="0" distB="0" distL="114300" distR="114300">
            <wp:extent cx="5819775" cy="2676525"/>
            <wp:effectExtent l="0" t="0" r="9525" b="9525"/>
            <wp:docPr id="6" name="图片 1" descr="15354202382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descr="1535420238237.png"/>
                    <pic:cNvPicPr>
                      <a:picLocks noChangeAspect="1"/>
                    </pic:cNvPicPr>
                  </pic:nvPicPr>
                  <pic:blipFill>
                    <a:blip r:embed="rId4"/>
                    <a:stretch>
                      <a:fillRect/>
                    </a:stretch>
                  </pic:blipFill>
                  <pic:spPr>
                    <a:xfrm>
                      <a:off x="0" y="0"/>
                      <a:ext cx="5819775" cy="2676525"/>
                    </a:xfrm>
                    <a:prstGeom prst="rect">
                      <a:avLst/>
                    </a:prstGeom>
                    <a:noFill/>
                    <a:ln w="9525">
                      <a:noFill/>
                    </a:ln>
                  </pic:spPr>
                </pic:pic>
              </a:graphicData>
            </a:graphic>
          </wp:inline>
        </w:drawing>
      </w:r>
    </w:p>
    <w:p>
      <w:pPr>
        <w:keepNext w:val="0"/>
        <w:keepLines w:val="0"/>
        <w:widowControl/>
        <w:suppressLineNumbers w:val="0"/>
        <w:jc w:val="left"/>
      </w:pPr>
    </w:p>
    <w:p>
      <w:pPr>
        <w:pStyle w:val="4"/>
        <w:keepNext w:val="0"/>
        <w:keepLines w:val="0"/>
        <w:widowControl/>
        <w:suppressLineNumbers w:val="0"/>
        <w:ind w:left="0" w:firstLine="480"/>
      </w:pPr>
      <w:r>
        <w:rPr>
          <w:rFonts w:hint="eastAsia" w:ascii="宋体" w:hAnsi="宋体" w:eastAsia="宋体" w:cs="宋体"/>
          <w:sz w:val="24"/>
          <w:szCs w:val="24"/>
        </w:rPr>
        <w:t>（1）工作人员根据服务进度，可自由选择是否进行下一次服务，特呼（呼叫指 定号码）、重复呼叫等特殊呼叫功能。</w:t>
      </w:r>
    </w:p>
    <w:p>
      <w:pPr>
        <w:pStyle w:val="4"/>
        <w:keepNext w:val="0"/>
        <w:keepLines w:val="0"/>
        <w:widowControl/>
        <w:suppressLineNumbers w:val="0"/>
        <w:ind w:left="0" w:firstLine="480"/>
      </w:pPr>
      <w:r>
        <w:rPr>
          <w:rFonts w:hint="eastAsia" w:ascii="宋体" w:hAnsi="宋体" w:eastAsia="宋体" w:cs="宋体"/>
          <w:sz w:val="24"/>
          <w:szCs w:val="24"/>
        </w:rPr>
        <w:t>（2）窗口服务种类可以在呼叫终端进行修改，更改完毕以后，发号主机立刻将在该服务种类等候的客户号码分配到该窗口。</w:t>
      </w:r>
    </w:p>
    <w:p>
      <w:pPr>
        <w:pStyle w:val="4"/>
        <w:keepNext w:val="0"/>
        <w:keepLines w:val="0"/>
        <w:widowControl/>
        <w:suppressLineNumbers w:val="0"/>
        <w:ind w:left="0" w:firstLine="480"/>
      </w:pPr>
      <w:r>
        <w:rPr>
          <w:rFonts w:hint="eastAsia" w:ascii="宋体" w:hAnsi="宋体" w:eastAsia="宋体" w:cs="宋体"/>
          <w:sz w:val="24"/>
          <w:szCs w:val="24"/>
        </w:rPr>
        <w:t>（3）客户听到发号主机发出的呼叫后，即可走到提示中的窗口接受服务。</w:t>
      </w:r>
    </w:p>
    <w:p>
      <w:pPr>
        <w:pStyle w:val="4"/>
        <w:keepNext w:val="0"/>
        <w:keepLines w:val="0"/>
        <w:widowControl/>
        <w:suppressLineNumbers w:val="0"/>
        <w:ind w:left="0" w:firstLine="480"/>
      </w:pPr>
      <w:r>
        <w:rPr>
          <w:rFonts w:hint="eastAsia" w:ascii="宋体" w:hAnsi="宋体" w:eastAsia="宋体" w:cs="宋体"/>
          <w:sz w:val="24"/>
          <w:szCs w:val="24"/>
        </w:rPr>
        <w:t>（4）自动更新机制：虚拟呼叫终端是C / S方式部署的，作为统一的软件存在客户端升级困难的问题，该部分应采取版本控制，能够自动检测最新版本并进行下载，能够控制版本的回滚解决升级问题。</w:t>
      </w:r>
    </w:p>
    <w:p>
      <w:pPr>
        <w:pStyle w:val="4"/>
        <w:keepNext w:val="0"/>
        <w:keepLines w:val="0"/>
        <w:widowControl/>
        <w:suppressLineNumbers w:val="0"/>
        <w:ind w:left="0" w:firstLine="0"/>
      </w:pPr>
      <w:r>
        <w:rPr>
          <w:rFonts w:hint="default" w:ascii="Calibri" w:hAnsi="Calibri" w:cs="Calibri"/>
          <w:sz w:val="24"/>
          <w:szCs w:val="24"/>
        </w:rPr>
        <w:t>1.7.2.2.5</w:t>
      </w:r>
      <w:r>
        <w:rPr>
          <w:rFonts w:hint="default" w:ascii="Times New Roman" w:hAnsi="Times New Roman" w:cs="Times New Roman"/>
          <w:sz w:val="13"/>
          <w:szCs w:val="13"/>
        </w:rPr>
        <w:t xml:space="preserve">        </w:t>
      </w:r>
      <w:r>
        <w:rPr>
          <w:rFonts w:hint="eastAsia" w:ascii="宋体" w:hAnsi="宋体" w:eastAsia="宋体" w:cs="宋体"/>
          <w:sz w:val="24"/>
          <w:szCs w:val="24"/>
        </w:rPr>
        <w:t>数据导出</w:t>
      </w:r>
    </w:p>
    <w:p>
      <w:pPr>
        <w:pStyle w:val="4"/>
        <w:keepNext w:val="0"/>
        <w:keepLines w:val="0"/>
        <w:widowControl/>
        <w:suppressLineNumbers w:val="0"/>
        <w:ind w:left="480"/>
      </w:pPr>
      <w:r>
        <w:rPr>
          <w:rFonts w:hint="eastAsia" w:ascii="宋体" w:hAnsi="宋体" w:eastAsia="宋体" w:cs="宋体"/>
          <w:sz w:val="24"/>
          <w:szCs w:val="24"/>
        </w:rPr>
        <w:t>可实现系统数据的导出，包括办事人员的身份证信息，手机号码等。</w:t>
      </w:r>
    </w:p>
    <w:p>
      <w:pPr>
        <w:pStyle w:val="4"/>
        <w:keepNext w:val="0"/>
        <w:keepLines w:val="0"/>
        <w:widowControl/>
        <w:suppressLineNumbers w:val="0"/>
        <w:ind w:left="0" w:firstLine="0"/>
      </w:pPr>
      <w:r>
        <w:rPr>
          <w:rFonts w:hint="eastAsia" w:ascii="宋体" w:hAnsi="宋体" w:eastAsia="宋体" w:cs="宋体"/>
          <w:sz w:val="24"/>
          <w:szCs w:val="24"/>
        </w:rPr>
        <w:t>1.7.3</w:t>
      </w:r>
      <w:r>
        <w:rPr>
          <w:rFonts w:hint="default" w:ascii="Times New Roman" w:hAnsi="Times New Roman" w:cs="Times New Roman"/>
          <w:sz w:val="13"/>
          <w:szCs w:val="13"/>
        </w:rPr>
        <w:t xml:space="preserve">   </w:t>
      </w:r>
      <w:r>
        <w:rPr>
          <w:rFonts w:hint="eastAsia" w:ascii="宋体" w:hAnsi="宋体" w:eastAsia="宋体" w:cs="宋体"/>
          <w:sz w:val="24"/>
          <w:szCs w:val="24"/>
        </w:rPr>
        <w:t>TV叫号显示系统</w:t>
      </w:r>
    </w:p>
    <w:p>
      <w:pPr>
        <w:pStyle w:val="4"/>
        <w:keepNext w:val="0"/>
        <w:keepLines w:val="0"/>
        <w:widowControl/>
        <w:suppressLineNumbers w:val="0"/>
      </w:pPr>
      <w:r>
        <w:rPr>
          <w:rFonts w:hint="default" w:ascii="Calibri" w:hAnsi="Calibri" w:cs="Calibri"/>
          <w:sz w:val="24"/>
          <w:szCs w:val="24"/>
        </w:rPr>
        <w:t xml:space="preserve">1.7.3.1 </w:t>
      </w:r>
      <w:r>
        <w:rPr>
          <w:rFonts w:hint="eastAsia" w:ascii="宋体" w:hAnsi="宋体" w:eastAsia="宋体" w:cs="宋体"/>
          <w:sz w:val="24"/>
          <w:szCs w:val="24"/>
        </w:rPr>
        <w:t>调试系统数量</w:t>
      </w:r>
    </w:p>
    <w:p>
      <w:pPr>
        <w:pStyle w:val="4"/>
        <w:keepNext w:val="0"/>
        <w:keepLines w:val="0"/>
        <w:widowControl/>
        <w:suppressLineNumbers w:val="0"/>
        <w:ind w:left="480"/>
      </w:pPr>
      <w:r>
        <w:rPr>
          <w:rFonts w:hint="eastAsia" w:ascii="宋体" w:hAnsi="宋体" w:eastAsia="宋体" w:cs="宋体"/>
          <w:sz w:val="24"/>
          <w:szCs w:val="24"/>
        </w:rPr>
        <w:t>2台TV叫号显示器。</w:t>
      </w:r>
    </w:p>
    <w:p>
      <w:pPr>
        <w:pStyle w:val="4"/>
        <w:keepNext w:val="0"/>
        <w:keepLines w:val="0"/>
        <w:widowControl/>
        <w:suppressLineNumbers w:val="0"/>
      </w:pPr>
      <w:r>
        <w:rPr>
          <w:rFonts w:hint="default" w:ascii="Calibri" w:hAnsi="Calibri" w:cs="Calibri"/>
          <w:sz w:val="24"/>
          <w:szCs w:val="24"/>
        </w:rPr>
        <w:t xml:space="preserve">1.7.3.2 </w:t>
      </w:r>
      <w:r>
        <w:rPr>
          <w:rFonts w:hint="eastAsia" w:ascii="宋体" w:hAnsi="宋体" w:eastAsia="宋体" w:cs="宋体"/>
          <w:sz w:val="24"/>
          <w:szCs w:val="24"/>
        </w:rPr>
        <w:t>调试功能明细</w:t>
      </w:r>
    </w:p>
    <w:p>
      <w:pPr>
        <w:pStyle w:val="4"/>
        <w:keepNext w:val="0"/>
        <w:keepLines w:val="0"/>
        <w:widowControl/>
        <w:suppressLineNumbers w:val="0"/>
        <w:ind w:left="0" w:firstLine="480"/>
      </w:pPr>
      <w:r>
        <w:rPr>
          <w:rFonts w:hint="eastAsia" w:ascii="宋体" w:hAnsi="宋体" w:eastAsia="宋体" w:cs="宋体"/>
          <w:sz w:val="24"/>
          <w:szCs w:val="24"/>
        </w:rPr>
        <w:t>显示指 定区域的叫号信息，可根据需要自定义显示内容（包括：字体样式、大小、颜色、显示分辨率等），方便群众查看叫号信息，避免过号，提升中心服务效果。</w:t>
      </w:r>
    </w:p>
    <w:p>
      <w:pPr>
        <w:pStyle w:val="4"/>
        <w:keepNext w:val="0"/>
        <w:keepLines w:val="0"/>
        <w:widowControl/>
        <w:suppressLineNumbers w:val="0"/>
        <w:ind w:left="0" w:firstLine="0"/>
      </w:pPr>
      <w:r>
        <w:rPr>
          <w:rFonts w:hint="eastAsia" w:ascii="宋体" w:hAnsi="宋体" w:eastAsia="宋体" w:cs="宋体"/>
          <w:sz w:val="24"/>
          <w:szCs w:val="24"/>
        </w:rPr>
        <w:t>1.7.4</w:t>
      </w:r>
      <w:r>
        <w:rPr>
          <w:rFonts w:hint="default" w:ascii="Times New Roman" w:hAnsi="Times New Roman" w:cs="Times New Roman"/>
          <w:sz w:val="13"/>
          <w:szCs w:val="13"/>
        </w:rPr>
        <w:t xml:space="preserve">   </w:t>
      </w:r>
      <w:r>
        <w:rPr>
          <w:rFonts w:hint="eastAsia" w:ascii="宋体" w:hAnsi="宋体" w:eastAsia="宋体" w:cs="宋体"/>
          <w:sz w:val="24"/>
          <w:szCs w:val="24"/>
        </w:rPr>
        <w:t>查询一体机系统</w:t>
      </w:r>
    </w:p>
    <w:p>
      <w:pPr>
        <w:pStyle w:val="4"/>
        <w:keepNext w:val="0"/>
        <w:keepLines w:val="0"/>
        <w:widowControl/>
        <w:suppressLineNumbers w:val="0"/>
      </w:pPr>
      <w:r>
        <w:rPr>
          <w:rFonts w:hint="default" w:ascii="Calibri" w:hAnsi="Calibri" w:cs="Calibri"/>
          <w:sz w:val="24"/>
          <w:szCs w:val="24"/>
        </w:rPr>
        <w:t xml:space="preserve">1.7.4.1 </w:t>
      </w:r>
      <w:r>
        <w:rPr>
          <w:rFonts w:hint="eastAsia" w:ascii="宋体" w:hAnsi="宋体" w:eastAsia="宋体" w:cs="宋体"/>
          <w:sz w:val="24"/>
          <w:szCs w:val="24"/>
        </w:rPr>
        <w:t>调试系统数量</w:t>
      </w:r>
    </w:p>
    <w:p>
      <w:pPr>
        <w:pStyle w:val="4"/>
        <w:keepNext w:val="0"/>
        <w:keepLines w:val="0"/>
        <w:widowControl/>
        <w:suppressLineNumbers w:val="0"/>
        <w:ind w:left="0" w:firstLine="480"/>
      </w:pPr>
      <w:r>
        <w:rPr>
          <w:rFonts w:hint="eastAsia" w:ascii="宋体" w:hAnsi="宋体" w:eastAsia="宋体" w:cs="宋体"/>
          <w:sz w:val="24"/>
          <w:szCs w:val="24"/>
        </w:rPr>
        <w:t>2台查询一体机。</w:t>
      </w:r>
    </w:p>
    <w:p>
      <w:pPr>
        <w:pStyle w:val="4"/>
        <w:keepNext w:val="0"/>
        <w:keepLines w:val="0"/>
        <w:widowControl/>
        <w:suppressLineNumbers w:val="0"/>
      </w:pPr>
      <w:r>
        <w:rPr>
          <w:rFonts w:hint="default" w:ascii="Calibri" w:hAnsi="Calibri" w:cs="Calibri"/>
          <w:sz w:val="24"/>
          <w:szCs w:val="24"/>
        </w:rPr>
        <w:t xml:space="preserve">1.7.4.2 </w:t>
      </w:r>
      <w:r>
        <w:rPr>
          <w:rFonts w:hint="eastAsia" w:ascii="宋体" w:hAnsi="宋体" w:eastAsia="宋体" w:cs="宋体"/>
          <w:sz w:val="24"/>
          <w:szCs w:val="24"/>
        </w:rPr>
        <w:t>调试功能明细</w:t>
      </w:r>
    </w:p>
    <w:p>
      <w:pPr>
        <w:pStyle w:val="4"/>
        <w:keepNext w:val="0"/>
        <w:keepLines w:val="0"/>
        <w:widowControl/>
        <w:suppressLineNumbers w:val="0"/>
        <w:ind w:left="0" w:firstLine="0"/>
      </w:pPr>
      <w:r>
        <w:rPr>
          <w:rFonts w:hint="default" w:ascii="Calibri" w:hAnsi="Calibri" w:cs="Calibri"/>
          <w:sz w:val="24"/>
          <w:szCs w:val="24"/>
        </w:rPr>
        <w:t>1.7.4.2.1</w:t>
      </w:r>
      <w:r>
        <w:rPr>
          <w:rFonts w:hint="default" w:ascii="Times New Roman" w:hAnsi="Times New Roman" w:cs="Times New Roman"/>
          <w:sz w:val="13"/>
          <w:szCs w:val="13"/>
        </w:rPr>
        <w:t xml:space="preserve">        </w:t>
      </w:r>
      <w:r>
        <w:rPr>
          <w:rFonts w:hint="eastAsia" w:ascii="宋体" w:hAnsi="宋体" w:eastAsia="宋体" w:cs="宋体"/>
          <w:sz w:val="24"/>
          <w:szCs w:val="24"/>
        </w:rPr>
        <w:t>系统功能及程序构成</w:t>
      </w:r>
    </w:p>
    <w:p>
      <w:pPr>
        <w:pStyle w:val="4"/>
        <w:keepNext w:val="0"/>
        <w:keepLines w:val="0"/>
        <w:widowControl/>
        <w:suppressLineNumbers w:val="0"/>
        <w:ind w:left="0" w:firstLine="480"/>
      </w:pPr>
      <w:r>
        <w:rPr>
          <w:rFonts w:hint="eastAsia" w:ascii="宋体" w:hAnsi="宋体" w:eastAsia="宋体" w:cs="宋体"/>
          <w:sz w:val="24"/>
          <w:szCs w:val="24"/>
        </w:rPr>
        <w:t>将行政服务中心自助申报、查询、预约、办事指南导引、自助打印等一系列功能服务于一身的自助服务终端系统。公众可以直接在触摸屏上查询各审批事项的相关信息，并且触摸屏可以将审批结果反馈给企业和公众。</w:t>
      </w:r>
    </w:p>
    <w:p>
      <w:pPr>
        <w:pStyle w:val="4"/>
        <w:keepNext w:val="0"/>
        <w:keepLines w:val="0"/>
        <w:widowControl/>
        <w:suppressLineNumbers w:val="0"/>
        <w:ind w:left="0" w:firstLine="480"/>
      </w:pPr>
      <w:r>
        <w:rPr>
          <w:rFonts w:hint="eastAsia" w:ascii="宋体" w:hAnsi="宋体" w:eastAsia="宋体" w:cs="宋体"/>
          <w:sz w:val="24"/>
          <w:szCs w:val="24"/>
        </w:rPr>
        <w:t>查勘一体机界面及其查询内容由中心简介、中心布局、办事指南、进度查询、预约服务、服务之星、排队取号等功能组成。</w:t>
      </w:r>
    </w:p>
    <w:p>
      <w:pPr>
        <w:pStyle w:val="4"/>
        <w:keepNext w:val="0"/>
        <w:keepLines w:val="0"/>
        <w:widowControl/>
        <w:suppressLineNumbers w:val="0"/>
        <w:ind w:left="0" w:firstLine="0"/>
      </w:pPr>
      <w:r>
        <w:rPr>
          <w:rFonts w:hint="eastAsia" w:ascii="宋体" w:hAnsi="宋体" w:eastAsia="宋体" w:cs="宋体"/>
          <w:sz w:val="24"/>
          <w:szCs w:val="24"/>
        </w:rPr>
        <w:t>1.7.5</w:t>
      </w:r>
      <w:r>
        <w:rPr>
          <w:rFonts w:hint="default" w:ascii="Times New Roman" w:hAnsi="Times New Roman" w:cs="Times New Roman"/>
          <w:sz w:val="13"/>
          <w:szCs w:val="13"/>
        </w:rPr>
        <w:t xml:space="preserve">   </w:t>
      </w:r>
      <w:r>
        <w:rPr>
          <w:rFonts w:hint="eastAsia" w:ascii="宋体" w:hAnsi="宋体" w:eastAsia="宋体" w:cs="宋体"/>
          <w:sz w:val="24"/>
          <w:szCs w:val="24"/>
        </w:rPr>
        <w:t>评价器系统</w:t>
      </w:r>
    </w:p>
    <w:p>
      <w:pPr>
        <w:pStyle w:val="4"/>
        <w:keepNext w:val="0"/>
        <w:keepLines w:val="0"/>
        <w:widowControl/>
        <w:suppressLineNumbers w:val="0"/>
      </w:pPr>
      <w:r>
        <w:rPr>
          <w:rFonts w:hint="default" w:ascii="Calibri" w:hAnsi="Calibri" w:cs="Calibri"/>
          <w:sz w:val="24"/>
          <w:szCs w:val="24"/>
        </w:rPr>
        <w:t xml:space="preserve">1.7.5.1 </w:t>
      </w:r>
      <w:r>
        <w:rPr>
          <w:rFonts w:hint="eastAsia" w:ascii="宋体" w:hAnsi="宋体" w:eastAsia="宋体" w:cs="宋体"/>
          <w:sz w:val="24"/>
          <w:szCs w:val="24"/>
        </w:rPr>
        <w:t>调试数量</w:t>
      </w:r>
    </w:p>
    <w:p>
      <w:pPr>
        <w:pStyle w:val="4"/>
        <w:keepNext w:val="0"/>
        <w:keepLines w:val="0"/>
        <w:widowControl/>
        <w:suppressLineNumbers w:val="0"/>
        <w:ind w:left="0" w:firstLine="480"/>
      </w:pPr>
      <w:r>
        <w:rPr>
          <w:rFonts w:hint="eastAsia" w:ascii="宋体" w:hAnsi="宋体" w:eastAsia="宋体" w:cs="宋体"/>
          <w:sz w:val="24"/>
          <w:szCs w:val="24"/>
        </w:rPr>
        <w:t>约50个窗口的评价器终端</w:t>
      </w:r>
    </w:p>
    <w:p>
      <w:pPr>
        <w:pStyle w:val="4"/>
        <w:keepNext w:val="0"/>
        <w:keepLines w:val="0"/>
        <w:widowControl/>
        <w:suppressLineNumbers w:val="0"/>
      </w:pPr>
      <w:r>
        <w:rPr>
          <w:rFonts w:hint="default" w:ascii="Calibri" w:hAnsi="Calibri" w:cs="Calibri"/>
          <w:sz w:val="24"/>
          <w:szCs w:val="24"/>
        </w:rPr>
        <w:t xml:space="preserve">1.7.5.2 </w:t>
      </w:r>
      <w:r>
        <w:rPr>
          <w:rFonts w:hint="eastAsia" w:ascii="宋体" w:hAnsi="宋体" w:eastAsia="宋体" w:cs="宋体"/>
          <w:sz w:val="24"/>
          <w:szCs w:val="24"/>
        </w:rPr>
        <w:t>调试功能明细</w:t>
      </w:r>
    </w:p>
    <w:p>
      <w:pPr>
        <w:pStyle w:val="4"/>
        <w:keepNext w:val="0"/>
        <w:keepLines w:val="0"/>
        <w:widowControl/>
        <w:suppressLineNumbers w:val="0"/>
        <w:ind w:left="0" w:firstLine="480"/>
      </w:pPr>
      <w:r>
        <w:rPr>
          <w:rFonts w:hint="eastAsia" w:ascii="宋体" w:hAnsi="宋体" w:eastAsia="宋体" w:cs="宋体"/>
          <w:sz w:val="24"/>
          <w:szCs w:val="24"/>
        </w:rPr>
        <w:t>评价系统能够帮助顾客办理完业务之后，请顾客对服务人员的服务质量进行评价，方便管理者对服务人员的服务质量进行统计，促进企事业单位改进服务，提高客户满意度。评价系统拓扑如下：</w:t>
      </w:r>
    </w:p>
    <w:p>
      <w:pPr>
        <w:pStyle w:val="4"/>
        <w:keepNext w:val="0"/>
        <w:keepLines w:val="0"/>
        <w:widowControl/>
        <w:suppressLineNumbers w:val="0"/>
        <w:ind w:left="0" w:firstLine="0"/>
      </w:pPr>
      <w:r>
        <w:rPr>
          <w:rFonts w:hint="default" w:ascii="Calibri" w:hAnsi="Calibri" w:cs="Calibri"/>
          <w:sz w:val="24"/>
          <w:szCs w:val="24"/>
        </w:rPr>
        <w:t>1.7.5.2.1</w:t>
      </w:r>
      <w:r>
        <w:rPr>
          <w:rFonts w:hint="default" w:ascii="Times New Roman" w:hAnsi="Times New Roman" w:cs="Times New Roman"/>
          <w:sz w:val="13"/>
          <w:szCs w:val="13"/>
        </w:rPr>
        <w:t xml:space="preserve">        </w:t>
      </w:r>
      <w:r>
        <w:rPr>
          <w:rFonts w:hint="eastAsia" w:ascii="宋体" w:hAnsi="宋体" w:eastAsia="宋体" w:cs="宋体"/>
          <w:sz w:val="24"/>
          <w:szCs w:val="24"/>
        </w:rPr>
        <w:t>评价终端事项显示</w:t>
      </w:r>
    </w:p>
    <w:p>
      <w:pPr>
        <w:pStyle w:val="4"/>
        <w:keepNext w:val="0"/>
        <w:keepLines w:val="0"/>
        <w:widowControl/>
        <w:suppressLineNumbers w:val="0"/>
        <w:ind w:left="0" w:firstLine="480"/>
      </w:pPr>
      <w:r>
        <w:rPr>
          <w:rFonts w:hint="eastAsia" w:ascii="宋体" w:hAnsi="宋体" w:eastAsia="宋体" w:cs="宋体"/>
          <w:sz w:val="24"/>
          <w:szCs w:val="24"/>
        </w:rPr>
        <w:t xml:space="preserve">评价终端事项显示功能主要是在评价终端可以显示跟该窗口相关的事项的政务公开的信息，包括该事项的办事流程、办事条件、办事时限、所需材料等相关信息，该模块的数据主要来自于两部分：如果有事项库的系统可以根据接口从中获取相应的数据，如果没有相应规范的事项库则根据本系统中的事项管理中进行提取数据。  </w:t>
      </w:r>
    </w:p>
    <w:p>
      <w:pPr>
        <w:pStyle w:val="4"/>
        <w:keepNext w:val="0"/>
        <w:keepLines w:val="0"/>
        <w:widowControl/>
        <w:suppressLineNumbers w:val="0"/>
        <w:ind w:left="0" w:firstLine="0"/>
      </w:pPr>
      <w:r>
        <w:rPr>
          <w:rFonts w:hint="default" w:ascii="Calibri" w:hAnsi="Calibri" w:cs="Calibri"/>
          <w:sz w:val="24"/>
          <w:szCs w:val="24"/>
        </w:rPr>
        <w:t>1.7.5.2.2</w:t>
      </w:r>
      <w:r>
        <w:rPr>
          <w:rFonts w:hint="default" w:ascii="Times New Roman" w:hAnsi="Times New Roman" w:cs="Times New Roman"/>
          <w:sz w:val="13"/>
          <w:szCs w:val="13"/>
        </w:rPr>
        <w:t xml:space="preserve">        </w:t>
      </w:r>
      <w:r>
        <w:rPr>
          <w:rFonts w:hint="eastAsia" w:ascii="宋体" w:hAnsi="宋体" w:eastAsia="宋体" w:cs="宋体"/>
          <w:sz w:val="24"/>
          <w:szCs w:val="24"/>
        </w:rPr>
        <w:t>工作人员显示</w:t>
      </w:r>
    </w:p>
    <w:p>
      <w:pPr>
        <w:pStyle w:val="4"/>
        <w:keepNext w:val="0"/>
        <w:keepLines w:val="0"/>
        <w:widowControl/>
        <w:suppressLineNumbers w:val="0"/>
        <w:ind w:left="0" w:firstLine="480"/>
      </w:pPr>
      <w:r>
        <w:rPr>
          <w:rFonts w:hint="eastAsia" w:ascii="宋体" w:hAnsi="宋体" w:eastAsia="宋体" w:cs="宋体"/>
          <w:sz w:val="24"/>
          <w:szCs w:val="24"/>
        </w:rPr>
        <w:t>工作人员显示系统是显示窗口工作人员的相关信息，包括个人照片、工作岗位、格言等相关信息，该模块支持两种数据源的显示：一种如果该单位并没有符合规范的窗口人员管理系统，则使用本系统中的人员信息管理，该模块从人员信息管理中进行抽取数据；另外一种该单位已有符合规范的窗口人员信息，则通过人员接口从已有系统中直接获取相应信息。</w:t>
      </w:r>
    </w:p>
    <w:p>
      <w:pPr>
        <w:pStyle w:val="4"/>
        <w:keepNext w:val="0"/>
        <w:keepLines w:val="0"/>
        <w:widowControl/>
        <w:suppressLineNumbers w:val="0"/>
        <w:ind w:left="0" w:firstLine="0"/>
      </w:pPr>
      <w:r>
        <w:rPr>
          <w:rFonts w:hint="default" w:ascii="Calibri" w:hAnsi="Calibri" w:cs="Calibri"/>
          <w:sz w:val="24"/>
          <w:szCs w:val="24"/>
        </w:rPr>
        <w:t>1.7.5.2.3</w:t>
      </w:r>
      <w:r>
        <w:rPr>
          <w:rFonts w:hint="default" w:ascii="Times New Roman" w:hAnsi="Times New Roman" w:cs="Times New Roman"/>
          <w:sz w:val="13"/>
          <w:szCs w:val="13"/>
        </w:rPr>
        <w:t xml:space="preserve">        </w:t>
      </w:r>
      <w:r>
        <w:rPr>
          <w:rFonts w:hint="eastAsia" w:ascii="宋体" w:hAnsi="宋体" w:eastAsia="宋体" w:cs="宋体"/>
          <w:sz w:val="24"/>
          <w:szCs w:val="24"/>
        </w:rPr>
        <w:t>终端评价展示</w:t>
      </w:r>
    </w:p>
    <w:p>
      <w:pPr>
        <w:pStyle w:val="4"/>
        <w:keepNext w:val="0"/>
        <w:keepLines w:val="0"/>
        <w:widowControl/>
        <w:suppressLineNumbers w:val="0"/>
        <w:ind w:left="0" w:firstLine="480"/>
      </w:pPr>
      <w:r>
        <w:rPr>
          <w:rFonts w:hint="eastAsia" w:ascii="宋体" w:hAnsi="宋体" w:eastAsia="宋体" w:cs="宋体"/>
          <w:sz w:val="24"/>
          <w:szCs w:val="24"/>
        </w:rPr>
        <w:t>终端评价展示是终端评价的核心，主要是根据预先定义的评价项进行动态显示，默认的主要包括“非常满意，满意，基本满意，不满意”等，也可以设置打分项与满意度对应，在不满意选项后仍然可以进行下一层的选项选择。它的数据来源主要来自系统中的评价内容管理。</w:t>
      </w:r>
    </w:p>
    <w:p>
      <w:pPr>
        <w:pStyle w:val="4"/>
        <w:keepNext w:val="0"/>
        <w:keepLines w:val="0"/>
        <w:widowControl/>
        <w:suppressLineNumbers w:val="0"/>
        <w:ind w:left="0" w:firstLine="0"/>
      </w:pPr>
      <w:r>
        <w:rPr>
          <w:rFonts w:hint="default" w:ascii="Calibri" w:hAnsi="Calibri" w:cs="Calibri"/>
          <w:sz w:val="24"/>
          <w:szCs w:val="24"/>
        </w:rPr>
        <w:t>1.7.5.2.4</w:t>
      </w:r>
      <w:r>
        <w:rPr>
          <w:rFonts w:hint="default" w:ascii="Times New Roman" w:hAnsi="Times New Roman" w:cs="Times New Roman"/>
          <w:sz w:val="13"/>
          <w:szCs w:val="13"/>
        </w:rPr>
        <w:t xml:space="preserve">        </w:t>
      </w:r>
      <w:r>
        <w:rPr>
          <w:rFonts w:hint="eastAsia" w:ascii="宋体" w:hAnsi="宋体" w:eastAsia="宋体" w:cs="宋体"/>
          <w:sz w:val="24"/>
          <w:szCs w:val="24"/>
        </w:rPr>
        <w:t>数据缓存和重传</w:t>
      </w:r>
    </w:p>
    <w:p>
      <w:pPr>
        <w:pStyle w:val="4"/>
        <w:keepNext w:val="0"/>
        <w:keepLines w:val="0"/>
        <w:widowControl/>
        <w:suppressLineNumbers w:val="0"/>
        <w:ind w:left="0" w:firstLine="480"/>
      </w:pPr>
      <w:r>
        <w:rPr>
          <w:rFonts w:hint="eastAsia" w:ascii="宋体" w:hAnsi="宋体" w:eastAsia="宋体" w:cs="宋体"/>
          <w:sz w:val="24"/>
          <w:szCs w:val="24"/>
        </w:rPr>
        <w:t>考虑到网络存在不稳定等因素，申请人对窗口人员评价时可能会出现上传到服务器的超时问题，因此在出现这种问题时应将评价数据缓存在本地，当网络通畅时可以自动重传。另外，数据缓存还应包括窗口人员照片、视频文件等。</w:t>
      </w:r>
    </w:p>
    <w:p>
      <w:pPr>
        <w:pStyle w:val="4"/>
        <w:keepNext w:val="0"/>
        <w:keepLines w:val="0"/>
        <w:widowControl/>
        <w:suppressLineNumbers w:val="0"/>
        <w:ind w:left="0" w:firstLine="0"/>
      </w:pPr>
      <w:r>
        <w:rPr>
          <w:rFonts w:hint="default" w:ascii="Calibri" w:hAnsi="Calibri" w:cs="Calibri"/>
          <w:sz w:val="24"/>
          <w:szCs w:val="24"/>
        </w:rPr>
        <w:t>1.7.5.2.5</w:t>
      </w:r>
      <w:r>
        <w:rPr>
          <w:rFonts w:hint="default" w:ascii="Times New Roman" w:hAnsi="Times New Roman" w:cs="Times New Roman"/>
          <w:sz w:val="13"/>
          <w:szCs w:val="13"/>
        </w:rPr>
        <w:t xml:space="preserve">        </w:t>
      </w:r>
      <w:r>
        <w:rPr>
          <w:rFonts w:hint="eastAsia" w:ascii="宋体" w:hAnsi="宋体" w:eastAsia="宋体" w:cs="宋体"/>
          <w:sz w:val="24"/>
          <w:szCs w:val="24"/>
        </w:rPr>
        <w:t>自动更新机制</w:t>
      </w:r>
    </w:p>
    <w:p>
      <w:pPr>
        <w:pStyle w:val="4"/>
        <w:keepNext w:val="0"/>
        <w:keepLines w:val="0"/>
        <w:widowControl/>
        <w:suppressLineNumbers w:val="0"/>
        <w:ind w:left="0" w:firstLine="480"/>
      </w:pPr>
      <w:r>
        <w:rPr>
          <w:rFonts w:hint="eastAsia" w:ascii="宋体" w:hAnsi="宋体" w:eastAsia="宋体" w:cs="宋体"/>
          <w:sz w:val="24"/>
          <w:szCs w:val="24"/>
        </w:rPr>
        <w:t>因为评价器客户端是C/S方式部署的，作为统一的软件存在客户端升级困难的问题，该部分应采取版本控制，能够自动检测最新版本并进行下载，能够控制版本的回滚解决升级问题。</w:t>
      </w:r>
    </w:p>
    <w:p>
      <w:pPr>
        <w:pStyle w:val="4"/>
        <w:keepNext w:val="0"/>
        <w:keepLines w:val="0"/>
        <w:widowControl/>
        <w:suppressLineNumbers w:val="0"/>
        <w:ind w:left="0" w:firstLine="0"/>
      </w:pPr>
      <w:r>
        <w:rPr>
          <w:rFonts w:hint="default" w:ascii="Calibri" w:hAnsi="Calibri" w:cs="Calibri"/>
          <w:sz w:val="24"/>
          <w:szCs w:val="24"/>
        </w:rPr>
        <w:t>1.7.5.2.6</w:t>
      </w:r>
      <w:r>
        <w:rPr>
          <w:rFonts w:hint="default" w:ascii="Times New Roman" w:hAnsi="Times New Roman" w:cs="Times New Roman"/>
          <w:sz w:val="13"/>
          <w:szCs w:val="13"/>
        </w:rPr>
        <w:t xml:space="preserve">        </w:t>
      </w:r>
      <w:r>
        <w:rPr>
          <w:rFonts w:hint="eastAsia" w:ascii="宋体" w:hAnsi="宋体" w:eastAsia="宋体" w:cs="宋体"/>
          <w:sz w:val="24"/>
          <w:szCs w:val="24"/>
        </w:rPr>
        <w:t>客户端与其它系统接口</w:t>
      </w:r>
    </w:p>
    <w:p>
      <w:pPr>
        <w:pStyle w:val="4"/>
        <w:keepNext w:val="0"/>
        <w:keepLines w:val="0"/>
        <w:widowControl/>
        <w:suppressLineNumbers w:val="0"/>
        <w:ind w:left="0" w:firstLine="480"/>
      </w:pPr>
      <w:r>
        <w:rPr>
          <w:rFonts w:hint="eastAsia" w:ascii="宋体" w:hAnsi="宋体" w:eastAsia="宋体" w:cs="宋体"/>
          <w:sz w:val="24"/>
          <w:szCs w:val="24"/>
        </w:rPr>
        <w:t>客户端评价软件应封装与其它系统对接的接口，主要包括排队叫号系统和受理审批系统，能够与其它系统无缝的对接在一起，方便窗口办事人员的操作。</w:t>
      </w:r>
    </w:p>
    <w:p>
      <w:pPr>
        <w:pStyle w:val="4"/>
        <w:keepNext w:val="0"/>
        <w:keepLines w:val="0"/>
        <w:widowControl/>
        <w:suppressLineNumbers w:val="0"/>
        <w:ind w:left="0" w:firstLine="0"/>
      </w:pPr>
      <w:r>
        <w:rPr>
          <w:rFonts w:hint="default" w:ascii="Calibri" w:hAnsi="Calibri" w:cs="Calibri"/>
          <w:sz w:val="24"/>
          <w:szCs w:val="24"/>
        </w:rPr>
        <w:t>1.7.5.2.7</w:t>
      </w:r>
      <w:r>
        <w:rPr>
          <w:rFonts w:hint="default" w:ascii="Times New Roman" w:hAnsi="Times New Roman" w:cs="Times New Roman"/>
          <w:sz w:val="13"/>
          <w:szCs w:val="13"/>
        </w:rPr>
        <w:t xml:space="preserve">        </w:t>
      </w:r>
      <w:r>
        <w:rPr>
          <w:rFonts w:hint="eastAsia" w:ascii="宋体" w:hAnsi="宋体" w:eastAsia="宋体" w:cs="宋体"/>
          <w:sz w:val="24"/>
          <w:szCs w:val="24"/>
        </w:rPr>
        <w:t>客户端与服务器端通信</w:t>
      </w:r>
    </w:p>
    <w:p>
      <w:pPr>
        <w:pStyle w:val="4"/>
        <w:keepNext w:val="0"/>
        <w:keepLines w:val="0"/>
        <w:widowControl/>
        <w:suppressLineNumbers w:val="0"/>
        <w:ind w:left="0" w:firstLine="480"/>
      </w:pPr>
      <w:r>
        <w:rPr>
          <w:rFonts w:hint="eastAsia" w:ascii="宋体" w:hAnsi="宋体" w:eastAsia="宋体" w:cs="宋体"/>
          <w:sz w:val="24"/>
          <w:szCs w:val="24"/>
        </w:rPr>
        <w:t>为解决客户端直接访问数据库带来的链接数要求和压力，应采用三层结构，分为“客户端—服务端—数据库”，客户端向服务端发送socket数据请求，服务端在去访问数据库，这样减少链接服务器的客户端数量，又能提高数据库的访问效率。</w:t>
      </w:r>
    </w:p>
    <w:p>
      <w:pPr>
        <w:pStyle w:val="4"/>
        <w:keepNext w:val="0"/>
        <w:keepLines w:val="0"/>
        <w:widowControl/>
        <w:suppressLineNumbers w:val="0"/>
        <w:ind w:left="0" w:firstLine="0"/>
      </w:pPr>
      <w:r>
        <w:rPr>
          <w:rFonts w:hint="default" w:ascii="Calibri" w:hAnsi="Calibri" w:cs="Calibri"/>
          <w:sz w:val="24"/>
          <w:szCs w:val="24"/>
        </w:rPr>
        <w:t>1.7.5.2.8</w:t>
      </w:r>
      <w:r>
        <w:rPr>
          <w:rFonts w:hint="default" w:ascii="Times New Roman" w:hAnsi="Times New Roman" w:cs="Times New Roman"/>
          <w:sz w:val="13"/>
          <w:szCs w:val="13"/>
        </w:rPr>
        <w:t xml:space="preserve">        </w:t>
      </w:r>
      <w:r>
        <w:rPr>
          <w:rFonts w:hint="eastAsia" w:ascii="宋体" w:hAnsi="宋体" w:eastAsia="宋体" w:cs="宋体"/>
          <w:sz w:val="24"/>
          <w:szCs w:val="24"/>
        </w:rPr>
        <w:t>设备连接方式设 </w:t>
      </w:r>
      <w:r>
        <w:rPr>
          <w:rFonts w:hint="default" w:ascii="Calibri" w:hAnsi="Calibri" w:cs="Calibri"/>
          <w:sz w:val="24"/>
          <w:szCs w:val="24"/>
        </w:rPr>
        <w:t xml:space="preserve"> </w:t>
      </w:r>
      <w:r>
        <w:rPr>
          <w:rFonts w:hint="eastAsia" w:ascii="宋体" w:hAnsi="宋体" w:eastAsia="宋体" w:cs="宋体"/>
          <w:sz w:val="24"/>
          <w:szCs w:val="24"/>
        </w:rPr>
        <w:t>计</w:t>
      </w:r>
    </w:p>
    <w:p>
      <w:pPr>
        <w:pStyle w:val="4"/>
        <w:keepNext w:val="0"/>
        <w:keepLines w:val="0"/>
        <w:widowControl/>
        <w:suppressLineNumbers w:val="0"/>
        <w:ind w:left="0" w:firstLine="480"/>
      </w:pPr>
      <w:r>
        <w:rPr>
          <w:rFonts w:hint="eastAsia" w:ascii="宋体" w:hAnsi="宋体" w:eastAsia="宋体" w:cs="宋体"/>
          <w:sz w:val="24"/>
          <w:szCs w:val="24"/>
        </w:rPr>
        <w:t>评价器是采用触摸屏设备来进行模拟的，触摸屏本身并不具备数据处理功能，所有展现功能都是通过在窗口电脑上来实现，并将信号通过VGA口将数据展现到触摸屏上。</w:t>
      </w:r>
    </w:p>
    <w:p>
      <w:pPr>
        <w:pStyle w:val="4"/>
        <w:keepNext w:val="0"/>
        <w:keepLines w:val="0"/>
        <w:widowControl/>
        <w:suppressLineNumbers w:val="0"/>
        <w:ind w:left="0" w:firstLine="480"/>
      </w:pPr>
      <w:r>
        <w:rPr>
          <w:rFonts w:hint="eastAsia" w:ascii="宋体" w:hAnsi="宋体" w:eastAsia="宋体" w:cs="宋体"/>
          <w:sz w:val="24"/>
          <w:szCs w:val="24"/>
        </w:rPr>
        <w:t>为了实现触摸屏展现的内容和窗口人员展现的内容不一致，可以采用多用户或扩展屏的方式，但是多用户展示存在不稳定的情况，如锁定用户、多用户本身缺少启动保障机制等，建议采用扩展屏的处理方式。多媒体会议系统设  计</w:t>
      </w:r>
    </w:p>
    <w:p>
      <w:pPr>
        <w:pStyle w:val="4"/>
        <w:keepNext w:val="0"/>
        <w:keepLines w:val="0"/>
        <w:widowControl/>
        <w:suppressLineNumbers w:val="0"/>
        <w:ind w:left="0" w:firstLine="0"/>
      </w:pPr>
      <w:r>
        <w:rPr>
          <w:rFonts w:hint="eastAsia" w:ascii="宋体" w:hAnsi="宋体" w:eastAsia="宋体" w:cs="宋体"/>
          <w:sz w:val="24"/>
          <w:szCs w:val="24"/>
        </w:rPr>
        <w:t>1.7.6</w:t>
      </w:r>
      <w:r>
        <w:rPr>
          <w:rFonts w:hint="default" w:ascii="Times New Roman" w:hAnsi="Times New Roman" w:cs="Times New Roman"/>
          <w:sz w:val="13"/>
          <w:szCs w:val="13"/>
        </w:rPr>
        <w:t xml:space="preserve">   </w:t>
      </w:r>
      <w:r>
        <w:rPr>
          <w:rFonts w:hint="eastAsia" w:ascii="宋体" w:hAnsi="宋体" w:eastAsia="宋体" w:cs="宋体"/>
          <w:sz w:val="24"/>
          <w:szCs w:val="24"/>
        </w:rPr>
        <w:t>系统功能需求分析</w:t>
      </w:r>
    </w:p>
    <w:p>
      <w:pPr>
        <w:pStyle w:val="4"/>
        <w:keepNext w:val="0"/>
        <w:keepLines w:val="0"/>
        <w:widowControl/>
        <w:suppressLineNumbers w:val="0"/>
        <w:ind w:left="0" w:firstLine="480"/>
      </w:pPr>
      <w:r>
        <w:rPr>
          <w:rFonts w:hint="eastAsia" w:ascii="宋体" w:hAnsi="宋体" w:eastAsia="宋体" w:cs="宋体"/>
          <w:sz w:val="24"/>
          <w:szCs w:val="24"/>
        </w:rPr>
        <w:t>高新区会议系统共涉及</w:t>
      </w:r>
      <w:r>
        <w:rPr>
          <w:rFonts w:hint="default" w:ascii="Calibri" w:hAnsi="Calibri" w:cs="Calibri"/>
          <w:sz w:val="24"/>
          <w:szCs w:val="24"/>
        </w:rPr>
        <w:t>3</w:t>
      </w:r>
      <w:r>
        <w:rPr>
          <w:rFonts w:hint="eastAsia" w:ascii="宋体" w:hAnsi="宋体" w:eastAsia="宋体" w:cs="宋体"/>
          <w:sz w:val="24"/>
          <w:szCs w:val="24"/>
        </w:rPr>
        <w:t>间会议室，其中两间为公共资料交易中心开标室，另一间为行政服务中心大会议室。</w:t>
      </w:r>
    </w:p>
    <w:p>
      <w:pPr>
        <w:pStyle w:val="4"/>
        <w:keepNext w:val="0"/>
        <w:keepLines w:val="0"/>
        <w:widowControl/>
        <w:suppressLineNumbers w:val="0"/>
        <w:ind w:left="0" w:firstLine="480"/>
      </w:pPr>
      <w:r>
        <w:rPr>
          <w:rFonts w:hint="eastAsia" w:ascii="宋体" w:hAnsi="宋体" w:eastAsia="宋体" w:cs="宋体"/>
          <w:sz w:val="24"/>
          <w:szCs w:val="24"/>
        </w:rPr>
        <w:t>开标室主要用于公共资源中心日常开标时使用，系统包括：投影显示系统、音响扩声系统组成。</w:t>
      </w:r>
    </w:p>
    <w:p>
      <w:pPr>
        <w:pStyle w:val="4"/>
        <w:keepNext w:val="0"/>
        <w:keepLines w:val="0"/>
        <w:widowControl/>
        <w:suppressLineNumbers w:val="0"/>
        <w:ind w:left="0" w:firstLine="480"/>
      </w:pPr>
      <w:r>
        <w:rPr>
          <w:rFonts w:hint="eastAsia" w:ascii="宋体" w:hAnsi="宋体" w:eastAsia="宋体" w:cs="宋体"/>
          <w:sz w:val="24"/>
          <w:szCs w:val="24"/>
        </w:rPr>
        <w:t>大会议室是行政服务中心用来开会、培训等的场所，所以要求满足一般主题会议、演讲和报告等功能的需要。系统由</w:t>
      </w:r>
      <w:r>
        <w:rPr>
          <w:rFonts w:hint="default" w:ascii="Calibri" w:hAnsi="Calibri" w:cs="Calibri"/>
          <w:sz w:val="24"/>
          <w:szCs w:val="24"/>
        </w:rPr>
        <w:t>LED</w:t>
      </w:r>
      <w:r>
        <w:rPr>
          <w:rFonts w:hint="eastAsia" w:ascii="宋体" w:hAnsi="宋体" w:eastAsia="宋体" w:cs="宋体"/>
          <w:sz w:val="24"/>
          <w:szCs w:val="24"/>
        </w:rPr>
        <w:t>液晶拼接系统、音响扩声系统、视频会议系统组成。</w:t>
      </w:r>
    </w:p>
    <w:p>
      <w:pPr>
        <w:pStyle w:val="4"/>
        <w:keepNext w:val="0"/>
        <w:keepLines w:val="0"/>
        <w:widowControl/>
        <w:suppressLineNumbers w:val="0"/>
        <w:ind w:left="0" w:firstLine="480"/>
        <w:jc w:val="center"/>
      </w:pPr>
      <w:r>
        <w:rPr>
          <w:rFonts w:hint="eastAsia" w:ascii="宋体" w:hAnsi="宋体" w:eastAsia="宋体" w:cs="宋体"/>
          <w:sz w:val="24"/>
          <w:szCs w:val="24"/>
        </w:rPr>
        <w:t>表</w:t>
      </w:r>
      <w:r>
        <w:rPr>
          <w:rFonts w:hint="default" w:ascii="Calibri" w:hAnsi="Calibri" w:cs="Calibri"/>
          <w:sz w:val="24"/>
          <w:szCs w:val="24"/>
        </w:rPr>
        <w:t xml:space="preserve">5.3-1 </w:t>
      </w:r>
      <w:r>
        <w:rPr>
          <w:rFonts w:hint="eastAsia" w:ascii="宋体" w:hAnsi="宋体" w:eastAsia="宋体" w:cs="宋体"/>
          <w:sz w:val="24"/>
          <w:szCs w:val="24"/>
        </w:rPr>
        <w:t>多媒体系统建设需求表</w:t>
      </w:r>
    </w:p>
    <w:tbl>
      <w:tblPr>
        <w:tblStyle w:val="9"/>
        <w:tblW w:w="7963" w:type="dxa"/>
        <w:tblCellSpacing w:w="15"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15" w:type="dxa"/>
          <w:left w:w="15" w:type="dxa"/>
          <w:bottom w:w="15" w:type="dxa"/>
          <w:right w:w="15" w:type="dxa"/>
        </w:tblCellMar>
      </w:tblPr>
      <w:tblGrid>
        <w:gridCol w:w="825"/>
        <w:gridCol w:w="2243"/>
        <w:gridCol w:w="1273"/>
        <w:gridCol w:w="2697"/>
        <w:gridCol w:w="925"/>
      </w:tblGrid>
      <w:tr>
        <w:trPr>
          <w:tblCellSpacing w:w="15" w:type="dxa"/>
        </w:trPr>
        <w:tc>
          <w:tcPr>
            <w:tcW w:w="780" w:type="dxa"/>
            <w:tcBorders>
              <w:top w:val="double" w:color="auto" w:sz="2" w:space="0"/>
              <w:left w:val="double" w:color="auto" w:sz="2"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Style w:val="6"/>
                <w:rFonts w:hint="eastAsia" w:ascii="宋体" w:hAnsi="宋体" w:eastAsia="宋体" w:cs="宋体"/>
                <w:b/>
                <w:color w:val="000000"/>
                <w:sz w:val="22"/>
                <w:szCs w:val="22"/>
              </w:rPr>
              <w:t>楼层</w:t>
            </w:r>
          </w:p>
        </w:tc>
        <w:tc>
          <w:tcPr>
            <w:tcW w:w="2213" w:type="dxa"/>
            <w:tcBorders>
              <w:top w:val="double" w:color="auto" w:sz="2"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Style w:val="6"/>
                <w:rFonts w:hint="eastAsia" w:ascii="宋体" w:hAnsi="宋体" w:eastAsia="宋体" w:cs="宋体"/>
                <w:b/>
                <w:color w:val="000000"/>
                <w:sz w:val="22"/>
                <w:szCs w:val="22"/>
              </w:rPr>
              <w:t>名 称</w:t>
            </w:r>
          </w:p>
        </w:tc>
        <w:tc>
          <w:tcPr>
            <w:tcW w:w="1243" w:type="dxa"/>
            <w:tcBorders>
              <w:top w:val="double" w:color="auto" w:sz="2"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Style w:val="6"/>
                <w:rFonts w:hint="eastAsia" w:ascii="宋体" w:hAnsi="宋体" w:eastAsia="宋体" w:cs="宋体"/>
                <w:b/>
                <w:color w:val="000000"/>
                <w:sz w:val="22"/>
                <w:szCs w:val="22"/>
              </w:rPr>
              <w:t>面积（M2）</w:t>
            </w:r>
          </w:p>
        </w:tc>
        <w:tc>
          <w:tcPr>
            <w:tcW w:w="2667" w:type="dxa"/>
            <w:tcBorders>
              <w:top w:val="double" w:color="auto" w:sz="2"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Style w:val="6"/>
                <w:rFonts w:hint="eastAsia" w:ascii="宋体" w:hAnsi="宋体" w:eastAsia="宋体" w:cs="宋体"/>
                <w:b/>
                <w:color w:val="000000"/>
                <w:sz w:val="22"/>
                <w:szCs w:val="22"/>
              </w:rPr>
              <w:t>功能</w:t>
            </w:r>
          </w:p>
        </w:tc>
        <w:tc>
          <w:tcPr>
            <w:tcW w:w="880" w:type="dxa"/>
            <w:tcBorders>
              <w:top w:val="double" w:color="auto" w:sz="2" w:space="0"/>
              <w:left w:val="nil"/>
              <w:bottom w:val="single" w:color="auto" w:sz="6" w:space="0"/>
              <w:right w:val="double" w:color="auto" w:sz="2"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Style w:val="6"/>
                <w:rFonts w:hint="eastAsia" w:ascii="宋体" w:hAnsi="宋体" w:eastAsia="宋体" w:cs="宋体"/>
                <w:b/>
                <w:color w:val="000000"/>
                <w:sz w:val="22"/>
                <w:szCs w:val="22"/>
              </w:rPr>
              <w:t>间数</w:t>
            </w:r>
          </w:p>
        </w:tc>
      </w:tr>
      <w:tr>
        <w:trPr>
          <w:tblCellSpacing w:w="15" w:type="dxa"/>
        </w:trPr>
        <w:tc>
          <w:tcPr>
            <w:tcW w:w="780" w:type="dxa"/>
            <w:tcBorders>
              <w:top w:val="nil"/>
              <w:left w:val="double" w:color="auto" w:sz="2"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pPr>
            <w:r>
              <w:rPr>
                <w:rFonts w:hint="eastAsia" w:ascii="宋体" w:hAnsi="宋体" w:eastAsia="宋体" w:cs="宋体"/>
                <w:color w:val="000000"/>
                <w:sz w:val="22"/>
                <w:szCs w:val="22"/>
              </w:rPr>
              <w:t>二层</w:t>
            </w:r>
          </w:p>
        </w:tc>
        <w:tc>
          <w:tcPr>
            <w:tcW w:w="2213"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2"/>
                <w:szCs w:val="22"/>
              </w:rPr>
              <w:t>一间大开标室</w:t>
            </w:r>
          </w:p>
        </w:tc>
        <w:tc>
          <w:tcPr>
            <w:tcW w:w="1243"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2"/>
                <w:szCs w:val="22"/>
              </w:rPr>
              <w:t>113</w:t>
            </w:r>
          </w:p>
        </w:tc>
        <w:tc>
          <w:tcPr>
            <w:tcW w:w="2667"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2"/>
                <w:szCs w:val="22"/>
              </w:rPr>
              <w:t>扩声、视频、中控</w:t>
            </w:r>
          </w:p>
        </w:tc>
        <w:tc>
          <w:tcPr>
            <w:tcW w:w="880" w:type="dxa"/>
            <w:tcBorders>
              <w:top w:val="nil"/>
              <w:left w:val="nil"/>
              <w:bottom w:val="single" w:color="auto" w:sz="6" w:space="0"/>
              <w:right w:val="double" w:color="auto" w:sz="2"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2"/>
                <w:szCs w:val="22"/>
              </w:rPr>
              <w:t>1</w:t>
            </w:r>
          </w:p>
        </w:tc>
      </w:tr>
      <w:tr>
        <w:trPr>
          <w:tblCellSpacing w:w="15" w:type="dxa"/>
        </w:trPr>
        <w:tc>
          <w:tcPr>
            <w:tcW w:w="780" w:type="dxa"/>
            <w:tcBorders>
              <w:top w:val="nil"/>
              <w:left w:val="double" w:color="auto" w:sz="2"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pPr>
            <w:r>
              <w:rPr>
                <w:rFonts w:hint="eastAsia" w:ascii="宋体" w:hAnsi="宋体" w:eastAsia="宋体" w:cs="宋体"/>
                <w:color w:val="000000"/>
                <w:sz w:val="22"/>
                <w:szCs w:val="22"/>
              </w:rPr>
              <w:t>二层</w:t>
            </w:r>
          </w:p>
        </w:tc>
        <w:tc>
          <w:tcPr>
            <w:tcW w:w="2213"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2"/>
                <w:szCs w:val="22"/>
              </w:rPr>
              <w:t>一间大开标室</w:t>
            </w:r>
          </w:p>
        </w:tc>
        <w:tc>
          <w:tcPr>
            <w:tcW w:w="1243"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2"/>
                <w:szCs w:val="22"/>
              </w:rPr>
              <w:t>102</w:t>
            </w:r>
          </w:p>
        </w:tc>
        <w:tc>
          <w:tcPr>
            <w:tcW w:w="2667"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2"/>
                <w:szCs w:val="22"/>
              </w:rPr>
              <w:t>扩声、视频、中控</w:t>
            </w:r>
          </w:p>
        </w:tc>
        <w:tc>
          <w:tcPr>
            <w:tcW w:w="880" w:type="dxa"/>
            <w:tcBorders>
              <w:top w:val="nil"/>
              <w:left w:val="nil"/>
              <w:bottom w:val="single" w:color="auto" w:sz="6" w:space="0"/>
              <w:right w:val="double" w:color="auto" w:sz="2"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2"/>
                <w:szCs w:val="22"/>
              </w:rPr>
              <w:t>1</w:t>
            </w:r>
          </w:p>
        </w:tc>
      </w:tr>
      <w:tr>
        <w:trPr>
          <w:tblCellSpacing w:w="15" w:type="dxa"/>
        </w:trPr>
        <w:tc>
          <w:tcPr>
            <w:tcW w:w="780" w:type="dxa"/>
            <w:tcBorders>
              <w:top w:val="nil"/>
              <w:left w:val="double" w:color="auto" w:sz="2"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pPr>
            <w:r>
              <w:rPr>
                <w:rFonts w:hint="eastAsia" w:ascii="宋体" w:hAnsi="宋体" w:eastAsia="宋体" w:cs="宋体"/>
                <w:color w:val="000000"/>
                <w:sz w:val="22"/>
                <w:szCs w:val="22"/>
              </w:rPr>
              <w:t>二层</w:t>
            </w:r>
          </w:p>
        </w:tc>
        <w:tc>
          <w:tcPr>
            <w:tcW w:w="2213"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2"/>
                <w:szCs w:val="22"/>
              </w:rPr>
              <w:t>行政服务中心会议室</w:t>
            </w:r>
          </w:p>
        </w:tc>
        <w:tc>
          <w:tcPr>
            <w:tcW w:w="1243"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2"/>
                <w:szCs w:val="22"/>
              </w:rPr>
              <w:t>62</w:t>
            </w:r>
          </w:p>
        </w:tc>
        <w:tc>
          <w:tcPr>
            <w:tcW w:w="2667"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2"/>
                <w:szCs w:val="22"/>
              </w:rPr>
              <w:t>扩声、讨论、视频、中控</w:t>
            </w:r>
          </w:p>
        </w:tc>
        <w:tc>
          <w:tcPr>
            <w:tcW w:w="880" w:type="dxa"/>
            <w:tcBorders>
              <w:top w:val="nil"/>
              <w:left w:val="nil"/>
              <w:bottom w:val="single" w:color="auto" w:sz="6" w:space="0"/>
              <w:right w:val="double" w:color="auto" w:sz="2"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2"/>
                <w:szCs w:val="22"/>
              </w:rPr>
              <w:t>1</w:t>
            </w:r>
          </w:p>
        </w:tc>
      </w:tr>
      <w:tr>
        <w:trPr>
          <w:tblCellSpacing w:w="15" w:type="dxa"/>
        </w:trPr>
        <w:tc>
          <w:tcPr>
            <w:tcW w:w="780" w:type="dxa"/>
            <w:tcBorders>
              <w:top w:val="nil"/>
              <w:left w:val="double" w:color="auto" w:sz="2" w:space="0"/>
              <w:bottom w:val="double" w:color="auto" w:sz="2"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pPr>
            <w:r>
              <w:rPr>
                <w:rFonts w:hint="eastAsia" w:ascii="宋体" w:hAnsi="宋体" w:eastAsia="宋体" w:cs="宋体"/>
                <w:color w:val="000000"/>
                <w:sz w:val="22"/>
                <w:szCs w:val="22"/>
              </w:rPr>
              <w:t>合计</w:t>
            </w:r>
          </w:p>
        </w:tc>
        <w:tc>
          <w:tcPr>
            <w:tcW w:w="2213" w:type="dxa"/>
            <w:tcBorders>
              <w:top w:val="nil"/>
              <w:left w:val="nil"/>
              <w:bottom w:val="double" w:color="auto" w:sz="2"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tc>
        <w:tc>
          <w:tcPr>
            <w:tcW w:w="1243" w:type="dxa"/>
            <w:tcBorders>
              <w:top w:val="nil"/>
              <w:left w:val="nil"/>
              <w:bottom w:val="double" w:color="auto" w:sz="2"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tc>
        <w:tc>
          <w:tcPr>
            <w:tcW w:w="2667" w:type="dxa"/>
            <w:tcBorders>
              <w:top w:val="nil"/>
              <w:left w:val="nil"/>
              <w:bottom w:val="double" w:color="auto" w:sz="2"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tc>
        <w:tc>
          <w:tcPr>
            <w:tcW w:w="880" w:type="dxa"/>
            <w:tcBorders>
              <w:top w:val="nil"/>
              <w:left w:val="nil"/>
              <w:bottom w:val="double" w:color="auto" w:sz="2" w:space="0"/>
              <w:right w:val="double" w:color="auto" w:sz="2"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2"/>
                <w:szCs w:val="22"/>
              </w:rPr>
              <w:t>3</w:t>
            </w:r>
          </w:p>
        </w:tc>
      </w:tr>
    </w:tbl>
    <w:p>
      <w:pPr>
        <w:pStyle w:val="4"/>
        <w:keepNext w:val="0"/>
        <w:keepLines w:val="0"/>
        <w:widowControl/>
        <w:suppressLineNumbers w:val="0"/>
        <w:ind w:left="0" w:firstLine="0"/>
      </w:pPr>
      <w:r>
        <w:rPr>
          <w:rFonts w:hint="eastAsia" w:ascii="宋体" w:hAnsi="宋体" w:eastAsia="宋体" w:cs="宋体"/>
          <w:sz w:val="24"/>
          <w:szCs w:val="24"/>
        </w:rPr>
        <w:t>1.7.7</w:t>
      </w:r>
      <w:r>
        <w:rPr>
          <w:rFonts w:hint="default" w:ascii="Times New Roman" w:hAnsi="Times New Roman" w:cs="Times New Roman"/>
          <w:sz w:val="13"/>
          <w:szCs w:val="13"/>
        </w:rPr>
        <w:t xml:space="preserve">   </w:t>
      </w:r>
      <w:r>
        <w:rPr>
          <w:rFonts w:hint="eastAsia" w:ascii="宋体" w:hAnsi="宋体" w:eastAsia="宋体" w:cs="宋体"/>
          <w:sz w:val="24"/>
          <w:szCs w:val="24"/>
        </w:rPr>
        <w:t>系统指标</w:t>
      </w:r>
    </w:p>
    <w:p>
      <w:pPr>
        <w:pStyle w:val="4"/>
        <w:keepNext w:val="0"/>
        <w:keepLines w:val="0"/>
        <w:widowControl/>
        <w:suppressLineNumbers w:val="0"/>
        <w:ind w:left="0" w:firstLine="480"/>
      </w:pPr>
      <w:r>
        <w:rPr>
          <w:rFonts w:hint="default" w:ascii="Calibri" w:hAnsi="Calibri" w:cs="Calibri"/>
          <w:sz w:val="24"/>
          <w:szCs w:val="24"/>
        </w:rPr>
        <w:t>1</w:t>
      </w:r>
      <w:r>
        <w:rPr>
          <w:rFonts w:hint="eastAsia" w:ascii="宋体" w:hAnsi="宋体" w:eastAsia="宋体" w:cs="宋体"/>
          <w:sz w:val="24"/>
          <w:szCs w:val="24"/>
        </w:rPr>
        <w:t>、开标室扩声系统达到会议类扩声系统二级标准；</w:t>
      </w:r>
    </w:p>
    <w:p>
      <w:pPr>
        <w:pStyle w:val="4"/>
        <w:keepNext w:val="0"/>
        <w:keepLines w:val="0"/>
        <w:widowControl/>
        <w:suppressLineNumbers w:val="0"/>
        <w:ind w:left="0" w:firstLine="480"/>
      </w:pPr>
      <w:r>
        <w:rPr>
          <w:rFonts w:hint="eastAsia" w:ascii="宋体" w:hAnsi="宋体" w:eastAsia="宋体" w:cs="宋体"/>
          <w:sz w:val="24"/>
          <w:szCs w:val="24"/>
        </w:rPr>
        <w:t>最大声压级≥</w:t>
      </w:r>
      <w:r>
        <w:rPr>
          <w:rFonts w:hint="default" w:ascii="Calibri" w:hAnsi="Calibri" w:cs="Calibri"/>
          <w:sz w:val="24"/>
          <w:szCs w:val="24"/>
        </w:rPr>
        <w:t>95dB</w:t>
      </w:r>
      <w:r>
        <w:rPr>
          <w:rFonts w:hint="eastAsia" w:ascii="宋体" w:hAnsi="宋体" w:eastAsia="宋体" w:cs="宋体"/>
          <w:sz w:val="24"/>
          <w:szCs w:val="24"/>
        </w:rPr>
        <w:t>；</w:t>
      </w:r>
    </w:p>
    <w:p>
      <w:pPr>
        <w:pStyle w:val="4"/>
        <w:keepNext w:val="0"/>
        <w:keepLines w:val="0"/>
        <w:widowControl/>
        <w:suppressLineNumbers w:val="0"/>
        <w:ind w:left="0" w:firstLine="480"/>
      </w:pPr>
      <w:r>
        <w:rPr>
          <w:rFonts w:hint="eastAsia" w:ascii="宋体" w:hAnsi="宋体" w:eastAsia="宋体" w:cs="宋体"/>
          <w:sz w:val="24"/>
          <w:szCs w:val="24"/>
        </w:rPr>
        <w:t>稳态声场不均匀度</w:t>
      </w:r>
      <w:r>
        <w:rPr>
          <w:rFonts w:hint="default" w:ascii="Calibri" w:hAnsi="Calibri" w:cs="Calibri"/>
          <w:sz w:val="24"/>
          <w:szCs w:val="24"/>
        </w:rPr>
        <w:t>4000Hz</w:t>
      </w:r>
      <w:r>
        <w:rPr>
          <w:rFonts w:hint="eastAsia" w:ascii="宋体" w:hAnsi="宋体" w:eastAsia="宋体" w:cs="宋体"/>
          <w:sz w:val="24"/>
          <w:szCs w:val="24"/>
        </w:rPr>
        <w:t>≤</w:t>
      </w:r>
      <w:r>
        <w:rPr>
          <w:rFonts w:hint="default" w:ascii="Calibri" w:hAnsi="Calibri" w:cs="Calibri"/>
          <w:sz w:val="24"/>
          <w:szCs w:val="24"/>
        </w:rPr>
        <w:t>10dB</w:t>
      </w:r>
      <w:r>
        <w:rPr>
          <w:rFonts w:hint="eastAsia" w:ascii="宋体" w:hAnsi="宋体" w:eastAsia="宋体" w:cs="宋体"/>
          <w:sz w:val="24"/>
          <w:szCs w:val="24"/>
        </w:rPr>
        <w:t>；</w:t>
      </w:r>
    </w:p>
    <w:p>
      <w:pPr>
        <w:pStyle w:val="4"/>
        <w:keepNext w:val="0"/>
        <w:keepLines w:val="0"/>
        <w:widowControl/>
        <w:suppressLineNumbers w:val="0"/>
        <w:ind w:left="0" w:firstLine="480"/>
      </w:pPr>
      <w:r>
        <w:rPr>
          <w:rFonts w:hint="eastAsia" w:ascii="宋体" w:hAnsi="宋体" w:eastAsia="宋体" w:cs="宋体"/>
          <w:sz w:val="24"/>
          <w:szCs w:val="24"/>
        </w:rPr>
        <w:t>传声增益</w:t>
      </w:r>
      <w:r>
        <w:rPr>
          <w:rFonts w:hint="default" w:ascii="Calibri" w:hAnsi="Calibri" w:cs="Calibri"/>
          <w:sz w:val="24"/>
          <w:szCs w:val="24"/>
        </w:rPr>
        <w:t>125Hz</w:t>
      </w:r>
      <w:r>
        <w:rPr>
          <w:rFonts w:hint="eastAsia" w:ascii="宋体" w:hAnsi="宋体" w:eastAsia="宋体" w:cs="宋体"/>
          <w:sz w:val="24"/>
          <w:szCs w:val="24"/>
        </w:rPr>
        <w:t>～</w:t>
      </w:r>
      <w:r>
        <w:rPr>
          <w:rFonts w:hint="default" w:ascii="Calibri" w:hAnsi="Calibri" w:cs="Calibri"/>
          <w:sz w:val="24"/>
          <w:szCs w:val="24"/>
        </w:rPr>
        <w:t>4000Hz</w:t>
      </w:r>
      <w:r>
        <w:rPr>
          <w:rFonts w:hint="eastAsia" w:ascii="宋体" w:hAnsi="宋体" w:eastAsia="宋体" w:cs="宋体"/>
          <w:sz w:val="24"/>
          <w:szCs w:val="24"/>
        </w:rPr>
        <w:t>，≥</w:t>
      </w:r>
      <w:r>
        <w:rPr>
          <w:rFonts w:hint="default" w:ascii="Calibri" w:hAnsi="Calibri" w:cs="Calibri"/>
          <w:sz w:val="24"/>
          <w:szCs w:val="24"/>
        </w:rPr>
        <w:t>-12dB</w:t>
      </w:r>
      <w:r>
        <w:rPr>
          <w:rFonts w:hint="eastAsia" w:ascii="宋体" w:hAnsi="宋体" w:eastAsia="宋体" w:cs="宋体"/>
          <w:sz w:val="24"/>
          <w:szCs w:val="24"/>
        </w:rPr>
        <w:t>；</w:t>
      </w:r>
    </w:p>
    <w:p>
      <w:pPr>
        <w:pStyle w:val="4"/>
        <w:keepNext w:val="0"/>
        <w:keepLines w:val="0"/>
        <w:widowControl/>
        <w:suppressLineNumbers w:val="0"/>
        <w:ind w:left="0" w:firstLine="480"/>
      </w:pPr>
      <w:r>
        <w:rPr>
          <w:rFonts w:hint="eastAsia" w:ascii="宋体" w:hAnsi="宋体" w:eastAsia="宋体" w:cs="宋体"/>
          <w:sz w:val="24"/>
          <w:szCs w:val="24"/>
        </w:rPr>
        <w:t>系统总噪声级</w:t>
      </w:r>
      <w:r>
        <w:rPr>
          <w:rFonts w:hint="default" w:ascii="Calibri" w:hAnsi="Calibri" w:cs="Calibri"/>
          <w:sz w:val="24"/>
          <w:szCs w:val="24"/>
        </w:rPr>
        <w:t> </w:t>
      </w:r>
      <w:r>
        <w:rPr>
          <w:rFonts w:hint="eastAsia" w:ascii="宋体" w:hAnsi="宋体" w:eastAsia="宋体" w:cs="宋体"/>
          <w:sz w:val="24"/>
          <w:szCs w:val="24"/>
        </w:rPr>
        <w:t>≤</w:t>
      </w:r>
      <w:r>
        <w:rPr>
          <w:rFonts w:hint="default" w:ascii="Calibri" w:hAnsi="Calibri" w:cs="Calibri"/>
          <w:sz w:val="24"/>
          <w:szCs w:val="24"/>
        </w:rPr>
        <w:t>NR25</w:t>
      </w:r>
      <w:r>
        <w:rPr>
          <w:rFonts w:hint="eastAsia" w:ascii="宋体" w:hAnsi="宋体" w:eastAsia="宋体" w:cs="宋体"/>
          <w:sz w:val="24"/>
          <w:szCs w:val="24"/>
        </w:rPr>
        <w:t>。</w:t>
      </w:r>
    </w:p>
    <w:p>
      <w:pPr>
        <w:pStyle w:val="4"/>
        <w:keepNext w:val="0"/>
        <w:keepLines w:val="0"/>
        <w:widowControl/>
        <w:suppressLineNumbers w:val="0"/>
        <w:ind w:left="0" w:firstLine="480"/>
      </w:pPr>
      <w:r>
        <w:rPr>
          <w:rFonts w:hint="default" w:ascii="Calibri" w:hAnsi="Calibri" w:cs="Calibri"/>
          <w:sz w:val="24"/>
          <w:szCs w:val="24"/>
        </w:rPr>
        <w:t>2</w:t>
      </w:r>
      <w:r>
        <w:rPr>
          <w:rFonts w:hint="eastAsia" w:ascii="宋体" w:hAnsi="宋体" w:eastAsia="宋体" w:cs="宋体"/>
          <w:sz w:val="24"/>
          <w:szCs w:val="24"/>
        </w:rPr>
        <w:t>、会议室扩声系统达到会议类扩声系统一级标准；</w:t>
      </w:r>
    </w:p>
    <w:p>
      <w:pPr>
        <w:pStyle w:val="4"/>
        <w:keepNext w:val="0"/>
        <w:keepLines w:val="0"/>
        <w:widowControl/>
        <w:suppressLineNumbers w:val="0"/>
        <w:ind w:left="0" w:firstLine="480"/>
      </w:pPr>
      <w:r>
        <w:rPr>
          <w:rFonts w:hint="eastAsia" w:ascii="宋体" w:hAnsi="宋体" w:eastAsia="宋体" w:cs="宋体"/>
          <w:sz w:val="24"/>
          <w:szCs w:val="24"/>
        </w:rPr>
        <w:t>最大声压级≥</w:t>
      </w:r>
      <w:r>
        <w:rPr>
          <w:rFonts w:hint="default" w:ascii="Calibri" w:hAnsi="Calibri" w:cs="Calibri"/>
          <w:sz w:val="24"/>
          <w:szCs w:val="24"/>
        </w:rPr>
        <w:t>98dB</w:t>
      </w:r>
      <w:r>
        <w:rPr>
          <w:rFonts w:hint="eastAsia" w:ascii="宋体" w:hAnsi="宋体" w:eastAsia="宋体" w:cs="宋体"/>
          <w:sz w:val="24"/>
          <w:szCs w:val="24"/>
        </w:rPr>
        <w:t>；</w:t>
      </w:r>
    </w:p>
    <w:p>
      <w:pPr>
        <w:pStyle w:val="4"/>
        <w:keepNext w:val="0"/>
        <w:keepLines w:val="0"/>
        <w:widowControl/>
        <w:suppressLineNumbers w:val="0"/>
        <w:ind w:left="0" w:firstLine="480"/>
      </w:pPr>
      <w:r>
        <w:rPr>
          <w:rFonts w:hint="eastAsia" w:ascii="宋体" w:hAnsi="宋体" w:eastAsia="宋体" w:cs="宋体"/>
          <w:sz w:val="24"/>
          <w:szCs w:val="24"/>
        </w:rPr>
        <w:t>稳态声场不均匀度</w:t>
      </w:r>
      <w:r>
        <w:rPr>
          <w:rFonts w:hint="default" w:ascii="Calibri" w:hAnsi="Calibri" w:cs="Calibri"/>
          <w:sz w:val="24"/>
          <w:szCs w:val="24"/>
        </w:rPr>
        <w:t>4000Hz</w:t>
      </w:r>
      <w:r>
        <w:rPr>
          <w:rFonts w:hint="eastAsia" w:ascii="宋体" w:hAnsi="宋体" w:eastAsia="宋体" w:cs="宋体"/>
          <w:sz w:val="24"/>
          <w:szCs w:val="24"/>
        </w:rPr>
        <w:t>≤</w:t>
      </w:r>
      <w:r>
        <w:rPr>
          <w:rFonts w:hint="default" w:ascii="Calibri" w:hAnsi="Calibri" w:cs="Calibri"/>
          <w:sz w:val="24"/>
          <w:szCs w:val="24"/>
        </w:rPr>
        <w:t>8dB</w:t>
      </w:r>
      <w:r>
        <w:rPr>
          <w:rFonts w:hint="eastAsia" w:ascii="宋体" w:hAnsi="宋体" w:eastAsia="宋体" w:cs="宋体"/>
          <w:sz w:val="24"/>
          <w:szCs w:val="24"/>
        </w:rPr>
        <w:t>；</w:t>
      </w:r>
    </w:p>
    <w:p>
      <w:pPr>
        <w:pStyle w:val="4"/>
        <w:keepNext w:val="0"/>
        <w:keepLines w:val="0"/>
        <w:widowControl/>
        <w:suppressLineNumbers w:val="0"/>
        <w:ind w:left="0" w:firstLine="480"/>
      </w:pPr>
      <w:r>
        <w:rPr>
          <w:rFonts w:hint="eastAsia" w:ascii="宋体" w:hAnsi="宋体" w:eastAsia="宋体" w:cs="宋体"/>
          <w:sz w:val="24"/>
          <w:szCs w:val="24"/>
        </w:rPr>
        <w:t>传声增益</w:t>
      </w:r>
      <w:r>
        <w:rPr>
          <w:rFonts w:hint="default" w:ascii="Calibri" w:hAnsi="Calibri" w:cs="Calibri"/>
          <w:sz w:val="24"/>
          <w:szCs w:val="24"/>
        </w:rPr>
        <w:t>125Hz</w:t>
      </w:r>
      <w:r>
        <w:rPr>
          <w:rFonts w:hint="eastAsia" w:ascii="宋体" w:hAnsi="宋体" w:eastAsia="宋体" w:cs="宋体"/>
          <w:sz w:val="24"/>
          <w:szCs w:val="24"/>
        </w:rPr>
        <w:t>～</w:t>
      </w:r>
      <w:r>
        <w:rPr>
          <w:rFonts w:hint="default" w:ascii="Calibri" w:hAnsi="Calibri" w:cs="Calibri"/>
          <w:sz w:val="24"/>
          <w:szCs w:val="24"/>
        </w:rPr>
        <w:t>4000Hz</w:t>
      </w:r>
      <w:r>
        <w:rPr>
          <w:rFonts w:hint="eastAsia" w:ascii="宋体" w:hAnsi="宋体" w:eastAsia="宋体" w:cs="宋体"/>
          <w:sz w:val="24"/>
          <w:szCs w:val="24"/>
        </w:rPr>
        <w:t>，≥</w:t>
      </w:r>
      <w:r>
        <w:rPr>
          <w:rFonts w:hint="default" w:ascii="Calibri" w:hAnsi="Calibri" w:cs="Calibri"/>
          <w:sz w:val="24"/>
          <w:szCs w:val="24"/>
        </w:rPr>
        <w:t>-10dB</w:t>
      </w:r>
      <w:r>
        <w:rPr>
          <w:rFonts w:hint="eastAsia" w:ascii="宋体" w:hAnsi="宋体" w:eastAsia="宋体" w:cs="宋体"/>
          <w:sz w:val="24"/>
          <w:szCs w:val="24"/>
        </w:rPr>
        <w:t>；</w:t>
      </w:r>
    </w:p>
    <w:p>
      <w:pPr>
        <w:pStyle w:val="4"/>
        <w:keepNext w:val="0"/>
        <w:keepLines w:val="0"/>
        <w:widowControl/>
        <w:suppressLineNumbers w:val="0"/>
        <w:ind w:left="0" w:firstLine="480"/>
      </w:pPr>
      <w:r>
        <w:rPr>
          <w:rFonts w:hint="eastAsia" w:ascii="宋体" w:hAnsi="宋体" w:eastAsia="宋体" w:cs="宋体"/>
          <w:sz w:val="24"/>
          <w:szCs w:val="24"/>
        </w:rPr>
        <w:t>系统总噪声级</w:t>
      </w:r>
      <w:r>
        <w:rPr>
          <w:rFonts w:hint="default" w:ascii="Calibri" w:hAnsi="Calibri" w:cs="Calibri"/>
          <w:sz w:val="24"/>
          <w:szCs w:val="24"/>
        </w:rPr>
        <w:t> </w:t>
      </w:r>
      <w:r>
        <w:rPr>
          <w:rFonts w:hint="eastAsia" w:ascii="宋体" w:hAnsi="宋体" w:eastAsia="宋体" w:cs="宋体"/>
          <w:sz w:val="24"/>
          <w:szCs w:val="24"/>
        </w:rPr>
        <w:t>≤</w:t>
      </w:r>
      <w:r>
        <w:rPr>
          <w:rFonts w:hint="default" w:ascii="Calibri" w:hAnsi="Calibri" w:cs="Calibri"/>
          <w:sz w:val="24"/>
          <w:szCs w:val="24"/>
        </w:rPr>
        <w:t>NR20</w:t>
      </w:r>
      <w:r>
        <w:rPr>
          <w:rFonts w:hint="eastAsia" w:ascii="宋体" w:hAnsi="宋体" w:eastAsia="宋体" w:cs="宋体"/>
          <w:sz w:val="24"/>
          <w:szCs w:val="24"/>
        </w:rPr>
        <w:t>。</w:t>
      </w:r>
    </w:p>
    <w:p>
      <w:pPr>
        <w:pStyle w:val="4"/>
        <w:keepNext w:val="0"/>
        <w:keepLines w:val="0"/>
        <w:widowControl/>
        <w:suppressLineNumbers w:val="0"/>
        <w:ind w:left="0" w:firstLine="0"/>
      </w:pPr>
      <w:r>
        <w:rPr>
          <w:rFonts w:hint="eastAsia" w:ascii="宋体" w:hAnsi="宋体" w:eastAsia="宋体" w:cs="宋体"/>
          <w:sz w:val="24"/>
          <w:szCs w:val="24"/>
        </w:rPr>
        <w:t>1.7.8</w:t>
      </w:r>
      <w:r>
        <w:rPr>
          <w:rFonts w:hint="default" w:ascii="Times New Roman" w:hAnsi="Times New Roman" w:cs="Times New Roman"/>
          <w:sz w:val="13"/>
          <w:szCs w:val="13"/>
        </w:rPr>
        <w:t xml:space="preserve">   </w:t>
      </w:r>
      <w:r>
        <w:rPr>
          <w:rFonts w:hint="eastAsia" w:ascii="宋体" w:hAnsi="宋体" w:eastAsia="宋体" w:cs="宋体"/>
          <w:sz w:val="24"/>
          <w:szCs w:val="24"/>
        </w:rPr>
        <w:t>系统设  计方案</w:t>
      </w:r>
    </w:p>
    <w:p>
      <w:pPr>
        <w:pStyle w:val="4"/>
        <w:keepNext w:val="0"/>
        <w:keepLines w:val="0"/>
        <w:widowControl/>
        <w:suppressLineNumbers w:val="0"/>
        <w:ind w:left="0" w:firstLine="480"/>
      </w:pPr>
      <w:r>
        <w:rPr>
          <w:rFonts w:hint="eastAsia" w:ascii="宋体" w:hAnsi="宋体" w:eastAsia="宋体" w:cs="宋体"/>
          <w:sz w:val="24"/>
          <w:szCs w:val="24"/>
        </w:rPr>
        <w:t>由于使用场所及功能的不同，开标室及会议室采用不同的系统架构。</w:t>
      </w:r>
    </w:p>
    <w:p>
      <w:pPr>
        <w:pStyle w:val="4"/>
        <w:keepNext w:val="0"/>
        <w:keepLines w:val="0"/>
        <w:widowControl/>
        <w:suppressLineNumbers w:val="0"/>
      </w:pPr>
      <w:r>
        <w:rPr>
          <w:rFonts w:hint="default" w:ascii="Calibri" w:hAnsi="Calibri" w:cs="Calibri"/>
          <w:color w:val="000000"/>
          <w:sz w:val="24"/>
          <w:szCs w:val="24"/>
        </w:rPr>
        <w:t xml:space="preserve">1.7.8.1 </w:t>
      </w:r>
      <w:r>
        <w:rPr>
          <w:rStyle w:val="6"/>
          <w:rFonts w:hint="eastAsia" w:ascii="宋体" w:hAnsi="宋体" w:eastAsia="宋体" w:cs="宋体"/>
          <w:b/>
          <w:color w:val="000000"/>
        </w:rPr>
        <w:t>开标室多媒体系统架构设 </w:t>
      </w:r>
      <w:r>
        <w:rPr>
          <w:rStyle w:val="6"/>
          <w:rFonts w:hint="default" w:ascii="Calibri" w:hAnsi="Calibri" w:cs="Calibri"/>
          <w:b/>
          <w:color w:val="000000"/>
        </w:rPr>
        <w:t xml:space="preserve"> </w:t>
      </w:r>
      <w:r>
        <w:rPr>
          <w:rStyle w:val="6"/>
          <w:rFonts w:hint="eastAsia" w:ascii="宋体" w:hAnsi="宋体" w:eastAsia="宋体" w:cs="宋体"/>
          <w:b/>
          <w:color w:val="000000"/>
        </w:rPr>
        <w:t>计</w:t>
      </w:r>
    </w:p>
    <w:p>
      <w:pPr>
        <w:pStyle w:val="4"/>
        <w:keepNext w:val="0"/>
        <w:keepLines w:val="0"/>
        <w:widowControl/>
        <w:suppressLineNumbers w:val="0"/>
        <w:ind w:left="0" w:firstLine="480"/>
      </w:pPr>
      <w:r>
        <w:rPr>
          <w:rFonts w:hint="eastAsia" w:ascii="宋体" w:hAnsi="宋体" w:eastAsia="宋体" w:cs="宋体"/>
          <w:sz w:val="24"/>
          <w:szCs w:val="24"/>
        </w:rPr>
        <w:t>开标室的多媒体系统由管理电脑及实物展台等信号输出设备；投影机等信号显示设备；无线麦克风等音频信号拾取设备；功放、音箱等设备组成的音响扩声设备组成。</w:t>
      </w:r>
    </w:p>
    <w:p>
      <w:pPr>
        <w:pStyle w:val="4"/>
        <w:keepNext w:val="0"/>
        <w:keepLines w:val="0"/>
        <w:widowControl/>
        <w:suppressLineNumbers w:val="0"/>
      </w:pPr>
      <w:r>
        <w:drawing>
          <wp:inline distT="0" distB="0" distL="114300" distR="114300">
            <wp:extent cx="5543550" cy="4181475"/>
            <wp:effectExtent l="0" t="0" r="0" b="9525"/>
            <wp:docPr id="4" name="图片 2" descr="15354202862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1535420286217.png"/>
                    <pic:cNvPicPr>
                      <a:picLocks noChangeAspect="1"/>
                    </pic:cNvPicPr>
                  </pic:nvPicPr>
                  <pic:blipFill>
                    <a:blip r:embed="rId5"/>
                    <a:stretch>
                      <a:fillRect/>
                    </a:stretch>
                  </pic:blipFill>
                  <pic:spPr>
                    <a:xfrm>
                      <a:off x="0" y="0"/>
                      <a:ext cx="5543550" cy="4181475"/>
                    </a:xfrm>
                    <a:prstGeom prst="rect">
                      <a:avLst/>
                    </a:prstGeom>
                    <a:noFill/>
                    <a:ln w="9525">
                      <a:noFill/>
                    </a:ln>
                  </pic:spPr>
                </pic:pic>
              </a:graphicData>
            </a:graphic>
          </wp:inline>
        </w:drawing>
      </w:r>
      <w:r>
        <w:rPr>
          <w:rFonts w:hint="default" w:ascii="Calibri" w:hAnsi="Calibri" w:cs="Calibri"/>
          <w:sz w:val="24"/>
          <w:szCs w:val="24"/>
        </w:rPr>
        <w:t> </w:t>
      </w:r>
    </w:p>
    <w:p>
      <w:pPr>
        <w:pStyle w:val="4"/>
        <w:keepNext w:val="0"/>
        <w:keepLines w:val="0"/>
        <w:widowControl/>
        <w:suppressLineNumbers w:val="0"/>
        <w:jc w:val="center"/>
      </w:pPr>
    </w:p>
    <w:p>
      <w:pPr>
        <w:pStyle w:val="4"/>
        <w:keepNext w:val="0"/>
        <w:keepLines w:val="0"/>
        <w:widowControl/>
        <w:suppressLineNumbers w:val="0"/>
        <w:ind w:left="0" w:firstLine="0"/>
      </w:pPr>
      <w:r>
        <w:rPr>
          <w:rFonts w:hint="default" w:ascii="Calibri" w:hAnsi="Calibri" w:cs="Calibri"/>
          <w:sz w:val="24"/>
          <w:szCs w:val="24"/>
        </w:rPr>
        <w:t>1.7.8.1.1</w:t>
      </w:r>
      <w:r>
        <w:rPr>
          <w:rFonts w:hint="default" w:ascii="Times New Roman" w:hAnsi="Times New Roman" w:cs="Times New Roman"/>
          <w:sz w:val="13"/>
          <w:szCs w:val="13"/>
        </w:rPr>
        <w:t xml:space="preserve">        </w:t>
      </w:r>
      <w:r>
        <w:rPr>
          <w:rFonts w:hint="eastAsia" w:ascii="宋体" w:hAnsi="宋体" w:eastAsia="宋体" w:cs="宋体"/>
          <w:sz w:val="24"/>
          <w:szCs w:val="24"/>
        </w:rPr>
        <w:t>开标室多媒体系统架构拓扑</w:t>
      </w:r>
    </w:p>
    <w:p>
      <w:pPr>
        <w:pStyle w:val="4"/>
        <w:keepNext w:val="0"/>
        <w:keepLines w:val="0"/>
        <w:widowControl/>
        <w:suppressLineNumbers w:val="0"/>
        <w:ind w:left="0" w:firstLine="390"/>
      </w:pPr>
      <w:r>
        <w:rPr>
          <w:rFonts w:hint="eastAsia" w:ascii="宋体" w:hAnsi="宋体" w:eastAsia="宋体" w:cs="宋体"/>
          <w:sz w:val="24"/>
          <w:szCs w:val="24"/>
        </w:rPr>
        <w:t>系统拓扑图如下：</w:t>
      </w:r>
      <w:r>
        <w:rPr>
          <w:rFonts w:hint="eastAsia" w:ascii="宋体" w:hAnsi="宋体" w:eastAsia="宋体" w:cs="宋体"/>
          <w:sz w:val="24"/>
          <w:szCs w:val="24"/>
        </w:rPr>
        <w:br w:type="textWrapping"/>
      </w:r>
      <w:r>
        <w:rPr>
          <w:rFonts w:hint="eastAsia" w:ascii="宋体" w:hAnsi="宋体" w:eastAsia="宋体" w:cs="宋体"/>
          <w:sz w:val="24"/>
          <w:szCs w:val="24"/>
        </w:rPr>
        <w:drawing>
          <wp:inline distT="0" distB="0" distL="114300" distR="114300">
            <wp:extent cx="6657975" cy="5210175"/>
            <wp:effectExtent l="0" t="0" r="9525" b="9525"/>
            <wp:docPr id="5" name="图片 3" descr="153542033088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descr="1535420330886.png"/>
                    <pic:cNvPicPr>
                      <a:picLocks noChangeAspect="1"/>
                    </pic:cNvPicPr>
                  </pic:nvPicPr>
                  <pic:blipFill>
                    <a:blip r:embed="rId6"/>
                    <a:stretch>
                      <a:fillRect/>
                    </a:stretch>
                  </pic:blipFill>
                  <pic:spPr>
                    <a:xfrm>
                      <a:off x="0" y="0"/>
                      <a:ext cx="6657975" cy="5210175"/>
                    </a:xfrm>
                    <a:prstGeom prst="rect">
                      <a:avLst/>
                    </a:prstGeom>
                    <a:noFill/>
                    <a:ln w="9525">
                      <a:noFill/>
                    </a:ln>
                  </pic:spPr>
                </pic:pic>
              </a:graphicData>
            </a:graphic>
          </wp:inline>
        </w:drawing>
      </w:r>
    </w:p>
    <w:p>
      <w:pPr>
        <w:pStyle w:val="4"/>
        <w:keepNext w:val="0"/>
        <w:keepLines w:val="0"/>
        <w:widowControl/>
        <w:suppressLineNumbers w:val="0"/>
      </w:pPr>
      <w:r>
        <w:rPr>
          <w:rFonts w:hint="eastAsia" w:ascii="宋体" w:hAnsi="宋体" w:eastAsia="宋体" w:cs="宋体"/>
          <w:sz w:val="21"/>
          <w:szCs w:val="21"/>
        </w:rPr>
        <w:br w:type="textWrapping"/>
      </w:r>
      <w:r>
        <w:rPr>
          <w:rFonts w:hint="default" w:ascii="Calibri" w:hAnsi="Calibri" w:cs="Calibri"/>
          <w:sz w:val="24"/>
          <w:szCs w:val="24"/>
        </w:rPr>
        <w:t> </w:t>
      </w:r>
      <w:r>
        <w:rPr>
          <w:rFonts w:hint="default" w:ascii="Calibri" w:hAnsi="Calibri" w:cs="Calibri"/>
          <w:sz w:val="24"/>
          <w:szCs w:val="24"/>
        </w:rPr>
        <w:drawing>
          <wp:inline distT="0" distB="0" distL="114300" distR="114300">
            <wp:extent cx="6229350" cy="4400550"/>
            <wp:effectExtent l="0" t="0" r="0" b="0"/>
            <wp:docPr id="2" name="图片 4" descr="15354203978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4" descr="1535420397830.png"/>
                    <pic:cNvPicPr>
                      <a:picLocks noChangeAspect="1"/>
                    </pic:cNvPicPr>
                  </pic:nvPicPr>
                  <pic:blipFill>
                    <a:blip r:embed="rId7"/>
                    <a:stretch>
                      <a:fillRect/>
                    </a:stretch>
                  </pic:blipFill>
                  <pic:spPr>
                    <a:xfrm>
                      <a:off x="0" y="0"/>
                      <a:ext cx="6229350" cy="4400550"/>
                    </a:xfrm>
                    <a:prstGeom prst="rect">
                      <a:avLst/>
                    </a:prstGeom>
                    <a:noFill/>
                    <a:ln w="9525">
                      <a:noFill/>
                    </a:ln>
                  </pic:spPr>
                </pic:pic>
              </a:graphicData>
            </a:graphic>
          </wp:inline>
        </w:drawing>
      </w:r>
    </w:p>
    <w:p>
      <w:pPr>
        <w:pStyle w:val="4"/>
        <w:keepNext w:val="0"/>
        <w:keepLines w:val="0"/>
        <w:widowControl/>
        <w:suppressLineNumbers w:val="0"/>
        <w:ind w:left="0" w:firstLine="180"/>
        <w:jc w:val="center"/>
      </w:pPr>
      <w:r>
        <w:rPr>
          <w:rFonts w:hint="default" w:ascii="Calibri" w:hAnsi="Calibri" w:cs="Calibri"/>
          <w:sz w:val="24"/>
          <w:szCs w:val="24"/>
        </w:rPr>
        <w:t> </w:t>
      </w:r>
    </w:p>
    <w:p>
      <w:pPr>
        <w:pStyle w:val="4"/>
        <w:keepNext w:val="0"/>
        <w:keepLines w:val="0"/>
        <w:widowControl/>
        <w:suppressLineNumbers w:val="0"/>
        <w:ind w:left="0" w:firstLine="0"/>
      </w:pPr>
      <w:r>
        <w:rPr>
          <w:rFonts w:hint="eastAsia" w:ascii="宋体" w:hAnsi="宋体" w:eastAsia="宋体" w:cs="宋体"/>
          <w:sz w:val="24"/>
          <w:szCs w:val="24"/>
        </w:rPr>
        <w:t>1.7.8.1.2</w:t>
      </w:r>
      <w:r>
        <w:rPr>
          <w:rFonts w:hint="default" w:ascii="Times New Roman" w:hAnsi="Times New Roman" w:cs="Times New Roman"/>
          <w:sz w:val="13"/>
          <w:szCs w:val="13"/>
        </w:rPr>
        <w:t xml:space="preserve">   </w:t>
      </w:r>
      <w:r>
        <w:rPr>
          <w:rFonts w:hint="eastAsia" w:ascii="宋体" w:hAnsi="宋体" w:eastAsia="宋体" w:cs="宋体"/>
          <w:sz w:val="24"/>
          <w:szCs w:val="24"/>
        </w:rPr>
        <w:t>开标室多媒体系统部署说明</w:t>
      </w:r>
    </w:p>
    <w:p>
      <w:pPr>
        <w:pStyle w:val="4"/>
        <w:keepNext w:val="0"/>
        <w:keepLines w:val="0"/>
        <w:widowControl/>
        <w:suppressLineNumbers w:val="0"/>
        <w:ind w:left="0" w:firstLine="480"/>
        <w:jc w:val="left"/>
      </w:pPr>
      <w:r>
        <w:rPr>
          <w:rFonts w:hint="eastAsia" w:ascii="宋体" w:hAnsi="宋体" w:eastAsia="宋体" w:cs="宋体"/>
          <w:sz w:val="24"/>
          <w:szCs w:val="24"/>
        </w:rPr>
        <w:t>根据现场查勘的开标室空间大小，为达到更好的视觉效果，项目投影显示系统采用激光投影仪加</w:t>
      </w:r>
      <w:r>
        <w:rPr>
          <w:rFonts w:hint="default" w:ascii="Calibri" w:hAnsi="Calibri" w:cs="Calibri"/>
          <w:sz w:val="24"/>
          <w:szCs w:val="24"/>
        </w:rPr>
        <w:t>120</w:t>
      </w:r>
      <w:r>
        <w:rPr>
          <w:rFonts w:hint="eastAsia" w:ascii="宋体" w:hAnsi="宋体" w:eastAsia="宋体" w:cs="宋体"/>
          <w:sz w:val="24"/>
          <w:szCs w:val="24"/>
        </w:rPr>
        <w:t>寸电动投影幕的方案。扩声系统采用</w:t>
      </w:r>
      <w:r>
        <w:rPr>
          <w:rFonts w:hint="default" w:ascii="Calibri" w:hAnsi="Calibri" w:cs="Calibri"/>
          <w:sz w:val="24"/>
          <w:szCs w:val="24"/>
        </w:rPr>
        <w:t>2</w:t>
      </w:r>
      <w:r>
        <w:rPr>
          <w:rFonts w:hint="eastAsia" w:ascii="宋体" w:hAnsi="宋体" w:eastAsia="宋体" w:cs="宋体"/>
          <w:sz w:val="24"/>
          <w:szCs w:val="24"/>
        </w:rPr>
        <w:t>主音箱加</w:t>
      </w:r>
      <w:r>
        <w:rPr>
          <w:rFonts w:hint="default" w:ascii="Calibri" w:hAnsi="Calibri" w:cs="Calibri"/>
          <w:sz w:val="24"/>
          <w:szCs w:val="24"/>
        </w:rPr>
        <w:t>2</w:t>
      </w:r>
      <w:r>
        <w:rPr>
          <w:rFonts w:hint="eastAsia" w:ascii="宋体" w:hAnsi="宋体" w:eastAsia="宋体" w:cs="宋体"/>
          <w:sz w:val="24"/>
          <w:szCs w:val="24"/>
        </w:rPr>
        <w:t>辅助音箱（数字音频处理，反馈抑制），实现全室全音频的均压覆盖。配置</w:t>
      </w:r>
      <w:r>
        <w:rPr>
          <w:rFonts w:hint="default" w:ascii="Calibri" w:hAnsi="Calibri" w:cs="Calibri"/>
          <w:sz w:val="24"/>
          <w:szCs w:val="24"/>
        </w:rPr>
        <w:t>4</w:t>
      </w:r>
      <w:r>
        <w:rPr>
          <w:rFonts w:hint="eastAsia" w:ascii="宋体" w:hAnsi="宋体" w:eastAsia="宋体" w:cs="宋体"/>
          <w:sz w:val="24"/>
          <w:szCs w:val="24"/>
        </w:rPr>
        <w:t>个无线麦克风满足开标室拾音需求，以及一台实物展台供开标实物展示需要。</w:t>
      </w:r>
    </w:p>
    <w:p>
      <w:pPr>
        <w:pStyle w:val="4"/>
        <w:keepNext w:val="0"/>
        <w:keepLines w:val="0"/>
        <w:widowControl/>
        <w:suppressLineNumbers w:val="0"/>
        <w:jc w:val="left"/>
      </w:pPr>
      <w:r>
        <w:drawing>
          <wp:inline distT="0" distB="0" distL="114300" distR="114300">
            <wp:extent cx="5899785" cy="4472305"/>
            <wp:effectExtent l="0" t="0" r="5715" b="4445"/>
            <wp:docPr id="3" name="图片 5" descr="15354204492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5" descr="1535420449278.png"/>
                    <pic:cNvPicPr>
                      <a:picLocks noChangeAspect="1"/>
                    </pic:cNvPicPr>
                  </pic:nvPicPr>
                  <pic:blipFill>
                    <a:blip r:embed="rId8"/>
                    <a:stretch>
                      <a:fillRect/>
                    </a:stretch>
                  </pic:blipFill>
                  <pic:spPr>
                    <a:xfrm>
                      <a:off x="0" y="0"/>
                      <a:ext cx="5899785" cy="4472305"/>
                    </a:xfrm>
                    <a:prstGeom prst="rect">
                      <a:avLst/>
                    </a:prstGeom>
                    <a:noFill/>
                    <a:ln w="9525">
                      <a:noFill/>
                    </a:ln>
                  </pic:spPr>
                </pic:pic>
              </a:graphicData>
            </a:graphic>
          </wp:inline>
        </w:drawing>
      </w:r>
      <w:r>
        <w:rPr>
          <w:rFonts w:hint="default" w:ascii="Calibri" w:hAnsi="Calibri" w:cs="Calibri"/>
          <w:sz w:val="24"/>
          <w:szCs w:val="24"/>
        </w:rPr>
        <w:t> </w:t>
      </w:r>
    </w:p>
    <w:p>
      <w:pPr>
        <w:pStyle w:val="4"/>
        <w:keepNext w:val="0"/>
        <w:keepLines w:val="0"/>
        <w:widowControl/>
        <w:suppressLineNumbers w:val="0"/>
        <w:jc w:val="center"/>
      </w:pPr>
      <w:r>
        <w:rPr>
          <w:rFonts w:hint="default" w:ascii="Calibri" w:hAnsi="Calibri" w:cs="Calibri"/>
          <w:sz w:val="24"/>
          <w:szCs w:val="24"/>
        </w:rPr>
        <w:t> </w:t>
      </w:r>
    </w:p>
    <w:p>
      <w:pPr>
        <w:pStyle w:val="4"/>
        <w:keepNext w:val="0"/>
        <w:keepLines w:val="0"/>
        <w:widowControl/>
        <w:suppressLineNumbers w:val="0"/>
      </w:pPr>
      <w:r>
        <w:rPr>
          <w:rFonts w:hint="default" w:ascii="Calibri" w:hAnsi="Calibri" w:cs="Calibri"/>
          <w:sz w:val="24"/>
          <w:szCs w:val="24"/>
        </w:rPr>
        <w:t xml:space="preserve">1.7.8.2 </w:t>
      </w:r>
      <w:r>
        <w:rPr>
          <w:rFonts w:hint="eastAsia" w:ascii="宋体" w:hAnsi="宋体" w:eastAsia="宋体" w:cs="宋体"/>
          <w:sz w:val="24"/>
          <w:szCs w:val="24"/>
        </w:rPr>
        <w:t>会议室多媒体系统架构设  计</w:t>
      </w:r>
    </w:p>
    <w:p>
      <w:pPr>
        <w:pStyle w:val="4"/>
        <w:keepNext w:val="0"/>
        <w:keepLines w:val="0"/>
        <w:widowControl/>
        <w:suppressLineNumbers w:val="0"/>
        <w:ind w:left="0" w:firstLine="0"/>
      </w:pPr>
      <w:r>
        <w:rPr>
          <w:rFonts w:hint="default" w:ascii="Calibri" w:hAnsi="Calibri" w:cs="Calibri"/>
          <w:sz w:val="24"/>
          <w:szCs w:val="24"/>
        </w:rPr>
        <w:t>1.7.8.2.1</w:t>
      </w:r>
      <w:r>
        <w:rPr>
          <w:rFonts w:hint="default" w:ascii="Times New Roman" w:hAnsi="Times New Roman" w:cs="Times New Roman"/>
          <w:sz w:val="13"/>
          <w:szCs w:val="13"/>
        </w:rPr>
        <w:t xml:space="preserve">        </w:t>
      </w:r>
      <w:r>
        <w:rPr>
          <w:rFonts w:hint="eastAsia" w:ascii="宋体" w:hAnsi="宋体" w:eastAsia="宋体" w:cs="宋体"/>
          <w:sz w:val="24"/>
          <w:szCs w:val="24"/>
        </w:rPr>
        <w:t>会议室多媒体系统架构拓扑</w:t>
      </w:r>
    </w:p>
    <w:p>
      <w:pPr>
        <w:pStyle w:val="4"/>
        <w:keepNext w:val="0"/>
        <w:keepLines w:val="0"/>
        <w:widowControl/>
        <w:suppressLineNumbers w:val="0"/>
        <w:jc w:val="center"/>
      </w:pPr>
      <w:r>
        <w:rPr>
          <w:rFonts w:hint="eastAsia" w:ascii="宋体" w:hAnsi="宋体" w:eastAsia="宋体" w:cs="宋体"/>
          <w:sz w:val="24"/>
          <w:szCs w:val="24"/>
        </w:rPr>
        <w:br w:type="textWrapping"/>
      </w:r>
      <w:r>
        <w:rPr>
          <w:rFonts w:hint="eastAsia" w:ascii="宋体" w:hAnsi="宋体" w:eastAsia="宋体" w:cs="宋体"/>
          <w:sz w:val="24"/>
          <w:szCs w:val="24"/>
        </w:rPr>
        <w:t>拓扑架构如下：</w:t>
      </w:r>
      <w:r>
        <w:rPr>
          <w:rFonts w:hint="default" w:ascii="Calibri" w:hAnsi="Calibri" w:cs="Calibri"/>
          <w:sz w:val="24"/>
          <w:szCs w:val="24"/>
        </w:rPr>
        <w:t xml:space="preserve">  </w:t>
      </w:r>
      <w:r>
        <w:rPr>
          <w:rFonts w:hint="default" w:ascii="Calibri" w:hAnsi="Calibri" w:cs="Calibri"/>
          <w:sz w:val="24"/>
          <w:szCs w:val="24"/>
        </w:rPr>
        <w:br w:type="textWrapping"/>
      </w:r>
      <w:r>
        <w:rPr>
          <w:rFonts w:hint="default" w:ascii="Calibri" w:hAnsi="Calibri" w:cs="Calibri"/>
          <w:sz w:val="24"/>
          <w:szCs w:val="24"/>
        </w:rPr>
        <w:drawing>
          <wp:inline distT="0" distB="0" distL="114300" distR="114300">
            <wp:extent cx="5855335" cy="3834130"/>
            <wp:effectExtent l="0" t="0" r="12065" b="13970"/>
            <wp:docPr id="7" name="图片 6" descr="15354205528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 descr="1535420552845.png"/>
                    <pic:cNvPicPr>
                      <a:picLocks noChangeAspect="1"/>
                    </pic:cNvPicPr>
                  </pic:nvPicPr>
                  <pic:blipFill>
                    <a:blip r:embed="rId9"/>
                    <a:stretch>
                      <a:fillRect/>
                    </a:stretch>
                  </pic:blipFill>
                  <pic:spPr>
                    <a:xfrm>
                      <a:off x="0" y="0"/>
                      <a:ext cx="5855335" cy="3834130"/>
                    </a:xfrm>
                    <a:prstGeom prst="rect">
                      <a:avLst/>
                    </a:prstGeom>
                    <a:noFill/>
                    <a:ln w="9525">
                      <a:noFill/>
                    </a:ln>
                  </pic:spPr>
                </pic:pic>
              </a:graphicData>
            </a:graphic>
          </wp:inline>
        </w:drawing>
      </w:r>
    </w:p>
    <w:p>
      <w:pPr>
        <w:pStyle w:val="4"/>
        <w:keepNext w:val="0"/>
        <w:keepLines w:val="0"/>
        <w:widowControl/>
        <w:suppressLineNumbers w:val="0"/>
      </w:pPr>
      <w:r>
        <w:br w:type="textWrapping"/>
      </w:r>
      <w:r>
        <w:rPr>
          <w:rFonts w:hint="default" w:ascii="Calibri" w:hAnsi="Calibri" w:cs="Calibri"/>
          <w:sz w:val="24"/>
          <w:szCs w:val="24"/>
        </w:rPr>
        <w:t> </w:t>
      </w:r>
    </w:p>
    <w:p>
      <w:pPr>
        <w:pStyle w:val="4"/>
        <w:keepNext w:val="0"/>
        <w:keepLines w:val="0"/>
        <w:widowControl/>
        <w:suppressLineNumbers w:val="0"/>
        <w:ind w:left="0" w:firstLine="0"/>
      </w:pPr>
      <w:r>
        <w:rPr>
          <w:rFonts w:hint="default" w:ascii="Calibri" w:hAnsi="Calibri" w:cs="Calibri"/>
          <w:sz w:val="24"/>
          <w:szCs w:val="24"/>
        </w:rPr>
        <w:t>1.7.8.2.2</w:t>
      </w:r>
      <w:r>
        <w:rPr>
          <w:rFonts w:hint="default" w:ascii="Times New Roman" w:hAnsi="Times New Roman" w:cs="Times New Roman"/>
          <w:sz w:val="13"/>
          <w:szCs w:val="13"/>
        </w:rPr>
        <w:t xml:space="preserve">        </w:t>
      </w:r>
      <w:r>
        <w:rPr>
          <w:rFonts w:hint="eastAsia" w:ascii="宋体" w:hAnsi="宋体" w:eastAsia="宋体" w:cs="宋体"/>
          <w:sz w:val="24"/>
          <w:szCs w:val="24"/>
        </w:rPr>
        <w:t>会议室多媒体系统部署说明</w:t>
      </w:r>
    </w:p>
    <w:p>
      <w:pPr>
        <w:pStyle w:val="4"/>
        <w:keepNext w:val="0"/>
        <w:keepLines w:val="0"/>
        <w:widowControl/>
        <w:suppressLineNumbers w:val="0"/>
        <w:ind w:left="0" w:firstLine="480"/>
      </w:pPr>
      <w:r>
        <w:rPr>
          <w:rFonts w:hint="eastAsia" w:ascii="宋体" w:hAnsi="宋体" w:eastAsia="宋体" w:cs="宋体"/>
          <w:sz w:val="24"/>
          <w:szCs w:val="24"/>
        </w:rPr>
        <w:t>根据会议功能需求，设</w:t>
      </w:r>
      <w:r>
        <w:rPr>
          <w:rFonts w:hint="default" w:ascii="Calibri" w:hAnsi="Calibri" w:cs="Calibri"/>
          <w:sz w:val="24"/>
          <w:szCs w:val="24"/>
        </w:rPr>
        <w:t xml:space="preserve">   </w:t>
      </w:r>
      <w:r>
        <w:rPr>
          <w:rFonts w:hint="eastAsia" w:ascii="宋体" w:hAnsi="宋体" w:eastAsia="宋体" w:cs="宋体"/>
          <w:sz w:val="24"/>
          <w:szCs w:val="24"/>
        </w:rPr>
        <w:t>计配置一套比较完整的音响系统，包括</w:t>
      </w:r>
      <w:r>
        <w:rPr>
          <w:rFonts w:hint="default" w:ascii="Calibri" w:hAnsi="Calibri" w:cs="Calibri"/>
          <w:sz w:val="24"/>
          <w:szCs w:val="24"/>
        </w:rPr>
        <w:t>1</w:t>
      </w:r>
      <w:r>
        <w:rPr>
          <w:rFonts w:hint="eastAsia" w:ascii="宋体" w:hAnsi="宋体" w:eastAsia="宋体" w:cs="宋体"/>
          <w:sz w:val="24"/>
          <w:szCs w:val="24"/>
        </w:rPr>
        <w:t>个机柜、</w:t>
      </w:r>
      <w:r>
        <w:rPr>
          <w:rFonts w:hint="default" w:ascii="Calibri" w:hAnsi="Calibri" w:cs="Calibri"/>
          <w:sz w:val="24"/>
          <w:szCs w:val="24"/>
        </w:rPr>
        <w:t>1</w:t>
      </w:r>
      <w:r>
        <w:rPr>
          <w:rFonts w:hint="eastAsia" w:ascii="宋体" w:hAnsi="宋体" w:eastAsia="宋体" w:cs="宋体"/>
          <w:sz w:val="24"/>
          <w:szCs w:val="24"/>
        </w:rPr>
        <w:t>套</w:t>
      </w:r>
      <w:r>
        <w:rPr>
          <w:rFonts w:hint="default" w:ascii="Calibri" w:hAnsi="Calibri" w:cs="Calibri"/>
          <w:sz w:val="24"/>
          <w:szCs w:val="24"/>
        </w:rPr>
        <w:t>U</w:t>
      </w:r>
      <w:r>
        <w:rPr>
          <w:rFonts w:hint="eastAsia" w:ascii="宋体" w:hAnsi="宋体" w:eastAsia="宋体" w:cs="宋体"/>
          <w:sz w:val="24"/>
          <w:szCs w:val="24"/>
        </w:rPr>
        <w:t>段无线话筒含</w:t>
      </w:r>
      <w:r>
        <w:rPr>
          <w:rFonts w:hint="default" w:ascii="Calibri" w:hAnsi="Calibri" w:cs="Calibri"/>
          <w:sz w:val="24"/>
          <w:szCs w:val="24"/>
        </w:rPr>
        <w:t>20</w:t>
      </w:r>
      <w:r>
        <w:rPr>
          <w:rFonts w:hint="eastAsia" w:ascii="宋体" w:hAnsi="宋体" w:eastAsia="宋体" w:cs="宋体"/>
          <w:sz w:val="24"/>
          <w:szCs w:val="24"/>
        </w:rPr>
        <w:t>个定向麦克风（</w:t>
      </w:r>
      <w:r>
        <w:rPr>
          <w:rFonts w:hint="default" w:ascii="Calibri" w:hAnsi="Calibri" w:cs="Calibri"/>
          <w:sz w:val="24"/>
          <w:szCs w:val="24"/>
        </w:rPr>
        <w:t>1</w:t>
      </w:r>
      <w:r>
        <w:rPr>
          <w:rFonts w:hint="eastAsia" w:ascii="宋体" w:hAnsi="宋体" w:eastAsia="宋体" w:cs="宋体"/>
          <w:sz w:val="24"/>
          <w:szCs w:val="24"/>
        </w:rPr>
        <w:t>个主席发言单元，</w:t>
      </w:r>
      <w:r>
        <w:rPr>
          <w:rFonts w:hint="default" w:ascii="Calibri" w:hAnsi="Calibri" w:cs="Calibri"/>
          <w:sz w:val="24"/>
          <w:szCs w:val="24"/>
        </w:rPr>
        <w:t>19</w:t>
      </w:r>
      <w:r>
        <w:rPr>
          <w:rFonts w:hint="eastAsia" w:ascii="宋体" w:hAnsi="宋体" w:eastAsia="宋体" w:cs="宋体"/>
          <w:sz w:val="24"/>
          <w:szCs w:val="24"/>
        </w:rPr>
        <w:t>个代表发言单元），</w:t>
      </w:r>
      <w:r>
        <w:rPr>
          <w:rFonts w:hint="default" w:ascii="Calibri" w:hAnsi="Calibri" w:cs="Calibri"/>
          <w:sz w:val="24"/>
          <w:szCs w:val="24"/>
        </w:rPr>
        <w:t>1</w:t>
      </w:r>
      <w:r>
        <w:rPr>
          <w:rFonts w:hint="eastAsia" w:ascii="宋体" w:hAnsi="宋体" w:eastAsia="宋体" w:cs="宋体"/>
          <w:sz w:val="24"/>
          <w:szCs w:val="24"/>
        </w:rPr>
        <w:t>台会议主机，</w:t>
      </w:r>
      <w:r>
        <w:rPr>
          <w:rFonts w:hint="default" w:ascii="Calibri" w:hAnsi="Calibri" w:cs="Calibri"/>
          <w:sz w:val="24"/>
          <w:szCs w:val="24"/>
        </w:rPr>
        <w:t>1</w:t>
      </w:r>
      <w:r>
        <w:rPr>
          <w:rFonts w:hint="eastAsia" w:ascii="宋体" w:hAnsi="宋体" w:eastAsia="宋体" w:cs="宋体"/>
          <w:sz w:val="24"/>
          <w:szCs w:val="24"/>
        </w:rPr>
        <w:t>个调音台、</w:t>
      </w:r>
      <w:r>
        <w:rPr>
          <w:rFonts w:hint="default" w:ascii="Calibri" w:hAnsi="Calibri" w:cs="Calibri"/>
          <w:sz w:val="24"/>
          <w:szCs w:val="24"/>
        </w:rPr>
        <w:t>1</w:t>
      </w:r>
      <w:r>
        <w:rPr>
          <w:rFonts w:hint="eastAsia" w:ascii="宋体" w:hAnsi="宋体" w:eastAsia="宋体" w:cs="宋体"/>
          <w:sz w:val="24"/>
          <w:szCs w:val="24"/>
        </w:rPr>
        <w:t>套反馈抑制器、</w:t>
      </w:r>
      <w:r>
        <w:rPr>
          <w:rFonts w:hint="default" w:ascii="Calibri" w:hAnsi="Calibri" w:cs="Calibri"/>
          <w:sz w:val="24"/>
          <w:szCs w:val="24"/>
        </w:rPr>
        <w:t>2</w:t>
      </w:r>
      <w:r>
        <w:rPr>
          <w:rFonts w:hint="eastAsia" w:ascii="宋体" w:hAnsi="宋体" w:eastAsia="宋体" w:cs="宋体"/>
          <w:sz w:val="24"/>
          <w:szCs w:val="24"/>
        </w:rPr>
        <w:t>个专业音箱。投影显示系统设 计配置一磁</w:t>
      </w:r>
      <w:r>
        <w:rPr>
          <w:rFonts w:hint="default" w:ascii="Calibri" w:hAnsi="Calibri" w:cs="Calibri"/>
          <w:sz w:val="24"/>
          <w:szCs w:val="24"/>
        </w:rPr>
        <w:t>2X2</w:t>
      </w:r>
      <w:r>
        <w:rPr>
          <w:rFonts w:hint="eastAsia" w:ascii="宋体" w:hAnsi="宋体" w:eastAsia="宋体" w:cs="宋体"/>
          <w:sz w:val="24"/>
          <w:szCs w:val="24"/>
        </w:rPr>
        <w:t>的拼接屏，单屏尺寸</w:t>
      </w:r>
      <w:r>
        <w:rPr>
          <w:rFonts w:hint="default" w:ascii="Calibri" w:hAnsi="Calibri" w:cs="Calibri"/>
          <w:sz w:val="24"/>
          <w:szCs w:val="24"/>
        </w:rPr>
        <w:t>55</w:t>
      </w:r>
      <w:r>
        <w:rPr>
          <w:rFonts w:hint="eastAsia" w:ascii="宋体" w:hAnsi="宋体" w:eastAsia="宋体" w:cs="宋体"/>
          <w:sz w:val="24"/>
          <w:szCs w:val="24"/>
        </w:rPr>
        <w:t>吋，高清显示，拼缝：</w:t>
      </w:r>
      <w:r>
        <w:rPr>
          <w:rFonts w:hint="default" w:ascii="Calibri" w:hAnsi="Calibri" w:cs="Calibri"/>
          <w:sz w:val="24"/>
          <w:szCs w:val="24"/>
        </w:rPr>
        <w:t>≤1.7mm</w:t>
      </w:r>
      <w:r>
        <w:rPr>
          <w:rFonts w:hint="eastAsia" w:ascii="宋体" w:hAnsi="宋体" w:eastAsia="宋体" w:cs="宋体"/>
          <w:sz w:val="24"/>
          <w:szCs w:val="24"/>
        </w:rPr>
        <w:t>。</w:t>
      </w:r>
    </w:p>
    <w:p>
      <w:pPr>
        <w:pStyle w:val="4"/>
        <w:keepNext w:val="0"/>
        <w:keepLines w:val="0"/>
        <w:widowControl/>
        <w:suppressLineNumbers w:val="0"/>
        <w:ind w:left="0" w:firstLine="480"/>
      </w:pPr>
      <w:r>
        <w:rPr>
          <w:rFonts w:hint="eastAsia" w:ascii="宋体" w:hAnsi="宋体" w:eastAsia="宋体" w:cs="宋体"/>
          <w:sz w:val="24"/>
          <w:szCs w:val="24"/>
        </w:rPr>
        <w:t>为满足福州县市行政服务中心之间的会议信息交流，福州市行政服务中心已建成一套高清视频会议系统，以实现实时的会议交流。为达到更好的系统兼容功能，网络视频会议系统不在本项目内建设范围内，改由其它项目建设并提供与福州市行政服务中心同类型同品</w:t>
      </w:r>
      <w:r>
        <w:rPr>
          <w:rFonts w:hint="default" w:ascii="Calibri" w:hAnsi="Calibri" w:cs="Calibri"/>
          <w:sz w:val="24"/>
          <w:szCs w:val="24"/>
        </w:rPr>
        <w:t xml:space="preserve"> </w:t>
      </w:r>
      <w:r>
        <w:rPr>
          <w:rFonts w:hint="eastAsia" w:ascii="宋体" w:hAnsi="宋体" w:eastAsia="宋体" w:cs="宋体"/>
          <w:sz w:val="24"/>
          <w:szCs w:val="24"/>
        </w:rPr>
        <w:t>牌的高清视频会议系统。</w:t>
      </w:r>
    </w:p>
    <w:p>
      <w:pPr>
        <w:pStyle w:val="4"/>
        <w:keepNext w:val="0"/>
        <w:keepLines w:val="0"/>
        <w:widowControl/>
        <w:suppressLineNumbers w:val="0"/>
        <w:ind w:left="0" w:firstLine="480"/>
      </w:pPr>
      <w:r>
        <w:rPr>
          <w:rFonts w:hint="eastAsia" w:ascii="宋体" w:hAnsi="宋体" w:eastAsia="宋体" w:cs="宋体"/>
          <w:sz w:val="24"/>
          <w:szCs w:val="24"/>
        </w:rPr>
        <w:t>在网络设备层面，开通流量管理等</w:t>
      </w:r>
      <w:r>
        <w:rPr>
          <w:rFonts w:hint="default" w:ascii="Calibri" w:hAnsi="Calibri" w:cs="Calibri"/>
          <w:sz w:val="24"/>
          <w:szCs w:val="24"/>
        </w:rPr>
        <w:t>QOS</w:t>
      </w:r>
      <w:r>
        <w:rPr>
          <w:rFonts w:hint="eastAsia" w:ascii="宋体" w:hAnsi="宋体" w:eastAsia="宋体" w:cs="宋体"/>
          <w:sz w:val="24"/>
          <w:szCs w:val="24"/>
        </w:rPr>
        <w:t>保障手段，保证视频会议的有足够固定的带宽；在高清（</w:t>
      </w:r>
      <w:r>
        <w:rPr>
          <w:rFonts w:hint="default" w:ascii="Calibri" w:hAnsi="Calibri" w:cs="Calibri"/>
          <w:sz w:val="24"/>
          <w:szCs w:val="24"/>
        </w:rPr>
        <w:t>720P</w:t>
      </w:r>
      <w:r>
        <w:rPr>
          <w:rFonts w:hint="eastAsia" w:ascii="宋体" w:hAnsi="宋体" w:eastAsia="宋体" w:cs="宋体"/>
          <w:sz w:val="24"/>
          <w:szCs w:val="24"/>
        </w:rPr>
        <w:t>）视频效果的场景下，建议要求不小于</w:t>
      </w:r>
      <w:r>
        <w:rPr>
          <w:rFonts w:hint="default" w:ascii="Calibri" w:hAnsi="Calibri" w:cs="Calibri"/>
          <w:sz w:val="24"/>
          <w:szCs w:val="24"/>
        </w:rPr>
        <w:t>4M</w:t>
      </w:r>
      <w:r>
        <w:rPr>
          <w:rFonts w:hint="eastAsia" w:ascii="宋体" w:hAnsi="宋体" w:eastAsia="宋体" w:cs="宋体"/>
          <w:sz w:val="24"/>
          <w:szCs w:val="24"/>
        </w:rPr>
        <w:t>，双流会议建议采用</w:t>
      </w:r>
      <w:r>
        <w:rPr>
          <w:rFonts w:hint="default" w:ascii="Calibri" w:hAnsi="Calibri" w:cs="Calibri"/>
          <w:sz w:val="24"/>
          <w:szCs w:val="24"/>
        </w:rPr>
        <w:t>8M</w:t>
      </w:r>
      <w:r>
        <w:rPr>
          <w:rFonts w:hint="eastAsia" w:ascii="宋体" w:hAnsi="宋体" w:eastAsia="宋体" w:cs="宋体"/>
          <w:sz w:val="24"/>
          <w:szCs w:val="24"/>
        </w:rPr>
        <w:t>；</w:t>
      </w:r>
    </w:p>
    <w:p>
      <w:pPr>
        <w:pStyle w:val="4"/>
        <w:keepNext w:val="0"/>
        <w:keepLines w:val="0"/>
        <w:widowControl/>
        <w:suppressLineNumbers w:val="0"/>
        <w:ind w:left="0" w:firstLine="0"/>
      </w:pPr>
      <w:r>
        <w:rPr>
          <w:rFonts w:hint="eastAsia" w:ascii="宋体" w:hAnsi="宋体" w:eastAsia="宋体" w:cs="宋体"/>
          <w:sz w:val="24"/>
          <w:szCs w:val="24"/>
        </w:rPr>
        <w:t>1.7.9</w:t>
      </w:r>
      <w:r>
        <w:rPr>
          <w:rFonts w:hint="default" w:ascii="Times New Roman" w:hAnsi="Times New Roman" w:cs="Times New Roman"/>
          <w:sz w:val="13"/>
          <w:szCs w:val="13"/>
        </w:rPr>
        <w:t xml:space="preserve">   </w:t>
      </w:r>
      <w:r>
        <w:rPr>
          <w:rFonts w:hint="eastAsia" w:ascii="宋体" w:hAnsi="宋体" w:eastAsia="宋体" w:cs="宋体"/>
          <w:sz w:val="24"/>
          <w:szCs w:val="24"/>
        </w:rPr>
        <w:t>投影及LED液晶拼接显示系统</w:t>
      </w:r>
    </w:p>
    <w:p>
      <w:pPr>
        <w:pStyle w:val="4"/>
        <w:keepNext w:val="0"/>
        <w:keepLines w:val="0"/>
        <w:widowControl/>
        <w:suppressLineNumbers w:val="0"/>
        <w:ind w:left="0" w:firstLine="480"/>
      </w:pPr>
      <w:r>
        <w:rPr>
          <w:rFonts w:hint="eastAsia" w:ascii="宋体" w:hAnsi="宋体" w:eastAsia="宋体" w:cs="宋体"/>
          <w:sz w:val="24"/>
          <w:szCs w:val="24"/>
        </w:rPr>
        <w:t>多媒体投影系统就是利用投影机等设备，将会议所需文字、图片、视频等资料投射到投影幕上，具有清晰、直观、易懂等优点，是现代会议不可或缺的组成部分。视频投影系统还可接驳闭路电视、笔记本电脑、影碟机、会议电视等信号，为会议讨论、决策提供高科技辅助手段。</w:t>
      </w:r>
    </w:p>
    <w:p>
      <w:pPr>
        <w:pStyle w:val="4"/>
        <w:keepNext w:val="0"/>
        <w:keepLines w:val="0"/>
        <w:widowControl/>
        <w:suppressLineNumbers w:val="0"/>
        <w:ind w:left="840"/>
      </w:pPr>
      <w:r>
        <w:rPr>
          <w:rFonts w:hint="eastAsia" w:ascii="宋体" w:hAnsi="宋体" w:eastAsia="宋体" w:cs="宋体"/>
          <w:sz w:val="24"/>
          <w:szCs w:val="24"/>
        </w:rPr>
        <w:t>？</w:t>
      </w:r>
      <w:r>
        <w:rPr>
          <w:rFonts w:hint="default" w:ascii="Times New Roman" w:hAnsi="Times New Roman" w:cs="Times New Roman"/>
          <w:sz w:val="13"/>
          <w:szCs w:val="13"/>
        </w:rPr>
        <w:t xml:space="preserve">  </w:t>
      </w:r>
      <w:r>
        <w:rPr>
          <w:rFonts w:hint="eastAsia" w:ascii="宋体" w:hAnsi="宋体" w:eastAsia="宋体" w:cs="宋体"/>
          <w:sz w:val="24"/>
          <w:szCs w:val="24"/>
        </w:rPr>
        <w:t>信息接收</w:t>
      </w:r>
    </w:p>
    <w:p>
      <w:pPr>
        <w:pStyle w:val="4"/>
        <w:keepNext w:val="0"/>
        <w:keepLines w:val="0"/>
        <w:widowControl/>
        <w:suppressLineNumbers w:val="0"/>
        <w:ind w:left="0" w:firstLine="480"/>
      </w:pPr>
      <w:r>
        <w:rPr>
          <w:rFonts w:hint="eastAsia" w:ascii="宋体" w:hAnsi="宋体" w:eastAsia="宋体" w:cs="宋体"/>
          <w:sz w:val="24"/>
          <w:szCs w:val="24"/>
        </w:rPr>
        <w:t>系统不仅要能接收数字高清信号，还要能接受模拟标清信号，并能根据需要进行适当的信息转换。</w:t>
      </w:r>
    </w:p>
    <w:p>
      <w:pPr>
        <w:pStyle w:val="4"/>
        <w:keepNext w:val="0"/>
        <w:keepLines w:val="0"/>
        <w:widowControl/>
        <w:suppressLineNumbers w:val="0"/>
        <w:ind w:left="840"/>
      </w:pPr>
      <w:r>
        <w:rPr>
          <w:rFonts w:hint="eastAsia" w:ascii="宋体" w:hAnsi="宋体" w:eastAsia="宋体" w:cs="宋体"/>
          <w:sz w:val="24"/>
          <w:szCs w:val="24"/>
        </w:rPr>
        <w:t>？</w:t>
      </w:r>
      <w:r>
        <w:rPr>
          <w:rFonts w:hint="default" w:ascii="Times New Roman" w:hAnsi="Times New Roman" w:cs="Times New Roman"/>
          <w:sz w:val="13"/>
          <w:szCs w:val="13"/>
        </w:rPr>
        <w:t xml:space="preserve">  </w:t>
      </w:r>
      <w:r>
        <w:rPr>
          <w:rFonts w:hint="eastAsia" w:ascii="宋体" w:hAnsi="宋体" w:eastAsia="宋体" w:cs="宋体"/>
          <w:sz w:val="24"/>
          <w:szCs w:val="24"/>
        </w:rPr>
        <w:t>信息显示</w:t>
      </w:r>
    </w:p>
    <w:p>
      <w:pPr>
        <w:pStyle w:val="4"/>
        <w:keepNext w:val="0"/>
        <w:keepLines w:val="0"/>
        <w:widowControl/>
        <w:suppressLineNumbers w:val="0"/>
        <w:ind w:left="0" w:firstLine="480"/>
      </w:pPr>
      <w:r>
        <w:rPr>
          <w:rFonts w:hint="eastAsia" w:ascii="宋体" w:hAnsi="宋体" w:eastAsia="宋体" w:cs="宋体"/>
          <w:sz w:val="24"/>
          <w:szCs w:val="24"/>
        </w:rPr>
        <w:t>系统能以多媒体的形式发布共享信息，能以不同的模式、按照划分区域显示态势、文本、表格和视频图像信息。要求态势显示清晰、分辨率高，文字、图像显示清晰稳定。</w:t>
      </w:r>
    </w:p>
    <w:p>
      <w:pPr>
        <w:pStyle w:val="4"/>
        <w:keepNext w:val="0"/>
        <w:keepLines w:val="0"/>
        <w:widowControl/>
        <w:suppressLineNumbers w:val="0"/>
        <w:ind w:left="840"/>
      </w:pPr>
      <w:r>
        <w:rPr>
          <w:rFonts w:hint="eastAsia" w:ascii="宋体" w:hAnsi="宋体" w:eastAsia="宋体" w:cs="宋体"/>
          <w:sz w:val="24"/>
          <w:szCs w:val="24"/>
        </w:rPr>
        <w:t>？</w:t>
      </w:r>
      <w:r>
        <w:rPr>
          <w:rFonts w:hint="default" w:ascii="Times New Roman" w:hAnsi="Times New Roman" w:cs="Times New Roman"/>
          <w:sz w:val="13"/>
          <w:szCs w:val="13"/>
        </w:rPr>
        <w:t xml:space="preserve">  </w:t>
      </w:r>
      <w:r>
        <w:rPr>
          <w:rFonts w:hint="eastAsia" w:ascii="宋体" w:hAnsi="宋体" w:eastAsia="宋体" w:cs="宋体"/>
          <w:sz w:val="24"/>
          <w:szCs w:val="24"/>
        </w:rPr>
        <w:t>预览、摄像与切换</w:t>
      </w:r>
    </w:p>
    <w:p>
      <w:pPr>
        <w:pStyle w:val="4"/>
        <w:keepNext w:val="0"/>
        <w:keepLines w:val="0"/>
        <w:widowControl/>
        <w:suppressLineNumbers w:val="0"/>
        <w:ind w:left="0" w:firstLine="480"/>
      </w:pPr>
      <w:r>
        <w:rPr>
          <w:rFonts w:hint="eastAsia" w:ascii="宋体" w:hAnsi="宋体" w:eastAsia="宋体" w:cs="宋体"/>
          <w:sz w:val="24"/>
          <w:szCs w:val="24"/>
        </w:rPr>
        <w:t>为保证投影显示信息的准确性和质量，系统必须具有预览功能，用于图像的预审。显示大厅内应安装摄像机，用以提取管理控制机构工作的视频图像。系统应具有切换显示功能，满足多路信息显示需要。</w:t>
      </w:r>
    </w:p>
    <w:p>
      <w:pPr>
        <w:pStyle w:val="4"/>
        <w:keepNext w:val="0"/>
        <w:keepLines w:val="0"/>
        <w:widowControl/>
        <w:suppressLineNumbers w:val="0"/>
        <w:ind w:left="840"/>
      </w:pPr>
      <w:r>
        <w:rPr>
          <w:rFonts w:hint="eastAsia" w:ascii="宋体" w:hAnsi="宋体" w:eastAsia="宋体" w:cs="宋体"/>
          <w:sz w:val="24"/>
          <w:szCs w:val="24"/>
        </w:rPr>
        <w:t>？</w:t>
      </w:r>
      <w:r>
        <w:rPr>
          <w:rFonts w:hint="default" w:ascii="Times New Roman" w:hAnsi="Times New Roman" w:cs="Times New Roman"/>
          <w:sz w:val="13"/>
          <w:szCs w:val="13"/>
        </w:rPr>
        <w:t xml:space="preserve">  </w:t>
      </w:r>
      <w:r>
        <w:rPr>
          <w:rFonts w:hint="eastAsia" w:ascii="宋体" w:hAnsi="宋体" w:eastAsia="宋体" w:cs="宋体"/>
          <w:sz w:val="24"/>
          <w:szCs w:val="24"/>
        </w:rPr>
        <w:t>控制方式</w:t>
      </w:r>
    </w:p>
    <w:p>
      <w:pPr>
        <w:pStyle w:val="4"/>
        <w:keepNext w:val="0"/>
        <w:keepLines w:val="0"/>
        <w:widowControl/>
        <w:suppressLineNumbers w:val="0"/>
        <w:ind w:left="0" w:firstLine="480"/>
      </w:pPr>
      <w:r>
        <w:rPr>
          <w:rFonts w:hint="eastAsia" w:ascii="宋体" w:hAnsi="宋体" w:eastAsia="宋体" w:cs="宋体"/>
          <w:sz w:val="24"/>
          <w:szCs w:val="24"/>
        </w:rPr>
        <w:t>系统允许领导人员、业务工作人员、保障人员，以集中控制、移动控制、授权控制的方式，对大屏幕进行开关机、开设窗口、选择信源、投影显示、调整音响和照明等操作。</w:t>
      </w:r>
    </w:p>
    <w:p>
      <w:pPr>
        <w:pStyle w:val="4"/>
        <w:keepNext w:val="0"/>
        <w:keepLines w:val="0"/>
        <w:widowControl/>
        <w:suppressLineNumbers w:val="0"/>
        <w:ind w:left="840"/>
      </w:pPr>
      <w:r>
        <w:rPr>
          <w:rFonts w:hint="eastAsia" w:ascii="宋体" w:hAnsi="宋体" w:eastAsia="宋体" w:cs="宋体"/>
          <w:sz w:val="24"/>
          <w:szCs w:val="24"/>
        </w:rPr>
        <w:t>？</w:t>
      </w:r>
      <w:r>
        <w:rPr>
          <w:rFonts w:hint="default" w:ascii="Times New Roman" w:hAnsi="Times New Roman" w:cs="Times New Roman"/>
          <w:sz w:val="13"/>
          <w:szCs w:val="13"/>
        </w:rPr>
        <w:t xml:space="preserve">  </w:t>
      </w:r>
      <w:r>
        <w:rPr>
          <w:rFonts w:hint="eastAsia" w:ascii="宋体" w:hAnsi="宋体" w:eastAsia="宋体" w:cs="宋体"/>
          <w:sz w:val="24"/>
          <w:szCs w:val="24"/>
        </w:rPr>
        <w:t>依据标准优化设  计</w:t>
      </w:r>
    </w:p>
    <w:p>
      <w:pPr>
        <w:pStyle w:val="4"/>
        <w:keepNext w:val="0"/>
        <w:keepLines w:val="0"/>
        <w:widowControl/>
        <w:suppressLineNumbers w:val="0"/>
        <w:ind w:left="0" w:firstLine="480"/>
      </w:pPr>
      <w:r>
        <w:rPr>
          <w:rFonts w:hint="eastAsia" w:ascii="宋体" w:hAnsi="宋体" w:eastAsia="宋体" w:cs="宋体"/>
          <w:sz w:val="24"/>
          <w:szCs w:val="24"/>
        </w:rPr>
        <w:t>开标室采用电动投影机（</w:t>
      </w:r>
      <w:r>
        <w:rPr>
          <w:rFonts w:hint="eastAsia" w:ascii="宋体" w:hAnsi="宋体" w:eastAsia="宋体" w:cs="宋体"/>
          <w:color w:val="000000"/>
          <w:sz w:val="24"/>
          <w:szCs w:val="24"/>
        </w:rPr>
        <w:t>不低于</w:t>
      </w:r>
      <w:r>
        <w:rPr>
          <w:rFonts w:hint="default" w:ascii="Calibri" w:hAnsi="Calibri" w:cs="Calibri"/>
          <w:color w:val="000000"/>
          <w:sz w:val="24"/>
          <w:szCs w:val="24"/>
        </w:rPr>
        <w:t>5000</w:t>
      </w:r>
      <w:r>
        <w:rPr>
          <w:rFonts w:hint="eastAsia" w:ascii="宋体" w:hAnsi="宋体" w:eastAsia="宋体" w:cs="宋体"/>
          <w:color w:val="000000"/>
          <w:sz w:val="24"/>
          <w:szCs w:val="24"/>
        </w:rPr>
        <w:t>流明</w:t>
      </w:r>
      <w:r>
        <w:rPr>
          <w:rFonts w:hint="eastAsia" w:ascii="宋体" w:hAnsi="宋体" w:eastAsia="宋体" w:cs="宋体"/>
          <w:sz w:val="24"/>
          <w:szCs w:val="24"/>
        </w:rPr>
        <w:t>）和电动投影幕（不低于</w:t>
      </w:r>
      <w:r>
        <w:rPr>
          <w:rFonts w:hint="default" w:ascii="Calibri" w:hAnsi="Calibri" w:cs="Calibri"/>
          <w:sz w:val="24"/>
          <w:szCs w:val="24"/>
        </w:rPr>
        <w:t>100</w:t>
      </w:r>
      <w:r>
        <w:rPr>
          <w:rFonts w:hint="eastAsia" w:ascii="宋体" w:hAnsi="宋体" w:eastAsia="宋体" w:cs="宋体"/>
          <w:sz w:val="24"/>
          <w:szCs w:val="24"/>
        </w:rPr>
        <w:t>寸）。投影机固定支架，固定安装。</w:t>
      </w:r>
    </w:p>
    <w:p>
      <w:pPr>
        <w:pStyle w:val="4"/>
        <w:keepNext w:val="0"/>
        <w:keepLines w:val="0"/>
        <w:widowControl/>
        <w:suppressLineNumbers w:val="0"/>
        <w:ind w:left="0" w:firstLine="480"/>
      </w:pPr>
      <w:r>
        <w:rPr>
          <w:rFonts w:hint="eastAsia" w:ascii="宋体" w:hAnsi="宋体" w:eastAsia="宋体" w:cs="宋体"/>
          <w:sz w:val="24"/>
          <w:szCs w:val="24"/>
        </w:rPr>
        <w:t>会议桌上设置了多媒体接口，包括</w:t>
      </w:r>
      <w:r>
        <w:rPr>
          <w:rFonts w:hint="default" w:ascii="Calibri" w:hAnsi="Calibri" w:cs="Calibri"/>
          <w:sz w:val="24"/>
          <w:szCs w:val="24"/>
        </w:rPr>
        <w:t>VGA</w:t>
      </w:r>
      <w:r>
        <w:rPr>
          <w:rFonts w:hint="eastAsia" w:ascii="宋体" w:hAnsi="宋体" w:eastAsia="宋体" w:cs="宋体"/>
          <w:sz w:val="24"/>
          <w:szCs w:val="24"/>
        </w:rPr>
        <w:t>接口、网络接口、视频接口、音频接口及电源接口，以方便各类信号接入与输出。</w:t>
      </w:r>
    </w:p>
    <w:p>
      <w:pPr>
        <w:pStyle w:val="4"/>
        <w:keepNext w:val="0"/>
        <w:keepLines w:val="0"/>
        <w:widowControl/>
        <w:suppressLineNumbers w:val="0"/>
        <w:ind w:left="0" w:firstLine="480"/>
      </w:pPr>
      <w:r>
        <w:rPr>
          <w:rFonts w:hint="eastAsia" w:ascii="宋体" w:hAnsi="宋体" w:eastAsia="宋体" w:cs="宋体"/>
          <w:sz w:val="24"/>
          <w:szCs w:val="24"/>
        </w:rPr>
        <w:t>大会议室采用</w:t>
      </w:r>
      <w:r>
        <w:rPr>
          <w:rFonts w:hint="default" w:ascii="Calibri" w:hAnsi="Calibri" w:cs="Calibri"/>
          <w:sz w:val="24"/>
          <w:szCs w:val="24"/>
        </w:rPr>
        <w:t>55</w:t>
      </w:r>
      <w:r>
        <w:rPr>
          <w:rFonts w:hint="eastAsia" w:ascii="宋体" w:hAnsi="宋体" w:eastAsia="宋体" w:cs="宋体"/>
          <w:sz w:val="24"/>
          <w:szCs w:val="24"/>
        </w:rPr>
        <w:t>寸</w:t>
      </w:r>
      <w:r>
        <w:rPr>
          <w:rFonts w:hint="default" w:ascii="Calibri" w:hAnsi="Calibri" w:cs="Calibri"/>
          <w:sz w:val="24"/>
          <w:szCs w:val="24"/>
        </w:rPr>
        <w:t>LED</w:t>
      </w:r>
      <w:r>
        <w:rPr>
          <w:rFonts w:hint="eastAsia" w:ascii="宋体" w:hAnsi="宋体" w:eastAsia="宋体" w:cs="宋体"/>
          <w:sz w:val="24"/>
          <w:szCs w:val="24"/>
        </w:rPr>
        <w:t>液晶接屏作为显示单位。</w:t>
      </w:r>
      <w:r>
        <w:rPr>
          <w:rFonts w:hint="default" w:ascii="Calibri" w:hAnsi="Calibri" w:cs="Calibri"/>
          <w:sz w:val="24"/>
          <w:szCs w:val="24"/>
        </w:rPr>
        <w:t>LED</w:t>
      </w:r>
      <w:r>
        <w:rPr>
          <w:rFonts w:hint="eastAsia" w:ascii="宋体" w:hAnsi="宋体" w:eastAsia="宋体" w:cs="宋体"/>
          <w:sz w:val="24"/>
          <w:szCs w:val="24"/>
        </w:rPr>
        <w:t>液晶屏采用前维护液晶屏，采用</w:t>
      </w:r>
      <w:r>
        <w:rPr>
          <w:rFonts w:hint="default" w:ascii="Calibri" w:hAnsi="Calibri" w:cs="Calibri"/>
          <w:sz w:val="24"/>
          <w:szCs w:val="24"/>
        </w:rPr>
        <w:t>2</w:t>
      </w:r>
      <w:r>
        <w:rPr>
          <w:rFonts w:hint="default" w:ascii="Calibri" w:hAnsi="Calibri" w:cs="Calibri"/>
          <w:sz w:val="19"/>
          <w:szCs w:val="19"/>
        </w:rPr>
        <w:t>×</w:t>
      </w:r>
      <w:r>
        <w:rPr>
          <w:rFonts w:hint="default" w:ascii="Calibri" w:hAnsi="Calibri" w:cs="Calibri"/>
          <w:sz w:val="24"/>
          <w:szCs w:val="24"/>
        </w:rPr>
        <w:t>2</w:t>
      </w:r>
      <w:r>
        <w:rPr>
          <w:rFonts w:hint="eastAsia" w:ascii="宋体" w:hAnsi="宋体" w:eastAsia="宋体" w:cs="宋体"/>
          <w:sz w:val="24"/>
          <w:szCs w:val="24"/>
        </w:rPr>
        <w:t>方式进行部署。液晶拼接屏拼缝：</w:t>
      </w:r>
      <w:r>
        <w:rPr>
          <w:rFonts w:hint="default" w:ascii="Calibri" w:hAnsi="Calibri" w:cs="Calibri"/>
          <w:sz w:val="24"/>
          <w:szCs w:val="24"/>
        </w:rPr>
        <w:t>≤1.7mm</w:t>
      </w:r>
      <w:r>
        <w:rPr>
          <w:rFonts w:hint="eastAsia" w:ascii="宋体" w:hAnsi="宋体" w:eastAsia="宋体" w:cs="宋体"/>
          <w:sz w:val="24"/>
          <w:szCs w:val="24"/>
        </w:rPr>
        <w:t>，响应速度</w:t>
      </w:r>
      <w:r>
        <w:rPr>
          <w:rFonts w:hint="default" w:ascii="Calibri" w:hAnsi="Calibri" w:cs="Calibri"/>
          <w:sz w:val="24"/>
          <w:szCs w:val="24"/>
        </w:rPr>
        <w:t>≤8ms</w:t>
      </w:r>
      <w:r>
        <w:rPr>
          <w:rFonts w:hint="eastAsia" w:ascii="宋体" w:hAnsi="宋体" w:eastAsia="宋体" w:cs="宋体"/>
          <w:sz w:val="24"/>
          <w:szCs w:val="24"/>
        </w:rPr>
        <w:t>；分辨率：</w:t>
      </w:r>
      <w:r>
        <w:rPr>
          <w:rFonts w:hint="default" w:ascii="Calibri" w:hAnsi="Calibri" w:cs="Calibri"/>
          <w:sz w:val="24"/>
          <w:szCs w:val="24"/>
        </w:rPr>
        <w:t>1920×1080</w:t>
      </w:r>
      <w:r>
        <w:rPr>
          <w:rFonts w:hint="eastAsia" w:ascii="宋体" w:hAnsi="宋体" w:eastAsia="宋体" w:cs="宋体"/>
          <w:sz w:val="24"/>
          <w:szCs w:val="24"/>
        </w:rPr>
        <w:t>，亮度：</w:t>
      </w:r>
      <w:r>
        <w:rPr>
          <w:rFonts w:hint="default" w:ascii="Calibri" w:hAnsi="Calibri" w:cs="Calibri"/>
          <w:sz w:val="24"/>
          <w:szCs w:val="24"/>
        </w:rPr>
        <w:t>≥500cd/m2</w:t>
      </w:r>
      <w:r>
        <w:rPr>
          <w:rFonts w:hint="eastAsia" w:ascii="宋体" w:hAnsi="宋体" w:eastAsia="宋体" w:cs="宋体"/>
          <w:sz w:val="24"/>
          <w:szCs w:val="24"/>
        </w:rPr>
        <w:t>。屏幕与大屏控制器配合使用以实现显示屏的漫游、单体显示等功能。</w:t>
      </w:r>
    </w:p>
    <w:p>
      <w:pPr>
        <w:pStyle w:val="4"/>
        <w:keepNext w:val="0"/>
        <w:keepLines w:val="0"/>
        <w:widowControl/>
        <w:suppressLineNumbers w:val="0"/>
        <w:ind w:left="0" w:firstLine="0"/>
      </w:pPr>
      <w:r>
        <w:rPr>
          <w:rFonts w:hint="eastAsia" w:ascii="宋体" w:hAnsi="宋体" w:eastAsia="宋体" w:cs="宋体"/>
          <w:sz w:val="24"/>
          <w:szCs w:val="24"/>
        </w:rPr>
        <w:t>1.7.10 会议扩声系统</w:t>
      </w:r>
    </w:p>
    <w:p>
      <w:pPr>
        <w:pStyle w:val="4"/>
        <w:keepNext w:val="0"/>
        <w:keepLines w:val="0"/>
        <w:widowControl/>
        <w:suppressLineNumbers w:val="0"/>
        <w:spacing w:before="165" w:beforeAutospacing="0"/>
        <w:ind w:left="0" w:firstLine="480"/>
      </w:pPr>
      <w:r>
        <w:rPr>
          <w:rFonts w:hint="eastAsia" w:ascii="宋体" w:hAnsi="宋体" w:eastAsia="宋体" w:cs="宋体"/>
          <w:sz w:val="24"/>
          <w:szCs w:val="24"/>
        </w:rPr>
        <w:t>本设</w:t>
      </w:r>
      <w:r>
        <w:rPr>
          <w:rFonts w:hint="default" w:ascii="Calibri" w:hAnsi="Calibri" w:cs="Calibri"/>
          <w:sz w:val="24"/>
          <w:szCs w:val="24"/>
        </w:rPr>
        <w:t xml:space="preserve">   </w:t>
      </w:r>
      <w:r>
        <w:rPr>
          <w:rFonts w:hint="eastAsia" w:ascii="宋体" w:hAnsi="宋体" w:eastAsia="宋体" w:cs="宋体"/>
          <w:sz w:val="24"/>
          <w:szCs w:val="24"/>
        </w:rPr>
        <w:t>计扩声音质标准为满足一级标准要求，详见下表：</w:t>
      </w:r>
      <w:r>
        <w:rPr>
          <w:rFonts w:hint="eastAsia" w:ascii="宋体" w:hAnsi="宋体" w:eastAsia="宋体" w:cs="宋体"/>
          <w:sz w:val="24"/>
          <w:szCs w:val="24"/>
        </w:rPr>
        <w:br w:type="textWrapping"/>
      </w:r>
      <w:r>
        <w:rPr>
          <w:rFonts w:hint="eastAsia" w:ascii="宋体" w:hAnsi="宋体" w:eastAsia="宋体" w:cs="宋体"/>
          <w:sz w:val="24"/>
          <w:szCs w:val="24"/>
        </w:rPr>
        <w:t>表5.3-3  国家音乐兼语言扩声系统一级标准</w:t>
      </w:r>
    </w:p>
    <w:tbl>
      <w:tblPr>
        <w:tblStyle w:val="9"/>
        <w:tblW w:w="7964" w:type="dxa"/>
        <w:tblCellSpacing w:w="15"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15" w:type="dxa"/>
          <w:left w:w="15" w:type="dxa"/>
          <w:bottom w:w="15" w:type="dxa"/>
          <w:right w:w="15" w:type="dxa"/>
        </w:tblCellMar>
      </w:tblPr>
      <w:tblGrid>
        <w:gridCol w:w="2643"/>
        <w:gridCol w:w="5321"/>
      </w:tblGrid>
      <w:tr>
        <w:trPr>
          <w:cantSplit/>
          <w:trHeight w:val="60" w:hRule="atLeast"/>
          <w:tblCellSpacing w:w="15" w:type="dxa"/>
        </w:trPr>
        <w:tc>
          <w:tcPr>
            <w:tcW w:w="2598" w:type="dxa"/>
            <w:tcBorders>
              <w:top w:val="double" w:color="auto" w:sz="2" w:space="0"/>
              <w:left w:val="double" w:color="auto" w:sz="2"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before="75" w:beforeAutospacing="0"/>
              <w:jc w:val="center"/>
            </w:pPr>
            <w:r>
              <w:rPr>
                <w:rStyle w:val="6"/>
                <w:rFonts w:hint="eastAsia" w:ascii="宋体" w:hAnsi="宋体" w:eastAsia="宋体" w:cs="宋体"/>
                <w:b/>
              </w:rPr>
              <w:t>项目</w:t>
            </w:r>
          </w:p>
        </w:tc>
        <w:tc>
          <w:tcPr>
            <w:tcW w:w="5276" w:type="dxa"/>
            <w:tcBorders>
              <w:top w:val="double" w:color="auto" w:sz="2" w:space="0"/>
              <w:left w:val="nil"/>
              <w:bottom w:val="single" w:color="auto" w:sz="6" w:space="0"/>
              <w:right w:val="double" w:color="auto" w:sz="2"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before="75" w:beforeAutospacing="0"/>
              <w:jc w:val="center"/>
            </w:pPr>
            <w:r>
              <w:rPr>
                <w:rStyle w:val="6"/>
                <w:rFonts w:hint="eastAsia" w:ascii="宋体" w:hAnsi="宋体" w:eastAsia="宋体" w:cs="宋体"/>
                <w:b/>
              </w:rPr>
              <w:t>指标</w:t>
            </w:r>
          </w:p>
        </w:tc>
      </w:tr>
      <w:tr>
        <w:trPr>
          <w:cantSplit/>
          <w:trHeight w:val="60" w:hRule="atLeast"/>
          <w:tblCellSpacing w:w="15" w:type="dxa"/>
        </w:trPr>
        <w:tc>
          <w:tcPr>
            <w:tcW w:w="2598" w:type="dxa"/>
            <w:tcBorders>
              <w:top w:val="nil"/>
              <w:left w:val="double" w:color="auto" w:sz="2"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before="75" w:beforeAutospacing="0"/>
            </w:pPr>
            <w:r>
              <w:rPr>
                <w:rFonts w:hint="eastAsia" w:ascii="宋体" w:hAnsi="宋体" w:eastAsia="宋体" w:cs="宋体"/>
                <w:sz w:val="24"/>
                <w:szCs w:val="24"/>
              </w:rPr>
              <w:t>最大声压级(空场稳态)</w:t>
            </w:r>
          </w:p>
        </w:tc>
        <w:tc>
          <w:tcPr>
            <w:tcW w:w="5276" w:type="dxa"/>
            <w:tcBorders>
              <w:top w:val="nil"/>
              <w:left w:val="nil"/>
              <w:bottom w:val="single" w:color="auto" w:sz="6" w:space="0"/>
              <w:right w:val="double" w:color="auto" w:sz="2"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before="75" w:beforeAutospacing="0"/>
              <w:jc w:val="center"/>
            </w:pPr>
            <w:r>
              <w:rPr>
                <w:rFonts w:hint="eastAsia" w:ascii="宋体" w:hAnsi="宋体" w:eastAsia="宋体" w:cs="宋体"/>
                <w:sz w:val="24"/>
                <w:szCs w:val="24"/>
              </w:rPr>
              <w:t>0.125~4.00KHz范围内平均声压≥98dB</w:t>
            </w:r>
          </w:p>
        </w:tc>
      </w:tr>
      <w:tr>
        <w:trPr>
          <w:cantSplit/>
          <w:trHeight w:val="600" w:hRule="atLeast"/>
          <w:tblCellSpacing w:w="15" w:type="dxa"/>
        </w:trPr>
        <w:tc>
          <w:tcPr>
            <w:tcW w:w="2598" w:type="dxa"/>
            <w:tcBorders>
              <w:top w:val="nil"/>
              <w:left w:val="double" w:color="auto" w:sz="2"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before="75" w:beforeAutospacing="0"/>
              <w:jc w:val="center"/>
            </w:pPr>
            <w:r>
              <w:rPr>
                <w:rFonts w:hint="eastAsia" w:ascii="宋体" w:hAnsi="宋体" w:eastAsia="宋体" w:cs="宋体"/>
                <w:sz w:val="24"/>
                <w:szCs w:val="24"/>
              </w:rPr>
              <w:t>传输频率特性</w:t>
            </w:r>
          </w:p>
        </w:tc>
        <w:tc>
          <w:tcPr>
            <w:tcW w:w="5276" w:type="dxa"/>
            <w:tcBorders>
              <w:top w:val="nil"/>
              <w:left w:val="nil"/>
              <w:bottom w:val="single" w:color="auto" w:sz="6" w:space="0"/>
              <w:right w:val="double" w:color="auto" w:sz="2"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before="75" w:beforeAutospacing="0"/>
              <w:jc w:val="center"/>
            </w:pPr>
            <w:r>
              <w:rPr>
                <w:rFonts w:hint="eastAsia" w:ascii="宋体" w:hAnsi="宋体" w:eastAsia="宋体" w:cs="宋体"/>
                <w:sz w:val="24"/>
                <w:szCs w:val="24"/>
              </w:rPr>
              <w:t>0.1~6.3KHz，以0.25~4.00KHz的平均声压为0 dB，允许+4~-10 dB，且在0.25~4.00KHz内允许±4~-6 dB</w:t>
            </w:r>
          </w:p>
        </w:tc>
      </w:tr>
      <w:tr>
        <w:trPr>
          <w:cantSplit/>
          <w:trHeight w:val="60" w:hRule="atLeast"/>
          <w:tblCellSpacing w:w="15" w:type="dxa"/>
        </w:trPr>
        <w:tc>
          <w:tcPr>
            <w:tcW w:w="2598" w:type="dxa"/>
            <w:tcBorders>
              <w:top w:val="nil"/>
              <w:left w:val="double" w:color="auto" w:sz="2"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before="75" w:beforeAutospacing="0"/>
              <w:jc w:val="center"/>
            </w:pPr>
            <w:r>
              <w:rPr>
                <w:rFonts w:hint="eastAsia" w:ascii="宋体" w:hAnsi="宋体" w:eastAsia="宋体" w:cs="宋体"/>
                <w:sz w:val="24"/>
                <w:szCs w:val="24"/>
              </w:rPr>
              <w:t>传声增益</w:t>
            </w:r>
          </w:p>
        </w:tc>
        <w:tc>
          <w:tcPr>
            <w:tcW w:w="5276" w:type="dxa"/>
            <w:tcBorders>
              <w:top w:val="nil"/>
              <w:left w:val="nil"/>
              <w:bottom w:val="single" w:color="auto" w:sz="6" w:space="0"/>
              <w:right w:val="double" w:color="auto" w:sz="2"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before="75" w:beforeAutospacing="0"/>
              <w:jc w:val="center"/>
            </w:pPr>
            <w:r>
              <w:rPr>
                <w:rFonts w:hint="eastAsia" w:ascii="宋体" w:hAnsi="宋体" w:eastAsia="宋体" w:cs="宋体"/>
                <w:sz w:val="24"/>
                <w:szCs w:val="24"/>
              </w:rPr>
              <w:t>0.25~4.00KHz的平均值≥-12 dB</w:t>
            </w:r>
          </w:p>
        </w:tc>
      </w:tr>
      <w:tr>
        <w:trPr>
          <w:cantSplit/>
          <w:trHeight w:val="135" w:hRule="atLeast"/>
          <w:tblCellSpacing w:w="15" w:type="dxa"/>
        </w:trPr>
        <w:tc>
          <w:tcPr>
            <w:tcW w:w="2598" w:type="dxa"/>
            <w:tcBorders>
              <w:top w:val="nil"/>
              <w:left w:val="double" w:color="auto" w:sz="2" w:space="0"/>
              <w:bottom w:val="double" w:color="auto" w:sz="2"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before="75" w:beforeAutospacing="0"/>
              <w:jc w:val="center"/>
            </w:pPr>
            <w:r>
              <w:rPr>
                <w:rFonts w:hint="eastAsia" w:ascii="宋体" w:hAnsi="宋体" w:eastAsia="宋体" w:cs="宋体"/>
                <w:sz w:val="24"/>
                <w:szCs w:val="24"/>
              </w:rPr>
              <w:t>声场不均匀度</w:t>
            </w:r>
          </w:p>
        </w:tc>
        <w:tc>
          <w:tcPr>
            <w:tcW w:w="5276" w:type="dxa"/>
            <w:tcBorders>
              <w:top w:val="nil"/>
              <w:left w:val="nil"/>
              <w:bottom w:val="double" w:color="auto" w:sz="2" w:space="0"/>
              <w:right w:val="double" w:color="auto" w:sz="2" w:space="0"/>
            </w:tcBorders>
            <w:shd w:val="clear" w:color="auto" w:fill="FFFFFF"/>
            <w:tcMar>
              <w:top w:w="0" w:type="dxa"/>
              <w:left w:w="105" w:type="dxa"/>
              <w:bottom w:w="0" w:type="dxa"/>
              <w:right w:w="105" w:type="dxa"/>
            </w:tcMar>
            <w:vAlign w:val="center"/>
          </w:tcPr>
          <w:p>
            <w:pPr>
              <w:pStyle w:val="4"/>
              <w:keepNext w:val="0"/>
              <w:keepLines w:val="0"/>
              <w:widowControl/>
              <w:suppressLineNumbers w:val="0"/>
              <w:spacing w:before="75" w:beforeAutospacing="0"/>
              <w:jc w:val="center"/>
            </w:pPr>
            <w:r>
              <w:rPr>
                <w:rFonts w:hint="eastAsia" w:ascii="宋体" w:hAnsi="宋体" w:eastAsia="宋体" w:cs="宋体"/>
                <w:sz w:val="24"/>
                <w:szCs w:val="24"/>
              </w:rPr>
              <w:t>1.0和4.00 KHz≤8 dB</w:t>
            </w:r>
          </w:p>
        </w:tc>
      </w:tr>
    </w:tbl>
    <w:p>
      <w:pPr>
        <w:pStyle w:val="4"/>
        <w:keepNext w:val="0"/>
        <w:keepLines w:val="0"/>
        <w:widowControl/>
        <w:suppressLineNumbers w:val="0"/>
        <w:spacing w:before="165" w:beforeAutospacing="0"/>
        <w:ind w:left="0" w:firstLine="480"/>
      </w:pPr>
      <w:r>
        <w:rPr>
          <w:rFonts w:hint="eastAsia" w:ascii="宋体" w:hAnsi="宋体" w:eastAsia="宋体" w:cs="宋体"/>
          <w:sz w:val="24"/>
          <w:szCs w:val="24"/>
        </w:rPr>
        <w:t>其它主要设  计技术指标如下：</w:t>
      </w:r>
    </w:p>
    <w:p>
      <w:pPr>
        <w:pStyle w:val="4"/>
        <w:keepNext w:val="0"/>
        <w:keepLines w:val="0"/>
        <w:widowControl/>
        <w:suppressLineNumbers w:val="0"/>
        <w:ind w:left="840"/>
      </w:pPr>
      <w:r>
        <w:rPr>
          <w:rFonts w:hint="eastAsia" w:ascii="宋体" w:hAnsi="宋体" w:eastAsia="宋体" w:cs="宋体"/>
          <w:sz w:val="24"/>
          <w:szCs w:val="24"/>
        </w:rPr>
        <w:t>？</w:t>
      </w:r>
      <w:r>
        <w:rPr>
          <w:rFonts w:hint="default" w:ascii="Times New Roman" w:hAnsi="Times New Roman" w:cs="Times New Roman"/>
          <w:sz w:val="13"/>
          <w:szCs w:val="13"/>
        </w:rPr>
        <w:t xml:space="preserve">  </w:t>
      </w:r>
      <w:r>
        <w:rPr>
          <w:rFonts w:hint="eastAsia" w:ascii="宋体" w:hAnsi="宋体" w:eastAsia="宋体" w:cs="宋体"/>
          <w:sz w:val="24"/>
          <w:szCs w:val="24"/>
        </w:rPr>
        <w:t>最大声压级：2500~4200Hz、平均声压级≥90dB；</w:t>
      </w:r>
    </w:p>
    <w:p>
      <w:pPr>
        <w:pStyle w:val="4"/>
        <w:keepNext w:val="0"/>
        <w:keepLines w:val="0"/>
        <w:widowControl/>
        <w:suppressLineNumbers w:val="0"/>
        <w:ind w:left="840"/>
      </w:pPr>
      <w:r>
        <w:rPr>
          <w:rFonts w:hint="eastAsia" w:ascii="宋体" w:hAnsi="宋体" w:eastAsia="宋体" w:cs="宋体"/>
          <w:sz w:val="24"/>
          <w:szCs w:val="24"/>
        </w:rPr>
        <w:t>？</w:t>
      </w:r>
      <w:r>
        <w:rPr>
          <w:rFonts w:hint="default" w:ascii="Times New Roman" w:hAnsi="Times New Roman" w:cs="Times New Roman"/>
          <w:sz w:val="13"/>
          <w:szCs w:val="13"/>
        </w:rPr>
        <w:t xml:space="preserve">  </w:t>
      </w:r>
      <w:r>
        <w:rPr>
          <w:rFonts w:hint="eastAsia" w:ascii="宋体" w:hAnsi="宋体" w:eastAsia="宋体" w:cs="宋体"/>
          <w:sz w:val="24"/>
          <w:szCs w:val="24"/>
        </w:rPr>
        <w:t>传声增益：250~4000Hz的平均值≥-12dB；</w:t>
      </w:r>
    </w:p>
    <w:p>
      <w:pPr>
        <w:pStyle w:val="4"/>
        <w:keepNext w:val="0"/>
        <w:keepLines w:val="0"/>
        <w:widowControl/>
        <w:suppressLineNumbers w:val="0"/>
        <w:ind w:left="840"/>
      </w:pPr>
      <w:r>
        <w:rPr>
          <w:rFonts w:hint="eastAsia" w:ascii="宋体" w:hAnsi="宋体" w:eastAsia="宋体" w:cs="宋体"/>
          <w:sz w:val="24"/>
          <w:szCs w:val="24"/>
        </w:rPr>
        <w:t>？</w:t>
      </w:r>
      <w:r>
        <w:rPr>
          <w:rFonts w:hint="default" w:ascii="Times New Roman" w:hAnsi="Times New Roman" w:cs="Times New Roman"/>
          <w:sz w:val="13"/>
          <w:szCs w:val="13"/>
        </w:rPr>
        <w:t xml:space="preserve">  </w:t>
      </w:r>
      <w:r>
        <w:rPr>
          <w:rFonts w:hint="eastAsia" w:ascii="宋体" w:hAnsi="宋体" w:eastAsia="宋体" w:cs="宋体"/>
          <w:sz w:val="24"/>
          <w:szCs w:val="24"/>
        </w:rPr>
        <w:t>传输频率特性：100~6300Hz以250~4000Hz的平均声压级为0dB，</w:t>
      </w:r>
      <w:r>
        <w:rPr>
          <w:rFonts w:hint="eastAsia" w:ascii="宋体" w:hAnsi="宋体" w:eastAsia="宋体" w:cs="宋体"/>
          <w:sz w:val="24"/>
          <w:szCs w:val="24"/>
          <w:lang w:eastAsia="zh-CN"/>
        </w:rPr>
        <w:t>允许</w:t>
      </w:r>
      <w:r>
        <w:rPr>
          <w:rFonts w:hint="eastAsia" w:ascii="宋体" w:hAnsi="宋体" w:eastAsia="宋体" w:cs="宋体"/>
          <w:sz w:val="24"/>
          <w:szCs w:val="24"/>
        </w:rPr>
        <w:t>+4~-8dB，且在250~4KHz内</w:t>
      </w:r>
      <w:r>
        <w:rPr>
          <w:rFonts w:hint="eastAsia" w:ascii="宋体" w:hAnsi="宋体" w:eastAsia="宋体" w:cs="宋体"/>
          <w:sz w:val="24"/>
          <w:szCs w:val="24"/>
          <w:lang w:eastAsia="zh-CN"/>
        </w:rPr>
        <w:t>允许</w:t>
      </w:r>
      <w:r>
        <w:rPr>
          <w:rFonts w:hint="eastAsia" w:ascii="宋体" w:hAnsi="宋体" w:eastAsia="宋体" w:cs="宋体"/>
          <w:sz w:val="24"/>
          <w:szCs w:val="24"/>
        </w:rPr>
        <w:t>≤+4--6dB；</w:t>
      </w:r>
    </w:p>
    <w:p>
      <w:pPr>
        <w:pStyle w:val="4"/>
        <w:keepNext w:val="0"/>
        <w:keepLines w:val="0"/>
        <w:widowControl/>
        <w:suppressLineNumbers w:val="0"/>
        <w:ind w:left="840"/>
      </w:pPr>
      <w:r>
        <w:rPr>
          <w:rFonts w:hint="eastAsia" w:ascii="宋体" w:hAnsi="宋体" w:eastAsia="宋体" w:cs="宋体"/>
          <w:sz w:val="24"/>
          <w:szCs w:val="24"/>
        </w:rPr>
        <w:t>？</w:t>
      </w:r>
      <w:r>
        <w:rPr>
          <w:rFonts w:hint="default" w:ascii="Times New Roman" w:hAnsi="Times New Roman" w:cs="Times New Roman"/>
          <w:sz w:val="13"/>
          <w:szCs w:val="13"/>
        </w:rPr>
        <w:t xml:space="preserve">  </w:t>
      </w:r>
      <w:r>
        <w:rPr>
          <w:rFonts w:hint="eastAsia" w:ascii="宋体" w:hAnsi="宋体" w:eastAsia="宋体" w:cs="宋体"/>
          <w:sz w:val="24"/>
          <w:szCs w:val="24"/>
        </w:rPr>
        <w:t>声场不均匀度：1000与4000Hz≤10dB；</w:t>
      </w:r>
    </w:p>
    <w:p>
      <w:pPr>
        <w:pStyle w:val="4"/>
        <w:keepNext w:val="0"/>
        <w:keepLines w:val="0"/>
        <w:widowControl/>
        <w:suppressLineNumbers w:val="0"/>
        <w:ind w:left="840"/>
      </w:pPr>
      <w:r>
        <w:rPr>
          <w:rFonts w:hint="eastAsia" w:ascii="宋体" w:hAnsi="宋体" w:eastAsia="宋体" w:cs="宋体"/>
          <w:sz w:val="24"/>
          <w:szCs w:val="24"/>
        </w:rPr>
        <w:t>？</w:t>
      </w:r>
      <w:r>
        <w:rPr>
          <w:rFonts w:hint="default" w:ascii="Times New Roman" w:hAnsi="Times New Roman" w:cs="Times New Roman"/>
          <w:sz w:val="13"/>
          <w:szCs w:val="13"/>
        </w:rPr>
        <w:t xml:space="preserve">  </w:t>
      </w:r>
      <w:r>
        <w:rPr>
          <w:rFonts w:hint="eastAsia" w:ascii="宋体" w:hAnsi="宋体" w:eastAsia="宋体" w:cs="宋体"/>
          <w:sz w:val="24"/>
          <w:szCs w:val="24"/>
        </w:rPr>
        <w:t>总噪声级：≤MR30；</w:t>
      </w:r>
    </w:p>
    <w:p>
      <w:pPr>
        <w:pStyle w:val="4"/>
        <w:keepNext w:val="0"/>
        <w:keepLines w:val="0"/>
        <w:widowControl/>
        <w:suppressLineNumbers w:val="0"/>
        <w:ind w:left="840"/>
      </w:pPr>
      <w:r>
        <w:rPr>
          <w:rFonts w:hint="eastAsia" w:ascii="宋体" w:hAnsi="宋体" w:eastAsia="宋体" w:cs="宋体"/>
          <w:sz w:val="24"/>
          <w:szCs w:val="24"/>
        </w:rPr>
        <w:t>？</w:t>
      </w:r>
      <w:r>
        <w:rPr>
          <w:rFonts w:hint="default" w:ascii="Times New Roman" w:hAnsi="Times New Roman" w:cs="Times New Roman"/>
          <w:sz w:val="13"/>
          <w:szCs w:val="13"/>
        </w:rPr>
        <w:t xml:space="preserve">  </w:t>
      </w:r>
      <w:r>
        <w:rPr>
          <w:rFonts w:hint="eastAsia" w:ascii="宋体" w:hAnsi="宋体" w:eastAsia="宋体" w:cs="宋体"/>
          <w:sz w:val="24"/>
          <w:szCs w:val="24"/>
        </w:rPr>
        <w:t>频响范围±3dB：42Hz -- 18KHz(音箱)；</w:t>
      </w:r>
    </w:p>
    <w:p>
      <w:pPr>
        <w:pStyle w:val="4"/>
        <w:keepNext w:val="0"/>
        <w:keepLines w:val="0"/>
        <w:widowControl/>
        <w:suppressLineNumbers w:val="0"/>
        <w:ind w:left="840"/>
      </w:pPr>
      <w:r>
        <w:rPr>
          <w:rFonts w:hint="eastAsia" w:ascii="宋体" w:hAnsi="宋体" w:eastAsia="宋体" w:cs="宋体"/>
          <w:sz w:val="24"/>
          <w:szCs w:val="24"/>
        </w:rPr>
        <w:t>？</w:t>
      </w:r>
      <w:r>
        <w:rPr>
          <w:rFonts w:hint="default" w:ascii="Times New Roman" w:hAnsi="Times New Roman" w:cs="Times New Roman"/>
          <w:sz w:val="13"/>
          <w:szCs w:val="13"/>
        </w:rPr>
        <w:t xml:space="preserve">  </w:t>
      </w:r>
      <w:r>
        <w:rPr>
          <w:rFonts w:hint="eastAsia" w:ascii="宋体" w:hAnsi="宋体" w:eastAsia="宋体" w:cs="宋体"/>
          <w:sz w:val="24"/>
          <w:szCs w:val="24"/>
        </w:rPr>
        <w:t>观众席要求有良好的语言清晰度和足够的声压级；</w:t>
      </w:r>
    </w:p>
    <w:p>
      <w:pPr>
        <w:pStyle w:val="4"/>
        <w:keepNext w:val="0"/>
        <w:keepLines w:val="0"/>
        <w:widowControl/>
        <w:suppressLineNumbers w:val="0"/>
        <w:ind w:left="840"/>
      </w:pPr>
      <w:r>
        <w:rPr>
          <w:rFonts w:hint="eastAsia" w:ascii="宋体" w:hAnsi="宋体" w:eastAsia="宋体" w:cs="宋体"/>
          <w:sz w:val="24"/>
          <w:szCs w:val="24"/>
        </w:rPr>
        <w:t>？</w:t>
      </w:r>
      <w:r>
        <w:rPr>
          <w:rFonts w:hint="default" w:ascii="Times New Roman" w:hAnsi="Times New Roman" w:cs="Times New Roman"/>
          <w:sz w:val="13"/>
          <w:szCs w:val="13"/>
        </w:rPr>
        <w:t xml:space="preserve">  </w:t>
      </w:r>
      <w:r>
        <w:rPr>
          <w:rFonts w:hint="eastAsia" w:ascii="宋体" w:hAnsi="宋体" w:eastAsia="宋体" w:cs="宋体"/>
          <w:sz w:val="24"/>
          <w:szCs w:val="24"/>
        </w:rPr>
        <w:t>放送音乐时有良好的声重放音质；</w:t>
      </w:r>
    </w:p>
    <w:p>
      <w:pPr>
        <w:pStyle w:val="4"/>
        <w:keepNext w:val="0"/>
        <w:keepLines w:val="0"/>
        <w:widowControl/>
        <w:suppressLineNumbers w:val="0"/>
        <w:ind w:left="840"/>
      </w:pPr>
      <w:r>
        <w:rPr>
          <w:rFonts w:hint="eastAsia" w:ascii="宋体" w:hAnsi="宋体" w:eastAsia="宋体" w:cs="宋体"/>
          <w:sz w:val="24"/>
          <w:szCs w:val="24"/>
        </w:rPr>
        <w:t>？</w:t>
      </w:r>
      <w:r>
        <w:rPr>
          <w:rFonts w:hint="default" w:ascii="Times New Roman" w:hAnsi="Times New Roman" w:cs="Times New Roman"/>
          <w:sz w:val="13"/>
          <w:szCs w:val="13"/>
        </w:rPr>
        <w:t xml:space="preserve">  </w:t>
      </w:r>
      <w:r>
        <w:rPr>
          <w:rFonts w:hint="eastAsia" w:ascii="宋体" w:hAnsi="宋体" w:eastAsia="宋体" w:cs="宋体"/>
          <w:sz w:val="24"/>
          <w:szCs w:val="24"/>
        </w:rPr>
        <w:t>频率响应：20-20KHz范围内0, -3dB；</w:t>
      </w:r>
    </w:p>
    <w:p>
      <w:pPr>
        <w:pStyle w:val="4"/>
        <w:keepNext w:val="0"/>
        <w:keepLines w:val="0"/>
        <w:widowControl/>
        <w:suppressLineNumbers w:val="0"/>
        <w:ind w:left="840"/>
      </w:pPr>
      <w:r>
        <w:rPr>
          <w:rFonts w:hint="eastAsia" w:ascii="宋体" w:hAnsi="宋体" w:eastAsia="宋体" w:cs="宋体"/>
          <w:sz w:val="24"/>
          <w:szCs w:val="24"/>
        </w:rPr>
        <w:t>？</w:t>
      </w:r>
      <w:r>
        <w:rPr>
          <w:rFonts w:hint="default" w:ascii="Times New Roman" w:hAnsi="Times New Roman" w:cs="Times New Roman"/>
          <w:sz w:val="13"/>
          <w:szCs w:val="13"/>
        </w:rPr>
        <w:t xml:space="preserve">  </w:t>
      </w:r>
      <w:r>
        <w:rPr>
          <w:rFonts w:hint="eastAsia" w:ascii="宋体" w:hAnsi="宋体" w:eastAsia="宋体" w:cs="宋体"/>
          <w:sz w:val="24"/>
          <w:szCs w:val="24"/>
        </w:rPr>
        <w:t>总谐波失真：小于1%；</w:t>
      </w:r>
    </w:p>
    <w:p>
      <w:pPr>
        <w:pStyle w:val="4"/>
        <w:keepNext w:val="0"/>
        <w:keepLines w:val="0"/>
        <w:widowControl/>
        <w:suppressLineNumbers w:val="0"/>
        <w:ind w:left="840"/>
      </w:pPr>
      <w:r>
        <w:rPr>
          <w:rFonts w:hint="eastAsia" w:ascii="宋体" w:hAnsi="宋体" w:eastAsia="宋体" w:cs="宋体"/>
          <w:sz w:val="24"/>
          <w:szCs w:val="24"/>
        </w:rPr>
        <w:t>？</w:t>
      </w:r>
      <w:r>
        <w:rPr>
          <w:rFonts w:hint="default" w:ascii="Times New Roman" w:hAnsi="Times New Roman" w:cs="Times New Roman"/>
          <w:sz w:val="13"/>
          <w:szCs w:val="13"/>
        </w:rPr>
        <w:t xml:space="preserve">  </w:t>
      </w:r>
      <w:r>
        <w:rPr>
          <w:rFonts w:hint="eastAsia" w:ascii="宋体" w:hAnsi="宋体" w:eastAsia="宋体" w:cs="宋体"/>
          <w:sz w:val="24"/>
          <w:szCs w:val="24"/>
        </w:rPr>
        <w:t>信噪比：≥ 80 dB。</w:t>
      </w:r>
    </w:p>
    <w:p>
      <w:pPr>
        <w:pStyle w:val="4"/>
        <w:keepNext w:val="0"/>
        <w:keepLines w:val="0"/>
        <w:widowControl/>
        <w:suppressLineNumbers w:val="0"/>
        <w:ind w:left="0" w:firstLine="480"/>
      </w:pPr>
      <w:r>
        <w:rPr>
          <w:rFonts w:hint="eastAsia" w:ascii="宋体" w:hAnsi="宋体" w:eastAsia="宋体" w:cs="宋体"/>
          <w:sz w:val="24"/>
          <w:szCs w:val="24"/>
        </w:rPr>
        <w:t>从扩声系统的配置上，会议厅音频扩声系统具备会议扩声使用功能，需具备足够的声音清晰度、均匀的声场覆盖和准确自然的声像定位，能够满足会议扩声需要。</w:t>
      </w:r>
    </w:p>
    <w:p>
      <w:pPr>
        <w:pStyle w:val="4"/>
        <w:keepNext w:val="0"/>
        <w:keepLines w:val="0"/>
        <w:widowControl/>
        <w:suppressLineNumbers w:val="0"/>
        <w:spacing w:before="165" w:beforeAutospacing="0"/>
        <w:ind w:left="0" w:firstLine="480"/>
      </w:pPr>
      <w:r>
        <w:rPr>
          <w:rStyle w:val="6"/>
          <w:rFonts w:hint="eastAsia" w:ascii="宋体" w:hAnsi="宋体" w:eastAsia="宋体" w:cs="宋体"/>
          <w:b/>
        </w:rPr>
        <w:t>a．系统配置原则</w:t>
      </w:r>
    </w:p>
    <w:p>
      <w:pPr>
        <w:pStyle w:val="4"/>
        <w:keepNext w:val="0"/>
        <w:keepLines w:val="0"/>
        <w:widowControl/>
        <w:suppressLineNumbers w:val="0"/>
        <w:ind w:left="0" w:firstLine="480"/>
      </w:pPr>
      <w:r>
        <w:rPr>
          <w:rFonts w:hint="eastAsia" w:ascii="宋体" w:hAnsi="宋体" w:eastAsia="宋体" w:cs="宋体"/>
          <w:sz w:val="24"/>
          <w:szCs w:val="24"/>
        </w:rPr>
        <w:t>开示室及会议室音频扩声系统主要设备包括扬声器、功率放大器、网络型数字音频处理器和音源设备。</w:t>
      </w:r>
    </w:p>
    <w:p>
      <w:pPr>
        <w:pStyle w:val="4"/>
        <w:keepNext w:val="0"/>
        <w:keepLines w:val="0"/>
        <w:widowControl/>
        <w:suppressLineNumbers w:val="0"/>
        <w:ind w:left="0" w:firstLine="480"/>
      </w:pPr>
      <w:r>
        <w:rPr>
          <w:rFonts w:hint="eastAsia" w:ascii="宋体" w:hAnsi="宋体" w:eastAsia="宋体" w:cs="宋体"/>
          <w:sz w:val="24"/>
          <w:szCs w:val="24"/>
        </w:rPr>
        <w:t>各功能场所音频扩声系统设备</w:t>
      </w:r>
      <w:r>
        <w:rPr>
          <w:rFonts w:hint="default" w:ascii="Calibri" w:hAnsi="Calibri" w:cs="Calibri"/>
          <w:sz w:val="24"/>
          <w:szCs w:val="24"/>
        </w:rPr>
        <w:t xml:space="preserve"> </w:t>
      </w:r>
      <w:r>
        <w:rPr>
          <w:rFonts w:hint="eastAsia" w:ascii="宋体" w:hAnsi="宋体" w:eastAsia="宋体" w:cs="宋体"/>
          <w:sz w:val="24"/>
          <w:szCs w:val="24"/>
        </w:rPr>
        <w:t>选择应以各功能场所的使用功能需求为基础，结合实际建筑布局条件进行；系统配置的原则应遵循尽量应用新技术、系统配置合理、系统运行稳定可靠、操作便捷。</w:t>
      </w:r>
    </w:p>
    <w:p>
      <w:pPr>
        <w:pStyle w:val="4"/>
        <w:keepNext w:val="0"/>
        <w:keepLines w:val="0"/>
        <w:widowControl/>
        <w:suppressLineNumbers w:val="0"/>
        <w:spacing w:before="165" w:beforeAutospacing="0"/>
        <w:ind w:left="0" w:firstLine="480"/>
      </w:pPr>
      <w:r>
        <w:rPr>
          <w:rStyle w:val="6"/>
          <w:rFonts w:hint="eastAsia" w:ascii="宋体" w:hAnsi="宋体" w:eastAsia="宋体" w:cs="宋体"/>
          <w:b/>
        </w:rPr>
        <w:t>b．扬声器选择与布局</w:t>
      </w:r>
    </w:p>
    <w:p>
      <w:pPr>
        <w:pStyle w:val="4"/>
        <w:keepNext w:val="0"/>
        <w:keepLines w:val="0"/>
        <w:widowControl/>
        <w:suppressLineNumbers w:val="0"/>
        <w:ind w:left="0" w:firstLine="480"/>
      </w:pPr>
      <w:r>
        <w:rPr>
          <w:rFonts w:hint="eastAsia" w:ascii="宋体" w:hAnsi="宋体" w:eastAsia="宋体" w:cs="宋体"/>
          <w:sz w:val="24"/>
          <w:szCs w:val="24"/>
        </w:rPr>
        <w:t>扬声器是整个音频系统中的终端声音重放设备，设备</w:t>
      </w:r>
      <w:r>
        <w:rPr>
          <w:rFonts w:hint="default" w:ascii="Calibri" w:hAnsi="Calibri" w:cs="Calibri"/>
          <w:sz w:val="24"/>
          <w:szCs w:val="24"/>
        </w:rPr>
        <w:t xml:space="preserve"> </w:t>
      </w:r>
      <w:r>
        <w:rPr>
          <w:rFonts w:hint="eastAsia" w:ascii="宋体" w:hAnsi="宋体" w:eastAsia="宋体" w:cs="宋体"/>
          <w:sz w:val="24"/>
          <w:szCs w:val="24"/>
        </w:rPr>
        <w:t>选择以及扬声器布局方式对整个系统的最终扩声音质具有较大的影响。扬声器选型和布局以中会议室的使用功能和建筑布局条件为基础进行。</w:t>
      </w:r>
    </w:p>
    <w:p>
      <w:pPr>
        <w:pStyle w:val="4"/>
        <w:keepNext w:val="0"/>
        <w:keepLines w:val="0"/>
        <w:widowControl/>
        <w:suppressLineNumbers w:val="0"/>
        <w:spacing w:before="165" w:beforeAutospacing="0"/>
        <w:ind w:left="0" w:firstLine="480"/>
      </w:pPr>
      <w:r>
        <w:rPr>
          <w:rStyle w:val="6"/>
          <w:rFonts w:hint="eastAsia" w:ascii="宋体" w:hAnsi="宋体" w:eastAsia="宋体" w:cs="宋体"/>
          <w:b/>
        </w:rPr>
        <w:t>c. 整个扬声器系统必须满足以下要求：</w:t>
      </w:r>
    </w:p>
    <w:p>
      <w:pPr>
        <w:pStyle w:val="4"/>
        <w:keepNext w:val="0"/>
        <w:keepLines w:val="0"/>
        <w:widowControl/>
        <w:suppressLineNumbers w:val="0"/>
        <w:spacing w:before="165" w:beforeAutospacing="0"/>
        <w:ind w:left="0" w:firstLine="480"/>
      </w:pPr>
      <w:r>
        <w:rPr>
          <w:rFonts w:hint="eastAsia" w:ascii="宋体" w:hAnsi="宋体" w:eastAsia="宋体" w:cs="宋体"/>
          <w:sz w:val="24"/>
          <w:szCs w:val="24"/>
        </w:rPr>
        <w:t>1、在听音区有足够的声压级，以满足会议厅必须的功能和要求。</w:t>
      </w:r>
    </w:p>
    <w:p>
      <w:pPr>
        <w:pStyle w:val="4"/>
        <w:keepNext w:val="0"/>
        <w:keepLines w:val="0"/>
        <w:widowControl/>
        <w:suppressLineNumbers w:val="0"/>
        <w:spacing w:before="165" w:beforeAutospacing="0"/>
        <w:ind w:left="0" w:firstLine="480"/>
      </w:pPr>
      <w:r>
        <w:rPr>
          <w:rFonts w:hint="eastAsia" w:ascii="宋体" w:hAnsi="宋体" w:eastAsia="宋体" w:cs="宋体"/>
          <w:sz w:val="24"/>
          <w:szCs w:val="24"/>
        </w:rPr>
        <w:t>2、有良好的音质及主观效果，在保证音质的前提下，系统的声学特性指标达到并超过会议厅扩声系统的特性指标要求。</w:t>
      </w:r>
    </w:p>
    <w:p>
      <w:pPr>
        <w:pStyle w:val="4"/>
        <w:keepNext w:val="0"/>
        <w:keepLines w:val="0"/>
        <w:widowControl/>
        <w:suppressLineNumbers w:val="0"/>
        <w:spacing w:before="165" w:beforeAutospacing="0"/>
        <w:ind w:left="0" w:firstLine="480"/>
      </w:pPr>
      <w:r>
        <w:rPr>
          <w:rFonts w:hint="eastAsia" w:ascii="宋体" w:hAnsi="宋体" w:eastAsia="宋体" w:cs="宋体"/>
          <w:sz w:val="24"/>
          <w:szCs w:val="24"/>
        </w:rPr>
        <w:t>3、扩声系统扬声器的安装结构安全、操作方便、维修容易、性能可靠。</w:t>
      </w:r>
    </w:p>
    <w:p>
      <w:pPr>
        <w:pStyle w:val="4"/>
        <w:keepNext w:val="0"/>
        <w:keepLines w:val="0"/>
        <w:widowControl/>
        <w:suppressLineNumbers w:val="0"/>
        <w:spacing w:before="165" w:beforeAutospacing="0" w:after="0" w:afterAutospacing="0"/>
        <w:ind w:left="420" w:right="0"/>
      </w:pPr>
      <w:r>
        <w:rPr>
          <w:rFonts w:hint="eastAsia" w:ascii="宋体" w:hAnsi="宋体" w:eastAsia="宋体" w:cs="宋体"/>
          <w:sz w:val="24"/>
          <w:szCs w:val="24"/>
        </w:rPr>
        <w:t>？</w:t>
      </w:r>
      <w:r>
        <w:rPr>
          <w:rFonts w:hint="default" w:ascii="Times New Roman" w:hAnsi="Times New Roman" w:cs="Times New Roman"/>
          <w:sz w:val="13"/>
          <w:szCs w:val="13"/>
        </w:rPr>
        <w:t xml:space="preserve">  </w:t>
      </w:r>
      <w:r>
        <w:rPr>
          <w:rStyle w:val="6"/>
          <w:rFonts w:hint="eastAsia" w:ascii="宋体" w:hAnsi="宋体" w:eastAsia="宋体" w:cs="宋体"/>
          <w:b/>
        </w:rPr>
        <w:t>全频扬声器</w:t>
      </w:r>
    </w:p>
    <w:p>
      <w:pPr>
        <w:pStyle w:val="4"/>
        <w:keepNext w:val="0"/>
        <w:keepLines w:val="0"/>
        <w:widowControl/>
        <w:suppressLineNumbers w:val="0"/>
        <w:ind w:left="0" w:firstLine="480"/>
      </w:pPr>
      <w:r>
        <w:rPr>
          <w:rFonts w:hint="eastAsia" w:ascii="宋体" w:hAnsi="宋体" w:eastAsia="宋体" w:cs="宋体"/>
          <w:sz w:val="24"/>
          <w:szCs w:val="24"/>
        </w:rPr>
        <w:t>由于会议厅的使用功能以举行会议为主，因此其音频扩声系统需要满足语言扩声扩声功能。音频扩声系统设</w:t>
      </w:r>
      <w:r>
        <w:rPr>
          <w:rFonts w:hint="default" w:ascii="Calibri" w:hAnsi="Calibri" w:cs="Calibri"/>
          <w:sz w:val="24"/>
          <w:szCs w:val="24"/>
        </w:rPr>
        <w:t xml:space="preserve">    </w:t>
      </w:r>
      <w:r>
        <w:rPr>
          <w:rFonts w:hint="eastAsia" w:ascii="宋体" w:hAnsi="宋体" w:eastAsia="宋体" w:cs="宋体"/>
          <w:sz w:val="24"/>
          <w:szCs w:val="24"/>
        </w:rPr>
        <w:t>计的首要目标就是能够为整个观众席提供均匀的声压覆盖和高语言清晰度。针对中会议室的建筑布局条件和使用功能，并经过我们细致的研究并借鉴过往同类工程案例的实际经验，选择了壁挂式扬声器作为全频扩声扬声器。</w:t>
      </w:r>
    </w:p>
    <w:p>
      <w:pPr>
        <w:pStyle w:val="4"/>
        <w:keepNext w:val="0"/>
        <w:keepLines w:val="0"/>
        <w:widowControl/>
        <w:suppressLineNumbers w:val="0"/>
        <w:spacing w:before="165" w:beforeAutospacing="0" w:after="0" w:afterAutospacing="0"/>
        <w:ind w:left="900" w:right="0"/>
      </w:pPr>
      <w:r>
        <w:rPr>
          <w:rFonts w:hint="default" w:ascii="Wingdings" w:hAnsi="Wingdings" w:cs="Wingdings"/>
          <w:sz w:val="24"/>
          <w:szCs w:val="24"/>
        </w:rPr>
        <w:t>n</w:t>
      </w:r>
      <w:r>
        <w:rPr>
          <w:rFonts w:hint="default" w:ascii="Times New Roman" w:hAnsi="Times New Roman" w:cs="Times New Roman"/>
          <w:sz w:val="13"/>
          <w:szCs w:val="13"/>
        </w:rPr>
        <w:t xml:space="preserve">  </w:t>
      </w:r>
      <w:r>
        <w:rPr>
          <w:rStyle w:val="6"/>
          <w:rFonts w:hint="eastAsia" w:ascii="宋体" w:hAnsi="宋体" w:eastAsia="宋体" w:cs="宋体"/>
          <w:b/>
        </w:rPr>
        <w:t>需求和目的</w:t>
      </w:r>
    </w:p>
    <w:p>
      <w:pPr>
        <w:pStyle w:val="4"/>
        <w:keepNext w:val="0"/>
        <w:keepLines w:val="0"/>
        <w:widowControl/>
        <w:suppressLineNumbers w:val="0"/>
        <w:ind w:left="0" w:firstLine="480"/>
      </w:pPr>
      <w:r>
        <w:rPr>
          <w:rFonts w:hint="eastAsia" w:ascii="宋体" w:hAnsi="宋体" w:eastAsia="宋体" w:cs="宋体"/>
          <w:sz w:val="24"/>
          <w:szCs w:val="24"/>
        </w:rPr>
        <w:t>会议室的扩声系统不仅要保证会议时对语言清晰度的要求，还要求会议时对音质的要求。声场要均匀覆盖会场全部区域。会议室应配置一套扬声器系统，满足以下要求：</w:t>
      </w:r>
    </w:p>
    <w:p>
      <w:pPr>
        <w:pStyle w:val="4"/>
        <w:keepNext w:val="0"/>
        <w:keepLines w:val="0"/>
        <w:widowControl/>
        <w:suppressLineNumbers w:val="0"/>
        <w:ind w:left="0" w:firstLine="480"/>
      </w:pPr>
      <w:r>
        <w:rPr>
          <w:rFonts w:hint="default" w:ascii="Calibri" w:hAnsi="Calibri" w:cs="Calibri"/>
          <w:sz w:val="24"/>
          <w:szCs w:val="24"/>
        </w:rPr>
        <w:t>1</w:t>
      </w:r>
      <w:r>
        <w:rPr>
          <w:rFonts w:hint="eastAsia" w:ascii="宋体" w:hAnsi="宋体" w:eastAsia="宋体" w:cs="宋体"/>
          <w:sz w:val="24"/>
          <w:szCs w:val="24"/>
        </w:rPr>
        <w:t>）在会场有足够的声压级，以满足会议室所必须的功能和要求。</w:t>
      </w:r>
    </w:p>
    <w:p>
      <w:pPr>
        <w:pStyle w:val="4"/>
        <w:keepNext w:val="0"/>
        <w:keepLines w:val="0"/>
        <w:widowControl/>
        <w:suppressLineNumbers w:val="0"/>
        <w:ind w:left="0" w:firstLine="480"/>
      </w:pPr>
      <w:r>
        <w:rPr>
          <w:rFonts w:hint="default" w:ascii="Calibri" w:hAnsi="Calibri" w:cs="Calibri"/>
          <w:sz w:val="24"/>
          <w:szCs w:val="24"/>
        </w:rPr>
        <w:t>2</w:t>
      </w:r>
      <w:r>
        <w:rPr>
          <w:rFonts w:hint="eastAsia" w:ascii="宋体" w:hAnsi="宋体" w:eastAsia="宋体" w:cs="宋体"/>
          <w:sz w:val="24"/>
          <w:szCs w:val="24"/>
        </w:rPr>
        <w:t>）有良好的音质及语言清晰度，在保证音质的前提下，系统的声学特性指标达到并超过会议室扩声系统的特性指标要求。</w:t>
      </w:r>
    </w:p>
    <w:p>
      <w:pPr>
        <w:pStyle w:val="4"/>
        <w:keepNext w:val="0"/>
        <w:keepLines w:val="0"/>
        <w:widowControl/>
        <w:suppressLineNumbers w:val="0"/>
        <w:ind w:left="0" w:firstLine="480"/>
      </w:pPr>
      <w:r>
        <w:rPr>
          <w:rFonts w:hint="default" w:ascii="Calibri" w:hAnsi="Calibri" w:cs="Calibri"/>
          <w:sz w:val="24"/>
          <w:szCs w:val="24"/>
        </w:rPr>
        <w:t>3</w:t>
      </w:r>
      <w:r>
        <w:rPr>
          <w:rFonts w:hint="eastAsia" w:ascii="宋体" w:hAnsi="宋体" w:eastAsia="宋体" w:cs="宋体"/>
          <w:sz w:val="24"/>
          <w:szCs w:val="24"/>
        </w:rPr>
        <w:t>）扩声系统扬声器的安装结构安全、操作方便、维修容易、性能可靠，与装修结构配合完美，达到与装修一致的效果。</w:t>
      </w:r>
      <w:r>
        <w:rPr>
          <w:rStyle w:val="6"/>
          <w:rFonts w:hint="eastAsia" w:ascii="宋体" w:hAnsi="宋体" w:eastAsia="宋体" w:cs="宋体"/>
          <w:b/>
        </w:rPr>
        <w:t>数字音频处理矩阵</w:t>
      </w:r>
    </w:p>
    <w:p>
      <w:pPr>
        <w:pStyle w:val="4"/>
        <w:keepNext w:val="0"/>
        <w:keepLines w:val="0"/>
        <w:widowControl/>
        <w:suppressLineNumbers w:val="0"/>
        <w:spacing w:before="165" w:beforeAutospacing="0"/>
        <w:ind w:left="0" w:firstLine="480"/>
      </w:pPr>
      <w:r>
        <w:rPr>
          <w:rStyle w:val="6"/>
          <w:rFonts w:hint="eastAsia" w:ascii="宋体" w:hAnsi="宋体" w:eastAsia="宋体" w:cs="宋体"/>
          <w:b/>
        </w:rPr>
        <w:t>1)、需求和目的</w:t>
      </w:r>
    </w:p>
    <w:p>
      <w:pPr>
        <w:pStyle w:val="4"/>
        <w:keepNext w:val="0"/>
        <w:keepLines w:val="0"/>
        <w:widowControl/>
        <w:suppressLineNumbers w:val="0"/>
        <w:ind w:left="0" w:firstLine="480"/>
      </w:pPr>
      <w:r>
        <w:rPr>
          <w:rFonts w:hint="eastAsia" w:ascii="宋体" w:hAnsi="宋体" w:eastAsia="宋体" w:cs="宋体"/>
          <w:sz w:val="24"/>
          <w:szCs w:val="24"/>
        </w:rPr>
        <w:t>数字系统控制器作为整个会议室音频系统的信号处理中心，需要采用集增益、均衡、压限、分频等功能于一体的信号处理器。数字系统控制器需通过外接计算机遥控，操作界面为标准</w:t>
      </w:r>
      <w:r>
        <w:rPr>
          <w:rFonts w:hint="default" w:ascii="Calibri" w:hAnsi="Calibri" w:cs="Calibri"/>
          <w:sz w:val="24"/>
          <w:szCs w:val="24"/>
        </w:rPr>
        <w:t>Windows</w:t>
      </w:r>
      <w:r>
        <w:rPr>
          <w:rFonts w:hint="eastAsia" w:ascii="宋体" w:hAnsi="宋体" w:eastAsia="宋体" w:cs="宋体"/>
          <w:sz w:val="24"/>
          <w:szCs w:val="24"/>
        </w:rPr>
        <w:t>软件界面，用户界面友好。</w:t>
      </w:r>
    </w:p>
    <w:p>
      <w:pPr>
        <w:pStyle w:val="4"/>
        <w:keepNext w:val="0"/>
        <w:keepLines w:val="0"/>
        <w:widowControl/>
        <w:suppressLineNumbers w:val="0"/>
        <w:spacing w:before="165" w:beforeAutospacing="0"/>
        <w:ind w:left="0" w:firstLine="480"/>
      </w:pPr>
      <w:r>
        <w:rPr>
          <w:rStyle w:val="6"/>
          <w:rFonts w:hint="eastAsia" w:ascii="宋体" w:hAnsi="宋体" w:eastAsia="宋体" w:cs="宋体"/>
          <w:b/>
        </w:rPr>
        <w:t>2)、解决途径</w:t>
      </w:r>
    </w:p>
    <w:p>
      <w:pPr>
        <w:pStyle w:val="4"/>
        <w:keepNext w:val="0"/>
        <w:keepLines w:val="0"/>
        <w:widowControl/>
        <w:suppressLineNumbers w:val="0"/>
        <w:ind w:left="0" w:firstLine="480"/>
      </w:pPr>
      <w:r>
        <w:rPr>
          <w:rFonts w:hint="eastAsia" w:ascii="宋体" w:hAnsi="宋体" w:eastAsia="宋体" w:cs="宋体"/>
          <w:sz w:val="24"/>
          <w:szCs w:val="24"/>
        </w:rPr>
        <w:t>采用新型网络信号处理器，有多路输入（部分数字输入、部分模拟输入），多路输出，并通过网络线组成矩阵系统。</w:t>
      </w:r>
    </w:p>
    <w:p>
      <w:pPr>
        <w:pStyle w:val="4"/>
        <w:keepNext w:val="0"/>
        <w:keepLines w:val="0"/>
        <w:widowControl/>
        <w:suppressLineNumbers w:val="0"/>
        <w:ind w:left="0" w:firstLine="480"/>
      </w:pPr>
      <w:r>
        <w:rPr>
          <w:rFonts w:hint="eastAsia" w:ascii="宋体" w:hAnsi="宋体" w:eastAsia="宋体" w:cs="宋体"/>
          <w:sz w:val="24"/>
          <w:szCs w:val="24"/>
        </w:rPr>
        <w:t>数字音频矩阵处理器由若干相对独立的控制器组成，每台控制器有多通道的模拟输入输出和音频网络接口及控制网络接口，基本取消了以往传统模拟系统里形式各样、使用复杂的各种处理设备，由于采用了数字</w:t>
      </w:r>
      <w:r>
        <w:rPr>
          <w:rFonts w:hint="default" w:ascii="Calibri" w:hAnsi="Calibri" w:cs="Calibri"/>
          <w:sz w:val="24"/>
          <w:szCs w:val="24"/>
        </w:rPr>
        <w:t>DSP</w:t>
      </w:r>
      <w:r>
        <w:rPr>
          <w:rFonts w:hint="eastAsia" w:ascii="宋体" w:hAnsi="宋体" w:eastAsia="宋体" w:cs="宋体"/>
          <w:sz w:val="24"/>
          <w:szCs w:val="24"/>
        </w:rPr>
        <w:t>技术，减少了繁复的接线，整个系统组成更加简洁、可靠。</w:t>
      </w:r>
    </w:p>
    <w:p>
      <w:pPr>
        <w:pStyle w:val="4"/>
        <w:keepNext w:val="0"/>
        <w:keepLines w:val="0"/>
        <w:widowControl/>
        <w:suppressLineNumbers w:val="0"/>
        <w:ind w:left="0" w:firstLine="480"/>
      </w:pPr>
      <w:r>
        <w:rPr>
          <w:rFonts w:hint="eastAsia" w:ascii="宋体" w:hAnsi="宋体" w:eastAsia="宋体" w:cs="宋体"/>
          <w:sz w:val="24"/>
          <w:szCs w:val="24"/>
        </w:rPr>
        <w:t>传声器信号直接进入数字系统控制器。采用自动调音方式，传声器信号经过放大及调整，最后经混合后直接进入功率放大器。</w:t>
      </w:r>
    </w:p>
    <w:p>
      <w:pPr>
        <w:pStyle w:val="4"/>
        <w:keepNext w:val="0"/>
        <w:keepLines w:val="0"/>
        <w:widowControl/>
        <w:suppressLineNumbers w:val="0"/>
        <w:ind w:left="0" w:firstLine="480"/>
      </w:pPr>
      <w:r>
        <w:rPr>
          <w:rFonts w:hint="eastAsia" w:ascii="宋体" w:hAnsi="宋体" w:eastAsia="宋体" w:cs="宋体"/>
          <w:sz w:val="24"/>
          <w:szCs w:val="24"/>
        </w:rPr>
        <w:t>操作人员可对系统的设置及调节均十分便利、迅速。操作人员可在任一控制点通过网络接口对系统作远程操控。</w:t>
      </w:r>
    </w:p>
    <w:p>
      <w:pPr>
        <w:pStyle w:val="4"/>
        <w:keepNext w:val="0"/>
        <w:keepLines w:val="0"/>
        <w:widowControl/>
        <w:suppressLineNumbers w:val="0"/>
        <w:spacing w:before="165" w:beforeAutospacing="0" w:after="0" w:afterAutospacing="0"/>
        <w:ind w:left="840" w:right="0"/>
      </w:pPr>
      <w:r>
        <w:rPr>
          <w:rFonts w:hint="eastAsia" w:ascii="宋体" w:hAnsi="宋体" w:eastAsia="宋体" w:cs="宋体"/>
          <w:sz w:val="24"/>
          <w:szCs w:val="24"/>
        </w:rPr>
        <w:t>？</w:t>
      </w:r>
      <w:r>
        <w:rPr>
          <w:rFonts w:hint="default" w:ascii="Times New Roman" w:hAnsi="Times New Roman" w:cs="Times New Roman"/>
          <w:sz w:val="13"/>
          <w:szCs w:val="13"/>
        </w:rPr>
        <w:t xml:space="preserve">  </w:t>
      </w:r>
      <w:r>
        <w:rPr>
          <w:rStyle w:val="6"/>
          <w:rFonts w:hint="eastAsia" w:ascii="宋体" w:hAnsi="宋体" w:eastAsia="宋体" w:cs="宋体"/>
          <w:b/>
        </w:rPr>
        <w:t>功放</w:t>
      </w:r>
    </w:p>
    <w:p>
      <w:pPr>
        <w:pStyle w:val="4"/>
        <w:keepNext w:val="0"/>
        <w:keepLines w:val="0"/>
        <w:widowControl/>
        <w:suppressLineNumbers w:val="0"/>
        <w:spacing w:before="165" w:beforeAutospacing="0"/>
        <w:ind w:left="0" w:firstLine="480"/>
      </w:pPr>
      <w:r>
        <w:rPr>
          <w:rStyle w:val="6"/>
          <w:rFonts w:hint="eastAsia" w:ascii="宋体" w:hAnsi="宋体" w:eastAsia="宋体" w:cs="宋体"/>
          <w:b/>
        </w:rPr>
        <w:t>1）、需求和目的</w:t>
      </w:r>
    </w:p>
    <w:p>
      <w:pPr>
        <w:pStyle w:val="4"/>
        <w:keepNext w:val="0"/>
        <w:keepLines w:val="0"/>
        <w:widowControl/>
        <w:suppressLineNumbers w:val="0"/>
        <w:ind w:left="0" w:firstLine="480"/>
      </w:pPr>
      <w:r>
        <w:rPr>
          <w:rFonts w:hint="eastAsia" w:ascii="宋体" w:hAnsi="宋体" w:eastAsia="宋体" w:cs="宋体"/>
          <w:sz w:val="24"/>
          <w:szCs w:val="24"/>
        </w:rPr>
        <w:t>一套功放系统，一般是由功率放大器与扬声器系统共同组成，而其系统的性能好坏，与二者之间的匹配设</w:t>
      </w:r>
      <w:r>
        <w:rPr>
          <w:rFonts w:hint="default" w:ascii="Calibri" w:hAnsi="Calibri" w:cs="Calibri"/>
          <w:sz w:val="24"/>
          <w:szCs w:val="24"/>
        </w:rPr>
        <w:t xml:space="preserve">    </w:t>
      </w:r>
      <w:r>
        <w:rPr>
          <w:rFonts w:hint="eastAsia" w:ascii="宋体" w:hAnsi="宋体" w:eastAsia="宋体" w:cs="宋体"/>
          <w:sz w:val="24"/>
          <w:szCs w:val="24"/>
        </w:rPr>
        <w:t>计有很大的关系。从理论上讲，功率放大器选配要满足阻抗匹配、功率匹配。鉴于小会议室机柜是隐藏安装在一个相对封闭的空间里，所以功放要具备重量轻，体积小，散热量低的特点。</w:t>
      </w:r>
    </w:p>
    <w:p>
      <w:pPr>
        <w:pStyle w:val="4"/>
        <w:keepNext w:val="0"/>
        <w:keepLines w:val="0"/>
        <w:widowControl/>
        <w:suppressLineNumbers w:val="0"/>
        <w:spacing w:before="165" w:beforeAutospacing="0"/>
        <w:ind w:left="0" w:firstLine="480"/>
      </w:pPr>
      <w:r>
        <w:rPr>
          <w:rStyle w:val="6"/>
          <w:rFonts w:hint="eastAsia" w:ascii="宋体" w:hAnsi="宋体" w:eastAsia="宋体" w:cs="宋体"/>
          <w:b/>
        </w:rPr>
        <w:t>2）、解决途径</w:t>
      </w:r>
    </w:p>
    <w:p>
      <w:pPr>
        <w:pStyle w:val="4"/>
        <w:keepNext w:val="0"/>
        <w:keepLines w:val="0"/>
        <w:widowControl/>
        <w:suppressLineNumbers w:val="0"/>
        <w:ind w:left="0" w:firstLine="480"/>
      </w:pPr>
      <w:r>
        <w:rPr>
          <w:rFonts w:hint="eastAsia" w:ascii="宋体" w:hAnsi="宋体" w:eastAsia="宋体" w:cs="宋体"/>
          <w:sz w:val="24"/>
          <w:szCs w:val="24"/>
        </w:rPr>
        <w:t>选择专业功率放大器，保护电路设</w:t>
      </w:r>
      <w:r>
        <w:rPr>
          <w:rFonts w:hint="default" w:ascii="Calibri" w:hAnsi="Calibri" w:cs="Calibri"/>
          <w:sz w:val="24"/>
          <w:szCs w:val="24"/>
        </w:rPr>
        <w:t xml:space="preserve">    </w:t>
      </w:r>
      <w:r>
        <w:rPr>
          <w:rFonts w:hint="eastAsia" w:ascii="宋体" w:hAnsi="宋体" w:eastAsia="宋体" w:cs="宋体"/>
          <w:sz w:val="24"/>
          <w:szCs w:val="24"/>
        </w:rPr>
        <w:t>计周密，可靠性强，可长时间处于满负荷工作状态，连续工作也不会导致设备损坏。并且专业功率放大器抗过载能力好，可以在较差的环境条件下工作。</w:t>
      </w:r>
    </w:p>
    <w:p>
      <w:pPr>
        <w:pStyle w:val="4"/>
        <w:keepNext w:val="0"/>
        <w:keepLines w:val="0"/>
        <w:widowControl/>
        <w:suppressLineNumbers w:val="0"/>
        <w:spacing w:before="165" w:beforeAutospacing="0"/>
        <w:ind w:left="0" w:firstLine="480"/>
      </w:pPr>
      <w:r>
        <w:rPr>
          <w:rStyle w:val="6"/>
          <w:rFonts w:hint="eastAsia" w:ascii="宋体" w:hAnsi="宋体" w:eastAsia="宋体" w:cs="宋体"/>
          <w:b/>
        </w:rPr>
        <w:t>3）、设备 选型</w:t>
      </w:r>
    </w:p>
    <w:p>
      <w:pPr>
        <w:pStyle w:val="4"/>
        <w:keepNext w:val="0"/>
        <w:keepLines w:val="0"/>
        <w:widowControl/>
        <w:suppressLineNumbers w:val="0"/>
        <w:spacing w:before="165" w:beforeAutospacing="0" w:after="0" w:afterAutospacing="0"/>
        <w:ind w:left="900" w:right="0"/>
      </w:pPr>
      <w:r>
        <w:rPr>
          <w:rFonts w:hint="default" w:ascii="Wingdings" w:hAnsi="Wingdings" w:cs="Wingdings"/>
          <w:sz w:val="24"/>
          <w:szCs w:val="24"/>
        </w:rPr>
        <w:t>n</w:t>
      </w:r>
      <w:r>
        <w:rPr>
          <w:rFonts w:hint="default" w:ascii="Times New Roman" w:hAnsi="Times New Roman" w:cs="Times New Roman"/>
          <w:sz w:val="13"/>
          <w:szCs w:val="13"/>
        </w:rPr>
        <w:t xml:space="preserve">  </w:t>
      </w:r>
      <w:r>
        <w:rPr>
          <w:rStyle w:val="6"/>
          <w:rFonts w:hint="eastAsia" w:ascii="宋体" w:hAnsi="宋体" w:eastAsia="宋体" w:cs="宋体"/>
          <w:b/>
        </w:rPr>
        <w:t>数字自动反馈消除器</w:t>
      </w:r>
    </w:p>
    <w:p>
      <w:pPr>
        <w:pStyle w:val="4"/>
        <w:keepNext w:val="0"/>
        <w:keepLines w:val="0"/>
        <w:widowControl/>
        <w:suppressLineNumbers w:val="0"/>
        <w:ind w:left="0" w:firstLine="480"/>
      </w:pPr>
      <w:r>
        <w:rPr>
          <w:rFonts w:hint="eastAsia" w:ascii="宋体" w:hAnsi="宋体" w:eastAsia="宋体" w:cs="宋体"/>
          <w:sz w:val="24"/>
          <w:szCs w:val="24"/>
        </w:rPr>
        <w:t>数字自动反馈消除器其采用高速浮点数字音频处理器，和最先进的子带</w:t>
      </w:r>
      <w:r>
        <w:rPr>
          <w:rFonts w:hint="default" w:ascii="Calibri" w:hAnsi="Calibri" w:cs="Calibri"/>
          <w:sz w:val="24"/>
          <w:szCs w:val="24"/>
        </w:rPr>
        <w:t xml:space="preserve">(Sub-Band) </w:t>
      </w:r>
      <w:r>
        <w:rPr>
          <w:rFonts w:hint="eastAsia" w:ascii="宋体" w:hAnsi="宋体" w:eastAsia="宋体" w:cs="宋体"/>
          <w:sz w:val="24"/>
          <w:szCs w:val="24"/>
        </w:rPr>
        <w:t>回声消除</w:t>
      </w:r>
      <w:r>
        <w:rPr>
          <w:rFonts w:hint="default" w:ascii="Calibri" w:hAnsi="Calibri" w:cs="Calibri"/>
          <w:sz w:val="24"/>
          <w:szCs w:val="24"/>
        </w:rPr>
        <w:t xml:space="preserve">(EchoCancellation) </w:t>
      </w:r>
      <w:r>
        <w:rPr>
          <w:rFonts w:hint="eastAsia" w:ascii="宋体" w:hAnsi="宋体" w:eastAsia="宋体" w:cs="宋体"/>
          <w:sz w:val="24"/>
          <w:szCs w:val="24"/>
        </w:rPr>
        <w:t>技术，可完全消除回声，同时让现场音频精准实时送出，做到真正任何时刻的全双工系统智能电平控制技术，可以获得到清晰、持续的、信号电平无明显波动的语音信号，内置自适应动态噪声滤波器，可滤掉现场环境的背景噪声但不影响语音信号高质量的传送，具有区分加强信号和轻柔信号的能力，保持对话声调的连贯和让话音易于听清楚，维持听感上的舒适性。</w:t>
      </w:r>
    </w:p>
    <w:p>
      <w:pPr>
        <w:pStyle w:val="4"/>
        <w:keepNext w:val="0"/>
        <w:keepLines w:val="0"/>
        <w:widowControl/>
        <w:suppressLineNumbers w:val="0"/>
        <w:spacing w:before="165" w:beforeAutospacing="0" w:after="0" w:afterAutospacing="0"/>
        <w:ind w:left="900" w:right="0"/>
      </w:pPr>
      <w:r>
        <w:rPr>
          <w:rFonts w:hint="default" w:ascii="Wingdings" w:hAnsi="Wingdings" w:cs="Wingdings"/>
          <w:sz w:val="24"/>
          <w:szCs w:val="24"/>
        </w:rPr>
        <w:t>n</w:t>
      </w:r>
      <w:r>
        <w:rPr>
          <w:rFonts w:hint="default" w:ascii="Times New Roman" w:hAnsi="Times New Roman" w:cs="Times New Roman"/>
          <w:sz w:val="13"/>
          <w:szCs w:val="13"/>
        </w:rPr>
        <w:t xml:space="preserve">  </w:t>
      </w:r>
      <w:r>
        <w:rPr>
          <w:rStyle w:val="6"/>
          <w:rFonts w:hint="eastAsia" w:ascii="宋体" w:hAnsi="宋体" w:eastAsia="宋体" w:cs="宋体"/>
          <w:b/>
        </w:rPr>
        <w:t>有线及无线传声器</w:t>
      </w:r>
    </w:p>
    <w:p>
      <w:pPr>
        <w:pStyle w:val="4"/>
        <w:keepNext w:val="0"/>
        <w:keepLines w:val="0"/>
        <w:widowControl/>
        <w:suppressLineNumbers w:val="0"/>
        <w:ind w:left="0" w:firstLine="480"/>
      </w:pPr>
      <w:r>
        <w:rPr>
          <w:rFonts w:hint="eastAsia" w:ascii="宋体" w:hAnsi="宋体" w:eastAsia="宋体" w:cs="宋体"/>
          <w:sz w:val="24"/>
          <w:szCs w:val="24"/>
        </w:rPr>
        <w:t>为满足会议和视频会议使用需要，方案中配置了会议鹅颈话筒，无线手持话筒、无线领夹话筒和无线头戴话筒，能够满足会议和视频会议使用需要。</w:t>
      </w:r>
    </w:p>
    <w:p>
      <w:pPr>
        <w:pStyle w:val="4"/>
        <w:keepNext w:val="0"/>
        <w:keepLines w:val="0"/>
        <w:widowControl/>
        <w:suppressLineNumbers w:val="0"/>
        <w:spacing w:before="165" w:beforeAutospacing="0" w:after="0" w:afterAutospacing="0"/>
        <w:ind w:left="840" w:right="0"/>
      </w:pPr>
      <w:r>
        <w:rPr>
          <w:rFonts w:hint="eastAsia" w:ascii="宋体" w:hAnsi="宋体" w:eastAsia="宋体" w:cs="宋体"/>
          <w:sz w:val="24"/>
          <w:szCs w:val="24"/>
        </w:rPr>
        <w:t>？</w:t>
      </w:r>
      <w:r>
        <w:rPr>
          <w:rFonts w:hint="default" w:ascii="Times New Roman" w:hAnsi="Times New Roman" w:cs="Times New Roman"/>
          <w:sz w:val="13"/>
          <w:szCs w:val="13"/>
        </w:rPr>
        <w:t xml:space="preserve">  </w:t>
      </w:r>
      <w:r>
        <w:rPr>
          <w:rStyle w:val="6"/>
          <w:rFonts w:hint="eastAsia" w:ascii="宋体" w:hAnsi="宋体" w:eastAsia="宋体" w:cs="宋体"/>
          <w:b/>
        </w:rPr>
        <w:t>信号流程</w:t>
      </w:r>
    </w:p>
    <w:p>
      <w:pPr>
        <w:pStyle w:val="4"/>
        <w:keepNext w:val="0"/>
        <w:keepLines w:val="0"/>
        <w:widowControl/>
        <w:suppressLineNumbers w:val="0"/>
        <w:spacing w:before="165" w:beforeAutospacing="0"/>
        <w:ind w:left="0" w:firstLine="480"/>
      </w:pPr>
      <w:r>
        <w:rPr>
          <w:rStyle w:val="6"/>
          <w:rFonts w:hint="eastAsia" w:ascii="宋体" w:hAnsi="宋体" w:eastAsia="宋体" w:cs="宋体"/>
          <w:b/>
        </w:rPr>
        <w:t>信号处理及系统控制</w:t>
      </w:r>
    </w:p>
    <w:p>
      <w:pPr>
        <w:pStyle w:val="4"/>
        <w:keepNext w:val="0"/>
        <w:keepLines w:val="0"/>
        <w:widowControl/>
        <w:suppressLineNumbers w:val="0"/>
        <w:ind w:left="0" w:firstLine="480"/>
      </w:pPr>
      <w:r>
        <w:rPr>
          <w:rFonts w:hint="eastAsia" w:ascii="宋体" w:hAnsi="宋体" w:eastAsia="宋体" w:cs="宋体"/>
          <w:sz w:val="24"/>
          <w:szCs w:val="24"/>
        </w:rPr>
        <w:t>鹅颈话筒输出到混音台和</w:t>
      </w:r>
      <w:r>
        <w:rPr>
          <w:rFonts w:hint="default" w:ascii="Calibri" w:hAnsi="Calibri" w:cs="Calibri"/>
          <w:sz w:val="24"/>
          <w:szCs w:val="24"/>
        </w:rPr>
        <w:t>DVD</w:t>
      </w:r>
      <w:r>
        <w:rPr>
          <w:rFonts w:hint="eastAsia" w:ascii="宋体" w:hAnsi="宋体" w:eastAsia="宋体" w:cs="宋体"/>
          <w:sz w:val="24"/>
          <w:szCs w:val="24"/>
        </w:rPr>
        <w:t>播放器输出的声音信号首先发送至数字音频处理器完成整个声场处理工作。</w:t>
      </w:r>
    </w:p>
    <w:p>
      <w:pPr>
        <w:pStyle w:val="4"/>
        <w:keepNext w:val="0"/>
        <w:keepLines w:val="0"/>
        <w:widowControl/>
        <w:suppressLineNumbers w:val="0"/>
        <w:ind w:left="0" w:firstLine="480"/>
      </w:pPr>
      <w:r>
        <w:rPr>
          <w:rFonts w:hint="eastAsia" w:ascii="宋体" w:hAnsi="宋体" w:eastAsia="宋体" w:cs="宋体"/>
          <w:sz w:val="24"/>
          <w:szCs w:val="24"/>
        </w:rPr>
        <w:t>经过数字音频处理矩阵处理后的信号发送至相应的功率放大器驱动扩声扬声器。</w:t>
      </w:r>
    </w:p>
    <w:p>
      <w:pPr>
        <w:pStyle w:val="4"/>
        <w:keepNext w:val="0"/>
        <w:keepLines w:val="0"/>
        <w:widowControl/>
        <w:suppressLineNumbers w:val="0"/>
        <w:ind w:left="0" w:firstLine="480"/>
      </w:pPr>
      <w:r>
        <w:rPr>
          <w:rFonts w:hint="eastAsia" w:ascii="宋体" w:hAnsi="宋体" w:eastAsia="宋体" w:cs="宋体"/>
          <w:sz w:val="24"/>
          <w:szCs w:val="24"/>
        </w:rPr>
        <w:t>音箱能满足会场语言扩声清晰度和足够的声压级，同时提供很好的音质效果。</w:t>
      </w:r>
    </w:p>
    <w:p>
      <w:pPr>
        <w:pStyle w:val="4"/>
        <w:keepNext w:val="0"/>
        <w:keepLines w:val="0"/>
        <w:widowControl/>
        <w:suppressLineNumbers w:val="0"/>
        <w:ind w:left="0" w:firstLine="0"/>
      </w:pPr>
      <w:r>
        <w:rPr>
          <w:rFonts w:hint="eastAsia" w:ascii="宋体" w:hAnsi="宋体" w:eastAsia="宋体" w:cs="宋体"/>
          <w:sz w:val="24"/>
          <w:szCs w:val="24"/>
        </w:rPr>
        <w:t>1.7.11 会议发言系统</w:t>
      </w:r>
    </w:p>
    <w:p>
      <w:pPr>
        <w:pStyle w:val="4"/>
        <w:keepNext w:val="0"/>
        <w:keepLines w:val="0"/>
        <w:widowControl/>
        <w:suppressLineNumbers w:val="0"/>
        <w:ind w:left="0" w:firstLine="480"/>
      </w:pPr>
      <w:r>
        <w:rPr>
          <w:rFonts w:hint="eastAsia" w:ascii="宋体" w:hAnsi="宋体" w:eastAsia="宋体" w:cs="宋体"/>
          <w:sz w:val="24"/>
          <w:szCs w:val="24"/>
        </w:rPr>
        <w:t>会议发言采用混音台架构，由数字混音台和多只鹅颈会议话筒组成；并配置</w:t>
      </w:r>
      <w:r>
        <w:rPr>
          <w:rFonts w:hint="default" w:ascii="Calibri" w:hAnsi="Calibri" w:cs="Calibri"/>
          <w:sz w:val="24"/>
          <w:szCs w:val="24"/>
        </w:rPr>
        <w:t>1</w:t>
      </w:r>
      <w:r>
        <w:rPr>
          <w:rFonts w:hint="eastAsia" w:ascii="宋体" w:hAnsi="宋体" w:eastAsia="宋体" w:cs="宋体"/>
          <w:sz w:val="24"/>
          <w:szCs w:val="24"/>
        </w:rPr>
        <w:t>套手持无线话筒。</w:t>
      </w:r>
    </w:p>
    <w:p>
      <w:pPr>
        <w:pStyle w:val="4"/>
        <w:keepNext w:val="0"/>
        <w:keepLines w:val="0"/>
        <w:widowControl/>
        <w:suppressLineNumbers w:val="0"/>
        <w:ind w:left="0" w:firstLine="0"/>
      </w:pPr>
      <w:r>
        <w:rPr>
          <w:rFonts w:hint="eastAsia" w:ascii="宋体" w:hAnsi="宋体" w:eastAsia="宋体" w:cs="宋体"/>
          <w:color w:val="000000"/>
          <w:sz w:val="24"/>
          <w:szCs w:val="24"/>
        </w:rPr>
        <w:t>1.8</w:t>
      </w:r>
      <w:r>
        <w:rPr>
          <w:rFonts w:hint="default" w:ascii="Times New Roman" w:hAnsi="Times New Roman" w:cs="Times New Roman"/>
          <w:color w:val="000000"/>
          <w:sz w:val="13"/>
          <w:szCs w:val="13"/>
        </w:rPr>
        <w:t xml:space="preserve">  </w:t>
      </w:r>
      <w:r>
        <w:rPr>
          <w:rStyle w:val="6"/>
          <w:rFonts w:hint="eastAsia" w:ascii="宋体" w:hAnsi="宋体" w:eastAsia="宋体" w:cs="宋体"/>
          <w:b/>
          <w:color w:val="000000"/>
        </w:rPr>
        <w:t>公共资源交易中心监控系统设 计</w:t>
      </w:r>
    </w:p>
    <w:p>
      <w:pPr>
        <w:pStyle w:val="4"/>
        <w:keepNext w:val="0"/>
        <w:keepLines w:val="0"/>
        <w:widowControl/>
        <w:suppressLineNumbers w:val="0"/>
        <w:ind w:left="0" w:firstLine="0"/>
      </w:pPr>
      <w:r>
        <w:rPr>
          <w:rFonts w:hint="eastAsia" w:ascii="宋体" w:hAnsi="宋体" w:eastAsia="宋体" w:cs="宋体"/>
          <w:sz w:val="24"/>
          <w:szCs w:val="24"/>
        </w:rPr>
        <w:t>1.8.1</w:t>
      </w:r>
      <w:r>
        <w:rPr>
          <w:rFonts w:hint="default" w:ascii="Times New Roman" w:hAnsi="Times New Roman" w:cs="Times New Roman"/>
          <w:sz w:val="13"/>
          <w:szCs w:val="13"/>
        </w:rPr>
        <w:t xml:space="preserve">   </w:t>
      </w:r>
      <w:r>
        <w:rPr>
          <w:rFonts w:hint="eastAsia" w:ascii="宋体" w:hAnsi="宋体" w:eastAsia="宋体" w:cs="宋体"/>
          <w:sz w:val="24"/>
          <w:szCs w:val="24"/>
        </w:rPr>
        <w:t>系统概述</w:t>
      </w:r>
    </w:p>
    <w:p>
      <w:pPr>
        <w:pStyle w:val="4"/>
        <w:keepNext w:val="0"/>
        <w:keepLines w:val="0"/>
        <w:widowControl/>
        <w:suppressLineNumbers w:val="0"/>
        <w:ind w:left="0" w:firstLine="480"/>
      </w:pPr>
      <w:r>
        <w:rPr>
          <w:rFonts w:hint="eastAsia" w:ascii="宋体" w:hAnsi="宋体" w:eastAsia="宋体" w:cs="宋体"/>
          <w:sz w:val="24"/>
          <w:szCs w:val="24"/>
        </w:rPr>
        <w:t>音视频监控作为一项先进的高科技防范手段，为了增强安全防范能力，节约人力，提高工作效率，降低保安人员的劳动强度。</w:t>
      </w:r>
    </w:p>
    <w:p>
      <w:pPr>
        <w:pStyle w:val="4"/>
        <w:keepNext w:val="0"/>
        <w:keepLines w:val="0"/>
        <w:widowControl/>
        <w:suppressLineNumbers w:val="0"/>
        <w:ind w:left="0" w:firstLine="480"/>
      </w:pPr>
      <w:r>
        <w:rPr>
          <w:rFonts w:hint="eastAsia" w:ascii="宋体" w:hAnsi="宋体" w:eastAsia="宋体" w:cs="宋体"/>
          <w:sz w:val="24"/>
          <w:szCs w:val="24"/>
        </w:rPr>
        <w:t>行政服务中心规划了公共交易开评标业务区域，鉴于开评标业务的保密性、公平性、安全性的要求，项目规划建立一套音视频监控系统。通过系统可对开评标业务进行实时监控， 保证业务的依法进行、同时实现对周边区域的安全监控，及时处理现场各种突发事件。通过后台监控系统对实时视频图像进行分析和判断，对各类突发性事件进行录像或抓拍取证，提供法律证据。</w:t>
      </w:r>
    </w:p>
    <w:p>
      <w:pPr>
        <w:pStyle w:val="4"/>
        <w:keepNext w:val="0"/>
        <w:keepLines w:val="0"/>
        <w:widowControl/>
        <w:suppressLineNumbers w:val="0"/>
        <w:jc w:val="left"/>
      </w:pPr>
      <w:r>
        <w:rPr>
          <w:rFonts w:hint="eastAsia" w:ascii="宋体" w:hAnsi="宋体" w:eastAsia="宋体" w:cs="宋体"/>
          <w:sz w:val="24"/>
          <w:szCs w:val="24"/>
        </w:rPr>
        <w:t>    根据公共资源交易中心的需要，从项目的具体实际出发，建立一套以数字压缩及网络传输</w:t>
      </w:r>
      <w:r>
        <w:rPr>
          <w:rFonts w:hint="eastAsia" w:ascii="宋体" w:hAnsi="宋体" w:eastAsia="宋体" w:cs="宋体"/>
          <w:sz w:val="24"/>
          <w:szCs w:val="24"/>
          <w:lang w:val="en-US" w:eastAsia="zh-Hans"/>
        </w:rPr>
        <w:t>技术</w:t>
      </w:r>
      <w:r>
        <w:rPr>
          <w:rFonts w:hint="eastAsia" w:ascii="宋体" w:hAnsi="宋体" w:eastAsia="宋体" w:cs="宋体"/>
          <w:sz w:val="24"/>
          <w:szCs w:val="24"/>
        </w:rPr>
        <w:t>为核心，采用目前成熟的视频数字化</w:t>
      </w:r>
      <w:r>
        <w:rPr>
          <w:rFonts w:hint="eastAsia" w:ascii="宋体" w:hAnsi="宋体" w:eastAsia="宋体" w:cs="宋体"/>
          <w:sz w:val="24"/>
          <w:szCs w:val="24"/>
          <w:lang w:val="en-US" w:eastAsia="zh-Hans"/>
        </w:rPr>
        <w:t>技术</w:t>
      </w:r>
      <w:r>
        <w:rPr>
          <w:rFonts w:hint="eastAsia" w:ascii="宋体" w:hAnsi="宋体" w:eastAsia="宋体" w:cs="宋体"/>
          <w:sz w:val="24"/>
          <w:szCs w:val="24"/>
        </w:rPr>
        <w:t>，符合工业标准并适应客户需求的IP网络视频监控系统。本视频监控系统就行政服务中心重要安全防范区域配置摄像机，通过网络摄像机输出高清数字视频信号，实现视频IP网络传输。</w:t>
      </w:r>
    </w:p>
    <w:p>
      <w:pPr>
        <w:pStyle w:val="4"/>
        <w:keepNext w:val="0"/>
        <w:keepLines w:val="0"/>
        <w:widowControl/>
        <w:suppressLineNumbers w:val="0"/>
        <w:ind w:left="0" w:firstLine="480"/>
      </w:pPr>
      <w:r>
        <w:rPr>
          <w:rFonts w:hint="eastAsia" w:ascii="宋体" w:hAnsi="宋体" w:eastAsia="宋体" w:cs="宋体"/>
          <w:sz w:val="24"/>
          <w:szCs w:val="24"/>
        </w:rPr>
        <w:t>行政服务中心的整个音视频监控系统建成投入使用后，通过现代化的监控管理手段，可以提高效能、预防犯罪、现场录像，使效能办管理人员和安保管理人员对现场可能发生的事件做到</w:t>
      </w:r>
      <w:bookmarkStart w:id="0" w:name="_GoBack"/>
      <w:bookmarkEnd w:id="0"/>
      <w:r>
        <w:rPr>
          <w:rFonts w:hint="eastAsia" w:ascii="宋体" w:hAnsi="宋体" w:eastAsia="宋体" w:cs="宋体"/>
          <w:sz w:val="24"/>
          <w:szCs w:val="24"/>
        </w:rPr>
        <w:t>及时掌握，为尽早决策争取时间，从而提高事件处理效率。系统将配备目前最先进的数字录像手段，为事故分析提供有力的证据。</w:t>
      </w:r>
    </w:p>
    <w:p>
      <w:pPr>
        <w:pStyle w:val="4"/>
        <w:keepNext w:val="0"/>
        <w:keepLines w:val="0"/>
        <w:widowControl/>
        <w:suppressLineNumbers w:val="0"/>
      </w:pPr>
      <w:r>
        <w:rPr>
          <w:rFonts w:hint="eastAsia" w:ascii="宋体" w:hAnsi="宋体" w:eastAsia="宋体" w:cs="宋体"/>
          <w:sz w:val="21"/>
          <w:szCs w:val="21"/>
        </w:rPr>
        <w:br w:type="textWrapping"/>
      </w:r>
      <w:r>
        <w:rPr>
          <w:rFonts w:hint="default" w:ascii="Calibri" w:hAnsi="Calibri" w:cs="Calibri"/>
          <w:sz w:val="24"/>
          <w:szCs w:val="24"/>
        </w:rPr>
        <w:t> </w:t>
      </w:r>
      <w:r>
        <w:rPr>
          <w:rFonts w:hint="default" w:ascii="Calibri" w:hAnsi="Calibri" w:cs="Calibri"/>
          <w:sz w:val="24"/>
          <w:szCs w:val="24"/>
        </w:rPr>
        <w:drawing>
          <wp:inline distT="0" distB="0" distL="114300" distR="114300">
            <wp:extent cx="6048375" cy="3248660"/>
            <wp:effectExtent l="0" t="0" r="9525" b="8890"/>
            <wp:docPr id="8" name="图片 7" descr="15354207590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7" descr="1535420759071.png"/>
                    <pic:cNvPicPr>
                      <a:picLocks noChangeAspect="1"/>
                    </pic:cNvPicPr>
                  </pic:nvPicPr>
                  <pic:blipFill>
                    <a:blip r:embed="rId10"/>
                    <a:stretch>
                      <a:fillRect/>
                    </a:stretch>
                  </pic:blipFill>
                  <pic:spPr>
                    <a:xfrm>
                      <a:off x="0" y="0"/>
                      <a:ext cx="6048375" cy="3248660"/>
                    </a:xfrm>
                    <a:prstGeom prst="rect">
                      <a:avLst/>
                    </a:prstGeom>
                    <a:noFill/>
                    <a:ln w="9525">
                      <a:noFill/>
                    </a:ln>
                  </pic:spPr>
                </pic:pic>
              </a:graphicData>
            </a:graphic>
          </wp:inline>
        </w:drawing>
      </w:r>
    </w:p>
    <w:p>
      <w:pPr>
        <w:pStyle w:val="4"/>
        <w:keepNext w:val="0"/>
        <w:keepLines w:val="0"/>
        <w:widowControl/>
        <w:suppressLineNumbers w:val="0"/>
        <w:jc w:val="both"/>
      </w:pPr>
      <w:r>
        <w:br w:type="textWrapping"/>
      </w:r>
      <w:r>
        <w:rPr>
          <w:rFonts w:hint="default" w:ascii="Calibri" w:hAnsi="Calibri" w:cs="Calibri"/>
          <w:sz w:val="24"/>
          <w:szCs w:val="24"/>
        </w:rPr>
        <w:t> </w:t>
      </w:r>
    </w:p>
    <w:p>
      <w:pPr>
        <w:pStyle w:val="4"/>
        <w:keepNext w:val="0"/>
        <w:keepLines w:val="0"/>
        <w:widowControl/>
        <w:suppressLineNumbers w:val="0"/>
      </w:pPr>
      <w:r>
        <w:rPr>
          <w:rFonts w:hint="eastAsia" w:ascii="宋体" w:hAnsi="宋体" w:eastAsia="宋体" w:cs="宋体"/>
          <w:sz w:val="21"/>
          <w:szCs w:val="21"/>
        </w:rPr>
        <w:br w:type="textWrapping"/>
      </w:r>
      <w:r>
        <w:rPr>
          <w:rFonts w:hint="default" w:ascii="Calibri" w:hAnsi="Calibri" w:cs="Calibri"/>
          <w:sz w:val="24"/>
          <w:szCs w:val="24"/>
        </w:rPr>
        <w:t> </w:t>
      </w:r>
    </w:p>
    <w:p>
      <w:pPr>
        <w:pStyle w:val="4"/>
        <w:keepNext w:val="0"/>
        <w:keepLines w:val="0"/>
        <w:widowControl/>
        <w:suppressLineNumbers w:val="0"/>
        <w:ind w:left="0" w:firstLine="0"/>
      </w:pPr>
      <w:r>
        <w:rPr>
          <w:rFonts w:hint="eastAsia" w:ascii="宋体" w:hAnsi="宋体" w:eastAsia="宋体" w:cs="宋体"/>
          <w:sz w:val="24"/>
          <w:szCs w:val="24"/>
        </w:rPr>
        <w:t>1.8.2</w:t>
      </w:r>
      <w:r>
        <w:rPr>
          <w:rFonts w:hint="default" w:ascii="Times New Roman" w:hAnsi="Times New Roman" w:cs="Times New Roman"/>
          <w:sz w:val="13"/>
          <w:szCs w:val="13"/>
        </w:rPr>
        <w:t xml:space="preserve">   </w:t>
      </w:r>
      <w:r>
        <w:rPr>
          <w:rFonts w:hint="eastAsia" w:ascii="宋体" w:hAnsi="宋体" w:eastAsia="宋体" w:cs="宋体"/>
          <w:sz w:val="24"/>
          <w:szCs w:val="24"/>
        </w:rPr>
        <w:t>系统指标</w:t>
      </w:r>
    </w:p>
    <w:p>
      <w:pPr>
        <w:pStyle w:val="4"/>
        <w:keepNext w:val="0"/>
        <w:keepLines w:val="0"/>
        <w:widowControl/>
        <w:suppressLineNumbers w:val="0"/>
        <w:spacing w:before="75" w:beforeAutospacing="0"/>
        <w:ind w:left="0" w:firstLine="480"/>
      </w:pPr>
      <w:r>
        <w:rPr>
          <w:rFonts w:hint="eastAsia" w:ascii="宋体" w:hAnsi="宋体" w:eastAsia="宋体" w:cs="宋体"/>
          <w:sz w:val="24"/>
          <w:szCs w:val="24"/>
        </w:rPr>
        <w:t>1、依据《视频安防监控系统工程设 计规范》GB50395-2007的设 计规范，本系统设 计需东路如下指标：</w:t>
      </w:r>
    </w:p>
    <w:p>
      <w:pPr>
        <w:pStyle w:val="4"/>
        <w:keepNext w:val="0"/>
        <w:keepLines w:val="0"/>
        <w:widowControl/>
        <w:suppressLineNumbers w:val="0"/>
        <w:spacing w:before="75" w:beforeAutospacing="0"/>
        <w:ind w:left="0" w:firstLine="480"/>
      </w:pPr>
      <w:r>
        <w:rPr>
          <w:rFonts w:hint="eastAsia" w:ascii="宋体" w:hAnsi="宋体" w:eastAsia="宋体" w:cs="宋体"/>
          <w:sz w:val="24"/>
          <w:szCs w:val="24"/>
        </w:rPr>
        <w:t>2、单路画面像素数量≥352×288(CIF)；</w:t>
      </w:r>
    </w:p>
    <w:p>
      <w:pPr>
        <w:pStyle w:val="4"/>
        <w:keepNext w:val="0"/>
        <w:keepLines w:val="0"/>
        <w:widowControl/>
        <w:suppressLineNumbers w:val="0"/>
        <w:spacing w:before="75" w:beforeAutospacing="0"/>
        <w:ind w:left="0" w:firstLine="480"/>
      </w:pPr>
      <w:r>
        <w:rPr>
          <w:rFonts w:hint="eastAsia" w:ascii="宋体" w:hAnsi="宋体" w:eastAsia="宋体" w:cs="宋体"/>
          <w:sz w:val="24"/>
          <w:szCs w:val="24"/>
        </w:rPr>
        <w:t>3、单路显示基本帧率：≥25fps；</w:t>
      </w:r>
    </w:p>
    <w:p>
      <w:pPr>
        <w:pStyle w:val="4"/>
        <w:keepNext w:val="0"/>
        <w:keepLines w:val="0"/>
        <w:widowControl/>
        <w:suppressLineNumbers w:val="0"/>
        <w:spacing w:before="75" w:beforeAutospacing="0"/>
        <w:ind w:left="0" w:firstLine="480"/>
      </w:pPr>
      <w:r>
        <w:rPr>
          <w:rFonts w:hint="eastAsia" w:ascii="宋体" w:hAnsi="宋体" w:eastAsia="宋体" w:cs="宋体"/>
          <w:sz w:val="24"/>
          <w:szCs w:val="24"/>
        </w:rPr>
        <w:t>4、监视图像质量不低于《民用闭路监视电视系统工程技术规范》GB50198-1994中表4.3.1-1规定的四级，回放图像质量不应低于表4.3.1-1规定的三级；在显示屏上应能有效识别目标；</w:t>
      </w:r>
    </w:p>
    <w:p>
      <w:pPr>
        <w:pStyle w:val="4"/>
        <w:keepNext w:val="0"/>
        <w:keepLines w:val="0"/>
        <w:widowControl/>
        <w:suppressLineNumbers w:val="0"/>
        <w:spacing w:before="75" w:beforeAutospacing="0"/>
        <w:ind w:left="0" w:firstLine="480"/>
      </w:pPr>
      <w:r>
        <w:rPr>
          <w:rFonts w:hint="eastAsia" w:ascii="宋体" w:hAnsi="宋体" w:eastAsia="宋体" w:cs="宋体"/>
          <w:sz w:val="24"/>
          <w:szCs w:val="24"/>
        </w:rPr>
        <w:t>5、监控图像存储时间：≥90天；</w:t>
      </w:r>
    </w:p>
    <w:p>
      <w:pPr>
        <w:pStyle w:val="4"/>
        <w:keepNext w:val="0"/>
        <w:keepLines w:val="0"/>
        <w:widowControl/>
        <w:suppressLineNumbers w:val="0"/>
        <w:spacing w:before="75" w:beforeAutospacing="0"/>
        <w:ind w:left="0" w:firstLine="480"/>
      </w:pPr>
      <w:r>
        <w:rPr>
          <w:rFonts w:hint="eastAsia" w:ascii="宋体" w:hAnsi="宋体" w:eastAsia="宋体" w:cs="宋体"/>
          <w:sz w:val="24"/>
          <w:szCs w:val="24"/>
        </w:rPr>
        <w:t>6、系统接地：要求采用联合接地方式，接地电阻应≤4Ω。</w:t>
      </w:r>
    </w:p>
    <w:p>
      <w:pPr>
        <w:pStyle w:val="4"/>
        <w:keepNext w:val="0"/>
        <w:keepLines w:val="0"/>
        <w:widowControl/>
        <w:suppressLineNumbers w:val="0"/>
        <w:ind w:left="0" w:firstLine="0"/>
      </w:pPr>
      <w:r>
        <w:rPr>
          <w:rFonts w:hint="eastAsia" w:ascii="宋体" w:hAnsi="宋体" w:eastAsia="宋体" w:cs="宋体"/>
          <w:sz w:val="24"/>
          <w:szCs w:val="24"/>
        </w:rPr>
        <w:t>1.8.3</w:t>
      </w:r>
      <w:r>
        <w:rPr>
          <w:rFonts w:hint="default" w:ascii="Times New Roman" w:hAnsi="Times New Roman" w:cs="Times New Roman"/>
          <w:sz w:val="13"/>
          <w:szCs w:val="13"/>
        </w:rPr>
        <w:t xml:space="preserve">   </w:t>
      </w:r>
      <w:r>
        <w:rPr>
          <w:rFonts w:hint="eastAsia" w:ascii="宋体" w:hAnsi="宋体" w:eastAsia="宋体" w:cs="宋体"/>
          <w:sz w:val="24"/>
          <w:szCs w:val="24"/>
        </w:rPr>
        <w:t>设 计方案</w:t>
      </w:r>
    </w:p>
    <w:p>
      <w:pPr>
        <w:pStyle w:val="4"/>
        <w:keepNext w:val="0"/>
        <w:keepLines w:val="0"/>
        <w:widowControl/>
        <w:suppressLineNumbers w:val="0"/>
      </w:pPr>
      <w:r>
        <w:rPr>
          <w:rFonts w:hint="default" w:ascii="Calibri" w:hAnsi="Calibri" w:cs="Calibri"/>
          <w:sz w:val="24"/>
          <w:szCs w:val="24"/>
        </w:rPr>
        <w:t xml:space="preserve">1.8.3.1 </w:t>
      </w:r>
      <w:r>
        <w:rPr>
          <w:rFonts w:hint="eastAsia" w:ascii="宋体" w:hAnsi="宋体" w:eastAsia="宋体" w:cs="宋体"/>
          <w:sz w:val="24"/>
          <w:szCs w:val="24"/>
        </w:rPr>
        <w:t>系统架构</w:t>
      </w:r>
    </w:p>
    <w:p>
      <w:pPr>
        <w:pStyle w:val="4"/>
        <w:keepNext w:val="0"/>
        <w:keepLines w:val="0"/>
        <w:widowControl/>
        <w:suppressLineNumbers w:val="0"/>
        <w:ind w:left="0" w:firstLine="480"/>
      </w:pPr>
      <w:r>
        <w:rPr>
          <w:rFonts w:hint="eastAsia" w:ascii="宋体" w:hAnsi="宋体" w:eastAsia="宋体" w:cs="宋体"/>
          <w:color w:val="000000"/>
          <w:sz w:val="24"/>
          <w:szCs w:val="24"/>
        </w:rPr>
        <w:t>本系统采用目前成</w:t>
      </w:r>
      <w:r>
        <w:rPr>
          <w:rFonts w:hint="eastAsia" w:ascii="宋体" w:hAnsi="宋体" w:eastAsia="宋体" w:cs="宋体"/>
          <w:sz w:val="24"/>
          <w:szCs w:val="24"/>
        </w:rPr>
        <w:t>熟的TCP/IP数字摄像方式进行设 计，系统由如下部分构成：</w:t>
      </w:r>
    </w:p>
    <w:p>
      <w:pPr>
        <w:pStyle w:val="4"/>
        <w:keepNext w:val="0"/>
        <w:keepLines w:val="0"/>
        <w:widowControl/>
        <w:suppressLineNumbers w:val="0"/>
        <w:spacing w:before="0" w:beforeAutospacing="1" w:after="0" w:afterAutospacing="1"/>
        <w:ind w:left="900" w:right="0"/>
      </w:pPr>
      <w:r>
        <w:rPr>
          <w:rFonts w:hint="default" w:ascii="Wingdings" w:hAnsi="Wingdings" w:cs="Wingdings"/>
          <w:sz w:val="24"/>
          <w:szCs w:val="24"/>
        </w:rPr>
        <w:t>n</w:t>
      </w:r>
      <w:r>
        <w:rPr>
          <w:rFonts w:hint="default" w:ascii="Times New Roman" w:hAnsi="Times New Roman" w:cs="Times New Roman"/>
          <w:sz w:val="13"/>
          <w:szCs w:val="13"/>
        </w:rPr>
        <w:t xml:space="preserve">  </w:t>
      </w:r>
      <w:r>
        <w:rPr>
          <w:rFonts w:hint="eastAsia" w:ascii="宋体" w:hAnsi="宋体" w:eastAsia="宋体" w:cs="宋体"/>
          <w:sz w:val="24"/>
          <w:szCs w:val="24"/>
        </w:rPr>
        <w:t>前端视音频采集系统（摄像机、拾音器等）；</w:t>
      </w:r>
    </w:p>
    <w:p>
      <w:pPr>
        <w:pStyle w:val="4"/>
        <w:keepNext w:val="0"/>
        <w:keepLines w:val="0"/>
        <w:widowControl/>
        <w:suppressLineNumbers w:val="0"/>
        <w:spacing w:before="0" w:beforeAutospacing="1" w:after="0" w:afterAutospacing="1"/>
        <w:ind w:left="900" w:right="0"/>
      </w:pPr>
      <w:r>
        <w:rPr>
          <w:rFonts w:hint="default" w:ascii="Wingdings" w:hAnsi="Wingdings" w:cs="Wingdings"/>
          <w:sz w:val="24"/>
          <w:szCs w:val="24"/>
        </w:rPr>
        <w:t>n</w:t>
      </w:r>
      <w:r>
        <w:rPr>
          <w:rFonts w:hint="default" w:ascii="Times New Roman" w:hAnsi="Times New Roman" w:cs="Times New Roman"/>
          <w:sz w:val="13"/>
          <w:szCs w:val="13"/>
        </w:rPr>
        <w:t xml:space="preserve">  </w:t>
      </w:r>
      <w:r>
        <w:rPr>
          <w:rFonts w:hint="eastAsia" w:ascii="宋体" w:hAnsi="宋体" w:eastAsia="宋体" w:cs="宋体"/>
          <w:sz w:val="24"/>
          <w:szCs w:val="24"/>
        </w:rPr>
        <w:t>网络系统（IP网络系统）；</w:t>
      </w:r>
    </w:p>
    <w:p>
      <w:pPr>
        <w:pStyle w:val="4"/>
        <w:keepNext w:val="0"/>
        <w:keepLines w:val="0"/>
        <w:widowControl/>
        <w:suppressLineNumbers w:val="0"/>
        <w:spacing w:before="0" w:beforeAutospacing="1" w:after="0" w:afterAutospacing="1"/>
        <w:ind w:left="900" w:right="0"/>
      </w:pPr>
      <w:r>
        <w:rPr>
          <w:rFonts w:hint="default" w:ascii="Wingdings" w:hAnsi="Wingdings" w:cs="Wingdings"/>
          <w:sz w:val="24"/>
          <w:szCs w:val="24"/>
        </w:rPr>
        <w:t>n</w:t>
      </w:r>
      <w:r>
        <w:rPr>
          <w:rFonts w:hint="default" w:ascii="Times New Roman" w:hAnsi="Times New Roman" w:cs="Times New Roman"/>
          <w:sz w:val="13"/>
          <w:szCs w:val="13"/>
        </w:rPr>
        <w:t xml:space="preserve">  </w:t>
      </w:r>
      <w:r>
        <w:rPr>
          <w:rFonts w:hint="eastAsia" w:ascii="宋体" w:hAnsi="宋体" w:eastAsia="宋体" w:cs="宋体"/>
          <w:sz w:val="24"/>
          <w:szCs w:val="24"/>
        </w:rPr>
        <w:t>视音频管理系统（客户端、网络视频管理服务器、存储设备等）。</w:t>
      </w:r>
    </w:p>
    <w:p>
      <w:pPr>
        <w:pStyle w:val="4"/>
        <w:keepNext w:val="0"/>
        <w:keepLines w:val="0"/>
        <w:widowControl/>
        <w:suppressLineNumbers w:val="0"/>
        <w:spacing w:before="0" w:beforeAutospacing="1" w:after="0" w:afterAutospacing="1"/>
        <w:ind w:left="900" w:right="0"/>
      </w:pPr>
      <w:r>
        <w:rPr>
          <w:rFonts w:hint="default" w:ascii="Wingdings" w:hAnsi="Wingdings" w:cs="Wingdings"/>
          <w:sz w:val="24"/>
          <w:szCs w:val="24"/>
        </w:rPr>
        <w:t>n</w:t>
      </w:r>
      <w:r>
        <w:rPr>
          <w:rFonts w:hint="default" w:ascii="Times New Roman" w:hAnsi="Times New Roman" w:cs="Times New Roman"/>
          <w:sz w:val="13"/>
          <w:szCs w:val="13"/>
        </w:rPr>
        <w:t xml:space="preserve">  </w:t>
      </w:r>
      <w:r>
        <w:rPr>
          <w:rFonts w:hint="eastAsia" w:ascii="宋体" w:hAnsi="宋体" w:eastAsia="宋体" w:cs="宋体"/>
          <w:sz w:val="24"/>
          <w:szCs w:val="24"/>
        </w:rPr>
        <w:t>显示系统（拼接屏显示等）</w:t>
      </w:r>
    </w:p>
    <w:p>
      <w:pPr>
        <w:pStyle w:val="4"/>
        <w:keepNext w:val="0"/>
        <w:keepLines w:val="0"/>
        <w:widowControl/>
        <w:suppressLineNumbers w:val="0"/>
      </w:pPr>
      <w:r>
        <w:rPr>
          <w:rFonts w:hint="default" w:ascii="Calibri" w:hAnsi="Calibri" w:cs="Calibri"/>
          <w:sz w:val="24"/>
          <w:szCs w:val="24"/>
        </w:rPr>
        <w:t xml:space="preserve">1.8.3.2 </w:t>
      </w:r>
      <w:r>
        <w:rPr>
          <w:rFonts w:hint="eastAsia" w:ascii="宋体" w:hAnsi="宋体" w:eastAsia="宋体" w:cs="宋体"/>
          <w:sz w:val="24"/>
          <w:szCs w:val="24"/>
        </w:rPr>
        <w:t>前端摄像</w:t>
      </w:r>
    </w:p>
    <w:p>
      <w:pPr>
        <w:pStyle w:val="4"/>
        <w:keepNext w:val="0"/>
        <w:keepLines w:val="0"/>
        <w:widowControl/>
        <w:suppressLineNumbers w:val="0"/>
        <w:ind w:left="0" w:firstLine="480"/>
      </w:pPr>
      <w:r>
        <w:rPr>
          <w:rFonts w:hint="eastAsia" w:ascii="宋体" w:hAnsi="宋体" w:eastAsia="宋体" w:cs="宋体"/>
          <w:sz w:val="24"/>
          <w:szCs w:val="24"/>
        </w:rPr>
        <w:t>网络摄像机把监视的内容变为图像信号，经数字编码芯片以H.264/M-JPEG方式编码成数字视频，再通过摄像机网络端口输出数字视频，经TCP/IP网络实现前端网络数字视频传输接入控制中心，保证图像质量1080P的前提建议每个摄像机提供4MB左右的网络带宽。从系统构成上讲，摄像部分是系统的原始信号源，所以摄像机部分的好坏以及它产生的图像信号的质量将影响着整个系统的质量，认真选择和配置摄像机部分至关重要。</w:t>
      </w:r>
    </w:p>
    <w:p>
      <w:pPr>
        <w:pStyle w:val="4"/>
        <w:keepNext w:val="0"/>
        <w:keepLines w:val="0"/>
        <w:widowControl/>
        <w:suppressLineNumbers w:val="0"/>
        <w:ind w:left="0" w:firstLine="480"/>
      </w:pPr>
      <w:r>
        <w:rPr>
          <w:rFonts w:hint="eastAsia" w:ascii="宋体" w:hAnsi="宋体" w:eastAsia="宋体" w:cs="宋体"/>
          <w:sz w:val="24"/>
          <w:szCs w:val="24"/>
        </w:rPr>
        <w:t>为了节省摄像机的数量以及简化传输系统及控制与显示系统，采用部分智能快球摄像机，使可控摄像机进行水平和垂直方向的转动及预置位快速定位和预设线路巡视扫描，通过镜头变倍来观察远距离的目标，从而扩大了摄像机的覆盖范围和角度，提高了整个系统的智能化等级。</w:t>
      </w:r>
    </w:p>
    <w:p>
      <w:pPr>
        <w:pStyle w:val="4"/>
        <w:keepNext w:val="0"/>
        <w:keepLines w:val="0"/>
        <w:widowControl/>
        <w:suppressLineNumbers w:val="0"/>
        <w:ind w:left="0" w:firstLine="480"/>
      </w:pPr>
      <w:r>
        <w:rPr>
          <w:rStyle w:val="6"/>
          <w:rFonts w:hint="eastAsia" w:ascii="宋体" w:hAnsi="宋体" w:eastAsia="宋体" w:cs="宋体"/>
          <w:b/>
        </w:rPr>
        <w:t>高清半球网络摄像机：</w:t>
      </w:r>
    </w:p>
    <w:p>
      <w:pPr>
        <w:pStyle w:val="4"/>
        <w:keepNext w:val="0"/>
        <w:keepLines w:val="0"/>
        <w:widowControl/>
        <w:suppressLineNumbers w:val="0"/>
        <w:ind w:left="0" w:firstLine="480"/>
      </w:pPr>
      <w:r>
        <w:rPr>
          <w:rFonts w:hint="eastAsia" w:ascii="宋体" w:hAnsi="宋体" w:eastAsia="宋体" w:cs="宋体"/>
          <w:sz w:val="24"/>
          <w:szCs w:val="24"/>
        </w:rPr>
        <w:t>由于开评标区内部过道、开评标室、休息室等等主要监控区域及位置较固定，根据需求采用高清彩色半球型网络摄像机。高清半球网络摄像机采用了先进的数字信号处理器对图像进行控制，具有极佳的图像画质和完美的功能特性。并且具有高灵敏度、抑制光晕和高信噪比的特点。</w:t>
      </w:r>
    </w:p>
    <w:p>
      <w:pPr>
        <w:pStyle w:val="4"/>
        <w:keepNext w:val="0"/>
        <w:keepLines w:val="0"/>
        <w:widowControl/>
        <w:suppressLineNumbers w:val="0"/>
        <w:ind w:left="0" w:firstLine="480"/>
      </w:pPr>
      <w:r>
        <w:rPr>
          <w:rFonts w:hint="eastAsia" w:ascii="宋体" w:hAnsi="宋体" w:eastAsia="宋体" w:cs="宋体"/>
          <w:sz w:val="24"/>
          <w:szCs w:val="24"/>
        </w:rPr>
        <w:t>彩色半球摄像机的特点是外形美观、结构紧凑，功能强大，画面自然、逼真，图像还原细腻，有丰富、绚丽的色彩表现。</w:t>
      </w:r>
    </w:p>
    <w:p>
      <w:pPr>
        <w:pStyle w:val="4"/>
        <w:keepNext w:val="0"/>
        <w:keepLines w:val="0"/>
        <w:widowControl/>
        <w:suppressLineNumbers w:val="0"/>
        <w:ind w:left="0" w:firstLine="480"/>
      </w:pPr>
      <w:r>
        <w:rPr>
          <w:rStyle w:val="6"/>
          <w:rFonts w:hint="eastAsia" w:ascii="宋体" w:hAnsi="宋体" w:eastAsia="宋体" w:cs="宋体"/>
          <w:b/>
        </w:rPr>
        <w:t>快球摄像机：</w:t>
      </w:r>
    </w:p>
    <w:p>
      <w:pPr>
        <w:pStyle w:val="4"/>
        <w:keepNext w:val="0"/>
        <w:keepLines w:val="0"/>
        <w:widowControl/>
        <w:suppressLineNumbers w:val="0"/>
        <w:ind w:left="0" w:firstLine="480"/>
      </w:pPr>
      <w:r>
        <w:rPr>
          <w:rFonts w:hint="eastAsia" w:ascii="宋体" w:hAnsi="宋体" w:eastAsia="宋体" w:cs="宋体"/>
          <w:sz w:val="24"/>
          <w:szCs w:val="24"/>
        </w:rPr>
        <w:t>考虑到招标中心为政府招标采购的核心区域，为了使招标过程公开，公正，透明，招标中心采用配合高清半球摄像机并用快球云台摄像机，既能全方位监控，又可远程实时对招标采购的细节进行具体记录，使政府采购更加阳光透明。</w:t>
      </w:r>
    </w:p>
    <w:p>
      <w:pPr>
        <w:pStyle w:val="4"/>
        <w:keepNext w:val="0"/>
        <w:keepLines w:val="0"/>
        <w:widowControl/>
        <w:suppressLineNumbers w:val="0"/>
        <w:ind w:left="0" w:firstLine="480"/>
      </w:pPr>
      <w:r>
        <w:rPr>
          <w:rFonts w:hint="eastAsia" w:ascii="宋体" w:hAnsi="宋体" w:eastAsia="宋体" w:cs="宋体"/>
          <w:sz w:val="24"/>
          <w:szCs w:val="24"/>
        </w:rPr>
        <w:t>本项目前端摄像机全部采用200万像素以上的高清网络摄像机。数字摄像机其图像清晰度是模拟摄像机的数倍，网络摄像机通过一根网线联接至智能化专网交换机，系统结构灵活、简单，扩展性强；图像可长期存储、调用方便；可进行严格的权限控制，保证监控视频的安全和保密。</w:t>
      </w:r>
    </w:p>
    <w:p>
      <w:pPr>
        <w:pStyle w:val="4"/>
        <w:keepNext w:val="0"/>
        <w:keepLines w:val="0"/>
        <w:widowControl/>
        <w:suppressLineNumbers w:val="0"/>
      </w:pPr>
      <w:r>
        <w:rPr>
          <w:rFonts w:hint="default" w:ascii="Calibri" w:hAnsi="Calibri" w:cs="Calibri"/>
          <w:sz w:val="24"/>
          <w:szCs w:val="24"/>
        </w:rPr>
        <w:t xml:space="preserve">1.8.3.3 </w:t>
      </w:r>
      <w:r>
        <w:rPr>
          <w:rFonts w:hint="eastAsia" w:ascii="宋体" w:hAnsi="宋体" w:eastAsia="宋体" w:cs="宋体"/>
          <w:sz w:val="24"/>
          <w:szCs w:val="24"/>
        </w:rPr>
        <w:t>网络部分</w:t>
      </w:r>
    </w:p>
    <w:p>
      <w:pPr>
        <w:pStyle w:val="4"/>
        <w:keepNext w:val="0"/>
        <w:keepLines w:val="0"/>
        <w:widowControl/>
        <w:suppressLineNumbers w:val="0"/>
        <w:ind w:left="0" w:firstLine="480"/>
      </w:pPr>
      <w:r>
        <w:rPr>
          <w:rFonts w:hint="eastAsia" w:ascii="宋体" w:hAnsi="宋体" w:eastAsia="宋体" w:cs="宋体"/>
          <w:sz w:val="24"/>
          <w:szCs w:val="24"/>
        </w:rPr>
        <w:t>对于图像的传输，重点要求是在图像信号经过传输系统后，不产生明显的噪声、不产生明显的失真和变形（色度信号与亮度信号均不产生明显色度信号与亮度信号均不产生明显的失真），保证原始图像信号（从摄像机输出的图像信号）的清晰度和灰度等级没有明显下降等等。这就要求传输系统在衰减方面、引入噪声方面、幅频特性和相频特性方面都有良好的性能。</w:t>
      </w:r>
    </w:p>
    <w:p>
      <w:pPr>
        <w:pStyle w:val="4"/>
        <w:keepNext w:val="0"/>
        <w:keepLines w:val="0"/>
        <w:widowControl/>
        <w:suppressLineNumbers w:val="0"/>
        <w:ind w:left="0" w:firstLine="480"/>
      </w:pPr>
      <w:r>
        <w:rPr>
          <w:rFonts w:hint="eastAsia" w:ascii="宋体" w:hAnsi="宋体" w:eastAsia="宋体" w:cs="宋体"/>
          <w:sz w:val="24"/>
          <w:szCs w:val="24"/>
        </w:rPr>
        <w:t>在充分考虑各种信号传输衰减幅度和外界干扰分布等因素，根据对本项目情况的分析，采用通过传输距离不受限制、抗干扰能力强、扩展容易和组网灵活的TCP/IP网络实现传输。</w:t>
      </w:r>
    </w:p>
    <w:p>
      <w:pPr>
        <w:pStyle w:val="4"/>
        <w:keepNext w:val="0"/>
        <w:keepLines w:val="0"/>
        <w:widowControl/>
        <w:suppressLineNumbers w:val="0"/>
        <w:ind w:left="0" w:firstLine="480"/>
      </w:pPr>
      <w:r>
        <w:rPr>
          <w:rFonts w:hint="eastAsia" w:ascii="宋体" w:hAnsi="宋体" w:eastAsia="宋体" w:cs="宋体"/>
          <w:sz w:val="24"/>
          <w:szCs w:val="24"/>
        </w:rPr>
        <w:t>网络摄像机直接通过摄像机网络端口经网线直接输出TCP/IP网络数字视频，通过TCP/IP网络实现传输到监控中心。</w:t>
      </w:r>
    </w:p>
    <w:p>
      <w:pPr>
        <w:pStyle w:val="4"/>
        <w:keepNext w:val="0"/>
        <w:keepLines w:val="0"/>
        <w:widowControl/>
        <w:suppressLineNumbers w:val="0"/>
        <w:ind w:left="0" w:firstLine="480"/>
      </w:pPr>
      <w:r>
        <w:rPr>
          <w:rFonts w:hint="eastAsia" w:ascii="宋体" w:hAnsi="宋体" w:eastAsia="宋体" w:cs="宋体"/>
          <w:sz w:val="24"/>
          <w:szCs w:val="24"/>
        </w:rPr>
        <w:t>为减小电源线对视频线的干扰，提高系统性能，方便施工，摄像机采用DC 12V电源供电方式。室外摄像机由于传输距离较远，预留220V电源，电源线采用RVV-2</w:t>
      </w:r>
      <w:r>
        <w:rPr>
          <w:rFonts w:hint="eastAsia" w:ascii="宋体" w:hAnsi="宋体" w:eastAsia="宋体" w:cs="宋体"/>
          <w:sz w:val="19"/>
          <w:szCs w:val="19"/>
        </w:rPr>
        <w:t>×</w:t>
      </w:r>
      <w:r>
        <w:rPr>
          <w:rFonts w:hint="eastAsia" w:ascii="宋体" w:hAnsi="宋体" w:eastAsia="宋体" w:cs="宋体"/>
          <w:sz w:val="24"/>
          <w:szCs w:val="24"/>
        </w:rPr>
        <w:t>1.0线缆。</w:t>
      </w:r>
    </w:p>
    <w:p>
      <w:pPr>
        <w:pStyle w:val="4"/>
        <w:keepNext w:val="0"/>
        <w:keepLines w:val="0"/>
        <w:widowControl/>
        <w:suppressLineNumbers w:val="0"/>
      </w:pPr>
      <w:r>
        <w:rPr>
          <w:rFonts w:hint="default" w:ascii="Calibri" w:hAnsi="Calibri" w:cs="Calibri"/>
          <w:sz w:val="24"/>
          <w:szCs w:val="24"/>
        </w:rPr>
        <w:t xml:space="preserve">1.8.3.4 </w:t>
      </w:r>
      <w:r>
        <w:rPr>
          <w:rFonts w:hint="eastAsia" w:ascii="宋体" w:hAnsi="宋体" w:eastAsia="宋体" w:cs="宋体"/>
          <w:sz w:val="24"/>
          <w:szCs w:val="24"/>
        </w:rPr>
        <w:t>视频显示部分</w:t>
      </w:r>
    </w:p>
    <w:p>
      <w:pPr>
        <w:pStyle w:val="4"/>
        <w:keepNext w:val="0"/>
        <w:keepLines w:val="0"/>
        <w:widowControl/>
        <w:suppressLineNumbers w:val="0"/>
        <w:ind w:left="0" w:firstLine="480"/>
      </w:pPr>
      <w:r>
        <w:rPr>
          <w:rFonts w:hint="eastAsia" w:ascii="宋体" w:hAnsi="宋体" w:eastAsia="宋体" w:cs="宋体"/>
          <w:sz w:val="24"/>
          <w:szCs w:val="24"/>
        </w:rPr>
        <w:t>显示部分一般由多台设备组成，它的功能是将传送过来得的视频图像一一显示出来，特别是在大型电视监控系统中，一般都不是一台显示设备对应一台摄像机进行显示，而是几台摄像机的图像信号使用一台显示设备轮流切换显示或通过画面分割功能实现几个摄像机图像同时显示。这样配置一是可以节省设备，减少空间的占用；二是也没必要一一对应显示。因为被监视场所的情况不可能同时都发生意外情况，所以平时只要隔一定时间（一般几秒或十几秒）显示一次即可。当某个被监视的场所发生情况，可以通过切换将摄像机图像信号单画面显示观察。</w:t>
      </w:r>
    </w:p>
    <w:p>
      <w:pPr>
        <w:pStyle w:val="4"/>
        <w:keepNext w:val="0"/>
        <w:keepLines w:val="0"/>
        <w:widowControl/>
        <w:suppressLineNumbers w:val="0"/>
        <w:ind w:left="0" w:firstLine="480"/>
      </w:pPr>
      <w:r>
        <w:rPr>
          <w:rFonts w:hint="eastAsia" w:ascii="宋体" w:hAnsi="宋体" w:eastAsia="宋体" w:cs="宋体"/>
          <w:sz w:val="24"/>
          <w:szCs w:val="24"/>
        </w:rPr>
        <w:t>监控中心通过解码器实现前端上传到监控中心的数字视频还原成模拟信号，经视频线把解码矩阵输出的模拟视频信号接入监视器墙，在监视器墙上实现前端视频显示。</w:t>
      </w:r>
    </w:p>
    <w:p>
      <w:pPr>
        <w:pStyle w:val="4"/>
        <w:keepNext w:val="0"/>
        <w:keepLines w:val="0"/>
        <w:widowControl/>
        <w:suppressLineNumbers w:val="0"/>
        <w:ind w:left="0" w:firstLine="480"/>
      </w:pPr>
      <w:r>
        <w:rPr>
          <w:rFonts w:hint="eastAsia" w:ascii="宋体" w:hAnsi="宋体" w:eastAsia="宋体" w:cs="宋体"/>
          <w:sz w:val="24"/>
          <w:szCs w:val="24"/>
        </w:rPr>
        <w:t>根据此次项目的需要，此次公共资源交易中心视频监控系统显示部分由4台46寸液晶拼接屏组成，液晶拼接屏的屏缝≤3.5mm。支持HDCVI、BNC、VGA、DVI、HDMI等多种信号源的接入及显示。大屏幕系统分辨率高且亮度可调，支持输入视频、计算机信号的24小时实时显示；画面无延时，无抖动；系统对视频信号、RGB信号各种信号源的图形具有相同的拼接能力，DID液晶拼缝不大于3.5mm，并且拼接的图形比例正确。系统支持多屏图像拼接，画面可单屏显示，也可跨屏任意缩放显示，漫游显示或整屏显示，各种应用窗口（如计算机窗口、视频窗口）可混合叠加显示，并且可任意缩放和移动，全屏范围内显示无非线性失真效果；系统采用软件控制窗口的拼接与分割，屏与屏之间的拼缝不影响汉字和图像的正确显示。</w:t>
      </w:r>
    </w:p>
    <w:p>
      <w:pPr>
        <w:pStyle w:val="4"/>
        <w:keepNext w:val="0"/>
        <w:keepLines w:val="0"/>
        <w:widowControl/>
        <w:suppressLineNumbers w:val="0"/>
        <w:spacing w:before="165" w:beforeAutospacing="0"/>
        <w:ind w:left="0" w:firstLine="420"/>
      </w:pPr>
      <w:r>
        <w:rPr>
          <w:rFonts w:hint="eastAsia" w:ascii="宋体" w:hAnsi="宋体" w:eastAsia="宋体" w:cs="宋体"/>
          <w:sz w:val="24"/>
          <w:szCs w:val="24"/>
        </w:rPr>
        <w:t>1、屏显设  计</w:t>
      </w:r>
    </w:p>
    <w:p>
      <w:pPr>
        <w:pStyle w:val="4"/>
        <w:keepNext w:val="0"/>
        <w:keepLines w:val="0"/>
        <w:widowControl/>
        <w:suppressLineNumbers w:val="0"/>
        <w:ind w:left="0" w:firstLine="480"/>
      </w:pPr>
      <w:r>
        <w:rPr>
          <w:rFonts w:hint="eastAsia" w:ascii="宋体" w:hAnsi="宋体" w:eastAsia="宋体" w:cs="宋体"/>
          <w:sz w:val="24"/>
          <w:szCs w:val="24"/>
        </w:rPr>
        <w:t xml:space="preserve">大屏幕显示墙设  计一套2（行)×2 (列）46″超窄边液晶拼接显示屏。 </w:t>
      </w:r>
    </w:p>
    <w:p>
      <w:pPr>
        <w:pStyle w:val="4"/>
        <w:keepNext w:val="0"/>
        <w:keepLines w:val="0"/>
        <w:widowControl/>
        <w:suppressLineNumbers w:val="0"/>
        <w:ind w:left="0" w:firstLine="480"/>
      </w:pPr>
      <w:r>
        <w:rPr>
          <w:rFonts w:hint="eastAsia" w:ascii="宋体" w:hAnsi="宋体" w:eastAsia="宋体" w:cs="宋体"/>
          <w:sz w:val="24"/>
          <w:szCs w:val="24"/>
        </w:rPr>
        <w:t>底座高度： 1000mm，实际高度根据用户现场确定</w:t>
      </w:r>
    </w:p>
    <w:p>
      <w:pPr>
        <w:pStyle w:val="4"/>
        <w:keepNext w:val="0"/>
        <w:keepLines w:val="0"/>
        <w:widowControl/>
        <w:suppressLineNumbers w:val="0"/>
        <w:ind w:left="0" w:firstLine="480"/>
      </w:pPr>
      <w:r>
        <w:rPr>
          <w:rFonts w:hint="eastAsia" w:ascii="宋体" w:hAnsi="宋体" w:eastAsia="宋体" w:cs="宋体"/>
          <w:sz w:val="24"/>
          <w:szCs w:val="24"/>
        </w:rPr>
        <w:t>背后维护空间： 600mm，实际空间根据用户现场以及拼墙高度确定</w:t>
      </w:r>
    </w:p>
    <w:p>
      <w:pPr>
        <w:pStyle w:val="4"/>
        <w:keepNext w:val="0"/>
        <w:keepLines w:val="0"/>
        <w:widowControl/>
        <w:suppressLineNumbers w:val="0"/>
        <w:spacing w:before="165" w:beforeAutospacing="0"/>
        <w:ind w:left="0" w:firstLine="420"/>
      </w:pPr>
      <w:r>
        <w:rPr>
          <w:rFonts w:hint="eastAsia" w:ascii="宋体" w:hAnsi="宋体" w:eastAsia="宋体" w:cs="宋体"/>
          <w:sz w:val="24"/>
          <w:szCs w:val="24"/>
        </w:rPr>
        <w:t>2、屏显功能</w:t>
      </w:r>
    </w:p>
    <w:p>
      <w:pPr>
        <w:pStyle w:val="4"/>
        <w:keepNext w:val="0"/>
        <w:keepLines w:val="0"/>
        <w:widowControl/>
        <w:suppressLineNumbers w:val="0"/>
        <w:ind w:left="0" w:firstLine="480"/>
      </w:pPr>
      <w:r>
        <w:rPr>
          <w:rFonts w:hint="eastAsia" w:ascii="宋体" w:hAnsi="宋体" w:eastAsia="宋体" w:cs="宋体"/>
          <w:sz w:val="24"/>
          <w:szCs w:val="24"/>
        </w:rPr>
        <w:t>大屏显控系统是各个基础应用系统的信息和数据的汇集中心，在大屏幕上将清晰地显示视频监控、计算机多媒体画面、计算机网络图像、实时业务数据、相关报表等内容，显示窗口可以根据需要灵活的组合，当在正常工作状态时，可将大屏划分相应的显示区域，各分区独立控制，各系统图像只在本系统的显示分区内进行任意缩放和漫游显示，从而保证各系统之间工作的独立性。若监控区域发生突发事故，工作人员可对突发事件做出灵敏的反应，将事发地点的监控画面通过图像漫游或任意缩放的功能调至大屏中心区域进行叠加显示或任意组合显示，从而实现大量业务信息数据的集中显示、分析处理与交互，实现高效率的管理。</w:t>
      </w:r>
    </w:p>
    <w:p>
      <w:pPr>
        <w:pStyle w:val="4"/>
        <w:keepNext w:val="0"/>
        <w:keepLines w:val="0"/>
        <w:widowControl/>
        <w:suppressLineNumbers w:val="0"/>
        <w:spacing w:before="0" w:beforeAutospacing="1" w:after="0" w:afterAutospacing="1"/>
        <w:ind w:left="975" w:right="0"/>
        <w:jc w:val="left"/>
      </w:pPr>
      <w:r>
        <w:rPr>
          <w:rFonts w:hint="eastAsia" w:ascii="宋体" w:hAnsi="宋体" w:eastAsia="宋体" w:cs="宋体"/>
          <w:sz w:val="24"/>
          <w:szCs w:val="24"/>
        </w:rPr>
        <w:t>？</w:t>
      </w:r>
      <w:r>
        <w:rPr>
          <w:rFonts w:hint="default" w:ascii="Times New Roman" w:hAnsi="Times New Roman" w:cs="Times New Roman"/>
          <w:sz w:val="13"/>
          <w:szCs w:val="13"/>
        </w:rPr>
        <w:t xml:space="preserve">  </w:t>
      </w:r>
      <w:r>
        <w:rPr>
          <w:rFonts w:hint="eastAsia" w:ascii="宋体" w:hAnsi="宋体" w:eastAsia="宋体" w:cs="宋体"/>
          <w:sz w:val="24"/>
          <w:szCs w:val="24"/>
        </w:rPr>
        <w:t>单屏显示</w:t>
      </w:r>
    </w:p>
    <w:p>
      <w:pPr>
        <w:pStyle w:val="4"/>
        <w:keepNext w:val="0"/>
        <w:keepLines w:val="0"/>
        <w:widowControl/>
        <w:suppressLineNumbers w:val="0"/>
        <w:ind w:left="0" w:firstLine="480"/>
      </w:pPr>
      <w:r>
        <w:rPr>
          <w:rFonts w:hint="eastAsia" w:ascii="宋体" w:hAnsi="宋体" w:eastAsia="宋体" w:cs="宋体"/>
          <w:sz w:val="24"/>
          <w:szCs w:val="24"/>
        </w:rPr>
        <w:t>组合大屏的每个单元单独显示一路视频画面，每个单元的视频信号可以任意切换。</w:t>
      </w:r>
    </w:p>
    <w:p>
      <w:pPr>
        <w:pStyle w:val="4"/>
        <w:keepNext w:val="0"/>
        <w:keepLines w:val="0"/>
        <w:widowControl/>
        <w:suppressLineNumbers w:val="0"/>
        <w:spacing w:before="0" w:beforeAutospacing="1" w:after="0" w:afterAutospacing="1"/>
        <w:ind w:left="975" w:right="0"/>
        <w:jc w:val="left"/>
      </w:pPr>
      <w:r>
        <w:rPr>
          <w:rFonts w:hint="eastAsia" w:ascii="宋体" w:hAnsi="宋体" w:eastAsia="宋体" w:cs="宋体"/>
          <w:sz w:val="24"/>
          <w:szCs w:val="24"/>
        </w:rPr>
        <w:t>？</w:t>
      </w:r>
      <w:r>
        <w:rPr>
          <w:rFonts w:hint="default" w:ascii="Times New Roman" w:hAnsi="Times New Roman" w:cs="Times New Roman"/>
          <w:sz w:val="13"/>
          <w:szCs w:val="13"/>
        </w:rPr>
        <w:t xml:space="preserve">  </w:t>
      </w:r>
      <w:r>
        <w:rPr>
          <w:rFonts w:hint="eastAsia" w:ascii="宋体" w:hAnsi="宋体" w:eastAsia="宋体" w:cs="宋体"/>
          <w:sz w:val="24"/>
          <w:szCs w:val="24"/>
        </w:rPr>
        <w:t>整屏显示</w:t>
      </w:r>
    </w:p>
    <w:p>
      <w:pPr>
        <w:pStyle w:val="4"/>
        <w:keepNext w:val="0"/>
        <w:keepLines w:val="0"/>
        <w:widowControl/>
        <w:suppressLineNumbers w:val="0"/>
        <w:ind w:left="0" w:firstLine="480"/>
      </w:pPr>
      <w:r>
        <w:rPr>
          <w:rFonts w:hint="eastAsia" w:ascii="宋体" w:hAnsi="宋体" w:eastAsia="宋体" w:cs="宋体"/>
          <w:sz w:val="24"/>
          <w:szCs w:val="24"/>
        </w:rPr>
        <w:t>整个大屏显示一路完整的视频图像，显示的图像可以是复合视频（PAL或NTSC）、VGA、S-Video、Ypbpr/YCbCr、DVI、HDMI、HDCVI等。</w:t>
      </w:r>
    </w:p>
    <w:p>
      <w:pPr>
        <w:pStyle w:val="4"/>
        <w:keepNext w:val="0"/>
        <w:keepLines w:val="0"/>
        <w:widowControl/>
        <w:suppressLineNumbers w:val="0"/>
      </w:pPr>
      <w:r>
        <w:rPr>
          <w:rFonts w:hint="default" w:ascii="Calibri" w:hAnsi="Calibri" w:cs="Calibri"/>
          <w:sz w:val="24"/>
          <w:szCs w:val="24"/>
        </w:rPr>
        <w:t xml:space="preserve">1.8.3.5 </w:t>
      </w:r>
      <w:r>
        <w:rPr>
          <w:rFonts w:hint="eastAsia" w:ascii="宋体" w:hAnsi="宋体" w:eastAsia="宋体" w:cs="宋体"/>
          <w:sz w:val="24"/>
          <w:szCs w:val="24"/>
        </w:rPr>
        <w:t>视音频管理平台</w:t>
      </w:r>
    </w:p>
    <w:p>
      <w:pPr>
        <w:pStyle w:val="4"/>
        <w:keepNext w:val="0"/>
        <w:keepLines w:val="0"/>
        <w:widowControl/>
        <w:suppressLineNumbers w:val="0"/>
        <w:ind w:left="0" w:firstLine="480"/>
      </w:pPr>
      <w:r>
        <w:rPr>
          <w:rFonts w:hint="eastAsia" w:ascii="宋体" w:hAnsi="宋体" w:eastAsia="宋体" w:cs="宋体"/>
          <w:sz w:val="24"/>
          <w:szCs w:val="24"/>
        </w:rPr>
        <w:t>监控中心安装有客户端软件的电脑，操作员通过客户端软件或IE方式登录到安装中心管理服务器软件的服务器上，通过中心管理服务器软件来管理系统运行，实现流媒体服务器把前端摄像机视频转发给客户端，通过客户端电脑实现对前端视频切换显示、摄像机云镜控制及查看和回放网络磁盘阵列录像资料。</w:t>
      </w:r>
    </w:p>
    <w:p>
      <w:pPr>
        <w:pStyle w:val="4"/>
        <w:keepNext w:val="0"/>
        <w:keepLines w:val="0"/>
        <w:widowControl/>
        <w:suppressLineNumbers w:val="0"/>
        <w:ind w:left="0" w:firstLine="0"/>
      </w:pPr>
      <w:r>
        <w:rPr>
          <w:rFonts w:hint="eastAsia" w:ascii="宋体" w:hAnsi="宋体" w:eastAsia="宋体" w:cs="宋体"/>
          <w:sz w:val="24"/>
          <w:szCs w:val="24"/>
        </w:rPr>
        <w:t>1.8.4</w:t>
      </w:r>
      <w:r>
        <w:rPr>
          <w:rFonts w:hint="default" w:ascii="Times New Roman" w:hAnsi="Times New Roman" w:cs="Times New Roman"/>
          <w:sz w:val="13"/>
          <w:szCs w:val="13"/>
        </w:rPr>
        <w:t xml:space="preserve">   </w:t>
      </w:r>
      <w:r>
        <w:rPr>
          <w:rFonts w:hint="eastAsia" w:ascii="宋体" w:hAnsi="宋体" w:eastAsia="宋体" w:cs="宋体"/>
          <w:sz w:val="24"/>
          <w:szCs w:val="24"/>
        </w:rPr>
        <w:t>存储需求</w:t>
      </w:r>
    </w:p>
    <w:p>
      <w:pPr>
        <w:pStyle w:val="4"/>
        <w:keepNext w:val="0"/>
        <w:keepLines w:val="0"/>
        <w:widowControl/>
        <w:suppressLineNumbers w:val="0"/>
        <w:ind w:left="0" w:firstLine="480"/>
      </w:pPr>
      <w:r>
        <w:rPr>
          <w:rFonts w:hint="eastAsia" w:ascii="宋体" w:hAnsi="宋体" w:eastAsia="宋体" w:cs="宋体"/>
          <w:sz w:val="24"/>
          <w:szCs w:val="24"/>
        </w:rPr>
        <w:t>网络磁盘阵列用 TCP/IP 以太网替代光纤通道网络。使用以太网络，保护了用户现有的投资；以太网系统造价低；以太网是成熟的技术，具有良好的兼容性；以太网络可以扩展到远端，便于系统做远程的容灾备份等。总之，采用网络磁盘阵列集中存储，可以达到好兼容性和最高的性能价格比。</w:t>
      </w:r>
    </w:p>
    <w:p>
      <w:pPr>
        <w:pStyle w:val="4"/>
        <w:keepNext w:val="0"/>
        <w:keepLines w:val="0"/>
        <w:widowControl/>
        <w:suppressLineNumbers w:val="0"/>
        <w:ind w:left="0" w:firstLine="480"/>
      </w:pPr>
      <w:r>
        <w:rPr>
          <w:rFonts w:hint="eastAsia" w:ascii="宋体" w:hAnsi="宋体" w:eastAsia="宋体" w:cs="宋体"/>
          <w:sz w:val="24"/>
          <w:szCs w:val="24"/>
        </w:rPr>
        <w:t>存储空间计算如下：</w:t>
      </w:r>
    </w:p>
    <w:p>
      <w:pPr>
        <w:pStyle w:val="4"/>
        <w:keepNext w:val="0"/>
        <w:keepLines w:val="0"/>
        <w:widowControl/>
        <w:suppressLineNumbers w:val="0"/>
        <w:ind w:left="0" w:firstLine="480"/>
      </w:pPr>
      <w:r>
        <w:rPr>
          <w:rFonts w:hint="eastAsia" w:ascii="宋体" w:hAnsi="宋体" w:eastAsia="宋体" w:cs="宋体"/>
          <w:sz w:val="24"/>
          <w:szCs w:val="24"/>
        </w:rPr>
        <w:t>码流</w:t>
      </w:r>
      <w:r>
        <w:rPr>
          <w:rFonts w:hint="eastAsia" w:ascii="宋体" w:hAnsi="宋体" w:eastAsia="宋体" w:cs="宋体"/>
          <w:sz w:val="19"/>
          <w:szCs w:val="19"/>
        </w:rPr>
        <w:t>×</w:t>
      </w:r>
      <w:r>
        <w:rPr>
          <w:rFonts w:hint="eastAsia" w:ascii="宋体" w:hAnsi="宋体" w:eastAsia="宋体" w:cs="宋体"/>
          <w:sz w:val="24"/>
          <w:szCs w:val="24"/>
        </w:rPr>
        <w:t>保存时间</w:t>
      </w:r>
      <w:r>
        <w:rPr>
          <w:rFonts w:hint="eastAsia" w:ascii="宋体" w:hAnsi="宋体" w:eastAsia="宋体" w:cs="宋体"/>
          <w:sz w:val="19"/>
          <w:szCs w:val="19"/>
        </w:rPr>
        <w:t>×</w:t>
      </w:r>
      <w:r>
        <w:rPr>
          <w:rFonts w:hint="eastAsia" w:ascii="宋体" w:hAnsi="宋体" w:eastAsia="宋体" w:cs="宋体"/>
          <w:sz w:val="24"/>
          <w:szCs w:val="24"/>
        </w:rPr>
        <w:t>摄像机数量</w:t>
      </w:r>
      <w:r>
        <w:rPr>
          <w:rFonts w:hint="eastAsia" w:ascii="宋体" w:hAnsi="宋体" w:eastAsia="宋体" w:cs="宋体"/>
          <w:sz w:val="19"/>
          <w:szCs w:val="19"/>
        </w:rPr>
        <w:t>×</w:t>
      </w:r>
      <w:r>
        <w:rPr>
          <w:rFonts w:hint="eastAsia" w:ascii="宋体" w:hAnsi="宋体" w:eastAsia="宋体" w:cs="宋体"/>
          <w:sz w:val="24"/>
          <w:szCs w:val="24"/>
        </w:rPr>
        <w:t>码流÷8，即</w:t>
      </w:r>
    </w:p>
    <w:p>
      <w:pPr>
        <w:pStyle w:val="4"/>
        <w:keepNext w:val="0"/>
        <w:keepLines w:val="0"/>
        <w:widowControl/>
        <w:suppressLineNumbers w:val="0"/>
        <w:ind w:left="0" w:firstLine="480"/>
      </w:pPr>
      <w:r>
        <w:rPr>
          <w:rFonts w:hint="eastAsia" w:ascii="宋体" w:hAnsi="宋体" w:eastAsia="宋体" w:cs="宋体"/>
          <w:sz w:val="24"/>
          <w:szCs w:val="24"/>
        </w:rPr>
        <w:t>4M</w:t>
      </w:r>
      <w:r>
        <w:rPr>
          <w:rFonts w:hint="eastAsia" w:ascii="宋体" w:hAnsi="宋体" w:eastAsia="宋体" w:cs="宋体"/>
          <w:sz w:val="19"/>
          <w:szCs w:val="19"/>
        </w:rPr>
        <w:t>×</w:t>
      </w:r>
      <w:r>
        <w:rPr>
          <w:rFonts w:hint="eastAsia" w:ascii="宋体" w:hAnsi="宋体" w:eastAsia="宋体" w:cs="宋体"/>
          <w:sz w:val="24"/>
          <w:szCs w:val="24"/>
        </w:rPr>
        <w:t>3600秒</w:t>
      </w:r>
      <w:r>
        <w:rPr>
          <w:rFonts w:hint="eastAsia" w:ascii="宋体" w:hAnsi="宋体" w:eastAsia="宋体" w:cs="宋体"/>
          <w:sz w:val="19"/>
          <w:szCs w:val="19"/>
        </w:rPr>
        <w:t>×</w:t>
      </w:r>
      <w:r>
        <w:rPr>
          <w:rFonts w:hint="eastAsia" w:ascii="宋体" w:hAnsi="宋体" w:eastAsia="宋体" w:cs="宋体"/>
          <w:sz w:val="24"/>
          <w:szCs w:val="24"/>
        </w:rPr>
        <w:t>24小时</w:t>
      </w:r>
      <w:r>
        <w:rPr>
          <w:rFonts w:hint="eastAsia" w:ascii="宋体" w:hAnsi="宋体" w:eastAsia="宋体" w:cs="宋体"/>
          <w:sz w:val="19"/>
          <w:szCs w:val="19"/>
        </w:rPr>
        <w:t>×</w:t>
      </w:r>
      <w:r>
        <w:rPr>
          <w:rFonts w:hint="eastAsia" w:ascii="宋体" w:hAnsi="宋体" w:eastAsia="宋体" w:cs="宋体"/>
          <w:sz w:val="24"/>
          <w:szCs w:val="24"/>
        </w:rPr>
        <w:t>90天</w:t>
      </w:r>
      <w:r>
        <w:rPr>
          <w:rFonts w:hint="eastAsia" w:ascii="宋体" w:hAnsi="宋体" w:eastAsia="宋体" w:cs="宋体"/>
          <w:sz w:val="19"/>
          <w:szCs w:val="19"/>
        </w:rPr>
        <w:t>×</w:t>
      </w:r>
      <w:r>
        <w:rPr>
          <w:rFonts w:hint="eastAsia" w:ascii="宋体" w:hAnsi="宋体" w:eastAsia="宋体" w:cs="宋体"/>
          <w:sz w:val="24"/>
          <w:szCs w:val="24"/>
        </w:rPr>
        <w:t>20路÷8÷1024÷1024≈74.15T</w:t>
      </w:r>
    </w:p>
    <w:p>
      <w:pPr>
        <w:pStyle w:val="4"/>
        <w:keepNext w:val="0"/>
        <w:keepLines w:val="0"/>
        <w:widowControl/>
        <w:suppressLineNumbers w:val="0"/>
        <w:ind w:left="0" w:firstLine="480"/>
      </w:pPr>
      <w:r>
        <w:rPr>
          <w:rFonts w:hint="eastAsia" w:ascii="宋体" w:hAnsi="宋体" w:eastAsia="宋体" w:cs="宋体"/>
          <w:sz w:val="24"/>
          <w:szCs w:val="24"/>
        </w:rPr>
        <w:t>硬盘容量的实际存储容量为硬盘存储容量的90%，根据上述计算式，所需硬盘容量为</w:t>
      </w:r>
    </w:p>
    <w:p>
      <w:pPr>
        <w:pStyle w:val="4"/>
        <w:keepNext w:val="0"/>
        <w:keepLines w:val="0"/>
        <w:widowControl/>
        <w:suppressLineNumbers w:val="0"/>
        <w:ind w:left="0" w:firstLine="480"/>
      </w:pPr>
      <w:r>
        <w:rPr>
          <w:rFonts w:hint="eastAsia" w:ascii="宋体" w:hAnsi="宋体" w:eastAsia="宋体" w:cs="宋体"/>
          <w:sz w:val="24"/>
          <w:szCs w:val="24"/>
        </w:rPr>
        <w:t>74.15T÷0.9≈82.38T</w:t>
      </w:r>
    </w:p>
    <w:p>
      <w:pPr>
        <w:pStyle w:val="4"/>
        <w:keepNext w:val="0"/>
        <w:keepLines w:val="0"/>
        <w:widowControl/>
        <w:suppressLineNumbers w:val="0"/>
        <w:ind w:left="0" w:firstLine="480"/>
      </w:pPr>
      <w:r>
        <w:rPr>
          <w:rFonts w:hint="eastAsia" w:ascii="宋体" w:hAnsi="宋体" w:eastAsia="宋体" w:cs="宋体"/>
          <w:sz w:val="24"/>
          <w:szCs w:val="24"/>
        </w:rPr>
        <w:t>根据上述计算式，公共资源交易中心共所有视频监控图像存储90天，共需要6T硬盘数量为82.38T÷6T≈13.73块</w:t>
      </w:r>
    </w:p>
    <w:p>
      <w:pPr>
        <w:pStyle w:val="4"/>
        <w:keepNext w:val="0"/>
        <w:keepLines w:val="0"/>
        <w:widowControl/>
        <w:suppressLineNumbers w:val="0"/>
        <w:ind w:left="0" w:firstLine="480"/>
      </w:pPr>
      <w:r>
        <w:rPr>
          <w:rFonts w:hint="eastAsia" w:ascii="宋体" w:hAnsi="宋体" w:eastAsia="宋体" w:cs="宋体"/>
          <w:sz w:val="24"/>
          <w:szCs w:val="24"/>
        </w:rPr>
        <w:t>鉴于存储备份保障的要求，项目设 计采用RAID5保障方式，设  计8T硬盘16块，合计128T。</w:t>
      </w:r>
    </w:p>
    <w:p>
      <w:pPr>
        <w:pStyle w:val="4"/>
        <w:keepNext w:val="0"/>
        <w:keepLines w:val="0"/>
        <w:widowControl/>
        <w:suppressLineNumbers w:val="0"/>
        <w:jc w:val="center"/>
      </w:pPr>
      <w:r>
        <w:drawing>
          <wp:inline distT="0" distB="0" distL="114300" distR="114300">
            <wp:extent cx="5998210" cy="3314700"/>
            <wp:effectExtent l="0" t="0" r="2540" b="0"/>
            <wp:docPr id="9" name="图片 8" descr="15354208534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8" descr="1535420853411.png"/>
                    <pic:cNvPicPr>
                      <a:picLocks noChangeAspect="1"/>
                    </pic:cNvPicPr>
                  </pic:nvPicPr>
                  <pic:blipFill>
                    <a:blip r:embed="rId11"/>
                    <a:stretch>
                      <a:fillRect/>
                    </a:stretch>
                  </pic:blipFill>
                  <pic:spPr>
                    <a:xfrm>
                      <a:off x="0" y="0"/>
                      <a:ext cx="5998210" cy="3314700"/>
                    </a:xfrm>
                    <a:prstGeom prst="rect">
                      <a:avLst/>
                    </a:prstGeom>
                    <a:noFill/>
                    <a:ln w="9525">
                      <a:noFill/>
                    </a:ln>
                  </pic:spPr>
                </pic:pic>
              </a:graphicData>
            </a:graphic>
          </wp:inline>
        </w:drawing>
      </w:r>
    </w:p>
    <w:p>
      <w:pPr>
        <w:pStyle w:val="4"/>
        <w:keepNext w:val="0"/>
        <w:keepLines w:val="0"/>
        <w:widowControl/>
        <w:suppressLineNumbers w:val="0"/>
        <w:ind w:left="0" w:firstLine="0"/>
      </w:pPr>
      <w:r>
        <w:rPr>
          <w:rFonts w:hint="eastAsia" w:ascii="宋体" w:hAnsi="宋体" w:eastAsia="宋体" w:cs="宋体"/>
          <w:sz w:val="24"/>
          <w:szCs w:val="24"/>
        </w:rPr>
        <w:t>1.8.5</w:t>
      </w:r>
      <w:r>
        <w:rPr>
          <w:rFonts w:hint="default" w:ascii="Times New Roman" w:hAnsi="Times New Roman" w:cs="Times New Roman"/>
          <w:sz w:val="13"/>
          <w:szCs w:val="13"/>
        </w:rPr>
        <w:t xml:space="preserve">   </w:t>
      </w:r>
      <w:r>
        <w:rPr>
          <w:rFonts w:hint="eastAsia" w:ascii="宋体" w:hAnsi="宋体" w:eastAsia="宋体" w:cs="宋体"/>
          <w:sz w:val="24"/>
          <w:szCs w:val="24"/>
        </w:rPr>
        <w:t>管理平台功能</w:t>
      </w:r>
    </w:p>
    <w:p>
      <w:pPr>
        <w:pStyle w:val="4"/>
        <w:keepNext w:val="0"/>
        <w:keepLines w:val="0"/>
        <w:widowControl/>
        <w:suppressLineNumbers w:val="0"/>
        <w:ind w:left="0" w:firstLine="480"/>
      </w:pPr>
      <w:r>
        <w:rPr>
          <w:rFonts w:hint="eastAsia" w:ascii="宋体" w:hAnsi="宋体" w:eastAsia="宋体" w:cs="宋体"/>
          <w:sz w:val="24"/>
          <w:szCs w:val="24"/>
        </w:rPr>
        <w:t>管理平台是一套网络视频管理系统，包含：中心管理服务器、流媒体服务器、实时监控客户端和网络配置工具等模块。</w:t>
      </w:r>
    </w:p>
    <w:p>
      <w:pPr>
        <w:pStyle w:val="4"/>
        <w:keepNext w:val="0"/>
        <w:keepLines w:val="0"/>
        <w:widowControl/>
        <w:suppressLineNumbers w:val="0"/>
        <w:ind w:left="0" w:firstLine="480"/>
      </w:pPr>
      <w:r>
        <w:rPr>
          <w:rFonts w:hint="eastAsia" w:ascii="宋体" w:hAnsi="宋体" w:eastAsia="宋体" w:cs="宋体"/>
          <w:sz w:val="24"/>
          <w:szCs w:val="24"/>
        </w:rPr>
        <w:t>中心管理服务器是管理平台的数据库中心，实现对登录用户的身份确认，对前端网络摄像机与各服务器的通讯管理，以及网络视频管理平台各个子系统的管理和相互间的数据交换。</w:t>
      </w:r>
    </w:p>
    <w:p>
      <w:pPr>
        <w:pStyle w:val="4"/>
        <w:keepNext w:val="0"/>
        <w:keepLines w:val="0"/>
        <w:widowControl/>
        <w:suppressLineNumbers w:val="0"/>
        <w:ind w:left="0" w:firstLine="480"/>
      </w:pPr>
      <w:r>
        <w:rPr>
          <w:rFonts w:hint="eastAsia" w:ascii="宋体" w:hAnsi="宋体" w:eastAsia="宋体" w:cs="宋体"/>
          <w:sz w:val="24"/>
          <w:szCs w:val="24"/>
        </w:rPr>
        <w:t>流媒体服务器实现把前端视频转发给存储设备进行存储和客户端进行浏览。通过流媒体服务器软件转发可以节省前端上传视频占用的网络带宽，如当多个客户端同时访问前端同一路视频时，前端编码器只要往流媒体服务器上传一个视频带宽的图像，再经流媒体服务器软件转发给多个客户端即可。</w:t>
      </w:r>
    </w:p>
    <w:p>
      <w:pPr>
        <w:pStyle w:val="4"/>
        <w:keepNext w:val="0"/>
        <w:keepLines w:val="0"/>
        <w:widowControl/>
        <w:suppressLineNumbers w:val="0"/>
        <w:ind w:left="0" w:firstLine="480"/>
      </w:pPr>
      <w:r>
        <w:rPr>
          <w:rFonts w:hint="eastAsia" w:ascii="宋体" w:hAnsi="宋体" w:eastAsia="宋体" w:cs="宋体"/>
          <w:sz w:val="24"/>
          <w:szCs w:val="24"/>
        </w:rPr>
        <w:t>实时监控客户端实现对视频浏览和前端摄像机的云台、镜头控制。</w:t>
      </w:r>
    </w:p>
    <w:p>
      <w:pPr>
        <w:pStyle w:val="4"/>
        <w:keepNext w:val="0"/>
        <w:keepLines w:val="0"/>
        <w:widowControl/>
        <w:suppressLineNumbers w:val="0"/>
        <w:ind w:left="0" w:firstLine="0"/>
      </w:pPr>
      <w:r>
        <w:rPr>
          <w:rStyle w:val="6"/>
          <w:rFonts w:hint="default" w:ascii="Calibri" w:hAnsi="Calibri" w:cs="Calibri"/>
          <w:b/>
        </w:rPr>
        <w:t>1.8.6</w:t>
      </w:r>
      <w:r>
        <w:rPr>
          <w:rStyle w:val="6"/>
          <w:rFonts w:hint="default" w:ascii="Times New Roman" w:hAnsi="Times New Roman" w:cs="Times New Roman"/>
          <w:b/>
          <w:sz w:val="13"/>
          <w:szCs w:val="13"/>
        </w:rPr>
        <w:t xml:space="preserve">       </w:t>
      </w:r>
      <w:r>
        <w:rPr>
          <w:rStyle w:val="6"/>
          <w:rFonts w:hint="eastAsia" w:ascii="黑体" w:hAnsi="宋体" w:eastAsia="黑体" w:cs="黑体"/>
          <w:b/>
        </w:rPr>
        <w:t>系统部署设 </w:t>
      </w:r>
      <w:r>
        <w:rPr>
          <w:rStyle w:val="6"/>
          <w:rFonts w:hint="default" w:ascii="Calibri" w:hAnsi="Calibri" w:cs="Calibri"/>
          <w:b/>
        </w:rPr>
        <w:t xml:space="preserve"> </w:t>
      </w:r>
      <w:r>
        <w:rPr>
          <w:rStyle w:val="6"/>
          <w:rFonts w:hint="eastAsia" w:ascii="黑体" w:hAnsi="宋体" w:eastAsia="黑体" w:cs="黑体"/>
          <w:b/>
        </w:rPr>
        <w:t>计</w:t>
      </w:r>
    </w:p>
    <w:p>
      <w:pPr>
        <w:pStyle w:val="4"/>
        <w:keepNext w:val="0"/>
        <w:keepLines w:val="0"/>
        <w:widowControl/>
        <w:suppressLineNumbers w:val="0"/>
        <w:ind w:left="0" w:firstLine="480"/>
      </w:pPr>
      <w:r>
        <w:rPr>
          <w:rFonts w:hint="eastAsia" w:ascii="宋体" w:hAnsi="宋体" w:eastAsia="宋体" w:cs="宋体"/>
          <w:sz w:val="24"/>
          <w:szCs w:val="24"/>
        </w:rPr>
        <w:t>系统硬件部署点位如下图所示：</w:t>
      </w:r>
      <w:r>
        <w:rPr>
          <w:rFonts w:hint="eastAsia" w:ascii="宋体" w:hAnsi="宋体" w:eastAsia="宋体" w:cs="宋体"/>
          <w:sz w:val="24"/>
          <w:szCs w:val="24"/>
        </w:rPr>
        <w:br w:type="textWrapping"/>
      </w:r>
      <w:r>
        <w:rPr>
          <w:rFonts w:hint="eastAsia" w:ascii="宋体" w:hAnsi="宋体" w:eastAsia="宋体" w:cs="宋体"/>
          <w:sz w:val="24"/>
          <w:szCs w:val="24"/>
        </w:rPr>
        <w:drawing>
          <wp:inline distT="0" distB="0" distL="114300" distR="114300">
            <wp:extent cx="5991860" cy="5238750"/>
            <wp:effectExtent l="0" t="0" r="8890" b="0"/>
            <wp:docPr id="10" name="图片 9" descr="15354208924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9" descr="1535420892418.png"/>
                    <pic:cNvPicPr>
                      <a:picLocks noChangeAspect="1"/>
                    </pic:cNvPicPr>
                  </pic:nvPicPr>
                  <pic:blipFill>
                    <a:blip r:embed="rId12"/>
                    <a:stretch>
                      <a:fillRect/>
                    </a:stretch>
                  </pic:blipFill>
                  <pic:spPr>
                    <a:xfrm>
                      <a:off x="0" y="0"/>
                      <a:ext cx="5991860" cy="5238750"/>
                    </a:xfrm>
                    <a:prstGeom prst="rect">
                      <a:avLst/>
                    </a:prstGeom>
                    <a:noFill/>
                    <a:ln w="9525">
                      <a:noFill/>
                    </a:ln>
                  </pic:spPr>
                </pic:pic>
              </a:graphicData>
            </a:graphic>
          </wp:inline>
        </w:drawing>
      </w:r>
    </w:p>
    <w:p>
      <w:pPr>
        <w:pStyle w:val="4"/>
        <w:keepNext w:val="0"/>
        <w:keepLines w:val="0"/>
        <w:widowControl/>
        <w:suppressLineNumbers w:val="0"/>
      </w:pPr>
      <w:r>
        <w:rPr>
          <w:rFonts w:hint="default" w:ascii="Calibri" w:hAnsi="Calibri" w:cs="Calibri"/>
          <w:sz w:val="21"/>
          <w:szCs w:val="21"/>
        </w:rPr>
        <w:br w:type="textWrapping"/>
      </w:r>
      <w:r>
        <w:rPr>
          <w:rFonts w:hint="default" w:ascii="Calibri" w:hAnsi="Calibri" w:cs="Calibri"/>
          <w:sz w:val="24"/>
          <w:szCs w:val="24"/>
        </w:rPr>
        <w:t> </w:t>
      </w:r>
    </w:p>
    <w:p>
      <w:pPr>
        <w:pStyle w:val="4"/>
        <w:keepNext w:val="0"/>
        <w:keepLines w:val="0"/>
        <w:widowControl/>
        <w:suppressLineNumbers w:val="0"/>
        <w:ind w:left="0" w:firstLine="405"/>
      </w:pPr>
      <w:r>
        <w:rPr>
          <w:rFonts w:hint="eastAsia" w:ascii="宋体" w:hAnsi="宋体" w:eastAsia="宋体" w:cs="宋体"/>
          <w:sz w:val="24"/>
          <w:szCs w:val="24"/>
        </w:rPr>
        <w:t>项目设 计监控区域覆盖大楼二层公共交易区的开标室、评标室、休息室及周边区域。具体硬件部署区域有需求如下表所示：</w:t>
      </w:r>
      <w:r>
        <w:rPr>
          <w:rFonts w:hint="eastAsia" w:ascii="宋体" w:hAnsi="宋体" w:eastAsia="宋体" w:cs="宋体"/>
          <w:sz w:val="24"/>
          <w:szCs w:val="24"/>
        </w:rPr>
        <w:br w:type="textWrapping"/>
      </w:r>
      <w:r>
        <w:rPr>
          <w:rFonts w:hint="eastAsia" w:ascii="宋体" w:hAnsi="宋体" w:eastAsia="宋体" w:cs="宋体"/>
          <w:sz w:val="24"/>
          <w:szCs w:val="24"/>
        </w:rPr>
        <w:t>表5.4-2  公共交易中心监控部署</w:t>
      </w:r>
    </w:p>
    <w:tbl>
      <w:tblPr>
        <w:tblStyle w:val="9"/>
        <w:tblW w:w="7963" w:type="dxa"/>
        <w:tblCellSpacing w:w="15"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15" w:type="dxa"/>
          <w:left w:w="15" w:type="dxa"/>
          <w:bottom w:w="15" w:type="dxa"/>
          <w:right w:w="15" w:type="dxa"/>
        </w:tblCellMar>
      </w:tblPr>
      <w:tblGrid>
        <w:gridCol w:w="1856"/>
        <w:gridCol w:w="4235"/>
        <w:gridCol w:w="1872"/>
      </w:tblGrid>
      <w:tr>
        <w:trPr>
          <w:trHeight w:val="285" w:hRule="atLeast"/>
          <w:tblCellSpacing w:w="15" w:type="dxa"/>
        </w:trPr>
        <w:tc>
          <w:tcPr>
            <w:tcW w:w="1811" w:type="dxa"/>
            <w:tcBorders>
              <w:top w:val="double" w:color="auto" w:sz="2" w:space="0"/>
              <w:left w:val="double" w:color="auto" w:sz="2"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Style w:val="6"/>
                <w:rFonts w:hint="eastAsia" w:ascii="宋体" w:hAnsi="宋体" w:eastAsia="宋体" w:cs="宋体"/>
                <w:b/>
                <w:color w:val="000000"/>
              </w:rPr>
              <w:t>监控区域</w:t>
            </w:r>
          </w:p>
        </w:tc>
        <w:tc>
          <w:tcPr>
            <w:tcW w:w="4205" w:type="dxa"/>
            <w:tcBorders>
              <w:top w:val="double" w:color="auto" w:sz="2"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Style w:val="6"/>
                <w:rFonts w:hint="eastAsia" w:ascii="宋体" w:hAnsi="宋体" w:eastAsia="宋体" w:cs="宋体"/>
                <w:b/>
                <w:color w:val="000000"/>
              </w:rPr>
              <w:t>设备</w:t>
            </w:r>
          </w:p>
        </w:tc>
        <w:tc>
          <w:tcPr>
            <w:tcW w:w="1827" w:type="dxa"/>
            <w:tcBorders>
              <w:top w:val="double" w:color="auto" w:sz="2" w:space="0"/>
              <w:left w:val="nil"/>
              <w:bottom w:val="single" w:color="auto" w:sz="6" w:space="0"/>
              <w:right w:val="double" w:color="auto" w:sz="2"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Style w:val="6"/>
                <w:rFonts w:hint="eastAsia" w:ascii="宋体" w:hAnsi="宋体" w:eastAsia="宋体" w:cs="宋体"/>
                <w:b/>
                <w:color w:val="000000"/>
              </w:rPr>
              <w:t>数量</w:t>
            </w:r>
          </w:p>
        </w:tc>
      </w:tr>
      <w:tr>
        <w:trPr>
          <w:trHeight w:val="285" w:hRule="atLeast"/>
          <w:tblCellSpacing w:w="15" w:type="dxa"/>
        </w:trPr>
        <w:tc>
          <w:tcPr>
            <w:tcW w:w="1811" w:type="dxa"/>
            <w:vMerge w:val="restart"/>
            <w:tcBorders>
              <w:top w:val="nil"/>
              <w:left w:val="double" w:color="auto" w:sz="2"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4"/>
                <w:szCs w:val="24"/>
              </w:rPr>
              <w:t>开标室1</w:t>
            </w:r>
          </w:p>
        </w:tc>
        <w:tc>
          <w:tcPr>
            <w:tcW w:w="420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ind w:left="375"/>
              <w:jc w:val="left"/>
            </w:pPr>
            <w:r>
              <w:rPr>
                <w:rFonts w:hint="eastAsia" w:ascii="宋体" w:hAnsi="宋体" w:eastAsia="宋体" w:cs="宋体"/>
                <w:color w:val="000000"/>
                <w:sz w:val="24"/>
                <w:szCs w:val="24"/>
              </w:rPr>
              <w:t>高清半球网络摄像机</w:t>
            </w:r>
          </w:p>
        </w:tc>
        <w:tc>
          <w:tcPr>
            <w:tcW w:w="1827" w:type="dxa"/>
            <w:tcBorders>
              <w:top w:val="nil"/>
              <w:left w:val="nil"/>
              <w:bottom w:val="single" w:color="auto" w:sz="6" w:space="0"/>
              <w:right w:val="double" w:color="auto" w:sz="2"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4"/>
                <w:szCs w:val="24"/>
              </w:rPr>
              <w:t>3</w:t>
            </w:r>
          </w:p>
        </w:tc>
      </w:tr>
      <w:tr>
        <w:trPr>
          <w:trHeight w:val="285" w:hRule="atLeast"/>
          <w:tblCellSpacing w:w="15" w:type="dxa"/>
        </w:trPr>
        <w:tc>
          <w:tcPr>
            <w:tcW w:w="1811" w:type="dxa"/>
            <w:vMerge w:val="continue"/>
            <w:tcBorders>
              <w:top w:val="nil"/>
              <w:left w:val="double" w:color="auto" w:sz="2" w:space="0"/>
              <w:bottom w:val="single" w:color="auto" w:sz="6" w:space="0"/>
              <w:right w:val="single" w:color="auto" w:sz="6" w:space="0"/>
            </w:tcBorders>
            <w:shd w:val="clear" w:color="auto" w:fill="FFFFFF"/>
            <w:tcMar>
              <w:top w:w="0" w:type="dxa"/>
              <w:left w:w="105" w:type="dxa"/>
              <w:bottom w:w="0" w:type="dxa"/>
              <w:right w:w="105" w:type="dxa"/>
            </w:tcMar>
            <w:vAlign w:val="center"/>
          </w:tcPr>
          <w:p>
            <w:pPr>
              <w:rPr>
                <w:rFonts w:hint="eastAsia" w:ascii="宋体"/>
                <w:sz w:val="24"/>
                <w:szCs w:val="24"/>
              </w:rPr>
            </w:pPr>
          </w:p>
        </w:tc>
        <w:tc>
          <w:tcPr>
            <w:tcW w:w="420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ind w:left="375"/>
              <w:jc w:val="left"/>
            </w:pPr>
            <w:r>
              <w:rPr>
                <w:rFonts w:hint="eastAsia" w:ascii="宋体" w:hAnsi="宋体" w:eastAsia="宋体" w:cs="宋体"/>
                <w:color w:val="000000"/>
                <w:sz w:val="24"/>
                <w:szCs w:val="24"/>
              </w:rPr>
              <w:t>云台快球摄像机</w:t>
            </w:r>
          </w:p>
        </w:tc>
        <w:tc>
          <w:tcPr>
            <w:tcW w:w="1827" w:type="dxa"/>
            <w:tcBorders>
              <w:top w:val="nil"/>
              <w:left w:val="nil"/>
              <w:bottom w:val="single" w:color="auto" w:sz="6" w:space="0"/>
              <w:right w:val="double" w:color="auto" w:sz="2"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4"/>
                <w:szCs w:val="24"/>
              </w:rPr>
              <w:t>1</w:t>
            </w:r>
          </w:p>
        </w:tc>
      </w:tr>
      <w:tr>
        <w:trPr>
          <w:trHeight w:val="285" w:hRule="atLeast"/>
          <w:tblCellSpacing w:w="15" w:type="dxa"/>
        </w:trPr>
        <w:tc>
          <w:tcPr>
            <w:tcW w:w="1811" w:type="dxa"/>
            <w:vMerge w:val="continue"/>
            <w:tcBorders>
              <w:top w:val="nil"/>
              <w:left w:val="double" w:color="auto" w:sz="2" w:space="0"/>
              <w:bottom w:val="single" w:color="auto" w:sz="6" w:space="0"/>
              <w:right w:val="single" w:color="auto" w:sz="6" w:space="0"/>
            </w:tcBorders>
            <w:shd w:val="clear" w:color="auto" w:fill="FFFFFF"/>
            <w:tcMar>
              <w:top w:w="0" w:type="dxa"/>
              <w:left w:w="105" w:type="dxa"/>
              <w:bottom w:w="0" w:type="dxa"/>
              <w:right w:w="105" w:type="dxa"/>
            </w:tcMar>
            <w:vAlign w:val="center"/>
          </w:tcPr>
          <w:p>
            <w:pPr>
              <w:rPr>
                <w:rFonts w:hint="eastAsia" w:ascii="宋体"/>
                <w:sz w:val="24"/>
                <w:szCs w:val="24"/>
              </w:rPr>
            </w:pPr>
          </w:p>
        </w:tc>
        <w:tc>
          <w:tcPr>
            <w:tcW w:w="420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ind w:left="375"/>
              <w:jc w:val="left"/>
            </w:pPr>
            <w:r>
              <w:rPr>
                <w:rFonts w:hint="eastAsia" w:ascii="宋体" w:hAnsi="宋体" w:eastAsia="宋体" w:cs="宋体"/>
                <w:color w:val="000000"/>
                <w:sz w:val="24"/>
                <w:szCs w:val="24"/>
              </w:rPr>
              <w:t>全向监控拾音器</w:t>
            </w:r>
          </w:p>
        </w:tc>
        <w:tc>
          <w:tcPr>
            <w:tcW w:w="1827" w:type="dxa"/>
            <w:tcBorders>
              <w:top w:val="nil"/>
              <w:left w:val="nil"/>
              <w:bottom w:val="single" w:color="auto" w:sz="6" w:space="0"/>
              <w:right w:val="double" w:color="auto" w:sz="2"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4"/>
                <w:szCs w:val="24"/>
              </w:rPr>
              <w:t>2</w:t>
            </w:r>
          </w:p>
        </w:tc>
      </w:tr>
      <w:tr>
        <w:trPr>
          <w:trHeight w:val="285" w:hRule="atLeast"/>
          <w:tblCellSpacing w:w="15" w:type="dxa"/>
        </w:trPr>
        <w:tc>
          <w:tcPr>
            <w:tcW w:w="1811" w:type="dxa"/>
            <w:vMerge w:val="restart"/>
            <w:tcBorders>
              <w:top w:val="nil"/>
              <w:left w:val="double" w:color="auto" w:sz="2"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4"/>
                <w:szCs w:val="24"/>
              </w:rPr>
              <w:t>开标室2</w:t>
            </w:r>
          </w:p>
        </w:tc>
        <w:tc>
          <w:tcPr>
            <w:tcW w:w="420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ind w:left="375"/>
              <w:jc w:val="left"/>
            </w:pPr>
            <w:r>
              <w:rPr>
                <w:rFonts w:hint="eastAsia" w:ascii="宋体" w:hAnsi="宋体" w:eastAsia="宋体" w:cs="宋体"/>
                <w:color w:val="000000"/>
                <w:sz w:val="24"/>
                <w:szCs w:val="24"/>
              </w:rPr>
              <w:t>高清半球网络摄像机</w:t>
            </w:r>
          </w:p>
        </w:tc>
        <w:tc>
          <w:tcPr>
            <w:tcW w:w="1827" w:type="dxa"/>
            <w:tcBorders>
              <w:top w:val="nil"/>
              <w:left w:val="nil"/>
              <w:bottom w:val="single" w:color="auto" w:sz="6" w:space="0"/>
              <w:right w:val="double" w:color="auto" w:sz="2"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4"/>
                <w:szCs w:val="24"/>
              </w:rPr>
              <w:t>3</w:t>
            </w:r>
          </w:p>
        </w:tc>
      </w:tr>
      <w:tr>
        <w:trPr>
          <w:trHeight w:val="285" w:hRule="atLeast"/>
          <w:tblCellSpacing w:w="15" w:type="dxa"/>
        </w:trPr>
        <w:tc>
          <w:tcPr>
            <w:tcW w:w="1811" w:type="dxa"/>
            <w:vMerge w:val="continue"/>
            <w:tcBorders>
              <w:top w:val="nil"/>
              <w:left w:val="double" w:color="auto" w:sz="2" w:space="0"/>
              <w:bottom w:val="single" w:color="auto" w:sz="6" w:space="0"/>
              <w:right w:val="single" w:color="auto" w:sz="6" w:space="0"/>
            </w:tcBorders>
            <w:shd w:val="clear" w:color="auto" w:fill="FFFFFF"/>
            <w:tcMar>
              <w:top w:w="0" w:type="dxa"/>
              <w:left w:w="105" w:type="dxa"/>
              <w:bottom w:w="0" w:type="dxa"/>
              <w:right w:w="105" w:type="dxa"/>
            </w:tcMar>
            <w:vAlign w:val="center"/>
          </w:tcPr>
          <w:p>
            <w:pPr>
              <w:rPr>
                <w:rFonts w:hint="eastAsia" w:ascii="宋体"/>
                <w:sz w:val="24"/>
                <w:szCs w:val="24"/>
              </w:rPr>
            </w:pPr>
          </w:p>
        </w:tc>
        <w:tc>
          <w:tcPr>
            <w:tcW w:w="420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ind w:left="375"/>
              <w:jc w:val="left"/>
            </w:pPr>
            <w:r>
              <w:rPr>
                <w:rFonts w:hint="eastAsia" w:ascii="宋体" w:hAnsi="宋体" w:eastAsia="宋体" w:cs="宋体"/>
                <w:color w:val="000000"/>
                <w:sz w:val="24"/>
                <w:szCs w:val="24"/>
              </w:rPr>
              <w:t>云台快球摄像机</w:t>
            </w:r>
          </w:p>
        </w:tc>
        <w:tc>
          <w:tcPr>
            <w:tcW w:w="1827" w:type="dxa"/>
            <w:tcBorders>
              <w:top w:val="nil"/>
              <w:left w:val="nil"/>
              <w:bottom w:val="single" w:color="auto" w:sz="6" w:space="0"/>
              <w:right w:val="double" w:color="auto" w:sz="2"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4"/>
                <w:szCs w:val="24"/>
              </w:rPr>
              <w:t>1</w:t>
            </w:r>
          </w:p>
        </w:tc>
      </w:tr>
      <w:tr>
        <w:trPr>
          <w:trHeight w:val="285" w:hRule="atLeast"/>
          <w:tblCellSpacing w:w="15" w:type="dxa"/>
        </w:trPr>
        <w:tc>
          <w:tcPr>
            <w:tcW w:w="1811" w:type="dxa"/>
            <w:vMerge w:val="continue"/>
            <w:tcBorders>
              <w:top w:val="nil"/>
              <w:left w:val="double" w:color="auto" w:sz="2" w:space="0"/>
              <w:bottom w:val="single" w:color="auto" w:sz="6" w:space="0"/>
              <w:right w:val="single" w:color="auto" w:sz="6" w:space="0"/>
            </w:tcBorders>
            <w:shd w:val="clear" w:color="auto" w:fill="FFFFFF"/>
            <w:tcMar>
              <w:top w:w="0" w:type="dxa"/>
              <w:left w:w="105" w:type="dxa"/>
              <w:bottom w:w="0" w:type="dxa"/>
              <w:right w:w="105" w:type="dxa"/>
            </w:tcMar>
            <w:vAlign w:val="center"/>
          </w:tcPr>
          <w:p>
            <w:pPr>
              <w:rPr>
                <w:rFonts w:hint="eastAsia" w:ascii="宋体"/>
                <w:sz w:val="24"/>
                <w:szCs w:val="24"/>
              </w:rPr>
            </w:pPr>
          </w:p>
        </w:tc>
        <w:tc>
          <w:tcPr>
            <w:tcW w:w="420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ind w:left="375"/>
              <w:jc w:val="left"/>
            </w:pPr>
            <w:r>
              <w:rPr>
                <w:rFonts w:hint="eastAsia" w:ascii="宋体" w:hAnsi="宋体" w:eastAsia="宋体" w:cs="宋体"/>
                <w:color w:val="000000"/>
                <w:sz w:val="24"/>
                <w:szCs w:val="24"/>
              </w:rPr>
              <w:t>全向监控拾音器</w:t>
            </w:r>
          </w:p>
        </w:tc>
        <w:tc>
          <w:tcPr>
            <w:tcW w:w="1827" w:type="dxa"/>
            <w:tcBorders>
              <w:top w:val="nil"/>
              <w:left w:val="nil"/>
              <w:bottom w:val="single" w:color="auto" w:sz="6" w:space="0"/>
              <w:right w:val="double" w:color="auto" w:sz="2"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4"/>
                <w:szCs w:val="24"/>
              </w:rPr>
              <w:t>2</w:t>
            </w:r>
          </w:p>
        </w:tc>
      </w:tr>
      <w:tr>
        <w:trPr>
          <w:trHeight w:val="285" w:hRule="atLeast"/>
          <w:tblCellSpacing w:w="15" w:type="dxa"/>
        </w:trPr>
        <w:tc>
          <w:tcPr>
            <w:tcW w:w="1811" w:type="dxa"/>
            <w:vMerge w:val="restart"/>
            <w:tcBorders>
              <w:top w:val="nil"/>
              <w:left w:val="double" w:color="auto" w:sz="2"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4"/>
                <w:szCs w:val="24"/>
              </w:rPr>
              <w:t>评标室1</w:t>
            </w:r>
          </w:p>
        </w:tc>
        <w:tc>
          <w:tcPr>
            <w:tcW w:w="420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ind w:left="375"/>
              <w:jc w:val="left"/>
            </w:pPr>
            <w:r>
              <w:rPr>
                <w:rFonts w:hint="eastAsia" w:ascii="宋体" w:hAnsi="宋体" w:eastAsia="宋体" w:cs="宋体"/>
                <w:color w:val="000000"/>
                <w:sz w:val="24"/>
                <w:szCs w:val="24"/>
              </w:rPr>
              <w:t>高清半球网络摄像机</w:t>
            </w:r>
          </w:p>
        </w:tc>
        <w:tc>
          <w:tcPr>
            <w:tcW w:w="1827" w:type="dxa"/>
            <w:tcBorders>
              <w:top w:val="nil"/>
              <w:left w:val="nil"/>
              <w:bottom w:val="single" w:color="auto" w:sz="6" w:space="0"/>
              <w:right w:val="double" w:color="auto" w:sz="2"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4"/>
                <w:szCs w:val="24"/>
              </w:rPr>
              <w:t>3</w:t>
            </w:r>
          </w:p>
        </w:tc>
      </w:tr>
      <w:tr>
        <w:trPr>
          <w:trHeight w:val="285" w:hRule="atLeast"/>
          <w:tblCellSpacing w:w="15" w:type="dxa"/>
        </w:trPr>
        <w:tc>
          <w:tcPr>
            <w:tcW w:w="1811" w:type="dxa"/>
            <w:vMerge w:val="continue"/>
            <w:tcBorders>
              <w:top w:val="nil"/>
              <w:left w:val="double" w:color="auto" w:sz="2" w:space="0"/>
              <w:bottom w:val="single" w:color="auto" w:sz="6" w:space="0"/>
              <w:right w:val="single" w:color="auto" w:sz="6" w:space="0"/>
            </w:tcBorders>
            <w:shd w:val="clear" w:color="auto" w:fill="FFFFFF"/>
            <w:tcMar>
              <w:top w:w="0" w:type="dxa"/>
              <w:left w:w="105" w:type="dxa"/>
              <w:bottom w:w="0" w:type="dxa"/>
              <w:right w:w="105" w:type="dxa"/>
            </w:tcMar>
            <w:vAlign w:val="center"/>
          </w:tcPr>
          <w:p>
            <w:pPr>
              <w:rPr>
                <w:rFonts w:hint="eastAsia" w:ascii="宋体"/>
                <w:sz w:val="24"/>
                <w:szCs w:val="24"/>
              </w:rPr>
            </w:pPr>
          </w:p>
        </w:tc>
        <w:tc>
          <w:tcPr>
            <w:tcW w:w="420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ind w:left="375"/>
              <w:jc w:val="left"/>
            </w:pPr>
            <w:r>
              <w:rPr>
                <w:rFonts w:hint="eastAsia" w:ascii="宋体" w:hAnsi="宋体" w:eastAsia="宋体" w:cs="宋体"/>
                <w:color w:val="000000"/>
                <w:sz w:val="24"/>
                <w:szCs w:val="24"/>
              </w:rPr>
              <w:t>全向监控拾音器</w:t>
            </w:r>
          </w:p>
        </w:tc>
        <w:tc>
          <w:tcPr>
            <w:tcW w:w="1827" w:type="dxa"/>
            <w:tcBorders>
              <w:top w:val="nil"/>
              <w:left w:val="nil"/>
              <w:bottom w:val="single" w:color="auto" w:sz="6" w:space="0"/>
              <w:right w:val="double" w:color="auto" w:sz="2"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4"/>
                <w:szCs w:val="24"/>
              </w:rPr>
              <w:t>2</w:t>
            </w:r>
          </w:p>
        </w:tc>
      </w:tr>
      <w:tr>
        <w:trPr>
          <w:trHeight w:val="285" w:hRule="atLeast"/>
          <w:tblCellSpacing w:w="15" w:type="dxa"/>
        </w:trPr>
        <w:tc>
          <w:tcPr>
            <w:tcW w:w="1811" w:type="dxa"/>
            <w:vMerge w:val="restart"/>
            <w:tcBorders>
              <w:top w:val="nil"/>
              <w:left w:val="double" w:color="auto" w:sz="2"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4"/>
                <w:szCs w:val="24"/>
              </w:rPr>
              <w:t>评标室2</w:t>
            </w:r>
          </w:p>
        </w:tc>
        <w:tc>
          <w:tcPr>
            <w:tcW w:w="420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ind w:left="375"/>
              <w:jc w:val="left"/>
            </w:pPr>
            <w:r>
              <w:rPr>
                <w:rFonts w:hint="eastAsia" w:ascii="宋体" w:hAnsi="宋体" w:eastAsia="宋体" w:cs="宋体"/>
                <w:color w:val="000000"/>
                <w:sz w:val="24"/>
                <w:szCs w:val="24"/>
              </w:rPr>
              <w:t>高清半球网络摄像机</w:t>
            </w:r>
          </w:p>
        </w:tc>
        <w:tc>
          <w:tcPr>
            <w:tcW w:w="1827" w:type="dxa"/>
            <w:tcBorders>
              <w:top w:val="nil"/>
              <w:left w:val="nil"/>
              <w:bottom w:val="single" w:color="auto" w:sz="6" w:space="0"/>
              <w:right w:val="double" w:color="auto" w:sz="2"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4"/>
                <w:szCs w:val="24"/>
              </w:rPr>
              <w:t>3</w:t>
            </w:r>
          </w:p>
        </w:tc>
      </w:tr>
      <w:tr>
        <w:trPr>
          <w:trHeight w:val="285" w:hRule="atLeast"/>
          <w:tblCellSpacing w:w="15" w:type="dxa"/>
        </w:trPr>
        <w:tc>
          <w:tcPr>
            <w:tcW w:w="1811" w:type="dxa"/>
            <w:vMerge w:val="continue"/>
            <w:tcBorders>
              <w:top w:val="nil"/>
              <w:left w:val="double" w:color="auto" w:sz="2" w:space="0"/>
              <w:bottom w:val="single" w:color="auto" w:sz="6" w:space="0"/>
              <w:right w:val="single" w:color="auto" w:sz="6" w:space="0"/>
            </w:tcBorders>
            <w:shd w:val="clear" w:color="auto" w:fill="FFFFFF"/>
            <w:tcMar>
              <w:top w:w="0" w:type="dxa"/>
              <w:left w:w="105" w:type="dxa"/>
              <w:bottom w:w="0" w:type="dxa"/>
              <w:right w:w="105" w:type="dxa"/>
            </w:tcMar>
            <w:vAlign w:val="center"/>
          </w:tcPr>
          <w:p>
            <w:pPr>
              <w:rPr>
                <w:rFonts w:hint="eastAsia" w:ascii="宋体"/>
                <w:sz w:val="24"/>
                <w:szCs w:val="24"/>
              </w:rPr>
            </w:pPr>
          </w:p>
        </w:tc>
        <w:tc>
          <w:tcPr>
            <w:tcW w:w="420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ind w:left="375"/>
              <w:jc w:val="left"/>
            </w:pPr>
            <w:r>
              <w:rPr>
                <w:rFonts w:hint="eastAsia" w:ascii="宋体" w:hAnsi="宋体" w:eastAsia="宋体" w:cs="宋体"/>
                <w:color w:val="000000"/>
                <w:sz w:val="24"/>
                <w:szCs w:val="24"/>
              </w:rPr>
              <w:t>全向监控拾音器</w:t>
            </w:r>
          </w:p>
        </w:tc>
        <w:tc>
          <w:tcPr>
            <w:tcW w:w="1827" w:type="dxa"/>
            <w:tcBorders>
              <w:top w:val="nil"/>
              <w:left w:val="nil"/>
              <w:bottom w:val="single" w:color="auto" w:sz="6" w:space="0"/>
              <w:right w:val="double" w:color="auto" w:sz="2"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4"/>
                <w:szCs w:val="24"/>
              </w:rPr>
              <w:t>2</w:t>
            </w:r>
          </w:p>
        </w:tc>
      </w:tr>
      <w:tr>
        <w:trPr>
          <w:trHeight w:val="285" w:hRule="atLeast"/>
          <w:tblCellSpacing w:w="15" w:type="dxa"/>
        </w:trPr>
        <w:tc>
          <w:tcPr>
            <w:tcW w:w="1811" w:type="dxa"/>
            <w:tcBorders>
              <w:top w:val="nil"/>
              <w:left w:val="double" w:color="auto" w:sz="2"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4"/>
                <w:szCs w:val="24"/>
              </w:rPr>
              <w:t>休息室</w:t>
            </w:r>
          </w:p>
        </w:tc>
        <w:tc>
          <w:tcPr>
            <w:tcW w:w="420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ind w:left="375"/>
              <w:jc w:val="left"/>
            </w:pPr>
            <w:r>
              <w:rPr>
                <w:rFonts w:hint="eastAsia" w:ascii="宋体" w:hAnsi="宋体" w:eastAsia="宋体" w:cs="宋体"/>
                <w:color w:val="000000"/>
                <w:sz w:val="24"/>
                <w:szCs w:val="24"/>
              </w:rPr>
              <w:t>高清半球网络摄像机</w:t>
            </w:r>
          </w:p>
        </w:tc>
        <w:tc>
          <w:tcPr>
            <w:tcW w:w="1827" w:type="dxa"/>
            <w:tcBorders>
              <w:top w:val="nil"/>
              <w:left w:val="nil"/>
              <w:bottom w:val="single" w:color="auto" w:sz="6" w:space="0"/>
              <w:right w:val="double" w:color="auto" w:sz="2"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4"/>
                <w:szCs w:val="24"/>
              </w:rPr>
              <w:t>1</w:t>
            </w:r>
          </w:p>
        </w:tc>
      </w:tr>
      <w:tr>
        <w:trPr>
          <w:trHeight w:val="285" w:hRule="atLeast"/>
          <w:tblCellSpacing w:w="15" w:type="dxa"/>
        </w:trPr>
        <w:tc>
          <w:tcPr>
            <w:tcW w:w="1811" w:type="dxa"/>
            <w:tcBorders>
              <w:top w:val="nil"/>
              <w:left w:val="double" w:color="auto" w:sz="2"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4"/>
                <w:szCs w:val="24"/>
              </w:rPr>
              <w:t>安检处</w:t>
            </w:r>
          </w:p>
        </w:tc>
        <w:tc>
          <w:tcPr>
            <w:tcW w:w="420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ind w:left="375"/>
              <w:jc w:val="left"/>
            </w:pPr>
            <w:r>
              <w:rPr>
                <w:rFonts w:hint="eastAsia" w:ascii="宋体" w:hAnsi="宋体" w:eastAsia="宋体" w:cs="宋体"/>
                <w:color w:val="000000"/>
                <w:sz w:val="24"/>
                <w:szCs w:val="24"/>
              </w:rPr>
              <w:t>高清半球网络摄像机</w:t>
            </w:r>
          </w:p>
        </w:tc>
        <w:tc>
          <w:tcPr>
            <w:tcW w:w="1827" w:type="dxa"/>
            <w:tcBorders>
              <w:top w:val="nil"/>
              <w:left w:val="nil"/>
              <w:bottom w:val="single" w:color="auto" w:sz="6" w:space="0"/>
              <w:right w:val="double" w:color="auto" w:sz="2"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4"/>
                <w:szCs w:val="24"/>
              </w:rPr>
              <w:t>2</w:t>
            </w:r>
          </w:p>
        </w:tc>
      </w:tr>
      <w:tr>
        <w:trPr>
          <w:trHeight w:val="285" w:hRule="atLeast"/>
          <w:tblCellSpacing w:w="15" w:type="dxa"/>
        </w:trPr>
        <w:tc>
          <w:tcPr>
            <w:tcW w:w="1811" w:type="dxa"/>
            <w:tcBorders>
              <w:top w:val="nil"/>
              <w:left w:val="double" w:color="auto" w:sz="2"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4"/>
                <w:szCs w:val="24"/>
              </w:rPr>
              <w:t>周边走廊</w:t>
            </w:r>
          </w:p>
        </w:tc>
        <w:tc>
          <w:tcPr>
            <w:tcW w:w="420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ind w:left="375"/>
              <w:jc w:val="left"/>
            </w:pPr>
            <w:r>
              <w:rPr>
                <w:rFonts w:hint="eastAsia" w:ascii="宋体" w:hAnsi="宋体" w:eastAsia="宋体" w:cs="宋体"/>
                <w:color w:val="000000"/>
                <w:sz w:val="24"/>
                <w:szCs w:val="24"/>
              </w:rPr>
              <w:t>高清半球网络摄像机</w:t>
            </w:r>
          </w:p>
        </w:tc>
        <w:tc>
          <w:tcPr>
            <w:tcW w:w="1827" w:type="dxa"/>
            <w:tcBorders>
              <w:top w:val="nil"/>
              <w:left w:val="nil"/>
              <w:bottom w:val="single" w:color="auto" w:sz="6" w:space="0"/>
              <w:right w:val="double" w:color="auto" w:sz="2"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4"/>
                <w:szCs w:val="24"/>
              </w:rPr>
              <w:t>3</w:t>
            </w:r>
          </w:p>
        </w:tc>
      </w:tr>
      <w:tr>
        <w:trPr>
          <w:trHeight w:val="285" w:hRule="atLeast"/>
          <w:tblCellSpacing w:w="15" w:type="dxa"/>
        </w:trPr>
        <w:tc>
          <w:tcPr>
            <w:tcW w:w="1811" w:type="dxa"/>
            <w:vMerge w:val="restart"/>
            <w:tcBorders>
              <w:top w:val="nil"/>
              <w:left w:val="double" w:color="auto" w:sz="2" w:space="0"/>
              <w:bottom w:val="double" w:color="auto" w:sz="2"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4"/>
                <w:szCs w:val="24"/>
              </w:rPr>
              <w:t>监控室</w:t>
            </w:r>
          </w:p>
        </w:tc>
        <w:tc>
          <w:tcPr>
            <w:tcW w:w="420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ind w:left="375"/>
              <w:jc w:val="left"/>
            </w:pPr>
            <w:r>
              <w:rPr>
                <w:rFonts w:hint="eastAsia" w:ascii="宋体" w:hAnsi="宋体" w:eastAsia="宋体" w:cs="宋体"/>
                <w:color w:val="000000"/>
                <w:sz w:val="24"/>
                <w:szCs w:val="24"/>
              </w:rPr>
              <w:t>拼接屏</w:t>
            </w:r>
          </w:p>
        </w:tc>
        <w:tc>
          <w:tcPr>
            <w:tcW w:w="1827" w:type="dxa"/>
            <w:tcBorders>
              <w:top w:val="nil"/>
              <w:left w:val="nil"/>
              <w:bottom w:val="single" w:color="auto" w:sz="6" w:space="0"/>
              <w:right w:val="double" w:color="auto" w:sz="2"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4"/>
                <w:szCs w:val="24"/>
              </w:rPr>
              <w:t>1</w:t>
            </w:r>
          </w:p>
        </w:tc>
      </w:tr>
      <w:tr>
        <w:trPr>
          <w:trHeight w:val="285" w:hRule="atLeast"/>
          <w:tblCellSpacing w:w="15" w:type="dxa"/>
        </w:trPr>
        <w:tc>
          <w:tcPr>
            <w:tcW w:w="1811" w:type="dxa"/>
            <w:vMerge w:val="continue"/>
            <w:tcBorders>
              <w:top w:val="nil"/>
              <w:left w:val="double" w:color="auto" w:sz="2" w:space="0"/>
              <w:bottom w:val="double" w:color="auto" w:sz="2" w:space="0"/>
              <w:right w:val="single" w:color="auto" w:sz="6" w:space="0"/>
            </w:tcBorders>
            <w:shd w:val="clear" w:color="auto" w:fill="FFFFFF"/>
            <w:tcMar>
              <w:top w:w="0" w:type="dxa"/>
              <w:left w:w="105" w:type="dxa"/>
              <w:bottom w:w="0" w:type="dxa"/>
              <w:right w:w="105" w:type="dxa"/>
            </w:tcMar>
            <w:vAlign w:val="center"/>
          </w:tcPr>
          <w:p>
            <w:pPr>
              <w:rPr>
                <w:rFonts w:hint="eastAsia" w:ascii="宋体"/>
                <w:sz w:val="24"/>
                <w:szCs w:val="24"/>
              </w:rPr>
            </w:pPr>
          </w:p>
        </w:tc>
        <w:tc>
          <w:tcPr>
            <w:tcW w:w="4205" w:type="dxa"/>
            <w:tcBorders>
              <w:top w:val="nil"/>
              <w:left w:val="nil"/>
              <w:bottom w:val="double" w:color="auto" w:sz="2"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ind w:left="375"/>
              <w:jc w:val="left"/>
            </w:pPr>
            <w:r>
              <w:rPr>
                <w:rFonts w:hint="eastAsia" w:ascii="宋体" w:hAnsi="宋体" w:eastAsia="宋体" w:cs="宋体"/>
                <w:color w:val="000000"/>
                <w:sz w:val="24"/>
                <w:szCs w:val="24"/>
              </w:rPr>
              <w:t>监管管理系统</w:t>
            </w:r>
          </w:p>
        </w:tc>
        <w:tc>
          <w:tcPr>
            <w:tcW w:w="1827" w:type="dxa"/>
            <w:tcBorders>
              <w:top w:val="nil"/>
              <w:left w:val="nil"/>
              <w:bottom w:val="double" w:color="auto" w:sz="2" w:space="0"/>
              <w:right w:val="double" w:color="auto" w:sz="2"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4"/>
                <w:szCs w:val="24"/>
              </w:rPr>
              <w:t>1</w:t>
            </w:r>
          </w:p>
        </w:tc>
      </w:tr>
    </w:tbl>
    <w:p>
      <w:pPr>
        <w:pStyle w:val="4"/>
        <w:keepNext w:val="0"/>
        <w:keepLines w:val="0"/>
        <w:widowControl/>
        <w:suppressLineNumbers w:val="0"/>
        <w:ind w:left="0" w:firstLine="0"/>
      </w:pPr>
      <w:r>
        <w:rPr>
          <w:rFonts w:hint="eastAsia" w:ascii="宋体" w:hAnsi="宋体" w:eastAsia="宋体" w:cs="宋体"/>
          <w:color w:val="000000"/>
          <w:sz w:val="24"/>
          <w:szCs w:val="24"/>
        </w:rPr>
        <w:t>1.9</w:t>
      </w:r>
      <w:r>
        <w:rPr>
          <w:rFonts w:hint="default" w:ascii="Times New Roman" w:hAnsi="Times New Roman" w:cs="Times New Roman"/>
          <w:color w:val="000000"/>
          <w:sz w:val="13"/>
          <w:szCs w:val="13"/>
        </w:rPr>
        <w:t xml:space="preserve">  </w:t>
      </w:r>
      <w:r>
        <w:rPr>
          <w:rStyle w:val="6"/>
          <w:rFonts w:hint="eastAsia" w:ascii="宋体" w:hAnsi="宋体" w:eastAsia="宋体" w:cs="宋体"/>
          <w:b/>
          <w:color w:val="000000"/>
        </w:rPr>
        <w:t>公共资源交易中心门禁系统设 计</w:t>
      </w:r>
    </w:p>
    <w:p>
      <w:pPr>
        <w:pStyle w:val="4"/>
        <w:keepNext w:val="0"/>
        <w:keepLines w:val="0"/>
        <w:widowControl/>
        <w:suppressLineNumbers w:val="0"/>
        <w:ind w:left="0" w:firstLine="0"/>
      </w:pPr>
      <w:r>
        <w:rPr>
          <w:rFonts w:hint="default" w:ascii="Calibri" w:hAnsi="Calibri" w:cs="Calibri"/>
          <w:color w:val="000000"/>
          <w:sz w:val="24"/>
          <w:szCs w:val="24"/>
        </w:rPr>
        <w:t>1.9.1</w:t>
      </w:r>
      <w:r>
        <w:rPr>
          <w:rFonts w:hint="default" w:ascii="Times New Roman" w:hAnsi="Times New Roman" w:cs="Times New Roman"/>
          <w:color w:val="000000"/>
          <w:sz w:val="13"/>
          <w:szCs w:val="13"/>
        </w:rPr>
        <w:t xml:space="preserve">       </w:t>
      </w:r>
      <w:r>
        <w:rPr>
          <w:rFonts w:hint="eastAsia" w:ascii="黑体" w:hAnsi="宋体" w:eastAsia="黑体" w:cs="黑体"/>
          <w:color w:val="000000"/>
          <w:sz w:val="24"/>
          <w:szCs w:val="24"/>
        </w:rPr>
        <w:t>系统概述</w:t>
      </w:r>
    </w:p>
    <w:p>
      <w:pPr>
        <w:pStyle w:val="4"/>
        <w:keepNext w:val="0"/>
        <w:keepLines w:val="0"/>
        <w:widowControl/>
        <w:suppressLineNumbers w:val="0"/>
        <w:ind w:left="0" w:firstLine="480"/>
      </w:pPr>
      <w:r>
        <w:rPr>
          <w:rFonts w:hint="eastAsia" w:ascii="宋体" w:hAnsi="宋体" w:eastAsia="宋体" w:cs="宋体"/>
          <w:sz w:val="24"/>
          <w:szCs w:val="24"/>
        </w:rPr>
        <w:t>位于行政服务中心二层的公共资源交易中心负责公开招标、邀请招标、竞争性谈判、竞争性磋商、询价、单一来源采购等项目，安全管理显得尤为重要。项目于本区域设</w:t>
      </w:r>
      <w:r>
        <w:rPr>
          <w:rFonts w:hint="default" w:ascii="Calibri" w:hAnsi="Calibri" w:cs="Calibri"/>
          <w:sz w:val="24"/>
          <w:szCs w:val="24"/>
        </w:rPr>
        <w:t xml:space="preserve">   </w:t>
      </w:r>
      <w:r>
        <w:rPr>
          <w:rFonts w:hint="eastAsia" w:ascii="宋体" w:hAnsi="宋体" w:eastAsia="宋体" w:cs="宋体"/>
          <w:sz w:val="24"/>
          <w:szCs w:val="24"/>
        </w:rPr>
        <w:t>计一套出入口门禁安全管理系统，实现其其重出入口的安全防范管理。</w:t>
      </w:r>
    </w:p>
    <w:p>
      <w:pPr>
        <w:pStyle w:val="4"/>
        <w:keepNext w:val="0"/>
        <w:keepLines w:val="0"/>
        <w:widowControl/>
        <w:suppressLineNumbers w:val="0"/>
      </w:pPr>
      <w:r>
        <w:rPr>
          <w:rFonts w:hint="default" w:ascii="Calibri" w:hAnsi="Calibri" w:cs="Calibri"/>
          <w:sz w:val="24"/>
          <w:szCs w:val="24"/>
        </w:rPr>
        <w:br w:type="textWrapping"/>
      </w:r>
      <w:r>
        <w:rPr>
          <w:rFonts w:hint="default" w:ascii="Calibri" w:hAnsi="Calibri" w:cs="Calibri"/>
          <w:sz w:val="24"/>
          <w:szCs w:val="24"/>
        </w:rPr>
        <w:drawing>
          <wp:inline distT="0" distB="0" distL="114300" distR="114300">
            <wp:extent cx="5941060" cy="4502150"/>
            <wp:effectExtent l="0" t="0" r="2540" b="12700"/>
            <wp:docPr id="11" name="图片 10" descr="15354209712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0" descr="1535420971227.png"/>
                    <pic:cNvPicPr>
                      <a:picLocks noChangeAspect="1"/>
                    </pic:cNvPicPr>
                  </pic:nvPicPr>
                  <pic:blipFill>
                    <a:blip r:embed="rId13"/>
                    <a:stretch>
                      <a:fillRect/>
                    </a:stretch>
                  </pic:blipFill>
                  <pic:spPr>
                    <a:xfrm>
                      <a:off x="0" y="0"/>
                      <a:ext cx="5941060" cy="4502150"/>
                    </a:xfrm>
                    <a:prstGeom prst="rect">
                      <a:avLst/>
                    </a:prstGeom>
                    <a:noFill/>
                    <a:ln w="9525">
                      <a:noFill/>
                    </a:ln>
                  </pic:spPr>
                </pic:pic>
              </a:graphicData>
            </a:graphic>
          </wp:inline>
        </w:drawing>
      </w:r>
      <w:r>
        <w:br w:type="textWrapping"/>
      </w:r>
      <w:r>
        <w:rPr>
          <w:rFonts w:hint="default" w:ascii="Calibri" w:hAnsi="Calibri" w:cs="Calibri"/>
          <w:sz w:val="24"/>
          <w:szCs w:val="24"/>
        </w:rPr>
        <w:t> </w:t>
      </w:r>
    </w:p>
    <w:p>
      <w:pPr>
        <w:pStyle w:val="4"/>
        <w:keepNext w:val="0"/>
        <w:keepLines w:val="0"/>
        <w:widowControl/>
        <w:suppressLineNumbers w:val="0"/>
      </w:pPr>
      <w:r>
        <w:rPr>
          <w:rFonts w:hint="eastAsia" w:ascii="宋体" w:hAnsi="宋体" w:eastAsia="宋体" w:cs="宋体"/>
          <w:sz w:val="24"/>
          <w:szCs w:val="24"/>
        </w:rPr>
        <w:br w:type="textWrapping"/>
      </w:r>
      <w:r>
        <w:br w:type="textWrapping"/>
      </w:r>
      <w:r>
        <w:rPr>
          <w:rFonts w:hint="default" w:ascii="Calibri" w:hAnsi="Calibri" w:cs="Calibri"/>
          <w:sz w:val="24"/>
          <w:szCs w:val="24"/>
        </w:rPr>
        <w:t> </w:t>
      </w:r>
    </w:p>
    <w:p>
      <w:pPr>
        <w:pStyle w:val="4"/>
        <w:keepNext w:val="0"/>
        <w:keepLines w:val="0"/>
        <w:widowControl/>
        <w:suppressLineNumbers w:val="0"/>
        <w:ind w:left="0" w:firstLine="0"/>
      </w:pPr>
      <w:r>
        <w:rPr>
          <w:rStyle w:val="6"/>
          <w:rFonts w:hint="eastAsia" w:ascii="宋体" w:hAnsi="宋体" w:eastAsia="宋体" w:cs="宋体"/>
          <w:b/>
        </w:rPr>
        <w:t>1.9.2</w:t>
      </w:r>
      <w:r>
        <w:rPr>
          <w:rStyle w:val="6"/>
          <w:rFonts w:hint="default" w:ascii="Times New Roman" w:hAnsi="Times New Roman" w:cs="Times New Roman"/>
          <w:b/>
          <w:sz w:val="13"/>
          <w:szCs w:val="13"/>
        </w:rPr>
        <w:t xml:space="preserve">  </w:t>
      </w:r>
      <w:r>
        <w:rPr>
          <w:rStyle w:val="6"/>
          <w:rFonts w:hint="eastAsia" w:ascii="宋体" w:hAnsi="宋体" w:eastAsia="宋体" w:cs="宋体"/>
          <w:b/>
        </w:rPr>
        <w:t>系统指标</w:t>
      </w:r>
    </w:p>
    <w:p>
      <w:pPr>
        <w:pStyle w:val="4"/>
        <w:keepNext w:val="0"/>
        <w:keepLines w:val="0"/>
        <w:widowControl/>
        <w:suppressLineNumbers w:val="0"/>
        <w:ind w:left="0" w:firstLine="480"/>
      </w:pPr>
      <w:r>
        <w:rPr>
          <w:rFonts w:hint="default" w:ascii="Calibri" w:hAnsi="Calibri" w:cs="Calibri"/>
          <w:sz w:val="24"/>
          <w:szCs w:val="24"/>
        </w:rPr>
        <w:t>1</w:t>
      </w:r>
      <w:r>
        <w:rPr>
          <w:rFonts w:hint="eastAsia" w:ascii="宋体" w:hAnsi="宋体" w:eastAsia="宋体" w:cs="宋体"/>
          <w:sz w:val="24"/>
          <w:szCs w:val="24"/>
        </w:rPr>
        <w:t>、单级网络的情况下，现场报警信息传输到出人口管理中心的响应时间应不大于</w:t>
      </w:r>
      <w:r>
        <w:rPr>
          <w:rFonts w:hint="default" w:ascii="Calibri" w:hAnsi="Calibri" w:cs="Calibri"/>
          <w:sz w:val="24"/>
          <w:szCs w:val="24"/>
        </w:rPr>
        <w:t>2</w:t>
      </w:r>
      <w:r>
        <w:rPr>
          <w:rFonts w:hint="eastAsia" w:ascii="宋体" w:hAnsi="宋体" w:eastAsia="宋体" w:cs="宋体"/>
          <w:sz w:val="24"/>
          <w:szCs w:val="24"/>
        </w:rPr>
        <w:t>秒；</w:t>
      </w:r>
    </w:p>
    <w:p>
      <w:pPr>
        <w:pStyle w:val="4"/>
        <w:keepNext w:val="0"/>
        <w:keepLines w:val="0"/>
        <w:widowControl/>
        <w:suppressLineNumbers w:val="0"/>
        <w:ind w:left="0" w:firstLine="480"/>
      </w:pPr>
      <w:r>
        <w:rPr>
          <w:rFonts w:hint="default" w:ascii="Calibri" w:hAnsi="Calibri" w:cs="Calibri"/>
          <w:sz w:val="24"/>
          <w:szCs w:val="24"/>
        </w:rPr>
        <w:t>2</w:t>
      </w:r>
      <w:r>
        <w:rPr>
          <w:rFonts w:hint="eastAsia" w:ascii="宋体" w:hAnsi="宋体" w:eastAsia="宋体" w:cs="宋体"/>
          <w:sz w:val="24"/>
          <w:szCs w:val="24"/>
        </w:rPr>
        <w:t>、发生以下情况下，系统发生报警：</w:t>
      </w:r>
    </w:p>
    <w:p>
      <w:pPr>
        <w:pStyle w:val="4"/>
        <w:keepNext w:val="0"/>
        <w:keepLines w:val="0"/>
        <w:widowControl/>
        <w:suppressLineNumbers w:val="0"/>
        <w:spacing w:before="0" w:beforeAutospacing="1" w:after="0" w:afterAutospacing="1"/>
        <w:ind w:left="900" w:right="0"/>
      </w:pPr>
      <w:r>
        <w:rPr>
          <w:rFonts w:hint="default" w:ascii="Wingdings" w:hAnsi="Wingdings" w:cs="Wingdings"/>
          <w:sz w:val="24"/>
          <w:szCs w:val="24"/>
        </w:rPr>
        <w:t>n</w:t>
      </w:r>
      <w:r>
        <w:rPr>
          <w:rFonts w:hint="default" w:ascii="Times New Roman" w:hAnsi="Times New Roman" w:cs="Times New Roman"/>
          <w:sz w:val="13"/>
          <w:szCs w:val="13"/>
        </w:rPr>
        <w:t xml:space="preserve">  </w:t>
      </w:r>
      <w:r>
        <w:rPr>
          <w:rFonts w:hint="eastAsia" w:ascii="宋体" w:hAnsi="宋体" w:eastAsia="宋体" w:cs="宋体"/>
          <w:sz w:val="24"/>
          <w:szCs w:val="24"/>
        </w:rPr>
        <w:t>未使用授权的钥匙而强行通过出入口；</w:t>
      </w:r>
    </w:p>
    <w:p>
      <w:pPr>
        <w:pStyle w:val="4"/>
        <w:keepNext w:val="0"/>
        <w:keepLines w:val="0"/>
        <w:widowControl/>
        <w:suppressLineNumbers w:val="0"/>
        <w:spacing w:before="0" w:beforeAutospacing="1" w:after="0" w:afterAutospacing="1"/>
        <w:ind w:left="900" w:right="0"/>
      </w:pPr>
      <w:r>
        <w:rPr>
          <w:rFonts w:hint="default" w:ascii="Wingdings" w:hAnsi="Wingdings" w:cs="Wingdings"/>
          <w:sz w:val="24"/>
          <w:szCs w:val="24"/>
        </w:rPr>
        <w:t>n</w:t>
      </w:r>
      <w:r>
        <w:rPr>
          <w:rFonts w:hint="default" w:ascii="Times New Roman" w:hAnsi="Times New Roman" w:cs="Times New Roman"/>
          <w:sz w:val="13"/>
          <w:szCs w:val="13"/>
        </w:rPr>
        <w:t xml:space="preserve">  </w:t>
      </w:r>
      <w:r>
        <w:rPr>
          <w:rFonts w:hint="eastAsia" w:ascii="宋体" w:hAnsi="宋体" w:eastAsia="宋体" w:cs="宋体"/>
          <w:sz w:val="24"/>
          <w:szCs w:val="24"/>
        </w:rPr>
        <w:t>强行拆除或打开识读装置；</w:t>
      </w:r>
    </w:p>
    <w:p>
      <w:pPr>
        <w:pStyle w:val="4"/>
        <w:keepNext w:val="0"/>
        <w:keepLines w:val="0"/>
        <w:widowControl/>
        <w:suppressLineNumbers w:val="0"/>
        <w:spacing w:before="0" w:beforeAutospacing="1" w:after="0" w:afterAutospacing="1"/>
        <w:ind w:left="900" w:right="0"/>
      </w:pPr>
      <w:r>
        <w:rPr>
          <w:rFonts w:hint="default" w:ascii="Wingdings" w:hAnsi="Wingdings" w:cs="Wingdings"/>
          <w:sz w:val="24"/>
          <w:szCs w:val="24"/>
        </w:rPr>
        <w:t>n</w:t>
      </w:r>
      <w:r>
        <w:rPr>
          <w:rFonts w:hint="default" w:ascii="Times New Roman" w:hAnsi="Times New Roman" w:cs="Times New Roman"/>
          <w:sz w:val="13"/>
          <w:szCs w:val="13"/>
        </w:rPr>
        <w:t xml:space="preserve">  </w:t>
      </w:r>
      <w:r>
        <w:rPr>
          <w:rFonts w:hint="eastAsia" w:ascii="宋体" w:hAnsi="宋体" w:eastAsia="宋体" w:cs="宋体"/>
          <w:sz w:val="24"/>
          <w:szCs w:val="24"/>
        </w:rPr>
        <w:t>电源被切断或短路，网络传输发生故障；</w:t>
      </w:r>
    </w:p>
    <w:p>
      <w:pPr>
        <w:pStyle w:val="4"/>
        <w:keepNext w:val="0"/>
        <w:keepLines w:val="0"/>
        <w:widowControl/>
        <w:suppressLineNumbers w:val="0"/>
        <w:ind w:left="0" w:firstLine="480"/>
      </w:pPr>
      <w:r>
        <w:rPr>
          <w:rFonts w:hint="default" w:ascii="Calibri" w:hAnsi="Calibri" w:cs="Calibri"/>
          <w:sz w:val="24"/>
          <w:szCs w:val="24"/>
        </w:rPr>
        <w:t>3</w:t>
      </w:r>
      <w:r>
        <w:rPr>
          <w:rFonts w:hint="eastAsia" w:ascii="宋体" w:hAnsi="宋体" w:eastAsia="宋体" w:cs="宋体"/>
          <w:sz w:val="24"/>
          <w:szCs w:val="24"/>
        </w:rPr>
        <w:t>、系统具备应急开启功能；</w:t>
      </w:r>
    </w:p>
    <w:p>
      <w:pPr>
        <w:pStyle w:val="4"/>
        <w:keepNext w:val="0"/>
        <w:keepLines w:val="0"/>
        <w:widowControl/>
        <w:suppressLineNumbers w:val="0"/>
        <w:ind w:left="0" w:firstLine="480"/>
      </w:pPr>
      <w:r>
        <w:rPr>
          <w:rFonts w:hint="default" w:ascii="Calibri" w:hAnsi="Calibri" w:cs="Calibri"/>
          <w:sz w:val="24"/>
          <w:szCs w:val="24"/>
        </w:rPr>
        <w:t>4</w:t>
      </w:r>
      <w:r>
        <w:rPr>
          <w:rFonts w:hint="eastAsia" w:ascii="宋体" w:hAnsi="宋体" w:eastAsia="宋体" w:cs="宋体"/>
          <w:sz w:val="24"/>
          <w:szCs w:val="24"/>
        </w:rPr>
        <w:t>、系统应能独立运行，并应能与电子巡查、入侵报警、视频安防监控等系统联动，宜与安全防范系统的监控中心联网。</w:t>
      </w:r>
    </w:p>
    <w:p>
      <w:pPr>
        <w:pStyle w:val="4"/>
        <w:keepNext w:val="0"/>
        <w:keepLines w:val="0"/>
        <w:widowControl/>
        <w:suppressLineNumbers w:val="0"/>
        <w:ind w:left="0" w:firstLine="0"/>
      </w:pPr>
      <w:r>
        <w:rPr>
          <w:rStyle w:val="6"/>
          <w:rFonts w:hint="eastAsia" w:ascii="宋体" w:hAnsi="宋体" w:eastAsia="宋体" w:cs="宋体"/>
          <w:b/>
        </w:rPr>
        <w:t>1.9.3</w:t>
      </w:r>
      <w:r>
        <w:rPr>
          <w:rStyle w:val="6"/>
          <w:rFonts w:hint="default" w:ascii="Times New Roman" w:hAnsi="Times New Roman" w:cs="Times New Roman"/>
          <w:b/>
          <w:sz w:val="13"/>
          <w:szCs w:val="13"/>
        </w:rPr>
        <w:t xml:space="preserve">  </w:t>
      </w:r>
      <w:r>
        <w:rPr>
          <w:rStyle w:val="6"/>
          <w:rFonts w:hint="eastAsia" w:ascii="宋体" w:hAnsi="宋体" w:eastAsia="宋体" w:cs="宋体"/>
          <w:b/>
        </w:rPr>
        <w:t>需求分析</w:t>
      </w:r>
    </w:p>
    <w:p>
      <w:pPr>
        <w:pStyle w:val="4"/>
        <w:keepNext w:val="0"/>
        <w:keepLines w:val="0"/>
        <w:widowControl/>
        <w:suppressLineNumbers w:val="0"/>
        <w:ind w:left="0" w:firstLine="480"/>
      </w:pPr>
      <w:r>
        <w:rPr>
          <w:rFonts w:hint="eastAsia" w:ascii="宋体" w:hAnsi="宋体" w:eastAsia="宋体" w:cs="宋体"/>
          <w:sz w:val="24"/>
          <w:szCs w:val="24"/>
        </w:rPr>
        <w:t>位于行政服务中心二层的公共资源交易中心内的评标室、主要出入口及网络机房等重要位置安装门禁管理系统，以便更好的管理出入公共资源交易中心的相关人员。</w:t>
      </w:r>
      <w:r>
        <w:rPr>
          <w:rFonts w:hint="eastAsia" w:ascii="宋体" w:hAnsi="宋体" w:eastAsia="宋体" w:cs="宋体"/>
          <w:sz w:val="24"/>
          <w:szCs w:val="24"/>
        </w:rPr>
        <w:br w:type="textWrapping"/>
      </w:r>
      <w:r>
        <w:rPr>
          <w:rFonts w:hint="eastAsia" w:ascii="宋体" w:hAnsi="宋体" w:eastAsia="宋体" w:cs="宋体"/>
          <w:sz w:val="24"/>
          <w:szCs w:val="24"/>
        </w:rPr>
        <w:t>表</w:t>
      </w:r>
      <w:r>
        <w:rPr>
          <w:rFonts w:hint="default" w:ascii="Calibri" w:hAnsi="Calibri" w:cs="Calibri"/>
          <w:sz w:val="24"/>
          <w:szCs w:val="24"/>
        </w:rPr>
        <w:t xml:space="preserve">5.5-1 </w:t>
      </w:r>
      <w:r>
        <w:rPr>
          <w:rFonts w:hint="eastAsia" w:ascii="宋体" w:hAnsi="宋体" w:eastAsia="宋体" w:cs="宋体"/>
          <w:sz w:val="24"/>
          <w:szCs w:val="24"/>
        </w:rPr>
        <w:t>公共交易区域安全出入口人员识别需求表</w:t>
      </w:r>
    </w:p>
    <w:tbl>
      <w:tblPr>
        <w:tblStyle w:val="9"/>
        <w:tblW w:w="7962" w:type="dxa"/>
        <w:tblCellSpacing w:w="15"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15" w:type="dxa"/>
          <w:left w:w="15" w:type="dxa"/>
          <w:bottom w:w="15" w:type="dxa"/>
          <w:right w:w="15" w:type="dxa"/>
        </w:tblCellMar>
      </w:tblPr>
      <w:tblGrid>
        <w:gridCol w:w="1106"/>
        <w:gridCol w:w="4231"/>
        <w:gridCol w:w="1134"/>
        <w:gridCol w:w="1491"/>
      </w:tblGrid>
      <w:tr>
        <w:trPr>
          <w:tblCellSpacing w:w="15" w:type="dxa"/>
        </w:trPr>
        <w:tc>
          <w:tcPr>
            <w:tcW w:w="1061" w:type="dxa"/>
            <w:tcBorders>
              <w:top w:val="double" w:color="auto" w:sz="2" w:space="0"/>
              <w:left w:val="double" w:color="auto" w:sz="2"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Style w:val="6"/>
                <w:rFonts w:hint="eastAsia" w:ascii="宋体" w:hAnsi="宋体" w:eastAsia="宋体" w:cs="宋体"/>
                <w:b/>
              </w:rPr>
              <w:t>序号</w:t>
            </w:r>
          </w:p>
        </w:tc>
        <w:tc>
          <w:tcPr>
            <w:tcW w:w="4201" w:type="dxa"/>
            <w:tcBorders>
              <w:top w:val="double" w:color="auto" w:sz="2"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Style w:val="6"/>
                <w:rFonts w:hint="eastAsia" w:ascii="宋体" w:hAnsi="宋体" w:eastAsia="宋体" w:cs="宋体"/>
                <w:b/>
              </w:rPr>
              <w:t>安装位置</w:t>
            </w:r>
          </w:p>
        </w:tc>
        <w:tc>
          <w:tcPr>
            <w:tcW w:w="1104" w:type="dxa"/>
            <w:tcBorders>
              <w:top w:val="double" w:color="auto" w:sz="2"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Style w:val="6"/>
                <w:rFonts w:hint="eastAsia" w:ascii="宋体" w:hAnsi="宋体" w:eastAsia="宋体" w:cs="宋体"/>
                <w:b/>
              </w:rPr>
              <w:t>数量</w:t>
            </w:r>
          </w:p>
        </w:tc>
        <w:tc>
          <w:tcPr>
            <w:tcW w:w="1446" w:type="dxa"/>
            <w:tcBorders>
              <w:top w:val="double" w:color="auto" w:sz="2" w:space="0"/>
              <w:left w:val="nil"/>
              <w:bottom w:val="single" w:color="auto" w:sz="6" w:space="0"/>
              <w:right w:val="double" w:color="auto" w:sz="2"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Style w:val="6"/>
                <w:rFonts w:hint="eastAsia" w:ascii="宋体" w:hAnsi="宋体" w:eastAsia="宋体" w:cs="宋体"/>
                <w:b/>
              </w:rPr>
              <w:t>备注</w:t>
            </w:r>
          </w:p>
        </w:tc>
      </w:tr>
      <w:tr>
        <w:trPr>
          <w:tblCellSpacing w:w="15" w:type="dxa"/>
        </w:trPr>
        <w:tc>
          <w:tcPr>
            <w:tcW w:w="1061" w:type="dxa"/>
            <w:tcBorders>
              <w:top w:val="nil"/>
              <w:left w:val="double" w:color="auto" w:sz="2" w:space="0"/>
              <w:bottom w:val="single" w:color="auto" w:sz="6" w:space="0"/>
              <w:right w:val="single" w:color="auto" w:sz="6" w:space="0"/>
            </w:tcBorders>
            <w:shd w:val="clear" w:color="auto" w:fill="FFFFFF"/>
            <w:tcMar>
              <w:top w:w="0" w:type="dxa"/>
              <w:left w:w="105" w:type="dxa"/>
              <w:bottom w:w="0" w:type="dxa"/>
              <w:right w:w="105" w:type="dxa"/>
            </w:tcMar>
            <w:vAlign w:val="top"/>
          </w:tcPr>
          <w:p>
            <w:pPr>
              <w:pStyle w:val="4"/>
              <w:keepNext w:val="0"/>
              <w:keepLines w:val="0"/>
              <w:widowControl/>
              <w:suppressLineNumbers w:val="0"/>
              <w:jc w:val="center"/>
            </w:pPr>
            <w:r>
              <w:rPr>
                <w:rFonts w:hint="eastAsia" w:ascii="宋体" w:hAnsi="宋体" w:eastAsia="宋体" w:cs="宋体"/>
                <w:sz w:val="24"/>
                <w:szCs w:val="24"/>
              </w:rPr>
              <w:t>1</w:t>
            </w:r>
          </w:p>
        </w:tc>
        <w:tc>
          <w:tcPr>
            <w:tcW w:w="4201"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top"/>
          </w:tcPr>
          <w:p>
            <w:pPr>
              <w:pStyle w:val="4"/>
              <w:keepNext w:val="0"/>
              <w:keepLines w:val="0"/>
              <w:widowControl/>
              <w:suppressLineNumbers w:val="0"/>
              <w:jc w:val="center"/>
            </w:pPr>
            <w:r>
              <w:rPr>
                <w:rFonts w:hint="eastAsia" w:ascii="宋体" w:hAnsi="宋体" w:eastAsia="宋体" w:cs="宋体"/>
                <w:sz w:val="24"/>
                <w:szCs w:val="24"/>
              </w:rPr>
              <w:t>评标室</w:t>
            </w:r>
          </w:p>
        </w:tc>
        <w:tc>
          <w:tcPr>
            <w:tcW w:w="1104"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top"/>
          </w:tcPr>
          <w:p>
            <w:pPr>
              <w:pStyle w:val="4"/>
              <w:keepNext w:val="0"/>
              <w:keepLines w:val="0"/>
              <w:widowControl/>
              <w:suppressLineNumbers w:val="0"/>
              <w:jc w:val="center"/>
            </w:pPr>
            <w:r>
              <w:rPr>
                <w:rFonts w:hint="eastAsia" w:ascii="宋体" w:hAnsi="宋体" w:eastAsia="宋体" w:cs="宋体"/>
                <w:sz w:val="24"/>
                <w:szCs w:val="24"/>
              </w:rPr>
              <w:t>2</w:t>
            </w:r>
          </w:p>
        </w:tc>
        <w:tc>
          <w:tcPr>
            <w:tcW w:w="1446" w:type="dxa"/>
            <w:tcBorders>
              <w:top w:val="nil"/>
              <w:left w:val="nil"/>
              <w:bottom w:val="single" w:color="auto" w:sz="6" w:space="0"/>
              <w:right w:val="double" w:color="auto" w:sz="2" w:space="0"/>
            </w:tcBorders>
            <w:shd w:val="clear" w:color="auto" w:fill="FFFFFF"/>
            <w:tcMar>
              <w:top w:w="0" w:type="dxa"/>
              <w:left w:w="105" w:type="dxa"/>
              <w:bottom w:w="0" w:type="dxa"/>
              <w:right w:w="105" w:type="dxa"/>
            </w:tcMar>
            <w:vAlign w:val="top"/>
          </w:tcPr>
          <w:p>
            <w:pPr>
              <w:keepNext w:val="0"/>
              <w:keepLines w:val="0"/>
              <w:widowControl/>
              <w:suppressLineNumbers w:val="0"/>
              <w:jc w:val="left"/>
            </w:pPr>
          </w:p>
        </w:tc>
      </w:tr>
      <w:tr>
        <w:trPr>
          <w:tblCellSpacing w:w="15" w:type="dxa"/>
        </w:trPr>
        <w:tc>
          <w:tcPr>
            <w:tcW w:w="1061" w:type="dxa"/>
            <w:tcBorders>
              <w:top w:val="nil"/>
              <w:left w:val="double" w:color="auto" w:sz="2" w:space="0"/>
              <w:bottom w:val="single" w:color="auto" w:sz="6" w:space="0"/>
              <w:right w:val="single" w:color="auto" w:sz="6" w:space="0"/>
            </w:tcBorders>
            <w:shd w:val="clear" w:color="auto" w:fill="FFFFFF"/>
            <w:tcMar>
              <w:top w:w="0" w:type="dxa"/>
              <w:left w:w="105" w:type="dxa"/>
              <w:bottom w:w="0" w:type="dxa"/>
              <w:right w:w="105" w:type="dxa"/>
            </w:tcMar>
            <w:vAlign w:val="top"/>
          </w:tcPr>
          <w:p>
            <w:pPr>
              <w:pStyle w:val="4"/>
              <w:keepNext w:val="0"/>
              <w:keepLines w:val="0"/>
              <w:widowControl/>
              <w:suppressLineNumbers w:val="0"/>
              <w:jc w:val="center"/>
            </w:pPr>
            <w:r>
              <w:rPr>
                <w:rFonts w:hint="eastAsia" w:ascii="宋体" w:hAnsi="宋体" w:eastAsia="宋体" w:cs="宋体"/>
                <w:sz w:val="24"/>
                <w:szCs w:val="24"/>
              </w:rPr>
              <w:t>2</w:t>
            </w:r>
          </w:p>
        </w:tc>
        <w:tc>
          <w:tcPr>
            <w:tcW w:w="4201"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top"/>
          </w:tcPr>
          <w:p>
            <w:pPr>
              <w:pStyle w:val="4"/>
              <w:keepNext w:val="0"/>
              <w:keepLines w:val="0"/>
              <w:widowControl/>
              <w:suppressLineNumbers w:val="0"/>
              <w:jc w:val="center"/>
            </w:pPr>
            <w:r>
              <w:rPr>
                <w:rFonts w:hint="eastAsia" w:ascii="宋体" w:hAnsi="宋体" w:eastAsia="宋体" w:cs="宋体"/>
                <w:sz w:val="24"/>
                <w:szCs w:val="24"/>
              </w:rPr>
              <w:t>网络机房</w:t>
            </w:r>
          </w:p>
        </w:tc>
        <w:tc>
          <w:tcPr>
            <w:tcW w:w="1104"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top"/>
          </w:tcPr>
          <w:p>
            <w:pPr>
              <w:pStyle w:val="4"/>
              <w:keepNext w:val="0"/>
              <w:keepLines w:val="0"/>
              <w:widowControl/>
              <w:suppressLineNumbers w:val="0"/>
              <w:jc w:val="center"/>
            </w:pPr>
            <w:r>
              <w:rPr>
                <w:rFonts w:hint="eastAsia" w:ascii="宋体" w:hAnsi="宋体" w:eastAsia="宋体" w:cs="宋体"/>
                <w:sz w:val="24"/>
                <w:szCs w:val="24"/>
              </w:rPr>
              <w:t>1</w:t>
            </w:r>
          </w:p>
        </w:tc>
        <w:tc>
          <w:tcPr>
            <w:tcW w:w="1446" w:type="dxa"/>
            <w:tcBorders>
              <w:top w:val="nil"/>
              <w:left w:val="nil"/>
              <w:bottom w:val="single" w:color="auto" w:sz="6" w:space="0"/>
              <w:right w:val="double" w:color="auto" w:sz="2" w:space="0"/>
            </w:tcBorders>
            <w:shd w:val="clear" w:color="auto" w:fill="FFFFFF"/>
            <w:tcMar>
              <w:top w:w="0" w:type="dxa"/>
              <w:left w:w="105" w:type="dxa"/>
              <w:bottom w:w="0" w:type="dxa"/>
              <w:right w:w="105" w:type="dxa"/>
            </w:tcMar>
            <w:vAlign w:val="top"/>
          </w:tcPr>
          <w:p>
            <w:pPr>
              <w:keepNext w:val="0"/>
              <w:keepLines w:val="0"/>
              <w:widowControl/>
              <w:suppressLineNumbers w:val="0"/>
              <w:jc w:val="left"/>
            </w:pPr>
          </w:p>
        </w:tc>
      </w:tr>
      <w:tr>
        <w:trPr>
          <w:tblCellSpacing w:w="15" w:type="dxa"/>
        </w:trPr>
        <w:tc>
          <w:tcPr>
            <w:tcW w:w="1061" w:type="dxa"/>
            <w:tcBorders>
              <w:top w:val="nil"/>
              <w:left w:val="double" w:color="auto" w:sz="2" w:space="0"/>
              <w:bottom w:val="single" w:color="auto" w:sz="6" w:space="0"/>
              <w:right w:val="single" w:color="auto" w:sz="6" w:space="0"/>
            </w:tcBorders>
            <w:shd w:val="clear" w:color="auto" w:fill="FFFFFF"/>
            <w:tcMar>
              <w:top w:w="0" w:type="dxa"/>
              <w:left w:w="105" w:type="dxa"/>
              <w:bottom w:w="0" w:type="dxa"/>
              <w:right w:w="105" w:type="dxa"/>
            </w:tcMar>
            <w:vAlign w:val="top"/>
          </w:tcPr>
          <w:p>
            <w:pPr>
              <w:pStyle w:val="4"/>
              <w:keepNext w:val="0"/>
              <w:keepLines w:val="0"/>
              <w:widowControl/>
              <w:suppressLineNumbers w:val="0"/>
              <w:jc w:val="center"/>
            </w:pPr>
            <w:r>
              <w:rPr>
                <w:rFonts w:hint="eastAsia" w:ascii="宋体" w:hAnsi="宋体" w:eastAsia="宋体" w:cs="宋体"/>
                <w:sz w:val="24"/>
                <w:szCs w:val="24"/>
              </w:rPr>
              <w:t>3</w:t>
            </w:r>
          </w:p>
        </w:tc>
        <w:tc>
          <w:tcPr>
            <w:tcW w:w="4201"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top"/>
          </w:tcPr>
          <w:p>
            <w:pPr>
              <w:pStyle w:val="4"/>
              <w:keepNext w:val="0"/>
              <w:keepLines w:val="0"/>
              <w:widowControl/>
              <w:suppressLineNumbers w:val="0"/>
              <w:jc w:val="center"/>
            </w:pPr>
            <w:r>
              <w:rPr>
                <w:rFonts w:hint="eastAsia" w:ascii="宋体" w:hAnsi="宋体" w:eastAsia="宋体" w:cs="宋体"/>
                <w:sz w:val="24"/>
                <w:szCs w:val="24"/>
              </w:rPr>
              <w:t>监控室</w:t>
            </w:r>
          </w:p>
        </w:tc>
        <w:tc>
          <w:tcPr>
            <w:tcW w:w="1104"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top"/>
          </w:tcPr>
          <w:p>
            <w:pPr>
              <w:pStyle w:val="4"/>
              <w:keepNext w:val="0"/>
              <w:keepLines w:val="0"/>
              <w:widowControl/>
              <w:suppressLineNumbers w:val="0"/>
              <w:jc w:val="center"/>
            </w:pPr>
            <w:r>
              <w:rPr>
                <w:rFonts w:hint="eastAsia" w:ascii="宋体" w:hAnsi="宋体" w:eastAsia="宋体" w:cs="宋体"/>
                <w:sz w:val="24"/>
                <w:szCs w:val="24"/>
              </w:rPr>
              <w:t>1</w:t>
            </w:r>
          </w:p>
        </w:tc>
        <w:tc>
          <w:tcPr>
            <w:tcW w:w="1446" w:type="dxa"/>
            <w:tcBorders>
              <w:top w:val="nil"/>
              <w:left w:val="nil"/>
              <w:bottom w:val="single" w:color="auto" w:sz="6" w:space="0"/>
              <w:right w:val="double" w:color="auto" w:sz="2" w:space="0"/>
            </w:tcBorders>
            <w:shd w:val="clear" w:color="auto" w:fill="FFFFFF"/>
            <w:tcMar>
              <w:top w:w="0" w:type="dxa"/>
              <w:left w:w="105" w:type="dxa"/>
              <w:bottom w:w="0" w:type="dxa"/>
              <w:right w:w="105" w:type="dxa"/>
            </w:tcMar>
            <w:vAlign w:val="top"/>
          </w:tcPr>
          <w:p>
            <w:pPr>
              <w:keepNext w:val="0"/>
              <w:keepLines w:val="0"/>
              <w:widowControl/>
              <w:suppressLineNumbers w:val="0"/>
              <w:jc w:val="left"/>
            </w:pPr>
          </w:p>
        </w:tc>
      </w:tr>
      <w:tr>
        <w:trPr>
          <w:tblCellSpacing w:w="15" w:type="dxa"/>
        </w:trPr>
        <w:tc>
          <w:tcPr>
            <w:tcW w:w="1061" w:type="dxa"/>
            <w:tcBorders>
              <w:top w:val="nil"/>
              <w:left w:val="double" w:color="auto" w:sz="2" w:space="0"/>
              <w:bottom w:val="single" w:color="auto" w:sz="6" w:space="0"/>
              <w:right w:val="single" w:color="auto" w:sz="6" w:space="0"/>
            </w:tcBorders>
            <w:shd w:val="clear" w:color="auto" w:fill="FFFFFF"/>
            <w:tcMar>
              <w:top w:w="0" w:type="dxa"/>
              <w:left w:w="105" w:type="dxa"/>
              <w:bottom w:w="0" w:type="dxa"/>
              <w:right w:w="105" w:type="dxa"/>
            </w:tcMar>
            <w:vAlign w:val="top"/>
          </w:tcPr>
          <w:p>
            <w:pPr>
              <w:pStyle w:val="4"/>
              <w:keepNext w:val="0"/>
              <w:keepLines w:val="0"/>
              <w:widowControl/>
              <w:suppressLineNumbers w:val="0"/>
              <w:jc w:val="center"/>
            </w:pPr>
            <w:r>
              <w:rPr>
                <w:rFonts w:hint="eastAsia" w:ascii="宋体" w:hAnsi="宋体" w:eastAsia="宋体" w:cs="宋体"/>
                <w:sz w:val="24"/>
                <w:szCs w:val="24"/>
              </w:rPr>
              <w:t>4</w:t>
            </w:r>
          </w:p>
        </w:tc>
        <w:tc>
          <w:tcPr>
            <w:tcW w:w="4201"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top"/>
          </w:tcPr>
          <w:p>
            <w:pPr>
              <w:pStyle w:val="4"/>
              <w:keepNext w:val="0"/>
              <w:keepLines w:val="0"/>
              <w:widowControl/>
              <w:suppressLineNumbers w:val="0"/>
              <w:jc w:val="center"/>
            </w:pPr>
            <w:r>
              <w:rPr>
                <w:rFonts w:hint="eastAsia" w:ascii="宋体" w:hAnsi="宋体" w:eastAsia="宋体" w:cs="宋体"/>
                <w:sz w:val="24"/>
                <w:szCs w:val="24"/>
              </w:rPr>
              <w:t>主要出入口</w:t>
            </w:r>
          </w:p>
        </w:tc>
        <w:tc>
          <w:tcPr>
            <w:tcW w:w="1104"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top"/>
          </w:tcPr>
          <w:p>
            <w:pPr>
              <w:pStyle w:val="4"/>
              <w:keepNext w:val="0"/>
              <w:keepLines w:val="0"/>
              <w:widowControl/>
              <w:suppressLineNumbers w:val="0"/>
              <w:jc w:val="center"/>
            </w:pPr>
            <w:r>
              <w:rPr>
                <w:rFonts w:hint="eastAsia" w:ascii="宋体" w:hAnsi="宋体" w:eastAsia="宋体" w:cs="宋体"/>
                <w:sz w:val="24"/>
                <w:szCs w:val="24"/>
              </w:rPr>
              <w:t>2</w:t>
            </w:r>
          </w:p>
        </w:tc>
        <w:tc>
          <w:tcPr>
            <w:tcW w:w="1446" w:type="dxa"/>
            <w:tcBorders>
              <w:top w:val="nil"/>
              <w:left w:val="nil"/>
              <w:bottom w:val="single" w:color="auto" w:sz="6" w:space="0"/>
              <w:right w:val="double" w:color="auto" w:sz="2" w:space="0"/>
            </w:tcBorders>
            <w:shd w:val="clear" w:color="auto" w:fill="FFFFFF"/>
            <w:tcMar>
              <w:top w:w="0" w:type="dxa"/>
              <w:left w:w="105" w:type="dxa"/>
              <w:bottom w:w="0" w:type="dxa"/>
              <w:right w:w="105" w:type="dxa"/>
            </w:tcMar>
            <w:vAlign w:val="top"/>
          </w:tcPr>
          <w:p>
            <w:pPr>
              <w:keepNext w:val="0"/>
              <w:keepLines w:val="0"/>
              <w:widowControl/>
              <w:suppressLineNumbers w:val="0"/>
              <w:jc w:val="left"/>
            </w:pPr>
          </w:p>
        </w:tc>
      </w:tr>
      <w:tr>
        <w:trPr>
          <w:tblCellSpacing w:w="15" w:type="dxa"/>
        </w:trPr>
        <w:tc>
          <w:tcPr>
            <w:tcW w:w="1061" w:type="dxa"/>
            <w:tcBorders>
              <w:top w:val="nil"/>
              <w:left w:val="double" w:color="auto" w:sz="2" w:space="0"/>
              <w:bottom w:val="single" w:color="auto" w:sz="6" w:space="0"/>
              <w:right w:val="single" w:color="auto" w:sz="6" w:space="0"/>
            </w:tcBorders>
            <w:shd w:val="clear" w:color="auto" w:fill="FFFFFF"/>
            <w:tcMar>
              <w:top w:w="0" w:type="dxa"/>
              <w:left w:w="105" w:type="dxa"/>
              <w:bottom w:w="0" w:type="dxa"/>
              <w:right w:w="105" w:type="dxa"/>
            </w:tcMar>
            <w:vAlign w:val="top"/>
          </w:tcPr>
          <w:p>
            <w:pPr>
              <w:pStyle w:val="4"/>
              <w:keepNext w:val="0"/>
              <w:keepLines w:val="0"/>
              <w:widowControl/>
              <w:suppressLineNumbers w:val="0"/>
              <w:jc w:val="center"/>
            </w:pPr>
            <w:r>
              <w:rPr>
                <w:rFonts w:hint="eastAsia" w:ascii="宋体" w:hAnsi="宋体" w:eastAsia="宋体" w:cs="宋体"/>
                <w:sz w:val="24"/>
                <w:szCs w:val="24"/>
              </w:rPr>
              <w:t>5</w:t>
            </w:r>
          </w:p>
        </w:tc>
        <w:tc>
          <w:tcPr>
            <w:tcW w:w="4201"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top"/>
          </w:tcPr>
          <w:p>
            <w:pPr>
              <w:pStyle w:val="4"/>
              <w:keepNext w:val="0"/>
              <w:keepLines w:val="0"/>
              <w:widowControl/>
              <w:suppressLineNumbers w:val="0"/>
              <w:jc w:val="center"/>
            </w:pPr>
            <w:r>
              <w:rPr>
                <w:rFonts w:hint="eastAsia" w:ascii="宋体" w:hAnsi="宋体" w:eastAsia="宋体" w:cs="宋体"/>
                <w:sz w:val="24"/>
                <w:szCs w:val="24"/>
              </w:rPr>
              <w:t>备用间</w:t>
            </w:r>
          </w:p>
        </w:tc>
        <w:tc>
          <w:tcPr>
            <w:tcW w:w="1104"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top"/>
          </w:tcPr>
          <w:p>
            <w:pPr>
              <w:pStyle w:val="4"/>
              <w:keepNext w:val="0"/>
              <w:keepLines w:val="0"/>
              <w:widowControl/>
              <w:suppressLineNumbers w:val="0"/>
              <w:jc w:val="center"/>
            </w:pPr>
            <w:r>
              <w:rPr>
                <w:rFonts w:hint="eastAsia" w:ascii="宋体" w:hAnsi="宋体" w:eastAsia="宋体" w:cs="宋体"/>
                <w:sz w:val="24"/>
                <w:szCs w:val="24"/>
              </w:rPr>
              <w:t>1</w:t>
            </w:r>
          </w:p>
        </w:tc>
        <w:tc>
          <w:tcPr>
            <w:tcW w:w="1446" w:type="dxa"/>
            <w:tcBorders>
              <w:top w:val="nil"/>
              <w:left w:val="nil"/>
              <w:bottom w:val="single" w:color="auto" w:sz="6" w:space="0"/>
              <w:right w:val="double" w:color="auto" w:sz="2" w:space="0"/>
            </w:tcBorders>
            <w:shd w:val="clear" w:color="auto" w:fill="FFFFFF"/>
            <w:tcMar>
              <w:top w:w="0" w:type="dxa"/>
              <w:left w:w="105" w:type="dxa"/>
              <w:bottom w:w="0" w:type="dxa"/>
              <w:right w:w="105" w:type="dxa"/>
            </w:tcMar>
            <w:vAlign w:val="top"/>
          </w:tcPr>
          <w:p>
            <w:pPr>
              <w:keepNext w:val="0"/>
              <w:keepLines w:val="0"/>
              <w:widowControl/>
              <w:suppressLineNumbers w:val="0"/>
              <w:jc w:val="left"/>
            </w:pPr>
          </w:p>
        </w:tc>
      </w:tr>
      <w:tr>
        <w:trPr>
          <w:tblCellSpacing w:w="15" w:type="dxa"/>
        </w:trPr>
        <w:tc>
          <w:tcPr>
            <w:tcW w:w="1061" w:type="dxa"/>
            <w:tcBorders>
              <w:top w:val="nil"/>
              <w:left w:val="double" w:color="auto" w:sz="2" w:space="0"/>
              <w:bottom w:val="double" w:color="auto" w:sz="2" w:space="0"/>
              <w:right w:val="single" w:color="auto" w:sz="6" w:space="0"/>
            </w:tcBorders>
            <w:shd w:val="clear" w:color="auto" w:fill="FFFFFF"/>
            <w:tcMar>
              <w:top w:w="0" w:type="dxa"/>
              <w:left w:w="105" w:type="dxa"/>
              <w:bottom w:w="0" w:type="dxa"/>
              <w:right w:w="105" w:type="dxa"/>
            </w:tcMar>
            <w:vAlign w:val="top"/>
          </w:tcPr>
          <w:p>
            <w:pPr>
              <w:pStyle w:val="4"/>
              <w:keepNext w:val="0"/>
              <w:keepLines w:val="0"/>
              <w:widowControl/>
              <w:suppressLineNumbers w:val="0"/>
              <w:jc w:val="center"/>
            </w:pPr>
            <w:r>
              <w:rPr>
                <w:rFonts w:hint="eastAsia" w:ascii="宋体" w:hAnsi="宋体" w:eastAsia="宋体" w:cs="宋体"/>
                <w:sz w:val="24"/>
                <w:szCs w:val="24"/>
              </w:rPr>
              <w:t>6</w:t>
            </w:r>
          </w:p>
        </w:tc>
        <w:tc>
          <w:tcPr>
            <w:tcW w:w="4201" w:type="dxa"/>
            <w:tcBorders>
              <w:top w:val="nil"/>
              <w:left w:val="nil"/>
              <w:bottom w:val="double" w:color="auto" w:sz="2" w:space="0"/>
              <w:right w:val="single" w:color="auto" w:sz="6" w:space="0"/>
            </w:tcBorders>
            <w:shd w:val="clear" w:color="auto" w:fill="FFFFFF"/>
            <w:tcMar>
              <w:top w:w="0" w:type="dxa"/>
              <w:left w:w="105" w:type="dxa"/>
              <w:bottom w:w="0" w:type="dxa"/>
              <w:right w:w="105" w:type="dxa"/>
            </w:tcMar>
            <w:vAlign w:val="top"/>
          </w:tcPr>
          <w:p>
            <w:pPr>
              <w:pStyle w:val="4"/>
              <w:keepNext w:val="0"/>
              <w:keepLines w:val="0"/>
              <w:widowControl/>
              <w:suppressLineNumbers w:val="0"/>
              <w:jc w:val="center"/>
            </w:pPr>
            <w:r>
              <w:rPr>
                <w:rFonts w:hint="eastAsia" w:ascii="宋体" w:hAnsi="宋体" w:eastAsia="宋体" w:cs="宋体"/>
                <w:sz w:val="24"/>
                <w:szCs w:val="24"/>
              </w:rPr>
              <w:t>合计</w:t>
            </w:r>
          </w:p>
        </w:tc>
        <w:tc>
          <w:tcPr>
            <w:tcW w:w="1104" w:type="dxa"/>
            <w:tcBorders>
              <w:top w:val="nil"/>
              <w:left w:val="nil"/>
              <w:bottom w:val="double" w:color="auto" w:sz="2" w:space="0"/>
              <w:right w:val="single" w:color="auto" w:sz="6" w:space="0"/>
            </w:tcBorders>
            <w:shd w:val="clear" w:color="auto" w:fill="FFFFFF"/>
            <w:tcMar>
              <w:top w:w="0" w:type="dxa"/>
              <w:left w:w="105" w:type="dxa"/>
              <w:bottom w:w="0" w:type="dxa"/>
              <w:right w:w="105" w:type="dxa"/>
            </w:tcMar>
            <w:vAlign w:val="top"/>
          </w:tcPr>
          <w:p>
            <w:pPr>
              <w:pStyle w:val="4"/>
              <w:keepNext w:val="0"/>
              <w:keepLines w:val="0"/>
              <w:widowControl/>
              <w:suppressLineNumbers w:val="0"/>
              <w:jc w:val="center"/>
            </w:pPr>
            <w:r>
              <w:rPr>
                <w:rFonts w:hint="eastAsia" w:ascii="宋体" w:hAnsi="宋体" w:eastAsia="宋体" w:cs="宋体"/>
                <w:sz w:val="24"/>
                <w:szCs w:val="24"/>
              </w:rPr>
              <w:t>7</w:t>
            </w:r>
          </w:p>
        </w:tc>
        <w:tc>
          <w:tcPr>
            <w:tcW w:w="1446" w:type="dxa"/>
            <w:tcBorders>
              <w:top w:val="nil"/>
              <w:left w:val="nil"/>
              <w:bottom w:val="double" w:color="auto" w:sz="2" w:space="0"/>
              <w:right w:val="double" w:color="auto" w:sz="2" w:space="0"/>
            </w:tcBorders>
            <w:shd w:val="clear" w:color="auto" w:fill="FFFFFF"/>
            <w:tcMar>
              <w:top w:w="0" w:type="dxa"/>
              <w:left w:w="105" w:type="dxa"/>
              <w:bottom w:w="0" w:type="dxa"/>
              <w:right w:w="105" w:type="dxa"/>
            </w:tcMar>
            <w:vAlign w:val="top"/>
          </w:tcPr>
          <w:p>
            <w:pPr>
              <w:keepNext w:val="0"/>
              <w:keepLines w:val="0"/>
              <w:widowControl/>
              <w:suppressLineNumbers w:val="0"/>
              <w:jc w:val="left"/>
            </w:pPr>
          </w:p>
        </w:tc>
      </w:tr>
    </w:tbl>
    <w:p>
      <w:pPr>
        <w:pStyle w:val="4"/>
        <w:keepNext w:val="0"/>
        <w:keepLines w:val="0"/>
        <w:widowControl/>
        <w:suppressLineNumbers w:val="0"/>
        <w:ind w:left="0" w:firstLine="0"/>
      </w:pPr>
      <w:r>
        <w:rPr>
          <w:rStyle w:val="6"/>
          <w:rFonts w:hint="eastAsia" w:ascii="宋体" w:hAnsi="宋体" w:eastAsia="宋体" w:cs="宋体"/>
          <w:b/>
        </w:rPr>
        <w:t>1.9.4</w:t>
      </w:r>
      <w:r>
        <w:rPr>
          <w:rStyle w:val="6"/>
          <w:rFonts w:hint="default" w:ascii="Times New Roman" w:hAnsi="Times New Roman" w:cs="Times New Roman"/>
          <w:b/>
          <w:sz w:val="13"/>
          <w:szCs w:val="13"/>
        </w:rPr>
        <w:t xml:space="preserve">  </w:t>
      </w:r>
      <w:r>
        <w:rPr>
          <w:rStyle w:val="6"/>
          <w:rFonts w:hint="eastAsia" w:ascii="宋体" w:hAnsi="宋体" w:eastAsia="宋体" w:cs="宋体"/>
          <w:b/>
        </w:rPr>
        <w:t>设 计方案</w:t>
      </w:r>
    </w:p>
    <w:p>
      <w:pPr>
        <w:pStyle w:val="4"/>
        <w:keepNext w:val="0"/>
        <w:keepLines w:val="0"/>
        <w:widowControl/>
        <w:suppressLineNumbers w:val="0"/>
        <w:spacing w:before="0" w:beforeAutospacing="1" w:after="0" w:afterAutospacing="1"/>
        <w:ind w:left="975" w:right="0"/>
        <w:jc w:val="left"/>
      </w:pPr>
      <w:r>
        <w:rPr>
          <w:rFonts w:hint="eastAsia" w:ascii="宋体" w:hAnsi="宋体" w:eastAsia="宋体" w:cs="宋体"/>
          <w:sz w:val="24"/>
          <w:szCs w:val="24"/>
        </w:rPr>
        <w:t>1)</w:t>
      </w:r>
      <w:r>
        <w:rPr>
          <w:rFonts w:hint="default" w:ascii="Times New Roman" w:hAnsi="Times New Roman" w:cs="Times New Roman"/>
          <w:sz w:val="13"/>
          <w:szCs w:val="13"/>
        </w:rPr>
        <w:t xml:space="preserve">   </w:t>
      </w:r>
      <w:r>
        <w:rPr>
          <w:rFonts w:hint="eastAsia" w:ascii="宋体" w:hAnsi="宋体" w:eastAsia="宋体" w:cs="宋体"/>
          <w:sz w:val="24"/>
          <w:szCs w:val="24"/>
        </w:rPr>
        <w:t>信息采集设备</w:t>
      </w:r>
    </w:p>
    <w:p>
      <w:pPr>
        <w:pStyle w:val="4"/>
        <w:keepNext w:val="0"/>
        <w:keepLines w:val="0"/>
        <w:widowControl/>
        <w:suppressLineNumbers w:val="0"/>
        <w:ind w:left="0" w:firstLine="480"/>
        <w:jc w:val="left"/>
      </w:pPr>
      <w:r>
        <w:rPr>
          <w:rFonts w:hint="eastAsia" w:ascii="宋体" w:hAnsi="宋体" w:eastAsia="宋体" w:cs="宋体"/>
          <w:sz w:val="24"/>
          <w:szCs w:val="24"/>
        </w:rPr>
        <w:t>在新增的过道门两侧安装ID卡读卡器，以便管控所有进出该区域人员并记录进出人员的信息。</w:t>
      </w:r>
    </w:p>
    <w:p>
      <w:pPr>
        <w:pStyle w:val="4"/>
        <w:keepNext w:val="0"/>
        <w:keepLines w:val="0"/>
        <w:widowControl/>
        <w:suppressLineNumbers w:val="0"/>
        <w:spacing w:before="0" w:beforeAutospacing="1" w:after="0" w:afterAutospacing="1"/>
        <w:ind w:left="975" w:right="0"/>
        <w:jc w:val="left"/>
      </w:pPr>
      <w:r>
        <w:rPr>
          <w:rFonts w:hint="eastAsia" w:ascii="宋体" w:hAnsi="宋体" w:eastAsia="宋体" w:cs="宋体"/>
          <w:sz w:val="24"/>
          <w:szCs w:val="24"/>
        </w:rPr>
        <w:t>2)</w:t>
      </w:r>
      <w:r>
        <w:rPr>
          <w:rFonts w:hint="default" w:ascii="Times New Roman" w:hAnsi="Times New Roman" w:cs="Times New Roman"/>
          <w:sz w:val="13"/>
          <w:szCs w:val="13"/>
        </w:rPr>
        <w:t xml:space="preserve">   </w:t>
      </w:r>
      <w:r>
        <w:rPr>
          <w:rFonts w:hint="eastAsia" w:ascii="宋体" w:hAnsi="宋体" w:eastAsia="宋体" w:cs="宋体"/>
          <w:sz w:val="24"/>
          <w:szCs w:val="24"/>
        </w:rPr>
        <w:t>执行设备</w:t>
      </w:r>
    </w:p>
    <w:p>
      <w:pPr>
        <w:pStyle w:val="4"/>
        <w:keepNext w:val="0"/>
        <w:keepLines w:val="0"/>
        <w:widowControl/>
        <w:suppressLineNumbers w:val="0"/>
        <w:ind w:left="0" w:firstLine="480"/>
        <w:jc w:val="left"/>
      </w:pPr>
      <w:r>
        <w:rPr>
          <w:rFonts w:hint="eastAsia" w:ascii="宋体" w:hAnsi="宋体" w:eastAsia="宋体" w:cs="宋体"/>
          <w:sz w:val="24"/>
          <w:szCs w:val="24"/>
        </w:rPr>
        <w:t>电控锁作为门禁管理系统的执行机构，分别安装于两扇过道门的门框上，用于控制过道门的开启及关闭。</w:t>
      </w:r>
    </w:p>
    <w:p>
      <w:pPr>
        <w:pStyle w:val="4"/>
        <w:keepNext w:val="0"/>
        <w:keepLines w:val="0"/>
        <w:widowControl/>
        <w:suppressLineNumbers w:val="0"/>
        <w:spacing w:before="0" w:beforeAutospacing="1" w:after="0" w:afterAutospacing="1"/>
        <w:ind w:left="975" w:right="0"/>
        <w:jc w:val="left"/>
      </w:pPr>
      <w:r>
        <w:rPr>
          <w:rFonts w:hint="eastAsia" w:ascii="宋体" w:hAnsi="宋体" w:eastAsia="宋体" w:cs="宋体"/>
          <w:sz w:val="24"/>
          <w:szCs w:val="24"/>
        </w:rPr>
        <w:t>3)</w:t>
      </w:r>
      <w:r>
        <w:rPr>
          <w:rFonts w:hint="default" w:ascii="Times New Roman" w:hAnsi="Times New Roman" w:cs="Times New Roman"/>
          <w:sz w:val="13"/>
          <w:szCs w:val="13"/>
        </w:rPr>
        <w:t xml:space="preserve">   </w:t>
      </w:r>
      <w:r>
        <w:rPr>
          <w:rFonts w:hint="eastAsia" w:ascii="宋体" w:hAnsi="宋体" w:eastAsia="宋体" w:cs="宋体"/>
          <w:sz w:val="24"/>
          <w:szCs w:val="24"/>
        </w:rPr>
        <w:t>管理设备</w:t>
      </w:r>
    </w:p>
    <w:p>
      <w:pPr>
        <w:pStyle w:val="4"/>
        <w:keepNext w:val="0"/>
        <w:keepLines w:val="0"/>
        <w:widowControl/>
        <w:suppressLineNumbers w:val="0"/>
        <w:ind w:left="0" w:firstLine="480"/>
        <w:jc w:val="left"/>
      </w:pPr>
      <w:r>
        <w:rPr>
          <w:rFonts w:hint="eastAsia" w:ascii="宋体" w:hAnsi="宋体" w:eastAsia="宋体" w:cs="宋体"/>
          <w:sz w:val="24"/>
          <w:szCs w:val="24"/>
        </w:rPr>
        <w:t>门禁管理控制器是门禁管理系统的管理设备，用于下发指令及上传相关设备信息。</w:t>
      </w:r>
    </w:p>
    <w:p>
      <w:pPr>
        <w:pStyle w:val="4"/>
        <w:keepNext w:val="0"/>
        <w:keepLines w:val="0"/>
        <w:widowControl/>
        <w:suppressLineNumbers w:val="0"/>
        <w:ind w:left="0" w:firstLine="0"/>
      </w:pPr>
      <w:r>
        <w:rPr>
          <w:rFonts w:hint="eastAsia" w:ascii="宋体" w:hAnsi="宋体" w:eastAsia="宋体" w:cs="宋体"/>
          <w:sz w:val="24"/>
          <w:szCs w:val="24"/>
        </w:rPr>
        <w:t>1.9.5</w:t>
      </w:r>
      <w:r>
        <w:rPr>
          <w:rFonts w:hint="default" w:ascii="Times New Roman" w:hAnsi="Times New Roman" w:cs="Times New Roman"/>
          <w:sz w:val="13"/>
          <w:szCs w:val="13"/>
        </w:rPr>
        <w:t xml:space="preserve">   </w:t>
      </w:r>
      <w:r>
        <w:rPr>
          <w:rFonts w:hint="eastAsia" w:ascii="宋体" w:hAnsi="宋体" w:eastAsia="宋体" w:cs="宋体"/>
          <w:sz w:val="24"/>
          <w:szCs w:val="24"/>
        </w:rPr>
        <w:t>系统概述</w:t>
      </w:r>
    </w:p>
    <w:p>
      <w:pPr>
        <w:pStyle w:val="4"/>
        <w:keepNext w:val="0"/>
        <w:keepLines w:val="0"/>
        <w:widowControl/>
        <w:suppressLineNumbers w:val="0"/>
        <w:ind w:left="0" w:firstLine="480"/>
      </w:pPr>
      <w:r>
        <w:rPr>
          <w:rFonts w:hint="eastAsia" w:ascii="宋体" w:hAnsi="宋体" w:eastAsia="宋体" w:cs="宋体"/>
          <w:sz w:val="24"/>
          <w:szCs w:val="24"/>
        </w:rPr>
        <w:t>行政服务中心大楼信息化建设应具有充分的可靠性以及一定的灵活性、扩展性，能够充分满足宁德市行政服务中心业务扩展的需求，同时还应具备升级能力。作为信息化的支撑的基础平台，网络系统的设  计也应当具备可靠性灵活性以及扩展性，并拥有足够的安全性。同时设 计应遵守国家建设部及福建省信息化建设的有关规定。</w:t>
      </w:r>
    </w:p>
    <w:p>
      <w:pPr>
        <w:pStyle w:val="4"/>
        <w:keepNext w:val="0"/>
        <w:keepLines w:val="0"/>
        <w:widowControl/>
        <w:suppressLineNumbers w:val="0"/>
        <w:ind w:left="0" w:firstLine="0"/>
      </w:pPr>
      <w:r>
        <w:rPr>
          <w:rFonts w:hint="eastAsia" w:ascii="宋体" w:hAnsi="宋体" w:eastAsia="宋体" w:cs="宋体"/>
          <w:sz w:val="24"/>
          <w:szCs w:val="24"/>
        </w:rPr>
        <w:t>1.9.6</w:t>
      </w:r>
      <w:r>
        <w:rPr>
          <w:rFonts w:hint="default" w:ascii="Times New Roman" w:hAnsi="Times New Roman" w:cs="Times New Roman"/>
          <w:sz w:val="13"/>
          <w:szCs w:val="13"/>
        </w:rPr>
        <w:t xml:space="preserve">   </w:t>
      </w:r>
      <w:r>
        <w:rPr>
          <w:rFonts w:hint="eastAsia" w:ascii="宋体" w:hAnsi="宋体" w:eastAsia="宋体" w:cs="宋体"/>
          <w:sz w:val="24"/>
          <w:szCs w:val="24"/>
        </w:rPr>
        <w:t>系统指标</w:t>
      </w:r>
    </w:p>
    <w:p>
      <w:pPr>
        <w:pStyle w:val="4"/>
        <w:keepNext w:val="0"/>
        <w:keepLines w:val="0"/>
        <w:widowControl/>
        <w:suppressLineNumbers w:val="0"/>
        <w:spacing w:before="0" w:beforeAutospacing="1" w:after="0" w:afterAutospacing="1"/>
        <w:ind w:left="900" w:right="0"/>
      </w:pPr>
      <w:r>
        <w:rPr>
          <w:rFonts w:hint="default" w:ascii="Wingdings" w:hAnsi="Wingdings" w:cs="Wingdings"/>
          <w:sz w:val="24"/>
          <w:szCs w:val="24"/>
        </w:rPr>
        <w:t>n</w:t>
      </w:r>
      <w:r>
        <w:rPr>
          <w:rFonts w:hint="default" w:ascii="Times New Roman" w:hAnsi="Times New Roman" w:cs="Times New Roman"/>
          <w:sz w:val="13"/>
          <w:szCs w:val="13"/>
        </w:rPr>
        <w:t xml:space="preserve">  </w:t>
      </w:r>
      <w:r>
        <w:rPr>
          <w:rFonts w:hint="eastAsia" w:ascii="宋体" w:hAnsi="宋体" w:eastAsia="宋体" w:cs="宋体"/>
          <w:sz w:val="24"/>
          <w:szCs w:val="24"/>
        </w:rPr>
        <w:t>政务信息网百兆到桌面，主干千兆；</w:t>
      </w:r>
    </w:p>
    <w:p>
      <w:pPr>
        <w:pStyle w:val="4"/>
        <w:keepNext w:val="0"/>
        <w:keepLines w:val="0"/>
        <w:widowControl/>
        <w:suppressLineNumbers w:val="0"/>
        <w:spacing w:before="0" w:beforeAutospacing="1" w:after="0" w:afterAutospacing="1"/>
        <w:ind w:left="900" w:right="0"/>
      </w:pPr>
      <w:r>
        <w:rPr>
          <w:rFonts w:hint="default" w:ascii="Wingdings" w:hAnsi="Wingdings" w:cs="Wingdings"/>
          <w:sz w:val="24"/>
          <w:szCs w:val="24"/>
        </w:rPr>
        <w:t>n</w:t>
      </w:r>
      <w:r>
        <w:rPr>
          <w:rFonts w:hint="default" w:ascii="Times New Roman" w:hAnsi="Times New Roman" w:cs="Times New Roman"/>
          <w:sz w:val="13"/>
          <w:szCs w:val="13"/>
        </w:rPr>
        <w:t xml:space="preserve">  </w:t>
      </w:r>
      <w:r>
        <w:rPr>
          <w:rFonts w:hint="eastAsia" w:ascii="宋体" w:hAnsi="宋体" w:eastAsia="宋体" w:cs="宋体"/>
          <w:sz w:val="24"/>
          <w:szCs w:val="24"/>
        </w:rPr>
        <w:t>政务外网（智网）千兆到桌面，主干万兆；</w:t>
      </w:r>
    </w:p>
    <w:p>
      <w:pPr>
        <w:pStyle w:val="4"/>
        <w:keepNext w:val="0"/>
        <w:keepLines w:val="0"/>
        <w:widowControl/>
        <w:suppressLineNumbers w:val="0"/>
        <w:spacing w:before="0" w:beforeAutospacing="1" w:after="0" w:afterAutospacing="1"/>
        <w:ind w:left="900" w:right="0"/>
      </w:pPr>
      <w:r>
        <w:rPr>
          <w:rFonts w:hint="default" w:ascii="Wingdings" w:hAnsi="Wingdings" w:cs="Wingdings"/>
          <w:sz w:val="24"/>
          <w:szCs w:val="24"/>
        </w:rPr>
        <w:t>n</w:t>
      </w:r>
      <w:r>
        <w:rPr>
          <w:rFonts w:hint="default" w:ascii="Times New Roman" w:hAnsi="Times New Roman" w:cs="Times New Roman"/>
          <w:sz w:val="13"/>
          <w:szCs w:val="13"/>
        </w:rPr>
        <w:t xml:space="preserve">  </w:t>
      </w:r>
      <w:r>
        <w:rPr>
          <w:rFonts w:hint="eastAsia" w:ascii="宋体" w:hAnsi="宋体" w:eastAsia="宋体" w:cs="宋体"/>
          <w:sz w:val="24"/>
          <w:szCs w:val="24"/>
        </w:rPr>
        <w:t>互联网百兆到桌面，主干千兆；</w:t>
      </w:r>
    </w:p>
    <w:p>
      <w:pPr>
        <w:pStyle w:val="4"/>
        <w:keepNext w:val="0"/>
        <w:keepLines w:val="0"/>
        <w:widowControl/>
        <w:suppressLineNumbers w:val="0"/>
        <w:spacing w:before="0" w:beforeAutospacing="1" w:after="0" w:afterAutospacing="1"/>
        <w:ind w:left="900" w:right="0"/>
      </w:pPr>
      <w:r>
        <w:rPr>
          <w:rFonts w:hint="default" w:ascii="Wingdings" w:hAnsi="Wingdings" w:cs="Wingdings"/>
          <w:sz w:val="24"/>
          <w:szCs w:val="24"/>
        </w:rPr>
        <w:t>n</w:t>
      </w:r>
      <w:r>
        <w:rPr>
          <w:rFonts w:hint="default" w:ascii="Times New Roman" w:hAnsi="Times New Roman" w:cs="Times New Roman"/>
          <w:sz w:val="13"/>
          <w:szCs w:val="13"/>
        </w:rPr>
        <w:t xml:space="preserve">  </w:t>
      </w:r>
      <w:r>
        <w:rPr>
          <w:rFonts w:hint="eastAsia" w:ascii="宋体" w:hAnsi="宋体" w:eastAsia="宋体" w:cs="宋体"/>
          <w:sz w:val="24"/>
          <w:szCs w:val="24"/>
        </w:rPr>
        <w:t>智能化本地专网百兆到各个信息点，主干千兆；</w:t>
      </w:r>
    </w:p>
    <w:p>
      <w:pPr>
        <w:pStyle w:val="4"/>
        <w:keepNext w:val="0"/>
        <w:keepLines w:val="0"/>
        <w:widowControl/>
        <w:suppressLineNumbers w:val="0"/>
        <w:spacing w:before="0" w:beforeAutospacing="1" w:after="0" w:afterAutospacing="1"/>
        <w:ind w:left="900" w:right="0"/>
      </w:pPr>
      <w:r>
        <w:rPr>
          <w:rFonts w:hint="default" w:ascii="Wingdings" w:hAnsi="Wingdings" w:cs="Wingdings"/>
          <w:sz w:val="24"/>
          <w:szCs w:val="24"/>
        </w:rPr>
        <w:t>n</w:t>
      </w:r>
      <w:r>
        <w:rPr>
          <w:rFonts w:hint="default" w:ascii="Times New Roman" w:hAnsi="Times New Roman" w:cs="Times New Roman"/>
          <w:sz w:val="13"/>
          <w:szCs w:val="13"/>
        </w:rPr>
        <w:t xml:space="preserve">  </w:t>
      </w:r>
      <w:r>
        <w:rPr>
          <w:rFonts w:hint="eastAsia" w:ascii="宋体" w:hAnsi="宋体" w:eastAsia="宋体" w:cs="宋体"/>
          <w:sz w:val="24"/>
          <w:szCs w:val="24"/>
        </w:rPr>
        <w:t>带宽可利用率不低</w:t>
      </w:r>
      <w:r>
        <w:rPr>
          <w:rFonts w:hint="default" w:ascii="Calibri" w:hAnsi="Calibri" w:cs="Calibri"/>
          <w:sz w:val="24"/>
          <w:szCs w:val="24"/>
        </w:rPr>
        <w:t>70%</w:t>
      </w:r>
      <w:r>
        <w:rPr>
          <w:rFonts w:hint="eastAsia" w:ascii="宋体" w:hAnsi="宋体" w:eastAsia="宋体" w:cs="宋体"/>
          <w:sz w:val="24"/>
          <w:szCs w:val="24"/>
        </w:rPr>
        <w:t>；</w:t>
      </w:r>
    </w:p>
    <w:p>
      <w:pPr>
        <w:pStyle w:val="4"/>
        <w:keepNext w:val="0"/>
        <w:keepLines w:val="0"/>
        <w:widowControl/>
        <w:suppressLineNumbers w:val="0"/>
        <w:spacing w:before="0" w:beforeAutospacing="1" w:after="0" w:afterAutospacing="1"/>
        <w:ind w:left="900" w:right="0"/>
      </w:pPr>
      <w:r>
        <w:rPr>
          <w:rFonts w:hint="default" w:ascii="Wingdings" w:hAnsi="Wingdings" w:cs="Wingdings"/>
          <w:sz w:val="24"/>
          <w:szCs w:val="24"/>
        </w:rPr>
        <w:t>n</w:t>
      </w:r>
      <w:r>
        <w:rPr>
          <w:rFonts w:hint="default" w:ascii="Times New Roman" w:hAnsi="Times New Roman" w:cs="Times New Roman"/>
          <w:sz w:val="13"/>
          <w:szCs w:val="13"/>
        </w:rPr>
        <w:t xml:space="preserve">  </w:t>
      </w:r>
      <w:r>
        <w:rPr>
          <w:rFonts w:hint="eastAsia" w:ascii="宋体" w:hAnsi="宋体" w:eastAsia="宋体" w:cs="宋体"/>
          <w:sz w:val="24"/>
          <w:szCs w:val="24"/>
        </w:rPr>
        <w:t>本地接入局域网与外网连接需根据网络安全保护要求配置相应的安全防护设备。</w:t>
      </w:r>
    </w:p>
    <w:p>
      <w:pPr>
        <w:pStyle w:val="4"/>
        <w:keepNext w:val="0"/>
        <w:keepLines w:val="0"/>
        <w:widowControl/>
        <w:suppressLineNumbers w:val="0"/>
        <w:ind w:left="0" w:firstLine="0"/>
      </w:pPr>
      <w:r>
        <w:rPr>
          <w:rFonts w:hint="eastAsia" w:ascii="宋体" w:hAnsi="宋体" w:eastAsia="宋体" w:cs="宋体"/>
          <w:sz w:val="24"/>
          <w:szCs w:val="24"/>
        </w:rPr>
        <w:t>1.9.7</w:t>
      </w:r>
      <w:r>
        <w:rPr>
          <w:rFonts w:hint="default" w:ascii="Times New Roman" w:hAnsi="Times New Roman" w:cs="Times New Roman"/>
          <w:sz w:val="13"/>
          <w:szCs w:val="13"/>
        </w:rPr>
        <w:t xml:space="preserve">   </w:t>
      </w:r>
      <w:r>
        <w:rPr>
          <w:rFonts w:hint="eastAsia" w:ascii="宋体" w:hAnsi="宋体" w:eastAsia="宋体" w:cs="宋体"/>
          <w:sz w:val="24"/>
          <w:szCs w:val="24"/>
        </w:rPr>
        <w:t>需求分析</w:t>
      </w:r>
    </w:p>
    <w:p>
      <w:pPr>
        <w:pStyle w:val="4"/>
        <w:keepNext w:val="0"/>
        <w:keepLines w:val="0"/>
        <w:widowControl/>
        <w:suppressLineNumbers w:val="0"/>
        <w:ind w:left="0" w:firstLine="480"/>
      </w:pPr>
      <w:r>
        <w:rPr>
          <w:rFonts w:hint="eastAsia" w:ascii="宋体" w:hAnsi="宋体" w:eastAsia="宋体" w:cs="宋体"/>
          <w:color w:val="000000"/>
          <w:sz w:val="24"/>
          <w:szCs w:val="24"/>
        </w:rPr>
        <w:t>本次的网络设</w:t>
      </w:r>
      <w:r>
        <w:rPr>
          <w:rFonts w:hint="default" w:ascii="Calibri" w:hAnsi="Calibri" w:cs="Calibri"/>
          <w:color w:val="000000"/>
          <w:sz w:val="24"/>
          <w:szCs w:val="24"/>
        </w:rPr>
        <w:t xml:space="preserve">   </w:t>
      </w:r>
      <w:r>
        <w:rPr>
          <w:rFonts w:hint="eastAsia" w:ascii="宋体" w:hAnsi="宋体" w:eastAsia="宋体" w:cs="宋体"/>
          <w:color w:val="000000"/>
          <w:sz w:val="24"/>
          <w:szCs w:val="24"/>
        </w:rPr>
        <w:t>计规划整体包括：政务信息网、政务外网（智网）、互联网及智能化本地专网，各网保持物理隔离或逻辑隔离。</w:t>
      </w:r>
      <w:r>
        <w:rPr>
          <w:rFonts w:hint="eastAsia" w:ascii="宋体" w:hAnsi="宋体" w:eastAsia="宋体" w:cs="宋体"/>
          <w:color w:val="000000"/>
          <w:sz w:val="24"/>
          <w:szCs w:val="24"/>
        </w:rPr>
        <w:br w:type="textWrapping"/>
      </w:r>
      <w:r>
        <w:rPr>
          <w:rFonts w:hint="eastAsia" w:ascii="宋体" w:hAnsi="宋体" w:eastAsia="宋体" w:cs="宋体"/>
          <w:color w:val="000000"/>
          <w:sz w:val="24"/>
          <w:szCs w:val="24"/>
        </w:rPr>
        <w:t>图</w:t>
      </w:r>
      <w:r>
        <w:rPr>
          <w:rFonts w:hint="default" w:ascii="Calibri" w:hAnsi="Calibri" w:cs="Calibri"/>
          <w:color w:val="000000"/>
          <w:sz w:val="24"/>
          <w:szCs w:val="24"/>
        </w:rPr>
        <w:t xml:space="preserve">5.6-3  </w:t>
      </w:r>
      <w:r>
        <w:rPr>
          <w:rFonts w:hint="eastAsia" w:ascii="宋体" w:hAnsi="宋体" w:eastAsia="宋体" w:cs="宋体"/>
          <w:color w:val="000000"/>
          <w:sz w:val="24"/>
          <w:szCs w:val="24"/>
        </w:rPr>
        <w:t>行政服务中心信息点位分布表</w:t>
      </w:r>
    </w:p>
    <w:tbl>
      <w:tblPr>
        <w:tblStyle w:val="9"/>
        <w:tblW w:w="7963" w:type="dxa"/>
        <w:tblCellSpacing w:w="15"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15" w:type="dxa"/>
          <w:left w:w="15" w:type="dxa"/>
          <w:bottom w:w="15" w:type="dxa"/>
          <w:right w:w="15" w:type="dxa"/>
        </w:tblCellMar>
      </w:tblPr>
      <w:tblGrid>
        <w:gridCol w:w="1234"/>
        <w:gridCol w:w="4226"/>
        <w:gridCol w:w="1226"/>
        <w:gridCol w:w="1277"/>
      </w:tblGrid>
      <w:tr>
        <w:trPr>
          <w:trHeight w:val="450" w:hRule="atLeast"/>
          <w:tblCellSpacing w:w="15" w:type="dxa"/>
        </w:trPr>
        <w:tc>
          <w:tcPr>
            <w:tcW w:w="1189" w:type="dxa"/>
            <w:tcBorders>
              <w:top w:val="double" w:color="auto" w:sz="2" w:space="0"/>
              <w:left w:val="double" w:color="auto" w:sz="2"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Style w:val="6"/>
                <w:rFonts w:hint="eastAsia" w:ascii="宋体" w:hAnsi="宋体" w:eastAsia="宋体" w:cs="宋体"/>
                <w:b/>
                <w:color w:val="000000"/>
                <w:sz w:val="22"/>
                <w:szCs w:val="22"/>
              </w:rPr>
              <w:t>序号</w:t>
            </w:r>
          </w:p>
        </w:tc>
        <w:tc>
          <w:tcPr>
            <w:tcW w:w="4196" w:type="dxa"/>
            <w:tcBorders>
              <w:top w:val="double" w:color="auto" w:sz="2"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Style w:val="6"/>
                <w:rFonts w:hint="eastAsia" w:ascii="宋体" w:hAnsi="宋体" w:eastAsia="宋体" w:cs="宋体"/>
                <w:b/>
                <w:color w:val="000000"/>
                <w:sz w:val="22"/>
                <w:szCs w:val="22"/>
              </w:rPr>
              <w:t>名 称</w:t>
            </w:r>
          </w:p>
        </w:tc>
        <w:tc>
          <w:tcPr>
            <w:tcW w:w="1196" w:type="dxa"/>
            <w:tcBorders>
              <w:top w:val="double" w:color="auto" w:sz="2"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Style w:val="6"/>
                <w:rFonts w:hint="eastAsia" w:ascii="宋体" w:hAnsi="宋体" w:eastAsia="宋体" w:cs="宋体"/>
                <w:b/>
                <w:color w:val="000000"/>
                <w:sz w:val="22"/>
                <w:szCs w:val="22"/>
              </w:rPr>
              <w:t>数量</w:t>
            </w:r>
          </w:p>
        </w:tc>
        <w:tc>
          <w:tcPr>
            <w:tcW w:w="1232" w:type="dxa"/>
            <w:tcBorders>
              <w:top w:val="double" w:color="auto" w:sz="2" w:space="0"/>
              <w:left w:val="nil"/>
              <w:bottom w:val="single" w:color="auto" w:sz="6" w:space="0"/>
              <w:right w:val="double" w:color="auto" w:sz="2"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Style w:val="6"/>
                <w:rFonts w:hint="eastAsia" w:ascii="宋体" w:hAnsi="宋体" w:eastAsia="宋体" w:cs="宋体"/>
                <w:b/>
                <w:color w:val="000000"/>
                <w:sz w:val="22"/>
                <w:szCs w:val="22"/>
              </w:rPr>
              <w:t>备注</w:t>
            </w:r>
          </w:p>
        </w:tc>
      </w:tr>
      <w:tr>
        <w:trPr>
          <w:trHeight w:val="450" w:hRule="atLeast"/>
          <w:tblCellSpacing w:w="15" w:type="dxa"/>
        </w:trPr>
        <w:tc>
          <w:tcPr>
            <w:tcW w:w="1189" w:type="dxa"/>
            <w:tcBorders>
              <w:top w:val="nil"/>
              <w:left w:val="double" w:color="auto" w:sz="2"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2"/>
                <w:szCs w:val="22"/>
              </w:rPr>
              <w:t>1</w:t>
            </w:r>
          </w:p>
        </w:tc>
        <w:tc>
          <w:tcPr>
            <w:tcW w:w="419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2"/>
                <w:szCs w:val="22"/>
              </w:rPr>
              <w:t>政务外网(智网）</w:t>
            </w:r>
          </w:p>
        </w:tc>
        <w:tc>
          <w:tcPr>
            <w:tcW w:w="119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2"/>
                <w:szCs w:val="22"/>
              </w:rPr>
              <w:t>377</w:t>
            </w:r>
          </w:p>
        </w:tc>
        <w:tc>
          <w:tcPr>
            <w:tcW w:w="1232" w:type="dxa"/>
            <w:tcBorders>
              <w:top w:val="nil"/>
              <w:left w:val="nil"/>
              <w:bottom w:val="single" w:color="auto" w:sz="6" w:space="0"/>
              <w:right w:val="double" w:color="auto" w:sz="2"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tc>
      </w:tr>
      <w:tr>
        <w:trPr>
          <w:trHeight w:val="450" w:hRule="atLeast"/>
          <w:tblCellSpacing w:w="15" w:type="dxa"/>
        </w:trPr>
        <w:tc>
          <w:tcPr>
            <w:tcW w:w="1189" w:type="dxa"/>
            <w:tcBorders>
              <w:top w:val="nil"/>
              <w:left w:val="double" w:color="auto" w:sz="2"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2"/>
                <w:szCs w:val="22"/>
              </w:rPr>
              <w:t>2</w:t>
            </w:r>
          </w:p>
        </w:tc>
        <w:tc>
          <w:tcPr>
            <w:tcW w:w="419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2"/>
                <w:szCs w:val="22"/>
              </w:rPr>
              <w:t>互联网</w:t>
            </w:r>
          </w:p>
        </w:tc>
        <w:tc>
          <w:tcPr>
            <w:tcW w:w="119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2"/>
                <w:szCs w:val="22"/>
              </w:rPr>
              <w:t>357</w:t>
            </w:r>
          </w:p>
        </w:tc>
        <w:tc>
          <w:tcPr>
            <w:tcW w:w="1232" w:type="dxa"/>
            <w:tcBorders>
              <w:top w:val="nil"/>
              <w:left w:val="nil"/>
              <w:bottom w:val="single" w:color="auto" w:sz="6" w:space="0"/>
              <w:right w:val="double" w:color="auto" w:sz="2"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tc>
      </w:tr>
      <w:tr>
        <w:trPr>
          <w:trHeight w:val="450" w:hRule="atLeast"/>
          <w:tblCellSpacing w:w="15" w:type="dxa"/>
        </w:trPr>
        <w:tc>
          <w:tcPr>
            <w:tcW w:w="1189" w:type="dxa"/>
            <w:tcBorders>
              <w:top w:val="nil"/>
              <w:left w:val="double" w:color="auto" w:sz="2"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2"/>
                <w:szCs w:val="22"/>
              </w:rPr>
              <w:t>3</w:t>
            </w:r>
          </w:p>
        </w:tc>
        <w:tc>
          <w:tcPr>
            <w:tcW w:w="419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2"/>
                <w:szCs w:val="22"/>
              </w:rPr>
              <w:t>政务信息网</w:t>
            </w:r>
          </w:p>
        </w:tc>
        <w:tc>
          <w:tcPr>
            <w:tcW w:w="119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2"/>
                <w:szCs w:val="22"/>
              </w:rPr>
              <w:t>192</w:t>
            </w:r>
          </w:p>
        </w:tc>
        <w:tc>
          <w:tcPr>
            <w:tcW w:w="1232" w:type="dxa"/>
            <w:tcBorders>
              <w:top w:val="nil"/>
              <w:left w:val="nil"/>
              <w:bottom w:val="single" w:color="auto" w:sz="6" w:space="0"/>
              <w:right w:val="double" w:color="auto" w:sz="2"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tc>
      </w:tr>
      <w:tr>
        <w:trPr>
          <w:trHeight w:val="450" w:hRule="atLeast"/>
          <w:tblCellSpacing w:w="15" w:type="dxa"/>
        </w:trPr>
        <w:tc>
          <w:tcPr>
            <w:tcW w:w="1189" w:type="dxa"/>
            <w:tcBorders>
              <w:top w:val="nil"/>
              <w:left w:val="double" w:color="auto" w:sz="2"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2"/>
                <w:szCs w:val="22"/>
              </w:rPr>
              <w:t>4</w:t>
            </w:r>
          </w:p>
        </w:tc>
        <w:tc>
          <w:tcPr>
            <w:tcW w:w="419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2"/>
                <w:szCs w:val="22"/>
              </w:rPr>
              <w:t>视频监控智能化专网</w:t>
            </w:r>
          </w:p>
        </w:tc>
        <w:tc>
          <w:tcPr>
            <w:tcW w:w="119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2"/>
                <w:szCs w:val="22"/>
              </w:rPr>
              <w:t>89</w:t>
            </w:r>
          </w:p>
        </w:tc>
        <w:tc>
          <w:tcPr>
            <w:tcW w:w="1232" w:type="dxa"/>
            <w:tcBorders>
              <w:top w:val="nil"/>
              <w:left w:val="nil"/>
              <w:bottom w:val="single" w:color="auto" w:sz="6" w:space="0"/>
              <w:right w:val="double" w:color="auto" w:sz="2"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tc>
      </w:tr>
      <w:tr>
        <w:trPr>
          <w:trHeight w:val="450" w:hRule="atLeast"/>
          <w:tblCellSpacing w:w="15" w:type="dxa"/>
        </w:trPr>
        <w:tc>
          <w:tcPr>
            <w:tcW w:w="1189" w:type="dxa"/>
            <w:tcBorders>
              <w:top w:val="nil"/>
              <w:left w:val="double" w:color="auto" w:sz="2" w:space="0"/>
              <w:bottom w:val="double" w:color="auto" w:sz="2"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2"/>
                <w:szCs w:val="22"/>
              </w:rPr>
              <w:t>5</w:t>
            </w:r>
          </w:p>
        </w:tc>
        <w:tc>
          <w:tcPr>
            <w:tcW w:w="4196" w:type="dxa"/>
            <w:tcBorders>
              <w:top w:val="nil"/>
              <w:left w:val="nil"/>
              <w:bottom w:val="double" w:color="auto" w:sz="2"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2"/>
                <w:szCs w:val="22"/>
              </w:rPr>
              <w:t>共计</w:t>
            </w:r>
          </w:p>
        </w:tc>
        <w:tc>
          <w:tcPr>
            <w:tcW w:w="1196" w:type="dxa"/>
            <w:tcBorders>
              <w:top w:val="nil"/>
              <w:left w:val="nil"/>
              <w:bottom w:val="double" w:color="auto" w:sz="2"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2"/>
                <w:szCs w:val="22"/>
              </w:rPr>
              <w:t>1015</w:t>
            </w:r>
          </w:p>
        </w:tc>
        <w:tc>
          <w:tcPr>
            <w:tcW w:w="1232" w:type="dxa"/>
            <w:tcBorders>
              <w:top w:val="nil"/>
              <w:left w:val="nil"/>
              <w:bottom w:val="double" w:color="auto" w:sz="2" w:space="0"/>
              <w:right w:val="double" w:color="auto" w:sz="2"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tc>
      </w:tr>
    </w:tbl>
    <w:p>
      <w:pPr>
        <w:pStyle w:val="4"/>
        <w:keepNext w:val="0"/>
        <w:keepLines w:val="0"/>
        <w:widowControl/>
        <w:suppressLineNumbers w:val="0"/>
        <w:ind w:left="0" w:firstLine="480"/>
      </w:pPr>
      <w:r>
        <w:rPr>
          <w:rFonts w:hint="eastAsia" w:ascii="宋体" w:hAnsi="宋体" w:eastAsia="宋体" w:cs="宋体"/>
          <w:color w:val="000000"/>
          <w:sz w:val="24"/>
          <w:szCs w:val="24"/>
        </w:rPr>
        <w:t>政务外网（智网）是政府对外服务的业务专网，与国际互联网通过防火墙逻辑隔离，主要用于机关访问国际互联网，发布政府公开信息，受理、反馈公众请求和运</w:t>
      </w:r>
      <w:r>
        <w:rPr>
          <w:rFonts w:hint="default" w:ascii="Calibri" w:hAnsi="Calibri" w:cs="Calibri"/>
          <w:color w:val="000000"/>
          <w:sz w:val="24"/>
          <w:szCs w:val="24"/>
        </w:rPr>
        <w:t xml:space="preserve"> </w:t>
      </w:r>
      <w:r>
        <w:rPr>
          <w:rFonts w:hint="eastAsia" w:ascii="宋体" w:hAnsi="宋体" w:eastAsia="宋体" w:cs="宋体"/>
          <w:color w:val="000000"/>
          <w:sz w:val="24"/>
          <w:szCs w:val="24"/>
        </w:rPr>
        <w:t>行安全级别不需要在政务专网运营的业务。</w:t>
      </w:r>
    </w:p>
    <w:p>
      <w:pPr>
        <w:pStyle w:val="4"/>
        <w:keepNext w:val="0"/>
        <w:keepLines w:val="0"/>
        <w:widowControl/>
        <w:suppressLineNumbers w:val="0"/>
        <w:ind w:left="0" w:firstLine="480"/>
      </w:pPr>
      <w:r>
        <w:rPr>
          <w:rFonts w:hint="eastAsia" w:ascii="宋体" w:hAnsi="宋体" w:eastAsia="宋体" w:cs="宋体"/>
          <w:color w:val="000000"/>
          <w:sz w:val="24"/>
          <w:szCs w:val="24"/>
        </w:rPr>
        <w:t>政务信息网是党政机关办公业务网络，与国际互联网物理隔离，主要满足各级政务部门内部办公、管理、协调、监督和决策的需要。</w:t>
      </w:r>
    </w:p>
    <w:p>
      <w:pPr>
        <w:pStyle w:val="4"/>
        <w:keepNext w:val="0"/>
        <w:keepLines w:val="0"/>
        <w:widowControl/>
        <w:suppressLineNumbers w:val="0"/>
        <w:ind w:left="0" w:firstLine="480"/>
      </w:pPr>
      <w:r>
        <w:rPr>
          <w:rFonts w:hint="eastAsia" w:ascii="宋体" w:hAnsi="宋体" w:eastAsia="宋体" w:cs="宋体"/>
          <w:color w:val="000000"/>
          <w:sz w:val="24"/>
          <w:szCs w:val="24"/>
        </w:rPr>
        <w:t>互联网是直接与国际互联网逻辑隔离，主要满足各级政务部门进行社会管理、公共服务等面向社会服务的需要。</w:t>
      </w:r>
    </w:p>
    <w:p>
      <w:pPr>
        <w:pStyle w:val="4"/>
        <w:keepNext w:val="0"/>
        <w:keepLines w:val="0"/>
        <w:widowControl/>
        <w:suppressLineNumbers w:val="0"/>
        <w:ind w:left="0" w:firstLine="480"/>
      </w:pPr>
      <w:r>
        <w:rPr>
          <w:rFonts w:hint="eastAsia" w:ascii="宋体" w:hAnsi="宋体" w:eastAsia="宋体" w:cs="宋体"/>
          <w:color w:val="000000"/>
          <w:sz w:val="24"/>
          <w:szCs w:val="24"/>
        </w:rPr>
        <w:t>视频监控专网各是满足视频监控系统应用的本地网。</w:t>
      </w:r>
    </w:p>
    <w:p>
      <w:pPr>
        <w:pStyle w:val="4"/>
        <w:keepNext w:val="0"/>
        <w:keepLines w:val="0"/>
        <w:widowControl/>
        <w:suppressLineNumbers w:val="0"/>
        <w:ind w:left="0" w:firstLine="480"/>
      </w:pPr>
      <w:r>
        <w:rPr>
          <w:rFonts w:hint="eastAsia" w:ascii="宋体" w:hAnsi="宋体" w:eastAsia="宋体" w:cs="宋体"/>
          <w:color w:val="000000"/>
          <w:sz w:val="24"/>
          <w:szCs w:val="24"/>
        </w:rPr>
        <w:t>整体设 </w:t>
      </w:r>
      <w:r>
        <w:rPr>
          <w:rFonts w:hint="default" w:ascii="Calibri" w:hAnsi="Calibri" w:cs="Calibri"/>
          <w:color w:val="000000"/>
          <w:sz w:val="24"/>
          <w:szCs w:val="24"/>
        </w:rPr>
        <w:t xml:space="preserve"> </w:t>
      </w:r>
      <w:r>
        <w:rPr>
          <w:rFonts w:hint="eastAsia" w:ascii="宋体" w:hAnsi="宋体" w:eastAsia="宋体" w:cs="宋体"/>
          <w:color w:val="000000"/>
          <w:sz w:val="24"/>
          <w:szCs w:val="24"/>
        </w:rPr>
        <w:t>计的思路，政务信息网、政务外网（智网）为全覆盖网络设</w:t>
      </w:r>
      <w:r>
        <w:rPr>
          <w:rFonts w:hint="default" w:ascii="Calibri" w:hAnsi="Calibri" w:cs="Calibri"/>
          <w:color w:val="000000"/>
          <w:sz w:val="24"/>
          <w:szCs w:val="24"/>
        </w:rPr>
        <w:t xml:space="preserve">   </w:t>
      </w:r>
      <w:r>
        <w:rPr>
          <w:rFonts w:hint="eastAsia" w:ascii="宋体" w:hAnsi="宋体" w:eastAsia="宋体" w:cs="宋体"/>
          <w:color w:val="000000"/>
          <w:sz w:val="24"/>
          <w:szCs w:val="24"/>
        </w:rPr>
        <w:t>计。互联网在整体上要求实现无线覆盖，互联网作为连接外网的部分，在安全性上必须着重考虑，并具备上网行为管理功能。</w:t>
      </w:r>
    </w:p>
    <w:p>
      <w:pPr>
        <w:pStyle w:val="4"/>
        <w:keepNext w:val="0"/>
        <w:keepLines w:val="0"/>
        <w:widowControl/>
        <w:suppressLineNumbers w:val="0"/>
        <w:ind w:left="0" w:firstLine="0"/>
      </w:pPr>
      <w:r>
        <w:rPr>
          <w:rFonts w:hint="eastAsia" w:ascii="宋体" w:hAnsi="宋体" w:eastAsia="宋体" w:cs="宋体"/>
          <w:sz w:val="24"/>
          <w:szCs w:val="24"/>
        </w:rPr>
        <w:t>1.9.8</w:t>
      </w:r>
      <w:r>
        <w:rPr>
          <w:rFonts w:hint="default" w:ascii="Times New Roman" w:hAnsi="Times New Roman" w:cs="Times New Roman"/>
          <w:sz w:val="13"/>
          <w:szCs w:val="13"/>
        </w:rPr>
        <w:t xml:space="preserve">   </w:t>
      </w:r>
      <w:r>
        <w:rPr>
          <w:rFonts w:hint="eastAsia" w:ascii="宋体" w:hAnsi="宋体" w:eastAsia="宋体" w:cs="宋体"/>
          <w:sz w:val="24"/>
          <w:szCs w:val="24"/>
        </w:rPr>
        <w:t>网络建设方案</w:t>
      </w:r>
    </w:p>
    <w:p>
      <w:pPr>
        <w:pStyle w:val="4"/>
        <w:keepNext w:val="0"/>
        <w:keepLines w:val="0"/>
        <w:widowControl/>
        <w:suppressLineNumbers w:val="0"/>
      </w:pPr>
      <w:r>
        <w:rPr>
          <w:rFonts w:hint="default" w:ascii="Calibri" w:hAnsi="Calibri" w:cs="Calibri"/>
          <w:sz w:val="24"/>
          <w:szCs w:val="24"/>
        </w:rPr>
        <w:t xml:space="preserve">1.9.8.1 </w:t>
      </w:r>
      <w:r>
        <w:rPr>
          <w:rFonts w:hint="eastAsia" w:ascii="宋体" w:hAnsi="宋体" w:eastAsia="宋体" w:cs="宋体"/>
          <w:sz w:val="24"/>
          <w:szCs w:val="24"/>
        </w:rPr>
        <w:t>政务信息网</w:t>
      </w:r>
    </w:p>
    <w:p>
      <w:pPr>
        <w:pStyle w:val="4"/>
        <w:keepNext w:val="0"/>
        <w:keepLines w:val="0"/>
        <w:widowControl/>
        <w:suppressLineNumbers w:val="0"/>
        <w:ind w:left="0" w:firstLine="480"/>
      </w:pPr>
      <w:r>
        <w:rPr>
          <w:rFonts w:hint="eastAsia" w:ascii="宋体" w:hAnsi="宋体" w:eastAsia="宋体" w:cs="宋体"/>
          <w:sz w:val="24"/>
          <w:szCs w:val="24"/>
        </w:rPr>
        <w:t>政务信息网是党政机关办公业务网络，与国际互联网物理隔离，主要满足各级政务部门内部办公、管理、协调、监督和决策的需要，同时满足副省 级以上政务部门的特殊办公需要；可靠、安全的内网局域网建设是对政府业务的有效运行的保障。政务信息网的具体点位分布表如下：</w:t>
      </w:r>
      <w:r>
        <w:rPr>
          <w:rFonts w:hint="eastAsia" w:ascii="宋体" w:hAnsi="宋体" w:eastAsia="宋体" w:cs="宋体"/>
          <w:sz w:val="24"/>
          <w:szCs w:val="24"/>
        </w:rPr>
        <w:br w:type="textWrapping"/>
      </w:r>
      <w:r>
        <w:rPr>
          <w:rFonts w:hint="eastAsia" w:ascii="宋体" w:hAnsi="宋体" w:eastAsia="宋体" w:cs="宋体"/>
          <w:sz w:val="24"/>
          <w:szCs w:val="24"/>
        </w:rPr>
        <w:t>图5.6-4  行政服务中心政务信息网信息点位分布表：</w:t>
      </w:r>
    </w:p>
    <w:tbl>
      <w:tblPr>
        <w:tblStyle w:val="9"/>
        <w:tblW w:w="7962" w:type="dxa"/>
        <w:tblCellSpacing w:w="15"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15" w:type="dxa"/>
          <w:left w:w="15" w:type="dxa"/>
          <w:bottom w:w="15" w:type="dxa"/>
          <w:right w:w="15" w:type="dxa"/>
        </w:tblCellMar>
      </w:tblPr>
      <w:tblGrid>
        <w:gridCol w:w="915"/>
        <w:gridCol w:w="900"/>
        <w:gridCol w:w="2843"/>
        <w:gridCol w:w="900"/>
        <w:gridCol w:w="2404"/>
      </w:tblGrid>
      <w:tr>
        <w:trPr>
          <w:trHeight w:val="450" w:hRule="atLeast"/>
          <w:tblCellSpacing w:w="15" w:type="dxa"/>
        </w:trPr>
        <w:tc>
          <w:tcPr>
            <w:tcW w:w="870" w:type="dxa"/>
            <w:tcBorders>
              <w:top w:val="double" w:color="auto" w:sz="2" w:space="0"/>
              <w:left w:val="double" w:color="auto" w:sz="2"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Style w:val="6"/>
                <w:rFonts w:hint="eastAsia" w:ascii="宋体" w:hAnsi="宋体" w:eastAsia="宋体" w:cs="宋体"/>
                <w:b/>
                <w:color w:val="000000"/>
                <w:sz w:val="22"/>
                <w:szCs w:val="22"/>
              </w:rPr>
              <w:t>序号</w:t>
            </w:r>
          </w:p>
        </w:tc>
        <w:tc>
          <w:tcPr>
            <w:tcW w:w="870" w:type="dxa"/>
            <w:tcBorders>
              <w:top w:val="double" w:color="auto" w:sz="2"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Style w:val="6"/>
                <w:rFonts w:hint="eastAsia" w:ascii="宋体" w:hAnsi="宋体" w:eastAsia="宋体" w:cs="宋体"/>
                <w:b/>
                <w:color w:val="000000"/>
                <w:sz w:val="22"/>
                <w:szCs w:val="22"/>
              </w:rPr>
              <w:t>楼层</w:t>
            </w:r>
          </w:p>
        </w:tc>
        <w:tc>
          <w:tcPr>
            <w:tcW w:w="2813" w:type="dxa"/>
            <w:tcBorders>
              <w:top w:val="double" w:color="auto" w:sz="2"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Style w:val="6"/>
                <w:rFonts w:hint="eastAsia" w:ascii="宋体" w:hAnsi="宋体" w:eastAsia="宋体" w:cs="宋体"/>
                <w:b/>
                <w:color w:val="000000"/>
                <w:sz w:val="22"/>
                <w:szCs w:val="22"/>
              </w:rPr>
              <w:t>位置</w:t>
            </w:r>
          </w:p>
        </w:tc>
        <w:tc>
          <w:tcPr>
            <w:tcW w:w="870" w:type="dxa"/>
            <w:tcBorders>
              <w:top w:val="double" w:color="auto" w:sz="2"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Style w:val="6"/>
                <w:rFonts w:hint="eastAsia" w:ascii="宋体" w:hAnsi="宋体" w:eastAsia="宋体" w:cs="宋体"/>
                <w:b/>
                <w:color w:val="000000"/>
                <w:sz w:val="22"/>
                <w:szCs w:val="22"/>
              </w:rPr>
              <w:t>数量</w:t>
            </w:r>
          </w:p>
        </w:tc>
        <w:tc>
          <w:tcPr>
            <w:tcW w:w="2359" w:type="dxa"/>
            <w:tcBorders>
              <w:top w:val="double" w:color="auto" w:sz="2" w:space="0"/>
              <w:left w:val="nil"/>
              <w:bottom w:val="single" w:color="auto" w:sz="6" w:space="0"/>
              <w:right w:val="double" w:color="auto" w:sz="2"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Style w:val="6"/>
                <w:rFonts w:hint="eastAsia" w:ascii="宋体" w:hAnsi="宋体" w:eastAsia="宋体" w:cs="宋体"/>
                <w:b/>
                <w:color w:val="000000"/>
                <w:sz w:val="22"/>
                <w:szCs w:val="22"/>
              </w:rPr>
              <w:t>备注</w:t>
            </w:r>
          </w:p>
        </w:tc>
      </w:tr>
      <w:tr>
        <w:trPr>
          <w:trHeight w:val="420" w:hRule="atLeast"/>
          <w:tblCellSpacing w:w="15" w:type="dxa"/>
        </w:trPr>
        <w:tc>
          <w:tcPr>
            <w:tcW w:w="870" w:type="dxa"/>
            <w:tcBorders>
              <w:top w:val="nil"/>
              <w:left w:val="double" w:color="auto" w:sz="2"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2"/>
                <w:szCs w:val="22"/>
              </w:rPr>
              <w:t>1</w:t>
            </w:r>
          </w:p>
        </w:tc>
        <w:tc>
          <w:tcPr>
            <w:tcW w:w="87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2"/>
                <w:szCs w:val="22"/>
              </w:rPr>
              <w:t>1F</w:t>
            </w:r>
          </w:p>
        </w:tc>
        <w:tc>
          <w:tcPr>
            <w:tcW w:w="2813"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2"/>
                <w:szCs w:val="22"/>
              </w:rPr>
              <w:t>行政服务中心办公区</w:t>
            </w:r>
          </w:p>
        </w:tc>
        <w:tc>
          <w:tcPr>
            <w:tcW w:w="870" w:type="dxa"/>
            <w:vMerge w:val="restart"/>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2"/>
                <w:szCs w:val="22"/>
              </w:rPr>
              <w:t>12</w:t>
            </w:r>
          </w:p>
        </w:tc>
        <w:tc>
          <w:tcPr>
            <w:tcW w:w="2359" w:type="dxa"/>
            <w:vMerge w:val="restart"/>
            <w:tcBorders>
              <w:top w:val="nil"/>
              <w:left w:val="nil"/>
              <w:bottom w:val="single" w:color="auto" w:sz="6" w:space="0"/>
              <w:right w:val="double" w:color="auto" w:sz="2"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2"/>
                <w:szCs w:val="22"/>
              </w:rPr>
              <w:t>每个办公室配置2个信息点，6间</w:t>
            </w:r>
            <w:r>
              <w:rPr>
                <w:rFonts w:hint="eastAsia" w:ascii="宋体" w:hAnsi="宋体" w:eastAsia="宋体" w:cs="宋体"/>
                <w:sz w:val="19"/>
                <w:szCs w:val="19"/>
              </w:rPr>
              <w:t>×</w:t>
            </w:r>
            <w:r>
              <w:rPr>
                <w:rFonts w:hint="eastAsia" w:ascii="宋体" w:hAnsi="宋体" w:eastAsia="宋体" w:cs="宋体"/>
                <w:color w:val="000000"/>
                <w:sz w:val="22"/>
                <w:szCs w:val="22"/>
              </w:rPr>
              <w:t>2个=12个</w:t>
            </w:r>
          </w:p>
        </w:tc>
      </w:tr>
      <w:tr>
        <w:trPr>
          <w:trHeight w:val="420" w:hRule="atLeast"/>
          <w:tblCellSpacing w:w="15" w:type="dxa"/>
        </w:trPr>
        <w:tc>
          <w:tcPr>
            <w:tcW w:w="870" w:type="dxa"/>
            <w:tcBorders>
              <w:top w:val="nil"/>
              <w:left w:val="double" w:color="auto" w:sz="2"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2"/>
                <w:szCs w:val="22"/>
              </w:rPr>
              <w:t>2</w:t>
            </w:r>
          </w:p>
        </w:tc>
        <w:tc>
          <w:tcPr>
            <w:tcW w:w="87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2"/>
                <w:szCs w:val="22"/>
              </w:rPr>
              <w:t>1F</w:t>
            </w:r>
          </w:p>
        </w:tc>
        <w:tc>
          <w:tcPr>
            <w:tcW w:w="2813"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2"/>
                <w:szCs w:val="22"/>
              </w:rPr>
              <w:t>税务办公区</w:t>
            </w:r>
          </w:p>
        </w:tc>
        <w:tc>
          <w:tcPr>
            <w:tcW w:w="870" w:type="dxa"/>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rPr>
                <w:rFonts w:hint="eastAsia" w:ascii="宋体"/>
                <w:sz w:val="24"/>
                <w:szCs w:val="24"/>
              </w:rPr>
            </w:pPr>
          </w:p>
        </w:tc>
        <w:tc>
          <w:tcPr>
            <w:tcW w:w="2359" w:type="dxa"/>
            <w:vMerge w:val="continue"/>
            <w:tcBorders>
              <w:top w:val="nil"/>
              <w:left w:val="nil"/>
              <w:bottom w:val="single" w:color="auto" w:sz="6" w:space="0"/>
              <w:right w:val="double" w:color="auto" w:sz="2" w:space="0"/>
            </w:tcBorders>
            <w:shd w:val="clear" w:color="auto" w:fill="FFFFFF"/>
            <w:tcMar>
              <w:top w:w="0" w:type="dxa"/>
              <w:left w:w="105" w:type="dxa"/>
              <w:bottom w:w="0" w:type="dxa"/>
              <w:right w:w="105" w:type="dxa"/>
            </w:tcMar>
            <w:vAlign w:val="center"/>
          </w:tcPr>
          <w:p>
            <w:pPr>
              <w:rPr>
                <w:rFonts w:hint="eastAsia" w:ascii="宋体"/>
                <w:sz w:val="24"/>
                <w:szCs w:val="24"/>
              </w:rPr>
            </w:pPr>
          </w:p>
        </w:tc>
      </w:tr>
      <w:tr>
        <w:trPr>
          <w:trHeight w:val="840" w:hRule="atLeast"/>
          <w:tblCellSpacing w:w="15" w:type="dxa"/>
        </w:trPr>
        <w:tc>
          <w:tcPr>
            <w:tcW w:w="870" w:type="dxa"/>
            <w:tcBorders>
              <w:top w:val="nil"/>
              <w:left w:val="double" w:color="auto" w:sz="2"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2"/>
                <w:szCs w:val="22"/>
              </w:rPr>
              <w:t>3</w:t>
            </w:r>
          </w:p>
        </w:tc>
        <w:tc>
          <w:tcPr>
            <w:tcW w:w="87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2"/>
                <w:szCs w:val="22"/>
              </w:rPr>
              <w:t>2F</w:t>
            </w:r>
          </w:p>
        </w:tc>
        <w:tc>
          <w:tcPr>
            <w:tcW w:w="2813"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2"/>
                <w:szCs w:val="22"/>
              </w:rPr>
              <w:t>行政服务中心办公区</w:t>
            </w:r>
          </w:p>
        </w:tc>
        <w:tc>
          <w:tcPr>
            <w:tcW w:w="87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2"/>
                <w:szCs w:val="22"/>
              </w:rPr>
              <w:t>8</w:t>
            </w:r>
          </w:p>
        </w:tc>
        <w:tc>
          <w:tcPr>
            <w:tcW w:w="2359" w:type="dxa"/>
            <w:tcBorders>
              <w:top w:val="nil"/>
              <w:left w:val="nil"/>
              <w:bottom w:val="single" w:color="auto" w:sz="6" w:space="0"/>
              <w:right w:val="double" w:color="auto" w:sz="2"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2"/>
                <w:szCs w:val="22"/>
              </w:rPr>
              <w:t>每个办公室配置2个信息点，4间</w:t>
            </w:r>
            <w:r>
              <w:rPr>
                <w:rFonts w:hint="eastAsia" w:ascii="宋体" w:hAnsi="宋体" w:eastAsia="宋体" w:cs="宋体"/>
                <w:sz w:val="19"/>
                <w:szCs w:val="19"/>
              </w:rPr>
              <w:t>×</w:t>
            </w:r>
            <w:r>
              <w:rPr>
                <w:rFonts w:hint="eastAsia" w:ascii="宋体" w:hAnsi="宋体" w:eastAsia="宋体" w:cs="宋体"/>
                <w:color w:val="000000"/>
                <w:sz w:val="22"/>
                <w:szCs w:val="22"/>
              </w:rPr>
              <w:t>2个=8个</w:t>
            </w:r>
          </w:p>
        </w:tc>
      </w:tr>
      <w:tr>
        <w:trPr>
          <w:trHeight w:val="930" w:hRule="atLeast"/>
          <w:tblCellSpacing w:w="15" w:type="dxa"/>
        </w:trPr>
        <w:tc>
          <w:tcPr>
            <w:tcW w:w="870" w:type="dxa"/>
            <w:tcBorders>
              <w:top w:val="nil"/>
              <w:left w:val="double" w:color="auto" w:sz="2"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2"/>
                <w:szCs w:val="22"/>
              </w:rPr>
              <w:t>4</w:t>
            </w:r>
          </w:p>
        </w:tc>
        <w:tc>
          <w:tcPr>
            <w:tcW w:w="87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2"/>
                <w:szCs w:val="22"/>
              </w:rPr>
              <w:t>3F</w:t>
            </w:r>
          </w:p>
        </w:tc>
        <w:tc>
          <w:tcPr>
            <w:tcW w:w="2813"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2"/>
                <w:szCs w:val="22"/>
              </w:rPr>
              <w:t>办公区</w:t>
            </w:r>
          </w:p>
        </w:tc>
        <w:tc>
          <w:tcPr>
            <w:tcW w:w="87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2"/>
                <w:szCs w:val="22"/>
              </w:rPr>
              <w:t>43</w:t>
            </w:r>
          </w:p>
        </w:tc>
        <w:tc>
          <w:tcPr>
            <w:tcW w:w="2359" w:type="dxa"/>
            <w:tcBorders>
              <w:top w:val="nil"/>
              <w:left w:val="nil"/>
              <w:bottom w:val="single" w:color="auto" w:sz="6" w:space="0"/>
              <w:right w:val="double" w:color="auto" w:sz="2"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2"/>
                <w:szCs w:val="22"/>
              </w:rPr>
              <w:t>按所有点位的30%配置，142个</w:t>
            </w:r>
            <w:r>
              <w:rPr>
                <w:rFonts w:hint="eastAsia" w:ascii="宋体" w:hAnsi="宋体" w:eastAsia="宋体" w:cs="宋体"/>
                <w:sz w:val="19"/>
                <w:szCs w:val="19"/>
              </w:rPr>
              <w:t>×</w:t>
            </w:r>
            <w:r>
              <w:rPr>
                <w:rFonts w:hint="eastAsia" w:ascii="宋体" w:hAnsi="宋体" w:eastAsia="宋体" w:cs="宋体"/>
                <w:color w:val="000000"/>
                <w:sz w:val="22"/>
                <w:szCs w:val="22"/>
              </w:rPr>
              <w:t>30%≈43</w:t>
            </w:r>
          </w:p>
        </w:tc>
      </w:tr>
      <w:tr>
        <w:trPr>
          <w:trHeight w:val="480" w:hRule="atLeast"/>
          <w:tblCellSpacing w:w="15" w:type="dxa"/>
        </w:trPr>
        <w:tc>
          <w:tcPr>
            <w:tcW w:w="870" w:type="dxa"/>
            <w:tcBorders>
              <w:top w:val="nil"/>
              <w:left w:val="double" w:color="auto" w:sz="2" w:space="0"/>
              <w:bottom w:val="double" w:color="auto" w:sz="2"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2"/>
                <w:szCs w:val="22"/>
              </w:rPr>
              <w:t>5</w:t>
            </w:r>
          </w:p>
        </w:tc>
        <w:tc>
          <w:tcPr>
            <w:tcW w:w="3713" w:type="dxa"/>
            <w:gridSpan w:val="2"/>
            <w:tcBorders>
              <w:top w:val="nil"/>
              <w:left w:val="nil"/>
              <w:bottom w:val="double" w:color="auto" w:sz="2"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2"/>
                <w:szCs w:val="22"/>
              </w:rPr>
              <w:t>共计</w:t>
            </w:r>
          </w:p>
        </w:tc>
        <w:tc>
          <w:tcPr>
            <w:tcW w:w="870" w:type="dxa"/>
            <w:tcBorders>
              <w:top w:val="nil"/>
              <w:left w:val="nil"/>
              <w:bottom w:val="double" w:color="auto" w:sz="2"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2"/>
                <w:szCs w:val="22"/>
              </w:rPr>
              <w:t>63</w:t>
            </w:r>
          </w:p>
        </w:tc>
        <w:tc>
          <w:tcPr>
            <w:tcW w:w="2359" w:type="dxa"/>
            <w:tcBorders>
              <w:top w:val="nil"/>
              <w:left w:val="nil"/>
              <w:bottom w:val="double" w:color="auto" w:sz="2" w:space="0"/>
              <w:right w:val="double" w:color="auto" w:sz="2"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tc>
      </w:tr>
    </w:tbl>
    <w:p>
      <w:pPr>
        <w:pStyle w:val="4"/>
        <w:keepNext w:val="0"/>
        <w:keepLines w:val="0"/>
        <w:widowControl/>
        <w:suppressLineNumbers w:val="0"/>
        <w:ind w:left="0" w:firstLine="480"/>
      </w:pPr>
      <w:r>
        <w:rPr>
          <w:rFonts w:hint="eastAsia" w:ascii="宋体" w:hAnsi="宋体" w:eastAsia="宋体" w:cs="宋体"/>
          <w:sz w:val="24"/>
          <w:szCs w:val="24"/>
        </w:rPr>
        <w:t>行政服务中心政务内网接入点通过综合布线系统六类线路连接到各楼层弱电机房接入层交换机，接入层交换机通过楼内光缆汇聚到2层信息中心机房核心交换机。</w:t>
      </w:r>
      <w:r>
        <w:rPr>
          <w:rFonts w:hint="eastAsia" w:ascii="宋体" w:hAnsi="宋体" w:eastAsia="宋体" w:cs="宋体"/>
          <w:sz w:val="24"/>
          <w:szCs w:val="24"/>
        </w:rPr>
        <w:br w:type="textWrapping"/>
      </w:r>
      <w:r>
        <w:rPr>
          <w:rFonts w:hint="eastAsia" w:ascii="宋体" w:hAnsi="宋体" w:eastAsia="宋体" w:cs="宋体"/>
          <w:sz w:val="24"/>
          <w:szCs w:val="24"/>
        </w:rPr>
        <w:drawing>
          <wp:inline distT="0" distB="0" distL="114300" distR="114300">
            <wp:extent cx="5974715" cy="3620770"/>
            <wp:effectExtent l="0" t="0" r="6985" b="17780"/>
            <wp:docPr id="12" name="图片 11" descr="15354225170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1" descr="1535422517062.png"/>
                    <pic:cNvPicPr>
                      <a:picLocks noChangeAspect="1"/>
                    </pic:cNvPicPr>
                  </pic:nvPicPr>
                  <pic:blipFill>
                    <a:blip r:embed="rId14"/>
                    <a:stretch>
                      <a:fillRect/>
                    </a:stretch>
                  </pic:blipFill>
                  <pic:spPr>
                    <a:xfrm>
                      <a:off x="0" y="0"/>
                      <a:ext cx="5974715" cy="3620770"/>
                    </a:xfrm>
                    <a:prstGeom prst="rect">
                      <a:avLst/>
                    </a:prstGeom>
                    <a:noFill/>
                    <a:ln w="9525">
                      <a:noFill/>
                    </a:ln>
                  </pic:spPr>
                </pic:pic>
              </a:graphicData>
            </a:graphic>
          </wp:inline>
        </w:drawing>
      </w:r>
    </w:p>
    <w:p>
      <w:pPr>
        <w:pStyle w:val="4"/>
        <w:keepNext w:val="0"/>
        <w:keepLines w:val="0"/>
        <w:widowControl/>
        <w:suppressLineNumbers w:val="0"/>
      </w:pPr>
      <w:r>
        <w:rPr>
          <w:rFonts w:hint="eastAsia" w:ascii="宋体" w:hAnsi="宋体" w:eastAsia="宋体" w:cs="宋体"/>
          <w:sz w:val="21"/>
          <w:szCs w:val="21"/>
        </w:rPr>
        <w:t>图5.6-5  政务信息网设 计网络拓扑</w:t>
      </w:r>
    </w:p>
    <w:p>
      <w:pPr>
        <w:pStyle w:val="4"/>
        <w:keepNext w:val="0"/>
        <w:keepLines w:val="0"/>
        <w:widowControl/>
        <w:suppressLineNumbers w:val="0"/>
        <w:jc w:val="center"/>
      </w:pPr>
      <w:r>
        <w:rPr>
          <w:rFonts w:hint="default" w:ascii="Calibri" w:hAnsi="Calibri" w:cs="Calibri"/>
          <w:sz w:val="24"/>
          <w:szCs w:val="24"/>
        </w:rPr>
        <w:t> </w:t>
      </w:r>
    </w:p>
    <w:p>
      <w:pPr>
        <w:pStyle w:val="4"/>
        <w:keepNext w:val="0"/>
        <w:keepLines w:val="0"/>
        <w:widowControl/>
        <w:suppressLineNumbers w:val="0"/>
        <w:ind w:left="900"/>
      </w:pPr>
      <w:r>
        <w:rPr>
          <w:rFonts w:hint="default" w:ascii="Wingdings" w:hAnsi="Wingdings" w:cs="Wingdings"/>
          <w:sz w:val="24"/>
          <w:szCs w:val="24"/>
        </w:rPr>
        <w:t>l</w:t>
      </w:r>
      <w:r>
        <w:rPr>
          <w:rFonts w:hint="default" w:ascii="Times New Roman" w:hAnsi="Times New Roman" w:cs="Times New Roman"/>
          <w:sz w:val="13"/>
          <w:szCs w:val="13"/>
        </w:rPr>
        <w:t xml:space="preserve">  </w:t>
      </w:r>
      <w:r>
        <w:rPr>
          <w:rFonts w:hint="eastAsia" w:ascii="宋体" w:hAnsi="宋体" w:eastAsia="宋体" w:cs="宋体"/>
          <w:sz w:val="24"/>
          <w:szCs w:val="24"/>
        </w:rPr>
        <w:t>采用二层网络结构设 计，核心交换机设置于二层信息中心机房内，接入层交换机设置于每层楼机房与分机房；主干选用千兆光纤主干，百兆到桌面；网络中心机房配有出口安全网关。</w:t>
      </w:r>
    </w:p>
    <w:p>
      <w:pPr>
        <w:pStyle w:val="4"/>
        <w:keepNext w:val="0"/>
        <w:keepLines w:val="0"/>
        <w:widowControl/>
        <w:suppressLineNumbers w:val="0"/>
        <w:ind w:left="900"/>
      </w:pPr>
      <w:r>
        <w:rPr>
          <w:rFonts w:hint="default" w:ascii="Wingdings" w:hAnsi="Wingdings" w:cs="Wingdings"/>
          <w:sz w:val="24"/>
          <w:szCs w:val="24"/>
        </w:rPr>
        <w:t>l</w:t>
      </w:r>
      <w:r>
        <w:rPr>
          <w:rFonts w:hint="default" w:ascii="Times New Roman" w:hAnsi="Times New Roman" w:cs="Times New Roman"/>
          <w:sz w:val="13"/>
          <w:szCs w:val="13"/>
        </w:rPr>
        <w:t xml:space="preserve">  </w:t>
      </w:r>
      <w:r>
        <w:rPr>
          <w:rFonts w:hint="eastAsia" w:ascii="宋体" w:hAnsi="宋体" w:eastAsia="宋体" w:cs="宋体"/>
          <w:sz w:val="24"/>
          <w:szCs w:val="24"/>
        </w:rPr>
        <w:t>通过Vlan实现全网按部门划分子网，并定制合理访问策略</w:t>
      </w:r>
    </w:p>
    <w:p>
      <w:pPr>
        <w:pStyle w:val="4"/>
        <w:keepNext w:val="0"/>
        <w:keepLines w:val="0"/>
        <w:widowControl/>
        <w:suppressLineNumbers w:val="0"/>
        <w:ind w:left="900"/>
      </w:pPr>
      <w:r>
        <w:rPr>
          <w:rFonts w:hint="default" w:ascii="Wingdings" w:hAnsi="Wingdings" w:cs="Wingdings"/>
          <w:sz w:val="24"/>
          <w:szCs w:val="24"/>
        </w:rPr>
        <w:t>l</w:t>
      </w:r>
      <w:r>
        <w:rPr>
          <w:rFonts w:hint="default" w:ascii="Times New Roman" w:hAnsi="Times New Roman" w:cs="Times New Roman"/>
          <w:sz w:val="13"/>
          <w:szCs w:val="13"/>
        </w:rPr>
        <w:t xml:space="preserve">  </w:t>
      </w:r>
      <w:r>
        <w:rPr>
          <w:rFonts w:hint="eastAsia" w:ascii="宋体" w:hAnsi="宋体" w:eastAsia="宋体" w:cs="宋体"/>
          <w:sz w:val="24"/>
          <w:szCs w:val="24"/>
        </w:rPr>
        <w:t>政务信息网网关可设在核心交换机上，通过安全策略部署、vlan及网段的划分避免广播风暴及病毒传播对核心交换机的冲击。</w:t>
      </w:r>
    </w:p>
    <w:p>
      <w:pPr>
        <w:pStyle w:val="4"/>
        <w:keepNext w:val="0"/>
        <w:keepLines w:val="0"/>
        <w:widowControl/>
        <w:suppressLineNumbers w:val="0"/>
        <w:ind w:left="900"/>
      </w:pPr>
      <w:r>
        <w:rPr>
          <w:rFonts w:hint="default" w:ascii="Wingdings" w:hAnsi="Wingdings" w:cs="Wingdings"/>
          <w:sz w:val="24"/>
          <w:szCs w:val="24"/>
        </w:rPr>
        <w:t>l</w:t>
      </w:r>
      <w:r>
        <w:rPr>
          <w:rFonts w:hint="default" w:ascii="Times New Roman" w:hAnsi="Times New Roman" w:cs="Times New Roman"/>
          <w:sz w:val="13"/>
          <w:szCs w:val="13"/>
        </w:rPr>
        <w:t xml:space="preserve">  </w:t>
      </w:r>
      <w:r>
        <w:rPr>
          <w:rFonts w:hint="eastAsia" w:ascii="宋体" w:hAnsi="宋体" w:eastAsia="宋体" w:cs="宋体"/>
          <w:sz w:val="24"/>
          <w:szCs w:val="24"/>
        </w:rPr>
        <w:t>行政服务中心政务网的IP地址分配，遵循政务网对IP地址规划的要求。</w:t>
      </w:r>
    </w:p>
    <w:p>
      <w:pPr>
        <w:pStyle w:val="4"/>
        <w:keepNext w:val="0"/>
        <w:keepLines w:val="0"/>
        <w:widowControl/>
        <w:suppressLineNumbers w:val="0"/>
      </w:pPr>
      <w:r>
        <w:rPr>
          <w:rFonts w:hint="default" w:ascii="Calibri" w:hAnsi="Calibri" w:cs="Calibri"/>
          <w:sz w:val="24"/>
          <w:szCs w:val="24"/>
        </w:rPr>
        <w:t xml:space="preserve">1.9.8.2 </w:t>
      </w:r>
      <w:r>
        <w:rPr>
          <w:rFonts w:hint="eastAsia" w:ascii="宋体" w:hAnsi="宋体" w:eastAsia="宋体" w:cs="宋体"/>
          <w:sz w:val="24"/>
          <w:szCs w:val="24"/>
        </w:rPr>
        <w:t>互联网</w:t>
      </w:r>
    </w:p>
    <w:p>
      <w:pPr>
        <w:pStyle w:val="4"/>
        <w:keepNext w:val="0"/>
        <w:keepLines w:val="0"/>
        <w:widowControl/>
        <w:suppressLineNumbers w:val="0"/>
        <w:ind w:left="0" w:firstLine="480"/>
      </w:pPr>
      <w:r>
        <w:rPr>
          <w:rFonts w:hint="eastAsia" w:ascii="宋体" w:hAnsi="宋体" w:eastAsia="宋体" w:cs="宋体"/>
          <w:sz w:val="24"/>
          <w:szCs w:val="24"/>
        </w:rPr>
        <w:t>互联网是直接与国际互联网逻辑隔离，主要满足各级政务部门进行社会管理、公共服务等面向社会服务的需要。</w:t>
      </w:r>
    </w:p>
    <w:p>
      <w:pPr>
        <w:pStyle w:val="4"/>
        <w:keepNext w:val="0"/>
        <w:keepLines w:val="0"/>
        <w:widowControl/>
        <w:suppressLineNumbers w:val="0"/>
        <w:ind w:left="0" w:firstLine="480"/>
      </w:pPr>
      <w:r>
        <w:rPr>
          <w:rFonts w:hint="eastAsia" w:ascii="宋体" w:hAnsi="宋体" w:eastAsia="宋体" w:cs="宋体"/>
          <w:sz w:val="24"/>
          <w:szCs w:val="24"/>
        </w:rPr>
        <w:t>互联网在要求上也要实现对整网终端的覆盖，基于新时期互联网随时在线的特点。根据行政服务中心的需求，互联网信息点具体分部表如下：</w:t>
      </w:r>
      <w:r>
        <w:rPr>
          <w:rFonts w:hint="eastAsia" w:ascii="宋体" w:hAnsi="宋体" w:eastAsia="宋体" w:cs="宋体"/>
          <w:sz w:val="24"/>
          <w:szCs w:val="24"/>
        </w:rPr>
        <w:br w:type="textWrapping"/>
      </w:r>
      <w:r>
        <w:rPr>
          <w:rFonts w:hint="eastAsia" w:ascii="宋体" w:hAnsi="宋体" w:eastAsia="宋体" w:cs="宋体"/>
          <w:sz w:val="24"/>
          <w:szCs w:val="24"/>
        </w:rPr>
        <w:t>图5.6-4  行政服务中心互联网信息点位分布表</w:t>
      </w:r>
    </w:p>
    <w:tbl>
      <w:tblPr>
        <w:tblStyle w:val="9"/>
        <w:tblW w:w="7663" w:type="dxa"/>
        <w:tblCellSpacing w:w="15"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15" w:type="dxa"/>
          <w:left w:w="15" w:type="dxa"/>
          <w:bottom w:w="15" w:type="dxa"/>
          <w:right w:w="15" w:type="dxa"/>
        </w:tblCellMar>
      </w:tblPr>
      <w:tblGrid>
        <w:gridCol w:w="913"/>
        <w:gridCol w:w="897"/>
        <w:gridCol w:w="2988"/>
        <w:gridCol w:w="1578"/>
        <w:gridCol w:w="1287"/>
      </w:tblGrid>
      <w:tr>
        <w:trPr>
          <w:trHeight w:val="450" w:hRule="atLeast"/>
          <w:tblCellSpacing w:w="15" w:type="dxa"/>
        </w:trPr>
        <w:tc>
          <w:tcPr>
            <w:tcW w:w="868" w:type="dxa"/>
            <w:tcBorders>
              <w:top w:val="double" w:color="auto" w:sz="2" w:space="0"/>
              <w:left w:val="double" w:color="auto" w:sz="2"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Style w:val="6"/>
                <w:rFonts w:hint="eastAsia" w:ascii="宋体" w:hAnsi="宋体" w:eastAsia="宋体" w:cs="宋体"/>
                <w:b/>
                <w:color w:val="000000"/>
                <w:sz w:val="22"/>
                <w:szCs w:val="22"/>
              </w:rPr>
              <w:t>序号</w:t>
            </w:r>
          </w:p>
        </w:tc>
        <w:tc>
          <w:tcPr>
            <w:tcW w:w="867" w:type="dxa"/>
            <w:tcBorders>
              <w:top w:val="double" w:color="auto" w:sz="2"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Style w:val="6"/>
                <w:rFonts w:hint="eastAsia" w:ascii="宋体" w:hAnsi="宋体" w:eastAsia="宋体" w:cs="宋体"/>
                <w:b/>
                <w:color w:val="000000"/>
                <w:sz w:val="22"/>
                <w:szCs w:val="22"/>
              </w:rPr>
              <w:t>楼层</w:t>
            </w:r>
          </w:p>
        </w:tc>
        <w:tc>
          <w:tcPr>
            <w:tcW w:w="2958" w:type="dxa"/>
            <w:tcBorders>
              <w:top w:val="double" w:color="auto" w:sz="2"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Style w:val="6"/>
                <w:rFonts w:hint="eastAsia" w:ascii="宋体" w:hAnsi="宋体" w:eastAsia="宋体" w:cs="宋体"/>
                <w:b/>
                <w:color w:val="000000"/>
                <w:sz w:val="22"/>
                <w:szCs w:val="22"/>
              </w:rPr>
              <w:t>位置</w:t>
            </w:r>
          </w:p>
        </w:tc>
        <w:tc>
          <w:tcPr>
            <w:tcW w:w="1548" w:type="dxa"/>
            <w:tcBorders>
              <w:top w:val="double" w:color="auto" w:sz="2"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Style w:val="6"/>
                <w:rFonts w:hint="eastAsia" w:ascii="宋体" w:hAnsi="宋体" w:eastAsia="宋体" w:cs="宋体"/>
                <w:b/>
                <w:color w:val="000000"/>
                <w:sz w:val="22"/>
                <w:szCs w:val="22"/>
              </w:rPr>
              <w:t>数量</w:t>
            </w:r>
          </w:p>
        </w:tc>
        <w:tc>
          <w:tcPr>
            <w:tcW w:w="1242" w:type="dxa"/>
            <w:tcBorders>
              <w:top w:val="double" w:color="auto" w:sz="2" w:space="0"/>
              <w:left w:val="nil"/>
              <w:bottom w:val="single" w:color="auto" w:sz="6" w:space="0"/>
              <w:right w:val="double" w:color="auto" w:sz="2"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Style w:val="6"/>
                <w:rFonts w:hint="eastAsia" w:ascii="宋体" w:hAnsi="宋体" w:eastAsia="宋体" w:cs="宋体"/>
                <w:b/>
                <w:color w:val="000000"/>
                <w:sz w:val="22"/>
                <w:szCs w:val="22"/>
              </w:rPr>
              <w:t>备注</w:t>
            </w:r>
          </w:p>
        </w:tc>
      </w:tr>
      <w:tr>
        <w:trPr>
          <w:trHeight w:val="450" w:hRule="atLeast"/>
          <w:tblCellSpacing w:w="15" w:type="dxa"/>
        </w:trPr>
        <w:tc>
          <w:tcPr>
            <w:tcW w:w="868" w:type="dxa"/>
            <w:tcBorders>
              <w:top w:val="nil"/>
              <w:left w:val="double" w:color="auto" w:sz="2"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2"/>
                <w:szCs w:val="22"/>
              </w:rPr>
              <w:t>1</w:t>
            </w:r>
          </w:p>
        </w:tc>
        <w:tc>
          <w:tcPr>
            <w:tcW w:w="867"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2"/>
                <w:szCs w:val="22"/>
              </w:rPr>
              <w:t>1F</w:t>
            </w:r>
          </w:p>
        </w:tc>
        <w:tc>
          <w:tcPr>
            <w:tcW w:w="2958"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ind w:left="315"/>
              <w:jc w:val="left"/>
            </w:pPr>
            <w:r>
              <w:rPr>
                <w:rFonts w:hint="eastAsia" w:ascii="宋体" w:hAnsi="宋体" w:eastAsia="宋体" w:cs="宋体"/>
                <w:color w:val="000000"/>
                <w:sz w:val="22"/>
                <w:szCs w:val="22"/>
              </w:rPr>
              <w:t>行政服务中心窗口</w:t>
            </w:r>
          </w:p>
        </w:tc>
        <w:tc>
          <w:tcPr>
            <w:tcW w:w="1548"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2"/>
                <w:szCs w:val="22"/>
              </w:rPr>
              <w:t>18</w:t>
            </w:r>
          </w:p>
        </w:tc>
        <w:tc>
          <w:tcPr>
            <w:tcW w:w="1242" w:type="dxa"/>
            <w:tcBorders>
              <w:top w:val="nil"/>
              <w:left w:val="nil"/>
              <w:bottom w:val="single" w:color="auto" w:sz="6" w:space="0"/>
              <w:right w:val="double" w:color="auto" w:sz="2"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tc>
      </w:tr>
      <w:tr>
        <w:trPr>
          <w:trHeight w:val="450" w:hRule="atLeast"/>
          <w:tblCellSpacing w:w="15" w:type="dxa"/>
        </w:trPr>
        <w:tc>
          <w:tcPr>
            <w:tcW w:w="868" w:type="dxa"/>
            <w:tcBorders>
              <w:top w:val="nil"/>
              <w:left w:val="double" w:color="auto" w:sz="2"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2"/>
                <w:szCs w:val="22"/>
              </w:rPr>
              <w:t>2</w:t>
            </w:r>
          </w:p>
        </w:tc>
        <w:tc>
          <w:tcPr>
            <w:tcW w:w="867"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2"/>
                <w:szCs w:val="22"/>
              </w:rPr>
              <w:t>1F</w:t>
            </w:r>
          </w:p>
        </w:tc>
        <w:tc>
          <w:tcPr>
            <w:tcW w:w="2958"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ind w:left="315"/>
              <w:jc w:val="left"/>
            </w:pPr>
            <w:r>
              <w:rPr>
                <w:rFonts w:hint="eastAsia" w:ascii="宋体" w:hAnsi="宋体" w:eastAsia="宋体" w:cs="宋体"/>
                <w:color w:val="000000"/>
                <w:sz w:val="22"/>
                <w:szCs w:val="22"/>
              </w:rPr>
              <w:t>行政服务中心办公区</w:t>
            </w:r>
          </w:p>
        </w:tc>
        <w:tc>
          <w:tcPr>
            <w:tcW w:w="1548"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2"/>
                <w:szCs w:val="22"/>
              </w:rPr>
              <w:t>16</w:t>
            </w:r>
          </w:p>
        </w:tc>
        <w:tc>
          <w:tcPr>
            <w:tcW w:w="1242" w:type="dxa"/>
            <w:tcBorders>
              <w:top w:val="nil"/>
              <w:left w:val="nil"/>
              <w:bottom w:val="single" w:color="auto" w:sz="6" w:space="0"/>
              <w:right w:val="double" w:color="auto" w:sz="2"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tc>
      </w:tr>
      <w:tr>
        <w:trPr>
          <w:trHeight w:val="450" w:hRule="atLeast"/>
          <w:tblCellSpacing w:w="15" w:type="dxa"/>
        </w:trPr>
        <w:tc>
          <w:tcPr>
            <w:tcW w:w="868" w:type="dxa"/>
            <w:tcBorders>
              <w:top w:val="nil"/>
              <w:left w:val="double" w:color="auto" w:sz="2"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2"/>
                <w:szCs w:val="22"/>
              </w:rPr>
              <w:t>3</w:t>
            </w:r>
          </w:p>
        </w:tc>
        <w:tc>
          <w:tcPr>
            <w:tcW w:w="867"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2"/>
                <w:szCs w:val="22"/>
              </w:rPr>
              <w:t>1F</w:t>
            </w:r>
          </w:p>
        </w:tc>
        <w:tc>
          <w:tcPr>
            <w:tcW w:w="2958"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ind w:left="315"/>
              <w:jc w:val="left"/>
            </w:pPr>
            <w:r>
              <w:rPr>
                <w:rFonts w:hint="eastAsia" w:ascii="宋体" w:hAnsi="宋体" w:eastAsia="宋体" w:cs="宋体"/>
                <w:color w:val="000000"/>
                <w:sz w:val="22"/>
                <w:szCs w:val="22"/>
              </w:rPr>
              <w:t>税务服务窗口</w:t>
            </w:r>
          </w:p>
        </w:tc>
        <w:tc>
          <w:tcPr>
            <w:tcW w:w="1548"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2"/>
                <w:szCs w:val="22"/>
              </w:rPr>
              <w:t>14</w:t>
            </w:r>
          </w:p>
        </w:tc>
        <w:tc>
          <w:tcPr>
            <w:tcW w:w="1242" w:type="dxa"/>
            <w:tcBorders>
              <w:top w:val="nil"/>
              <w:left w:val="nil"/>
              <w:bottom w:val="single" w:color="auto" w:sz="6" w:space="0"/>
              <w:right w:val="double" w:color="auto" w:sz="2"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tc>
      </w:tr>
      <w:tr>
        <w:trPr>
          <w:trHeight w:val="450" w:hRule="atLeast"/>
          <w:tblCellSpacing w:w="15" w:type="dxa"/>
        </w:trPr>
        <w:tc>
          <w:tcPr>
            <w:tcW w:w="868" w:type="dxa"/>
            <w:tcBorders>
              <w:top w:val="nil"/>
              <w:left w:val="double" w:color="auto" w:sz="2"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2"/>
                <w:szCs w:val="22"/>
              </w:rPr>
              <w:t>4</w:t>
            </w:r>
          </w:p>
        </w:tc>
        <w:tc>
          <w:tcPr>
            <w:tcW w:w="867"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2"/>
                <w:szCs w:val="22"/>
              </w:rPr>
              <w:t>1F</w:t>
            </w:r>
          </w:p>
        </w:tc>
        <w:tc>
          <w:tcPr>
            <w:tcW w:w="2958"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ind w:left="315"/>
              <w:jc w:val="left"/>
            </w:pPr>
            <w:r>
              <w:rPr>
                <w:rFonts w:hint="eastAsia" w:ascii="宋体" w:hAnsi="宋体" w:eastAsia="宋体" w:cs="宋体"/>
                <w:color w:val="000000"/>
                <w:sz w:val="22"/>
                <w:szCs w:val="22"/>
              </w:rPr>
              <w:t>税务办公区</w:t>
            </w:r>
          </w:p>
        </w:tc>
        <w:tc>
          <w:tcPr>
            <w:tcW w:w="1548"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2"/>
                <w:szCs w:val="22"/>
              </w:rPr>
              <w:t>10</w:t>
            </w:r>
          </w:p>
        </w:tc>
        <w:tc>
          <w:tcPr>
            <w:tcW w:w="1242" w:type="dxa"/>
            <w:tcBorders>
              <w:top w:val="nil"/>
              <w:left w:val="nil"/>
              <w:bottom w:val="single" w:color="auto" w:sz="6" w:space="0"/>
              <w:right w:val="double" w:color="auto" w:sz="2"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tc>
      </w:tr>
      <w:tr>
        <w:trPr>
          <w:trHeight w:val="450" w:hRule="atLeast"/>
          <w:tblCellSpacing w:w="15" w:type="dxa"/>
        </w:trPr>
        <w:tc>
          <w:tcPr>
            <w:tcW w:w="868" w:type="dxa"/>
            <w:tcBorders>
              <w:top w:val="nil"/>
              <w:left w:val="double" w:color="auto" w:sz="2"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2"/>
                <w:szCs w:val="22"/>
              </w:rPr>
              <w:t>5</w:t>
            </w:r>
          </w:p>
        </w:tc>
        <w:tc>
          <w:tcPr>
            <w:tcW w:w="867"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2"/>
                <w:szCs w:val="22"/>
              </w:rPr>
              <w:t>1F</w:t>
            </w:r>
          </w:p>
        </w:tc>
        <w:tc>
          <w:tcPr>
            <w:tcW w:w="2958"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ind w:left="315"/>
              <w:jc w:val="left"/>
            </w:pPr>
            <w:r>
              <w:rPr>
                <w:rFonts w:hint="eastAsia" w:ascii="宋体" w:hAnsi="宋体" w:eastAsia="宋体" w:cs="宋体"/>
                <w:color w:val="000000"/>
                <w:sz w:val="22"/>
                <w:szCs w:val="22"/>
              </w:rPr>
              <w:t>导办区</w:t>
            </w:r>
          </w:p>
        </w:tc>
        <w:tc>
          <w:tcPr>
            <w:tcW w:w="1548"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2"/>
                <w:szCs w:val="22"/>
              </w:rPr>
              <w:t>7</w:t>
            </w:r>
          </w:p>
        </w:tc>
        <w:tc>
          <w:tcPr>
            <w:tcW w:w="1242" w:type="dxa"/>
            <w:tcBorders>
              <w:top w:val="nil"/>
              <w:left w:val="nil"/>
              <w:bottom w:val="single" w:color="auto" w:sz="6" w:space="0"/>
              <w:right w:val="double" w:color="auto" w:sz="2"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tc>
      </w:tr>
      <w:tr>
        <w:trPr>
          <w:trHeight w:val="450" w:hRule="atLeast"/>
          <w:tblCellSpacing w:w="15" w:type="dxa"/>
        </w:trPr>
        <w:tc>
          <w:tcPr>
            <w:tcW w:w="868" w:type="dxa"/>
            <w:tcBorders>
              <w:top w:val="nil"/>
              <w:left w:val="double" w:color="auto" w:sz="2"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2"/>
                <w:szCs w:val="22"/>
              </w:rPr>
              <w:t>6</w:t>
            </w:r>
          </w:p>
        </w:tc>
        <w:tc>
          <w:tcPr>
            <w:tcW w:w="867"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2"/>
                <w:szCs w:val="22"/>
              </w:rPr>
              <w:t>1F</w:t>
            </w:r>
          </w:p>
        </w:tc>
        <w:tc>
          <w:tcPr>
            <w:tcW w:w="2958"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ind w:left="315"/>
              <w:jc w:val="left"/>
            </w:pPr>
            <w:r>
              <w:rPr>
                <w:rFonts w:hint="eastAsia" w:ascii="宋体" w:hAnsi="宋体" w:eastAsia="宋体" w:cs="宋体"/>
                <w:color w:val="000000"/>
                <w:sz w:val="22"/>
                <w:szCs w:val="22"/>
              </w:rPr>
              <w:t>自助终端区</w:t>
            </w:r>
          </w:p>
        </w:tc>
        <w:tc>
          <w:tcPr>
            <w:tcW w:w="1548"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2"/>
                <w:szCs w:val="22"/>
              </w:rPr>
              <w:t>7</w:t>
            </w:r>
          </w:p>
        </w:tc>
        <w:tc>
          <w:tcPr>
            <w:tcW w:w="1242" w:type="dxa"/>
            <w:tcBorders>
              <w:top w:val="nil"/>
              <w:left w:val="nil"/>
              <w:bottom w:val="single" w:color="auto" w:sz="6" w:space="0"/>
              <w:right w:val="double" w:color="auto" w:sz="2"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tc>
      </w:tr>
      <w:tr>
        <w:trPr>
          <w:trHeight w:val="450" w:hRule="atLeast"/>
          <w:tblCellSpacing w:w="15" w:type="dxa"/>
        </w:trPr>
        <w:tc>
          <w:tcPr>
            <w:tcW w:w="868" w:type="dxa"/>
            <w:tcBorders>
              <w:top w:val="nil"/>
              <w:left w:val="double" w:color="auto" w:sz="2"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2"/>
                <w:szCs w:val="22"/>
              </w:rPr>
              <w:t>7</w:t>
            </w:r>
          </w:p>
        </w:tc>
        <w:tc>
          <w:tcPr>
            <w:tcW w:w="867"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2"/>
                <w:szCs w:val="22"/>
              </w:rPr>
              <w:t>1F</w:t>
            </w:r>
          </w:p>
        </w:tc>
        <w:tc>
          <w:tcPr>
            <w:tcW w:w="2958"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ind w:left="315"/>
              <w:jc w:val="left"/>
            </w:pPr>
            <w:r>
              <w:rPr>
                <w:rFonts w:hint="eastAsia" w:ascii="宋体" w:hAnsi="宋体" w:eastAsia="宋体" w:cs="宋体"/>
                <w:color w:val="000000"/>
                <w:sz w:val="22"/>
                <w:szCs w:val="22"/>
              </w:rPr>
              <w:t>自助上网区</w:t>
            </w:r>
          </w:p>
        </w:tc>
        <w:tc>
          <w:tcPr>
            <w:tcW w:w="1548"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2"/>
                <w:szCs w:val="22"/>
              </w:rPr>
              <w:t>3</w:t>
            </w:r>
          </w:p>
        </w:tc>
        <w:tc>
          <w:tcPr>
            <w:tcW w:w="1242" w:type="dxa"/>
            <w:tcBorders>
              <w:top w:val="nil"/>
              <w:left w:val="nil"/>
              <w:bottom w:val="single" w:color="auto" w:sz="6" w:space="0"/>
              <w:right w:val="double" w:color="auto" w:sz="2"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tc>
      </w:tr>
      <w:tr>
        <w:trPr>
          <w:trHeight w:val="450" w:hRule="atLeast"/>
          <w:tblCellSpacing w:w="15" w:type="dxa"/>
        </w:trPr>
        <w:tc>
          <w:tcPr>
            <w:tcW w:w="868" w:type="dxa"/>
            <w:tcBorders>
              <w:top w:val="nil"/>
              <w:left w:val="double" w:color="auto" w:sz="2"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2"/>
                <w:szCs w:val="22"/>
              </w:rPr>
              <w:t>8</w:t>
            </w:r>
          </w:p>
        </w:tc>
        <w:tc>
          <w:tcPr>
            <w:tcW w:w="867"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2"/>
                <w:szCs w:val="22"/>
              </w:rPr>
              <w:t>1F</w:t>
            </w:r>
          </w:p>
        </w:tc>
        <w:tc>
          <w:tcPr>
            <w:tcW w:w="2958"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ind w:left="315"/>
              <w:jc w:val="left"/>
            </w:pPr>
            <w:r>
              <w:rPr>
                <w:rFonts w:hint="eastAsia" w:ascii="宋体" w:hAnsi="宋体" w:eastAsia="宋体" w:cs="宋体"/>
                <w:color w:val="000000"/>
                <w:sz w:val="22"/>
                <w:szCs w:val="22"/>
              </w:rPr>
              <w:t>填单区</w:t>
            </w:r>
          </w:p>
        </w:tc>
        <w:tc>
          <w:tcPr>
            <w:tcW w:w="1548"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2"/>
                <w:szCs w:val="22"/>
              </w:rPr>
              <w:t>6</w:t>
            </w:r>
          </w:p>
        </w:tc>
        <w:tc>
          <w:tcPr>
            <w:tcW w:w="1242" w:type="dxa"/>
            <w:tcBorders>
              <w:top w:val="nil"/>
              <w:left w:val="nil"/>
              <w:bottom w:val="single" w:color="auto" w:sz="6" w:space="0"/>
              <w:right w:val="double" w:color="auto" w:sz="2"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tc>
      </w:tr>
      <w:tr>
        <w:trPr>
          <w:trHeight w:val="450" w:hRule="atLeast"/>
          <w:tblCellSpacing w:w="15" w:type="dxa"/>
        </w:trPr>
        <w:tc>
          <w:tcPr>
            <w:tcW w:w="868" w:type="dxa"/>
            <w:tcBorders>
              <w:top w:val="nil"/>
              <w:left w:val="double" w:color="auto" w:sz="2"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2"/>
                <w:szCs w:val="22"/>
              </w:rPr>
              <w:t>9</w:t>
            </w:r>
          </w:p>
        </w:tc>
        <w:tc>
          <w:tcPr>
            <w:tcW w:w="867"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2"/>
                <w:szCs w:val="22"/>
              </w:rPr>
              <w:t>1F</w:t>
            </w:r>
          </w:p>
        </w:tc>
        <w:tc>
          <w:tcPr>
            <w:tcW w:w="2958"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ind w:left="315"/>
              <w:jc w:val="left"/>
            </w:pPr>
            <w:r>
              <w:rPr>
                <w:rFonts w:hint="eastAsia" w:ascii="宋体" w:hAnsi="宋体" w:eastAsia="宋体" w:cs="宋体"/>
                <w:color w:val="000000"/>
                <w:sz w:val="22"/>
                <w:szCs w:val="22"/>
              </w:rPr>
              <w:t>取号机</w:t>
            </w:r>
          </w:p>
        </w:tc>
        <w:tc>
          <w:tcPr>
            <w:tcW w:w="1548"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2"/>
                <w:szCs w:val="22"/>
              </w:rPr>
              <w:t>6</w:t>
            </w:r>
          </w:p>
        </w:tc>
        <w:tc>
          <w:tcPr>
            <w:tcW w:w="1242" w:type="dxa"/>
            <w:tcBorders>
              <w:top w:val="nil"/>
              <w:left w:val="nil"/>
              <w:bottom w:val="single" w:color="auto" w:sz="6" w:space="0"/>
              <w:right w:val="double" w:color="auto" w:sz="2"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tc>
      </w:tr>
      <w:tr>
        <w:trPr>
          <w:trHeight w:val="450" w:hRule="atLeast"/>
          <w:tblCellSpacing w:w="15" w:type="dxa"/>
        </w:trPr>
        <w:tc>
          <w:tcPr>
            <w:tcW w:w="868" w:type="dxa"/>
            <w:tcBorders>
              <w:top w:val="nil"/>
              <w:left w:val="double" w:color="auto" w:sz="2"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2"/>
                <w:szCs w:val="22"/>
              </w:rPr>
              <w:t>10</w:t>
            </w:r>
          </w:p>
        </w:tc>
        <w:tc>
          <w:tcPr>
            <w:tcW w:w="867"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2"/>
                <w:szCs w:val="22"/>
              </w:rPr>
              <w:t>1F</w:t>
            </w:r>
          </w:p>
        </w:tc>
        <w:tc>
          <w:tcPr>
            <w:tcW w:w="2958"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ind w:left="315"/>
              <w:jc w:val="left"/>
            </w:pPr>
            <w:r>
              <w:rPr>
                <w:rFonts w:hint="eastAsia" w:ascii="宋体" w:hAnsi="宋体" w:eastAsia="宋体" w:cs="宋体"/>
                <w:color w:val="000000"/>
                <w:sz w:val="22"/>
                <w:szCs w:val="22"/>
              </w:rPr>
              <w:t>自助办税区</w:t>
            </w:r>
          </w:p>
        </w:tc>
        <w:tc>
          <w:tcPr>
            <w:tcW w:w="1548"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2"/>
                <w:szCs w:val="22"/>
              </w:rPr>
              <w:t>6</w:t>
            </w:r>
          </w:p>
        </w:tc>
        <w:tc>
          <w:tcPr>
            <w:tcW w:w="1242" w:type="dxa"/>
            <w:tcBorders>
              <w:top w:val="nil"/>
              <w:left w:val="nil"/>
              <w:bottom w:val="single" w:color="auto" w:sz="6" w:space="0"/>
              <w:right w:val="double" w:color="auto" w:sz="2"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tc>
      </w:tr>
      <w:tr>
        <w:trPr>
          <w:trHeight w:val="450" w:hRule="atLeast"/>
          <w:tblCellSpacing w:w="15" w:type="dxa"/>
        </w:trPr>
        <w:tc>
          <w:tcPr>
            <w:tcW w:w="868" w:type="dxa"/>
            <w:tcBorders>
              <w:top w:val="nil"/>
              <w:left w:val="double" w:color="auto" w:sz="2"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2"/>
                <w:szCs w:val="22"/>
              </w:rPr>
              <w:t>11</w:t>
            </w:r>
          </w:p>
        </w:tc>
        <w:tc>
          <w:tcPr>
            <w:tcW w:w="867"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2"/>
                <w:szCs w:val="22"/>
              </w:rPr>
              <w:t>1F</w:t>
            </w:r>
          </w:p>
        </w:tc>
        <w:tc>
          <w:tcPr>
            <w:tcW w:w="2958"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ind w:left="315"/>
              <w:jc w:val="left"/>
            </w:pPr>
            <w:r>
              <w:rPr>
                <w:rFonts w:hint="eastAsia" w:ascii="宋体" w:hAnsi="宋体" w:eastAsia="宋体" w:cs="宋体"/>
                <w:color w:val="000000"/>
                <w:sz w:val="22"/>
                <w:szCs w:val="22"/>
              </w:rPr>
              <w:t>自助办税终端</w:t>
            </w:r>
          </w:p>
        </w:tc>
        <w:tc>
          <w:tcPr>
            <w:tcW w:w="1548"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2"/>
                <w:szCs w:val="22"/>
              </w:rPr>
              <w:t>3</w:t>
            </w:r>
          </w:p>
        </w:tc>
        <w:tc>
          <w:tcPr>
            <w:tcW w:w="1242" w:type="dxa"/>
            <w:tcBorders>
              <w:top w:val="nil"/>
              <w:left w:val="nil"/>
              <w:bottom w:val="single" w:color="auto" w:sz="6" w:space="0"/>
              <w:right w:val="double" w:color="auto" w:sz="2"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tc>
      </w:tr>
      <w:tr>
        <w:trPr>
          <w:trHeight w:val="450" w:hRule="atLeast"/>
          <w:tblCellSpacing w:w="15" w:type="dxa"/>
        </w:trPr>
        <w:tc>
          <w:tcPr>
            <w:tcW w:w="868" w:type="dxa"/>
            <w:tcBorders>
              <w:top w:val="nil"/>
              <w:left w:val="double" w:color="auto" w:sz="2"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2"/>
                <w:szCs w:val="22"/>
              </w:rPr>
              <w:t>12</w:t>
            </w:r>
          </w:p>
        </w:tc>
        <w:tc>
          <w:tcPr>
            <w:tcW w:w="867"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2"/>
                <w:szCs w:val="22"/>
              </w:rPr>
              <w:t>1F</w:t>
            </w:r>
          </w:p>
        </w:tc>
        <w:tc>
          <w:tcPr>
            <w:tcW w:w="2958"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ind w:left="315"/>
              <w:jc w:val="left"/>
            </w:pPr>
            <w:r>
              <w:rPr>
                <w:rFonts w:hint="eastAsia" w:ascii="宋体" w:hAnsi="宋体" w:eastAsia="宋体" w:cs="宋体"/>
                <w:color w:val="000000"/>
                <w:sz w:val="22"/>
                <w:szCs w:val="22"/>
              </w:rPr>
              <w:t>税务会议室</w:t>
            </w:r>
          </w:p>
        </w:tc>
        <w:tc>
          <w:tcPr>
            <w:tcW w:w="1548"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2"/>
                <w:szCs w:val="22"/>
              </w:rPr>
              <w:t>2</w:t>
            </w:r>
          </w:p>
        </w:tc>
        <w:tc>
          <w:tcPr>
            <w:tcW w:w="1242" w:type="dxa"/>
            <w:tcBorders>
              <w:top w:val="nil"/>
              <w:left w:val="nil"/>
              <w:bottom w:val="single" w:color="auto" w:sz="6" w:space="0"/>
              <w:right w:val="double" w:color="auto" w:sz="2"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tc>
      </w:tr>
      <w:tr>
        <w:trPr>
          <w:trHeight w:val="450" w:hRule="atLeast"/>
          <w:tblCellSpacing w:w="15" w:type="dxa"/>
        </w:trPr>
        <w:tc>
          <w:tcPr>
            <w:tcW w:w="868" w:type="dxa"/>
            <w:tcBorders>
              <w:top w:val="nil"/>
              <w:left w:val="double" w:color="auto" w:sz="2"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2"/>
                <w:szCs w:val="22"/>
              </w:rPr>
              <w:t>13</w:t>
            </w:r>
          </w:p>
        </w:tc>
        <w:tc>
          <w:tcPr>
            <w:tcW w:w="867"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2"/>
                <w:szCs w:val="22"/>
              </w:rPr>
              <w:t>1F</w:t>
            </w:r>
          </w:p>
        </w:tc>
        <w:tc>
          <w:tcPr>
            <w:tcW w:w="2958"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ind w:left="315"/>
              <w:jc w:val="left"/>
            </w:pPr>
            <w:r>
              <w:rPr>
                <w:rFonts w:hint="eastAsia" w:ascii="宋体" w:hAnsi="宋体" w:eastAsia="宋体" w:cs="宋体"/>
                <w:color w:val="000000"/>
                <w:sz w:val="22"/>
                <w:szCs w:val="22"/>
              </w:rPr>
              <w:t>备用间</w:t>
            </w:r>
          </w:p>
        </w:tc>
        <w:tc>
          <w:tcPr>
            <w:tcW w:w="1548"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2"/>
                <w:szCs w:val="22"/>
              </w:rPr>
              <w:t>1</w:t>
            </w:r>
          </w:p>
        </w:tc>
        <w:tc>
          <w:tcPr>
            <w:tcW w:w="1242" w:type="dxa"/>
            <w:tcBorders>
              <w:top w:val="nil"/>
              <w:left w:val="nil"/>
              <w:bottom w:val="single" w:color="auto" w:sz="6" w:space="0"/>
              <w:right w:val="double" w:color="auto" w:sz="2"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tc>
      </w:tr>
      <w:tr>
        <w:trPr>
          <w:trHeight w:val="450" w:hRule="atLeast"/>
          <w:tblCellSpacing w:w="15" w:type="dxa"/>
        </w:trPr>
        <w:tc>
          <w:tcPr>
            <w:tcW w:w="868" w:type="dxa"/>
            <w:tcBorders>
              <w:top w:val="nil"/>
              <w:left w:val="double" w:color="auto" w:sz="2"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2"/>
                <w:szCs w:val="22"/>
              </w:rPr>
              <w:t>14</w:t>
            </w:r>
          </w:p>
        </w:tc>
        <w:tc>
          <w:tcPr>
            <w:tcW w:w="867"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2"/>
                <w:szCs w:val="22"/>
              </w:rPr>
              <w:t>1F</w:t>
            </w:r>
          </w:p>
        </w:tc>
        <w:tc>
          <w:tcPr>
            <w:tcW w:w="2958"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ind w:left="315"/>
              <w:jc w:val="left"/>
            </w:pPr>
            <w:r>
              <w:rPr>
                <w:rFonts w:hint="eastAsia" w:ascii="宋体" w:hAnsi="宋体" w:eastAsia="宋体" w:cs="宋体"/>
                <w:color w:val="000000"/>
                <w:sz w:val="22"/>
                <w:szCs w:val="22"/>
              </w:rPr>
              <w:t>办公室预留</w:t>
            </w:r>
          </w:p>
        </w:tc>
        <w:tc>
          <w:tcPr>
            <w:tcW w:w="1548"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2"/>
                <w:szCs w:val="22"/>
              </w:rPr>
              <w:t>5</w:t>
            </w:r>
          </w:p>
        </w:tc>
        <w:tc>
          <w:tcPr>
            <w:tcW w:w="1242" w:type="dxa"/>
            <w:tcBorders>
              <w:top w:val="nil"/>
              <w:left w:val="nil"/>
              <w:bottom w:val="single" w:color="auto" w:sz="6" w:space="0"/>
              <w:right w:val="double" w:color="auto" w:sz="2"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tc>
      </w:tr>
      <w:tr>
        <w:trPr>
          <w:trHeight w:val="450" w:hRule="atLeast"/>
          <w:tblCellSpacing w:w="15" w:type="dxa"/>
        </w:trPr>
        <w:tc>
          <w:tcPr>
            <w:tcW w:w="868" w:type="dxa"/>
            <w:tcBorders>
              <w:top w:val="nil"/>
              <w:left w:val="double" w:color="auto" w:sz="2"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2"/>
                <w:szCs w:val="22"/>
              </w:rPr>
              <w:t>15</w:t>
            </w:r>
          </w:p>
        </w:tc>
        <w:tc>
          <w:tcPr>
            <w:tcW w:w="867"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2"/>
                <w:szCs w:val="22"/>
              </w:rPr>
              <w:t>2F</w:t>
            </w:r>
          </w:p>
        </w:tc>
        <w:tc>
          <w:tcPr>
            <w:tcW w:w="2958"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ind w:left="315"/>
              <w:jc w:val="left"/>
            </w:pPr>
            <w:r>
              <w:rPr>
                <w:rFonts w:hint="eastAsia" w:ascii="宋体" w:hAnsi="宋体" w:eastAsia="宋体" w:cs="宋体"/>
                <w:color w:val="000000"/>
                <w:sz w:val="22"/>
                <w:szCs w:val="22"/>
              </w:rPr>
              <w:t>行政服务中心窗口</w:t>
            </w:r>
          </w:p>
        </w:tc>
        <w:tc>
          <w:tcPr>
            <w:tcW w:w="1548"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2"/>
                <w:szCs w:val="22"/>
              </w:rPr>
              <w:t>18</w:t>
            </w:r>
          </w:p>
        </w:tc>
        <w:tc>
          <w:tcPr>
            <w:tcW w:w="1242" w:type="dxa"/>
            <w:tcBorders>
              <w:top w:val="nil"/>
              <w:left w:val="nil"/>
              <w:bottom w:val="single" w:color="auto" w:sz="6" w:space="0"/>
              <w:right w:val="double" w:color="auto" w:sz="2"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tc>
      </w:tr>
      <w:tr>
        <w:trPr>
          <w:trHeight w:val="450" w:hRule="atLeast"/>
          <w:tblCellSpacing w:w="15" w:type="dxa"/>
        </w:trPr>
        <w:tc>
          <w:tcPr>
            <w:tcW w:w="868" w:type="dxa"/>
            <w:tcBorders>
              <w:top w:val="nil"/>
              <w:left w:val="double" w:color="auto" w:sz="2"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2"/>
                <w:szCs w:val="22"/>
              </w:rPr>
              <w:t>16</w:t>
            </w:r>
          </w:p>
        </w:tc>
        <w:tc>
          <w:tcPr>
            <w:tcW w:w="867"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2"/>
                <w:szCs w:val="22"/>
              </w:rPr>
              <w:t>2F</w:t>
            </w:r>
          </w:p>
        </w:tc>
        <w:tc>
          <w:tcPr>
            <w:tcW w:w="2958"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ind w:left="315"/>
              <w:jc w:val="left"/>
            </w:pPr>
            <w:r>
              <w:rPr>
                <w:rFonts w:hint="eastAsia" w:ascii="宋体" w:hAnsi="宋体" w:eastAsia="宋体" w:cs="宋体"/>
                <w:color w:val="000000"/>
                <w:sz w:val="22"/>
                <w:szCs w:val="22"/>
              </w:rPr>
              <w:t>行政服务中心办公区</w:t>
            </w:r>
          </w:p>
        </w:tc>
        <w:tc>
          <w:tcPr>
            <w:tcW w:w="1548"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2"/>
                <w:szCs w:val="22"/>
              </w:rPr>
              <w:t>24</w:t>
            </w:r>
          </w:p>
        </w:tc>
        <w:tc>
          <w:tcPr>
            <w:tcW w:w="1242" w:type="dxa"/>
            <w:tcBorders>
              <w:top w:val="nil"/>
              <w:left w:val="nil"/>
              <w:bottom w:val="single" w:color="auto" w:sz="6" w:space="0"/>
              <w:right w:val="double" w:color="auto" w:sz="2"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tc>
      </w:tr>
      <w:tr>
        <w:trPr>
          <w:trHeight w:val="450" w:hRule="atLeast"/>
          <w:tblCellSpacing w:w="15" w:type="dxa"/>
        </w:trPr>
        <w:tc>
          <w:tcPr>
            <w:tcW w:w="868" w:type="dxa"/>
            <w:tcBorders>
              <w:top w:val="nil"/>
              <w:left w:val="double" w:color="auto" w:sz="2"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2"/>
                <w:szCs w:val="22"/>
              </w:rPr>
              <w:t>17</w:t>
            </w:r>
          </w:p>
        </w:tc>
        <w:tc>
          <w:tcPr>
            <w:tcW w:w="867"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2"/>
                <w:szCs w:val="22"/>
              </w:rPr>
              <w:t>2F</w:t>
            </w:r>
          </w:p>
        </w:tc>
        <w:tc>
          <w:tcPr>
            <w:tcW w:w="2958"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ind w:left="435"/>
              <w:jc w:val="left"/>
            </w:pPr>
            <w:r>
              <w:rPr>
                <w:rFonts w:hint="eastAsia" w:ascii="宋体" w:hAnsi="宋体" w:eastAsia="宋体" w:cs="宋体"/>
                <w:color w:val="000000"/>
                <w:sz w:val="22"/>
                <w:szCs w:val="22"/>
              </w:rPr>
              <w:t>导办区</w:t>
            </w:r>
          </w:p>
        </w:tc>
        <w:tc>
          <w:tcPr>
            <w:tcW w:w="1548"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2"/>
                <w:szCs w:val="22"/>
              </w:rPr>
              <w:t>8</w:t>
            </w:r>
          </w:p>
        </w:tc>
        <w:tc>
          <w:tcPr>
            <w:tcW w:w="1242" w:type="dxa"/>
            <w:tcBorders>
              <w:top w:val="nil"/>
              <w:left w:val="nil"/>
              <w:bottom w:val="single" w:color="auto" w:sz="6" w:space="0"/>
              <w:right w:val="double" w:color="auto" w:sz="2"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tc>
      </w:tr>
      <w:tr>
        <w:trPr>
          <w:trHeight w:val="450" w:hRule="atLeast"/>
          <w:tblCellSpacing w:w="15" w:type="dxa"/>
        </w:trPr>
        <w:tc>
          <w:tcPr>
            <w:tcW w:w="868" w:type="dxa"/>
            <w:tcBorders>
              <w:top w:val="nil"/>
              <w:left w:val="double" w:color="auto" w:sz="2"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2"/>
                <w:szCs w:val="22"/>
              </w:rPr>
              <w:t>18</w:t>
            </w:r>
          </w:p>
        </w:tc>
        <w:tc>
          <w:tcPr>
            <w:tcW w:w="867"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2"/>
                <w:szCs w:val="22"/>
              </w:rPr>
              <w:t>2F</w:t>
            </w:r>
          </w:p>
        </w:tc>
        <w:tc>
          <w:tcPr>
            <w:tcW w:w="2958"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ind w:left="435"/>
              <w:jc w:val="left"/>
            </w:pPr>
            <w:r>
              <w:rPr>
                <w:rFonts w:hint="eastAsia" w:ascii="宋体" w:hAnsi="宋体" w:eastAsia="宋体" w:cs="宋体"/>
                <w:color w:val="000000"/>
                <w:sz w:val="22"/>
                <w:szCs w:val="22"/>
              </w:rPr>
              <w:t>取号机</w:t>
            </w:r>
          </w:p>
        </w:tc>
        <w:tc>
          <w:tcPr>
            <w:tcW w:w="1548"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2"/>
                <w:szCs w:val="22"/>
              </w:rPr>
              <w:t>1</w:t>
            </w:r>
          </w:p>
        </w:tc>
        <w:tc>
          <w:tcPr>
            <w:tcW w:w="1242" w:type="dxa"/>
            <w:tcBorders>
              <w:top w:val="nil"/>
              <w:left w:val="nil"/>
              <w:bottom w:val="single" w:color="auto" w:sz="6" w:space="0"/>
              <w:right w:val="double" w:color="auto" w:sz="2"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tc>
      </w:tr>
      <w:tr>
        <w:trPr>
          <w:trHeight w:val="450" w:hRule="atLeast"/>
          <w:tblCellSpacing w:w="15" w:type="dxa"/>
        </w:trPr>
        <w:tc>
          <w:tcPr>
            <w:tcW w:w="868" w:type="dxa"/>
            <w:tcBorders>
              <w:top w:val="nil"/>
              <w:left w:val="double" w:color="auto" w:sz="2"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2"/>
                <w:szCs w:val="22"/>
              </w:rPr>
              <w:t>19</w:t>
            </w:r>
          </w:p>
        </w:tc>
        <w:tc>
          <w:tcPr>
            <w:tcW w:w="867"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2"/>
                <w:szCs w:val="22"/>
              </w:rPr>
              <w:t>2F</w:t>
            </w:r>
          </w:p>
        </w:tc>
        <w:tc>
          <w:tcPr>
            <w:tcW w:w="2958"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ind w:left="435"/>
              <w:jc w:val="left"/>
            </w:pPr>
            <w:r>
              <w:rPr>
                <w:rFonts w:hint="eastAsia" w:ascii="宋体" w:hAnsi="宋体" w:eastAsia="宋体" w:cs="宋体"/>
                <w:color w:val="000000"/>
                <w:sz w:val="22"/>
                <w:szCs w:val="22"/>
              </w:rPr>
              <w:t>中会议室</w:t>
            </w:r>
          </w:p>
        </w:tc>
        <w:tc>
          <w:tcPr>
            <w:tcW w:w="1548"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2"/>
                <w:szCs w:val="22"/>
              </w:rPr>
              <w:t>6</w:t>
            </w:r>
          </w:p>
        </w:tc>
        <w:tc>
          <w:tcPr>
            <w:tcW w:w="1242" w:type="dxa"/>
            <w:tcBorders>
              <w:top w:val="nil"/>
              <w:left w:val="nil"/>
              <w:bottom w:val="single" w:color="auto" w:sz="6" w:space="0"/>
              <w:right w:val="double" w:color="auto" w:sz="2"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tc>
      </w:tr>
      <w:tr>
        <w:trPr>
          <w:trHeight w:val="450" w:hRule="atLeast"/>
          <w:tblCellSpacing w:w="15" w:type="dxa"/>
        </w:trPr>
        <w:tc>
          <w:tcPr>
            <w:tcW w:w="868" w:type="dxa"/>
            <w:tcBorders>
              <w:top w:val="nil"/>
              <w:left w:val="double" w:color="auto" w:sz="2"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2"/>
                <w:szCs w:val="22"/>
              </w:rPr>
              <w:t>20</w:t>
            </w:r>
          </w:p>
        </w:tc>
        <w:tc>
          <w:tcPr>
            <w:tcW w:w="867"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2"/>
                <w:szCs w:val="22"/>
              </w:rPr>
              <w:t>2F</w:t>
            </w:r>
          </w:p>
        </w:tc>
        <w:tc>
          <w:tcPr>
            <w:tcW w:w="2958"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ind w:left="435"/>
              <w:jc w:val="left"/>
            </w:pPr>
            <w:r>
              <w:rPr>
                <w:rFonts w:hint="eastAsia" w:ascii="宋体" w:hAnsi="宋体" w:eastAsia="宋体" w:cs="宋体"/>
                <w:color w:val="000000"/>
                <w:sz w:val="22"/>
                <w:szCs w:val="22"/>
              </w:rPr>
              <w:t>大会议室</w:t>
            </w:r>
          </w:p>
        </w:tc>
        <w:tc>
          <w:tcPr>
            <w:tcW w:w="1548"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2"/>
                <w:szCs w:val="22"/>
              </w:rPr>
              <w:t>4</w:t>
            </w:r>
          </w:p>
        </w:tc>
        <w:tc>
          <w:tcPr>
            <w:tcW w:w="1242" w:type="dxa"/>
            <w:tcBorders>
              <w:top w:val="nil"/>
              <w:left w:val="nil"/>
              <w:bottom w:val="single" w:color="auto" w:sz="6" w:space="0"/>
              <w:right w:val="double" w:color="auto" w:sz="2"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tc>
      </w:tr>
      <w:tr>
        <w:trPr>
          <w:trHeight w:val="450" w:hRule="atLeast"/>
          <w:tblCellSpacing w:w="15" w:type="dxa"/>
        </w:trPr>
        <w:tc>
          <w:tcPr>
            <w:tcW w:w="868" w:type="dxa"/>
            <w:tcBorders>
              <w:top w:val="nil"/>
              <w:left w:val="double" w:color="auto" w:sz="2"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2"/>
                <w:szCs w:val="22"/>
              </w:rPr>
              <w:t>21</w:t>
            </w:r>
          </w:p>
        </w:tc>
        <w:tc>
          <w:tcPr>
            <w:tcW w:w="867"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2"/>
                <w:szCs w:val="22"/>
              </w:rPr>
              <w:t>2F</w:t>
            </w:r>
          </w:p>
        </w:tc>
        <w:tc>
          <w:tcPr>
            <w:tcW w:w="2958"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ind w:left="435"/>
              <w:jc w:val="left"/>
            </w:pPr>
            <w:r>
              <w:rPr>
                <w:rFonts w:hint="eastAsia" w:ascii="宋体" w:hAnsi="宋体" w:eastAsia="宋体" w:cs="宋体"/>
                <w:color w:val="000000"/>
                <w:sz w:val="22"/>
                <w:szCs w:val="22"/>
              </w:rPr>
              <w:t>评标室</w:t>
            </w:r>
          </w:p>
        </w:tc>
        <w:tc>
          <w:tcPr>
            <w:tcW w:w="1548"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2"/>
                <w:szCs w:val="22"/>
              </w:rPr>
              <w:t>8</w:t>
            </w:r>
          </w:p>
        </w:tc>
        <w:tc>
          <w:tcPr>
            <w:tcW w:w="1242" w:type="dxa"/>
            <w:tcBorders>
              <w:top w:val="nil"/>
              <w:left w:val="nil"/>
              <w:bottom w:val="single" w:color="auto" w:sz="6" w:space="0"/>
              <w:right w:val="double" w:color="auto" w:sz="2"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tc>
      </w:tr>
      <w:tr>
        <w:trPr>
          <w:trHeight w:val="450" w:hRule="atLeast"/>
          <w:tblCellSpacing w:w="15" w:type="dxa"/>
        </w:trPr>
        <w:tc>
          <w:tcPr>
            <w:tcW w:w="868" w:type="dxa"/>
            <w:tcBorders>
              <w:top w:val="nil"/>
              <w:left w:val="double" w:color="auto" w:sz="2"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2"/>
                <w:szCs w:val="22"/>
              </w:rPr>
              <w:t>22</w:t>
            </w:r>
          </w:p>
        </w:tc>
        <w:tc>
          <w:tcPr>
            <w:tcW w:w="867"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2"/>
                <w:szCs w:val="22"/>
              </w:rPr>
              <w:t>2F</w:t>
            </w:r>
          </w:p>
        </w:tc>
        <w:tc>
          <w:tcPr>
            <w:tcW w:w="2958"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ind w:left="435"/>
              <w:jc w:val="left"/>
            </w:pPr>
            <w:r>
              <w:rPr>
                <w:rFonts w:hint="eastAsia" w:ascii="宋体" w:hAnsi="宋体" w:eastAsia="宋体" w:cs="宋体"/>
                <w:color w:val="000000"/>
                <w:sz w:val="22"/>
                <w:szCs w:val="22"/>
              </w:rPr>
              <w:t>开标室</w:t>
            </w:r>
          </w:p>
        </w:tc>
        <w:tc>
          <w:tcPr>
            <w:tcW w:w="1548"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2"/>
                <w:szCs w:val="22"/>
              </w:rPr>
              <w:t>16</w:t>
            </w:r>
          </w:p>
        </w:tc>
        <w:tc>
          <w:tcPr>
            <w:tcW w:w="1242" w:type="dxa"/>
            <w:tcBorders>
              <w:top w:val="nil"/>
              <w:left w:val="nil"/>
              <w:bottom w:val="single" w:color="auto" w:sz="6" w:space="0"/>
              <w:right w:val="double" w:color="auto" w:sz="2"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tc>
      </w:tr>
      <w:tr>
        <w:trPr>
          <w:trHeight w:val="450" w:hRule="atLeast"/>
          <w:tblCellSpacing w:w="15" w:type="dxa"/>
        </w:trPr>
        <w:tc>
          <w:tcPr>
            <w:tcW w:w="868" w:type="dxa"/>
            <w:tcBorders>
              <w:top w:val="nil"/>
              <w:left w:val="double" w:color="auto" w:sz="2"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2"/>
                <w:szCs w:val="22"/>
              </w:rPr>
              <w:t>23</w:t>
            </w:r>
          </w:p>
        </w:tc>
        <w:tc>
          <w:tcPr>
            <w:tcW w:w="867"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2"/>
                <w:szCs w:val="22"/>
              </w:rPr>
              <w:t>2F</w:t>
            </w:r>
          </w:p>
        </w:tc>
        <w:tc>
          <w:tcPr>
            <w:tcW w:w="2958"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ind w:left="435"/>
              <w:jc w:val="left"/>
            </w:pPr>
            <w:r>
              <w:rPr>
                <w:rFonts w:hint="eastAsia" w:ascii="宋体" w:hAnsi="宋体" w:eastAsia="宋体" w:cs="宋体"/>
                <w:color w:val="000000"/>
                <w:sz w:val="22"/>
                <w:szCs w:val="22"/>
              </w:rPr>
              <w:t>备用间</w:t>
            </w:r>
          </w:p>
        </w:tc>
        <w:tc>
          <w:tcPr>
            <w:tcW w:w="1548"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2"/>
                <w:szCs w:val="22"/>
              </w:rPr>
              <w:t>6</w:t>
            </w:r>
          </w:p>
        </w:tc>
        <w:tc>
          <w:tcPr>
            <w:tcW w:w="1242" w:type="dxa"/>
            <w:tcBorders>
              <w:top w:val="nil"/>
              <w:left w:val="nil"/>
              <w:bottom w:val="single" w:color="auto" w:sz="6" w:space="0"/>
              <w:right w:val="double" w:color="auto" w:sz="2"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tc>
      </w:tr>
      <w:tr>
        <w:trPr>
          <w:trHeight w:val="450" w:hRule="atLeast"/>
          <w:tblCellSpacing w:w="15" w:type="dxa"/>
        </w:trPr>
        <w:tc>
          <w:tcPr>
            <w:tcW w:w="868" w:type="dxa"/>
            <w:tcBorders>
              <w:top w:val="nil"/>
              <w:left w:val="double" w:color="auto" w:sz="2"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2"/>
                <w:szCs w:val="22"/>
              </w:rPr>
              <w:t>24</w:t>
            </w:r>
          </w:p>
        </w:tc>
        <w:tc>
          <w:tcPr>
            <w:tcW w:w="867"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2"/>
                <w:szCs w:val="22"/>
              </w:rPr>
              <w:t>2F</w:t>
            </w:r>
          </w:p>
        </w:tc>
        <w:tc>
          <w:tcPr>
            <w:tcW w:w="2958"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ind w:left="435"/>
              <w:jc w:val="left"/>
            </w:pPr>
            <w:r>
              <w:rPr>
                <w:rFonts w:hint="eastAsia" w:ascii="宋体" w:hAnsi="宋体" w:eastAsia="宋体" w:cs="宋体"/>
                <w:color w:val="000000"/>
                <w:sz w:val="22"/>
                <w:szCs w:val="22"/>
              </w:rPr>
              <w:t>备用</w:t>
            </w:r>
          </w:p>
        </w:tc>
        <w:tc>
          <w:tcPr>
            <w:tcW w:w="1548"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2"/>
                <w:szCs w:val="22"/>
              </w:rPr>
              <w:t>4</w:t>
            </w:r>
          </w:p>
        </w:tc>
        <w:tc>
          <w:tcPr>
            <w:tcW w:w="1242" w:type="dxa"/>
            <w:tcBorders>
              <w:top w:val="nil"/>
              <w:left w:val="nil"/>
              <w:bottom w:val="single" w:color="auto" w:sz="6" w:space="0"/>
              <w:right w:val="double" w:color="auto" w:sz="2"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tc>
      </w:tr>
      <w:tr>
        <w:trPr>
          <w:trHeight w:val="450" w:hRule="atLeast"/>
          <w:tblCellSpacing w:w="15" w:type="dxa"/>
        </w:trPr>
        <w:tc>
          <w:tcPr>
            <w:tcW w:w="868" w:type="dxa"/>
            <w:tcBorders>
              <w:top w:val="nil"/>
              <w:left w:val="double" w:color="auto" w:sz="2"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2"/>
                <w:szCs w:val="22"/>
              </w:rPr>
              <w:t>25</w:t>
            </w:r>
          </w:p>
        </w:tc>
        <w:tc>
          <w:tcPr>
            <w:tcW w:w="867"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2"/>
                <w:szCs w:val="22"/>
              </w:rPr>
              <w:t>3F</w:t>
            </w:r>
          </w:p>
        </w:tc>
        <w:tc>
          <w:tcPr>
            <w:tcW w:w="2958"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ind w:left="435"/>
              <w:jc w:val="left"/>
            </w:pPr>
            <w:r>
              <w:rPr>
                <w:rFonts w:hint="eastAsia" w:ascii="宋体" w:hAnsi="宋体" w:eastAsia="宋体" w:cs="宋体"/>
                <w:color w:val="000000"/>
                <w:sz w:val="22"/>
                <w:szCs w:val="22"/>
              </w:rPr>
              <w:t>办公区</w:t>
            </w:r>
          </w:p>
        </w:tc>
        <w:tc>
          <w:tcPr>
            <w:tcW w:w="1548"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2"/>
                <w:szCs w:val="22"/>
              </w:rPr>
              <w:t>158</w:t>
            </w:r>
          </w:p>
        </w:tc>
        <w:tc>
          <w:tcPr>
            <w:tcW w:w="1242" w:type="dxa"/>
            <w:tcBorders>
              <w:top w:val="nil"/>
              <w:left w:val="nil"/>
              <w:bottom w:val="single" w:color="auto" w:sz="6" w:space="0"/>
              <w:right w:val="double" w:color="auto" w:sz="2"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tc>
      </w:tr>
      <w:tr>
        <w:trPr>
          <w:trHeight w:val="450" w:hRule="atLeast"/>
          <w:tblCellSpacing w:w="15" w:type="dxa"/>
        </w:trPr>
        <w:tc>
          <w:tcPr>
            <w:tcW w:w="868" w:type="dxa"/>
            <w:tcBorders>
              <w:top w:val="nil"/>
              <w:left w:val="double" w:color="auto" w:sz="2" w:space="0"/>
              <w:bottom w:val="double" w:color="auto" w:sz="2"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2"/>
                <w:szCs w:val="22"/>
              </w:rPr>
              <w:t>26</w:t>
            </w:r>
          </w:p>
        </w:tc>
        <w:tc>
          <w:tcPr>
            <w:tcW w:w="3855" w:type="dxa"/>
            <w:gridSpan w:val="2"/>
            <w:tcBorders>
              <w:top w:val="nil"/>
              <w:left w:val="nil"/>
              <w:bottom w:val="double" w:color="auto" w:sz="2"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2"/>
                <w:szCs w:val="22"/>
              </w:rPr>
              <w:t>共计</w:t>
            </w:r>
          </w:p>
        </w:tc>
        <w:tc>
          <w:tcPr>
            <w:tcW w:w="1548" w:type="dxa"/>
            <w:tcBorders>
              <w:top w:val="nil"/>
              <w:left w:val="nil"/>
              <w:bottom w:val="double" w:color="auto" w:sz="2"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2"/>
                <w:szCs w:val="22"/>
              </w:rPr>
              <w:t>357</w:t>
            </w:r>
          </w:p>
        </w:tc>
        <w:tc>
          <w:tcPr>
            <w:tcW w:w="1242" w:type="dxa"/>
            <w:tcBorders>
              <w:top w:val="nil"/>
              <w:left w:val="nil"/>
              <w:bottom w:val="double" w:color="auto" w:sz="2" w:space="0"/>
              <w:right w:val="double" w:color="auto" w:sz="2"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tc>
      </w:tr>
    </w:tbl>
    <w:p>
      <w:pPr>
        <w:pStyle w:val="4"/>
        <w:keepNext w:val="0"/>
        <w:keepLines w:val="0"/>
        <w:widowControl/>
        <w:suppressLineNumbers w:val="0"/>
        <w:ind w:left="0" w:firstLine="480"/>
      </w:pPr>
      <w:r>
        <w:rPr>
          <w:rFonts w:hint="eastAsia" w:ascii="宋体" w:hAnsi="宋体" w:eastAsia="宋体" w:cs="宋体"/>
          <w:sz w:val="24"/>
          <w:szCs w:val="24"/>
        </w:rPr>
        <w:t>行政服务中心互联网接入点通过综合布线系统六类线路连接到各楼层弱电机房接入层交换机，接入层交换机通过楼内光缆汇聚到</w:t>
      </w:r>
      <w:r>
        <w:rPr>
          <w:rFonts w:hint="default" w:ascii="Calibri" w:hAnsi="Calibri" w:cs="Calibri"/>
          <w:sz w:val="24"/>
          <w:szCs w:val="24"/>
        </w:rPr>
        <w:t>2层信息中心机房核心交换机。</w:t>
      </w:r>
      <w:r>
        <w:rPr>
          <w:rFonts w:hint="default" w:ascii="Calibri" w:hAnsi="Calibri" w:cs="Calibri"/>
          <w:sz w:val="24"/>
          <w:szCs w:val="24"/>
        </w:rPr>
        <w:br w:type="textWrapping"/>
      </w:r>
      <w:r>
        <w:rPr>
          <w:rFonts w:hint="default" w:ascii="Calibri" w:hAnsi="Calibri" w:cs="Calibri"/>
          <w:sz w:val="24"/>
          <w:szCs w:val="24"/>
        </w:rPr>
        <w:br w:type="textWrapping"/>
      </w:r>
      <w:r>
        <w:rPr>
          <w:rFonts w:hint="default" w:ascii="Calibri" w:hAnsi="Calibri" w:cs="Calibri"/>
          <w:sz w:val="24"/>
          <w:szCs w:val="24"/>
        </w:rPr>
        <w:drawing>
          <wp:inline distT="0" distB="0" distL="114300" distR="114300">
            <wp:extent cx="5315585" cy="3044190"/>
            <wp:effectExtent l="0" t="0" r="18415" b="3810"/>
            <wp:docPr id="13" name="图片 12" descr="15354247999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2" descr="1535424799988.png"/>
                    <pic:cNvPicPr>
                      <a:picLocks noChangeAspect="1"/>
                    </pic:cNvPicPr>
                  </pic:nvPicPr>
                  <pic:blipFill>
                    <a:blip r:embed="rId15"/>
                    <a:stretch>
                      <a:fillRect/>
                    </a:stretch>
                  </pic:blipFill>
                  <pic:spPr>
                    <a:xfrm>
                      <a:off x="0" y="0"/>
                      <a:ext cx="5315585" cy="3044190"/>
                    </a:xfrm>
                    <a:prstGeom prst="rect">
                      <a:avLst/>
                    </a:prstGeom>
                    <a:noFill/>
                    <a:ln w="9525">
                      <a:noFill/>
                    </a:ln>
                  </pic:spPr>
                </pic:pic>
              </a:graphicData>
            </a:graphic>
          </wp:inline>
        </w:drawing>
      </w:r>
      <w:r>
        <w:rPr>
          <w:rFonts w:hint="default" w:ascii="Calibri" w:hAnsi="Calibri" w:cs="Calibri"/>
          <w:sz w:val="24"/>
          <w:szCs w:val="24"/>
        </w:rPr>
        <w:t> </w:t>
      </w:r>
      <w:r>
        <w:rPr>
          <w:rFonts w:hint="eastAsia" w:ascii="宋体" w:hAnsi="宋体" w:eastAsia="宋体" w:cs="宋体"/>
          <w:sz w:val="24"/>
          <w:szCs w:val="24"/>
        </w:rPr>
        <w:br w:type="textWrapping"/>
      </w:r>
      <w:r>
        <w:rPr>
          <w:rFonts w:hint="eastAsia" w:ascii="宋体" w:hAnsi="宋体" w:eastAsia="宋体" w:cs="宋体"/>
          <w:sz w:val="24"/>
          <w:szCs w:val="24"/>
        </w:rPr>
        <w:t>          图5.6-6  互联网网络设 计拓扑</w:t>
      </w:r>
    </w:p>
    <w:p>
      <w:pPr>
        <w:pStyle w:val="4"/>
        <w:keepNext w:val="0"/>
        <w:keepLines w:val="0"/>
        <w:widowControl/>
        <w:suppressLineNumbers w:val="0"/>
        <w:ind w:left="900"/>
      </w:pPr>
      <w:r>
        <w:rPr>
          <w:rFonts w:hint="default" w:ascii="Wingdings" w:hAnsi="Wingdings" w:cs="Wingdings"/>
          <w:sz w:val="24"/>
          <w:szCs w:val="24"/>
        </w:rPr>
        <w:t>l</w:t>
      </w:r>
      <w:r>
        <w:rPr>
          <w:rFonts w:hint="default" w:ascii="Times New Roman" w:hAnsi="Times New Roman" w:cs="Times New Roman"/>
          <w:sz w:val="13"/>
          <w:szCs w:val="13"/>
        </w:rPr>
        <w:t xml:space="preserve">  </w:t>
      </w:r>
      <w:r>
        <w:rPr>
          <w:rFonts w:hint="eastAsia" w:ascii="宋体" w:hAnsi="宋体" w:eastAsia="宋体" w:cs="宋体"/>
          <w:sz w:val="24"/>
          <w:szCs w:val="24"/>
        </w:rPr>
        <w:t xml:space="preserve">采用三层网络结构设  计，核心交换机设置于二层信息中心机房内，接入层交换机设置于每层楼机房与分机房；主干选用光纤主干（聚合上行到核心），百兆到桌面； </w:t>
      </w:r>
    </w:p>
    <w:p>
      <w:pPr>
        <w:pStyle w:val="4"/>
        <w:keepNext w:val="0"/>
        <w:keepLines w:val="0"/>
        <w:widowControl/>
        <w:suppressLineNumbers w:val="0"/>
        <w:ind w:left="900"/>
      </w:pPr>
      <w:r>
        <w:rPr>
          <w:rFonts w:hint="default" w:ascii="Wingdings" w:hAnsi="Wingdings" w:cs="Wingdings"/>
          <w:sz w:val="24"/>
          <w:szCs w:val="24"/>
        </w:rPr>
        <w:t>l</w:t>
      </w:r>
      <w:r>
        <w:rPr>
          <w:rFonts w:hint="default" w:ascii="Times New Roman" w:hAnsi="Times New Roman" w:cs="Times New Roman"/>
          <w:sz w:val="13"/>
          <w:szCs w:val="13"/>
        </w:rPr>
        <w:t xml:space="preserve">  </w:t>
      </w:r>
      <w:r>
        <w:rPr>
          <w:rFonts w:hint="eastAsia" w:ascii="宋体" w:hAnsi="宋体" w:eastAsia="宋体" w:cs="宋体"/>
          <w:sz w:val="24"/>
          <w:szCs w:val="24"/>
        </w:rPr>
        <w:t>通过Vlan实现全网按部门划分子网，并定制合理访问策略</w:t>
      </w:r>
    </w:p>
    <w:p>
      <w:pPr>
        <w:pStyle w:val="4"/>
        <w:keepNext w:val="0"/>
        <w:keepLines w:val="0"/>
        <w:widowControl/>
        <w:suppressLineNumbers w:val="0"/>
        <w:ind w:left="900"/>
      </w:pPr>
      <w:r>
        <w:rPr>
          <w:rFonts w:hint="default" w:ascii="Wingdings" w:hAnsi="Wingdings" w:cs="Wingdings"/>
          <w:sz w:val="24"/>
          <w:szCs w:val="24"/>
        </w:rPr>
        <w:t>l</w:t>
      </w:r>
      <w:r>
        <w:rPr>
          <w:rFonts w:hint="default" w:ascii="Times New Roman" w:hAnsi="Times New Roman" w:cs="Times New Roman"/>
          <w:sz w:val="13"/>
          <w:szCs w:val="13"/>
        </w:rPr>
        <w:t xml:space="preserve">  </w:t>
      </w:r>
      <w:r>
        <w:rPr>
          <w:rFonts w:hint="eastAsia" w:ascii="宋体" w:hAnsi="宋体" w:eastAsia="宋体" w:cs="宋体"/>
          <w:sz w:val="24"/>
          <w:szCs w:val="24"/>
        </w:rPr>
        <w:t>互联网网关可设在核心交换机上，通过安全策略部署、vlan及网段的划分避免广播风暴及病毒传播对核心交换机的冲击。</w:t>
      </w:r>
    </w:p>
    <w:p>
      <w:pPr>
        <w:pStyle w:val="4"/>
        <w:keepNext w:val="0"/>
        <w:keepLines w:val="0"/>
        <w:widowControl/>
        <w:suppressLineNumbers w:val="0"/>
        <w:ind w:left="900"/>
      </w:pPr>
      <w:r>
        <w:rPr>
          <w:rFonts w:hint="default" w:ascii="Wingdings" w:hAnsi="Wingdings" w:cs="Wingdings"/>
          <w:sz w:val="24"/>
          <w:szCs w:val="24"/>
        </w:rPr>
        <w:t>l</w:t>
      </w:r>
      <w:r>
        <w:rPr>
          <w:rFonts w:hint="default" w:ascii="Times New Roman" w:hAnsi="Times New Roman" w:cs="Times New Roman"/>
          <w:sz w:val="13"/>
          <w:szCs w:val="13"/>
        </w:rPr>
        <w:t xml:space="preserve">  </w:t>
      </w:r>
      <w:r>
        <w:rPr>
          <w:rFonts w:hint="eastAsia" w:ascii="宋体" w:hAnsi="宋体" w:eastAsia="宋体" w:cs="宋体"/>
          <w:sz w:val="24"/>
          <w:szCs w:val="24"/>
        </w:rPr>
        <w:t>局域网整体采用星型双归属架构，从接入交换机到核心交换机，具备很高的可靠性，同时提高了网络的整体性能</w:t>
      </w:r>
    </w:p>
    <w:p>
      <w:pPr>
        <w:pStyle w:val="4"/>
        <w:keepNext w:val="0"/>
        <w:keepLines w:val="0"/>
        <w:widowControl/>
        <w:suppressLineNumbers w:val="0"/>
      </w:pPr>
      <w:r>
        <w:rPr>
          <w:rFonts w:hint="default" w:ascii="Calibri" w:hAnsi="Calibri" w:cs="Calibri"/>
          <w:sz w:val="24"/>
          <w:szCs w:val="24"/>
        </w:rPr>
        <w:t xml:space="preserve">1.9.8.3 </w:t>
      </w:r>
      <w:r>
        <w:rPr>
          <w:rFonts w:hint="eastAsia" w:ascii="宋体" w:hAnsi="宋体" w:eastAsia="宋体" w:cs="宋体"/>
          <w:sz w:val="24"/>
          <w:szCs w:val="24"/>
        </w:rPr>
        <w:t>政务外网（智网）</w:t>
      </w:r>
    </w:p>
    <w:p>
      <w:pPr>
        <w:pStyle w:val="4"/>
        <w:keepNext w:val="0"/>
        <w:keepLines w:val="0"/>
        <w:widowControl/>
        <w:suppressLineNumbers w:val="0"/>
        <w:ind w:left="0" w:firstLine="480"/>
      </w:pPr>
      <w:r>
        <w:rPr>
          <w:rFonts w:hint="eastAsia" w:ascii="宋体" w:hAnsi="宋体" w:eastAsia="宋体" w:cs="宋体"/>
          <w:sz w:val="24"/>
          <w:szCs w:val="24"/>
        </w:rPr>
        <w:t>政务外网（智网）是政府对外服务的业务专网，与国际互联网通过防火墙逻辑隔离，主要用于机关访问国际互联网，发布政府公开信息，受理、反馈公众请求和运行安全级别不需要在政务专网运营的业务。政务外网（智网）主要分布于1F至3F各个区域。同时将2F公共资源交易中心内18台半摄像摄像机及台球机接入智网，所有设备点位具体分布如下：</w:t>
      </w:r>
      <w:r>
        <w:rPr>
          <w:rFonts w:hint="eastAsia" w:ascii="宋体" w:hAnsi="宋体" w:eastAsia="宋体" w:cs="宋体"/>
          <w:sz w:val="24"/>
          <w:szCs w:val="24"/>
        </w:rPr>
        <w:br w:type="textWrapping"/>
      </w:r>
      <w:r>
        <w:rPr>
          <w:rFonts w:hint="eastAsia" w:ascii="宋体" w:hAnsi="宋体" w:eastAsia="宋体" w:cs="宋体"/>
          <w:sz w:val="24"/>
          <w:szCs w:val="24"/>
        </w:rPr>
        <w:t>图5.6-5  行政服务中心智网信息点位分布表</w:t>
      </w:r>
    </w:p>
    <w:tbl>
      <w:tblPr>
        <w:tblStyle w:val="9"/>
        <w:tblW w:w="7961" w:type="dxa"/>
        <w:tblCellSpacing w:w="15"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15" w:type="dxa"/>
          <w:left w:w="15" w:type="dxa"/>
          <w:bottom w:w="15" w:type="dxa"/>
          <w:right w:w="15" w:type="dxa"/>
        </w:tblCellMar>
      </w:tblPr>
      <w:tblGrid>
        <w:gridCol w:w="1127"/>
        <w:gridCol w:w="1111"/>
        <w:gridCol w:w="3456"/>
        <w:gridCol w:w="1116"/>
        <w:gridCol w:w="1151"/>
      </w:tblGrid>
      <w:tr>
        <w:trPr>
          <w:trHeight w:val="450" w:hRule="atLeast"/>
          <w:tblCellSpacing w:w="15" w:type="dxa"/>
        </w:trPr>
        <w:tc>
          <w:tcPr>
            <w:tcW w:w="1082" w:type="dxa"/>
            <w:tcBorders>
              <w:top w:val="double" w:color="auto" w:sz="2" w:space="0"/>
              <w:left w:val="double" w:color="auto" w:sz="2"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Style w:val="6"/>
                <w:rFonts w:hint="eastAsia" w:ascii="宋体" w:hAnsi="宋体" w:eastAsia="宋体" w:cs="宋体"/>
                <w:b/>
                <w:color w:val="000000"/>
                <w:sz w:val="22"/>
                <w:szCs w:val="22"/>
              </w:rPr>
              <w:t>序号</w:t>
            </w:r>
          </w:p>
        </w:tc>
        <w:tc>
          <w:tcPr>
            <w:tcW w:w="1081" w:type="dxa"/>
            <w:tcBorders>
              <w:top w:val="double" w:color="auto" w:sz="2"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Style w:val="6"/>
                <w:rFonts w:hint="eastAsia" w:ascii="宋体" w:hAnsi="宋体" w:eastAsia="宋体" w:cs="宋体"/>
                <w:b/>
                <w:color w:val="000000"/>
                <w:sz w:val="22"/>
                <w:szCs w:val="22"/>
              </w:rPr>
              <w:t>楼层</w:t>
            </w:r>
          </w:p>
        </w:tc>
        <w:tc>
          <w:tcPr>
            <w:tcW w:w="3426" w:type="dxa"/>
            <w:tcBorders>
              <w:top w:val="double" w:color="auto" w:sz="2"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Style w:val="6"/>
                <w:rFonts w:hint="eastAsia" w:ascii="宋体" w:hAnsi="宋体" w:eastAsia="宋体" w:cs="宋体"/>
                <w:b/>
                <w:color w:val="000000"/>
                <w:sz w:val="22"/>
                <w:szCs w:val="22"/>
              </w:rPr>
              <w:t>位置</w:t>
            </w:r>
          </w:p>
        </w:tc>
        <w:tc>
          <w:tcPr>
            <w:tcW w:w="1086" w:type="dxa"/>
            <w:tcBorders>
              <w:top w:val="double" w:color="auto" w:sz="2"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Style w:val="6"/>
                <w:rFonts w:hint="eastAsia" w:ascii="宋体" w:hAnsi="宋体" w:eastAsia="宋体" w:cs="宋体"/>
                <w:b/>
                <w:color w:val="000000"/>
                <w:sz w:val="22"/>
                <w:szCs w:val="22"/>
              </w:rPr>
              <w:t>数量</w:t>
            </w:r>
          </w:p>
        </w:tc>
        <w:tc>
          <w:tcPr>
            <w:tcW w:w="1106" w:type="dxa"/>
            <w:tcBorders>
              <w:top w:val="double" w:color="auto" w:sz="2" w:space="0"/>
              <w:left w:val="nil"/>
              <w:bottom w:val="single" w:color="auto" w:sz="6" w:space="0"/>
              <w:right w:val="double" w:color="auto" w:sz="2"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Style w:val="6"/>
                <w:rFonts w:hint="eastAsia" w:ascii="宋体" w:hAnsi="宋体" w:eastAsia="宋体" w:cs="宋体"/>
                <w:b/>
                <w:color w:val="000000"/>
                <w:sz w:val="22"/>
                <w:szCs w:val="22"/>
              </w:rPr>
              <w:t>备注</w:t>
            </w:r>
          </w:p>
        </w:tc>
      </w:tr>
      <w:tr>
        <w:trPr>
          <w:trHeight w:val="450" w:hRule="atLeast"/>
          <w:tblCellSpacing w:w="15" w:type="dxa"/>
        </w:trPr>
        <w:tc>
          <w:tcPr>
            <w:tcW w:w="1082" w:type="dxa"/>
            <w:tcBorders>
              <w:top w:val="nil"/>
              <w:left w:val="double" w:color="auto" w:sz="2"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2"/>
                <w:szCs w:val="22"/>
              </w:rPr>
              <w:t>1</w:t>
            </w:r>
          </w:p>
        </w:tc>
        <w:tc>
          <w:tcPr>
            <w:tcW w:w="1081"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2"/>
                <w:szCs w:val="22"/>
              </w:rPr>
              <w:t>1F</w:t>
            </w:r>
          </w:p>
        </w:tc>
        <w:tc>
          <w:tcPr>
            <w:tcW w:w="342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ind w:left="300"/>
              <w:jc w:val="left"/>
            </w:pPr>
            <w:r>
              <w:rPr>
                <w:rFonts w:hint="eastAsia" w:ascii="宋体" w:hAnsi="宋体" w:eastAsia="宋体" w:cs="宋体"/>
                <w:color w:val="000000"/>
                <w:sz w:val="22"/>
                <w:szCs w:val="22"/>
              </w:rPr>
              <w:t>行政服务中心窗口</w:t>
            </w:r>
          </w:p>
        </w:tc>
        <w:tc>
          <w:tcPr>
            <w:tcW w:w="108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2"/>
                <w:szCs w:val="22"/>
              </w:rPr>
              <w:t>18</w:t>
            </w:r>
          </w:p>
        </w:tc>
        <w:tc>
          <w:tcPr>
            <w:tcW w:w="1106" w:type="dxa"/>
            <w:tcBorders>
              <w:top w:val="nil"/>
              <w:left w:val="nil"/>
              <w:bottom w:val="single" w:color="auto" w:sz="6" w:space="0"/>
              <w:right w:val="double" w:color="auto" w:sz="2"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tc>
      </w:tr>
      <w:tr>
        <w:trPr>
          <w:trHeight w:val="450" w:hRule="atLeast"/>
          <w:tblCellSpacing w:w="15" w:type="dxa"/>
        </w:trPr>
        <w:tc>
          <w:tcPr>
            <w:tcW w:w="1082" w:type="dxa"/>
            <w:tcBorders>
              <w:top w:val="nil"/>
              <w:left w:val="double" w:color="auto" w:sz="2"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2"/>
                <w:szCs w:val="22"/>
              </w:rPr>
              <w:t>2</w:t>
            </w:r>
          </w:p>
        </w:tc>
        <w:tc>
          <w:tcPr>
            <w:tcW w:w="1081"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2"/>
                <w:szCs w:val="22"/>
              </w:rPr>
              <w:t>1F</w:t>
            </w:r>
          </w:p>
        </w:tc>
        <w:tc>
          <w:tcPr>
            <w:tcW w:w="342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ind w:left="300"/>
              <w:jc w:val="left"/>
            </w:pPr>
            <w:r>
              <w:rPr>
                <w:rFonts w:hint="eastAsia" w:ascii="宋体" w:hAnsi="宋体" w:eastAsia="宋体" w:cs="宋体"/>
                <w:color w:val="000000"/>
                <w:sz w:val="22"/>
                <w:szCs w:val="22"/>
              </w:rPr>
              <w:t>行政服务中心办公区</w:t>
            </w:r>
          </w:p>
        </w:tc>
        <w:tc>
          <w:tcPr>
            <w:tcW w:w="108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2"/>
                <w:szCs w:val="22"/>
              </w:rPr>
              <w:t>16</w:t>
            </w:r>
          </w:p>
        </w:tc>
        <w:tc>
          <w:tcPr>
            <w:tcW w:w="1106" w:type="dxa"/>
            <w:tcBorders>
              <w:top w:val="nil"/>
              <w:left w:val="nil"/>
              <w:bottom w:val="single" w:color="auto" w:sz="6" w:space="0"/>
              <w:right w:val="double" w:color="auto" w:sz="2"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tc>
      </w:tr>
      <w:tr>
        <w:trPr>
          <w:trHeight w:val="450" w:hRule="atLeast"/>
          <w:tblCellSpacing w:w="15" w:type="dxa"/>
        </w:trPr>
        <w:tc>
          <w:tcPr>
            <w:tcW w:w="1082" w:type="dxa"/>
            <w:tcBorders>
              <w:top w:val="nil"/>
              <w:left w:val="double" w:color="auto" w:sz="2"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2"/>
                <w:szCs w:val="22"/>
              </w:rPr>
              <w:t>3</w:t>
            </w:r>
          </w:p>
        </w:tc>
        <w:tc>
          <w:tcPr>
            <w:tcW w:w="1081"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2"/>
                <w:szCs w:val="22"/>
              </w:rPr>
              <w:t>1F</w:t>
            </w:r>
          </w:p>
        </w:tc>
        <w:tc>
          <w:tcPr>
            <w:tcW w:w="342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ind w:left="300"/>
              <w:jc w:val="left"/>
            </w:pPr>
            <w:r>
              <w:rPr>
                <w:rFonts w:hint="eastAsia" w:ascii="宋体" w:hAnsi="宋体" w:eastAsia="宋体" w:cs="宋体"/>
                <w:color w:val="000000"/>
                <w:sz w:val="22"/>
                <w:szCs w:val="22"/>
              </w:rPr>
              <w:t>税务服务窗口</w:t>
            </w:r>
          </w:p>
        </w:tc>
        <w:tc>
          <w:tcPr>
            <w:tcW w:w="108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2"/>
                <w:szCs w:val="22"/>
              </w:rPr>
              <w:t>14</w:t>
            </w:r>
          </w:p>
        </w:tc>
        <w:tc>
          <w:tcPr>
            <w:tcW w:w="1106" w:type="dxa"/>
            <w:tcBorders>
              <w:top w:val="nil"/>
              <w:left w:val="nil"/>
              <w:bottom w:val="single" w:color="auto" w:sz="6" w:space="0"/>
              <w:right w:val="double" w:color="auto" w:sz="2"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tc>
      </w:tr>
      <w:tr>
        <w:trPr>
          <w:trHeight w:val="450" w:hRule="atLeast"/>
          <w:tblCellSpacing w:w="15" w:type="dxa"/>
        </w:trPr>
        <w:tc>
          <w:tcPr>
            <w:tcW w:w="1082" w:type="dxa"/>
            <w:tcBorders>
              <w:top w:val="nil"/>
              <w:left w:val="double" w:color="auto" w:sz="2"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2"/>
                <w:szCs w:val="22"/>
              </w:rPr>
              <w:t>4</w:t>
            </w:r>
          </w:p>
        </w:tc>
        <w:tc>
          <w:tcPr>
            <w:tcW w:w="1081"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2"/>
                <w:szCs w:val="22"/>
              </w:rPr>
              <w:t>1F</w:t>
            </w:r>
          </w:p>
        </w:tc>
        <w:tc>
          <w:tcPr>
            <w:tcW w:w="342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ind w:left="300"/>
              <w:jc w:val="left"/>
            </w:pPr>
            <w:r>
              <w:rPr>
                <w:rFonts w:hint="eastAsia" w:ascii="宋体" w:hAnsi="宋体" w:eastAsia="宋体" w:cs="宋体"/>
                <w:color w:val="000000"/>
                <w:sz w:val="22"/>
                <w:szCs w:val="22"/>
              </w:rPr>
              <w:t>税务办公区</w:t>
            </w:r>
          </w:p>
        </w:tc>
        <w:tc>
          <w:tcPr>
            <w:tcW w:w="108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2"/>
                <w:szCs w:val="22"/>
              </w:rPr>
              <w:t>10</w:t>
            </w:r>
          </w:p>
        </w:tc>
        <w:tc>
          <w:tcPr>
            <w:tcW w:w="1106" w:type="dxa"/>
            <w:tcBorders>
              <w:top w:val="nil"/>
              <w:left w:val="nil"/>
              <w:bottom w:val="single" w:color="auto" w:sz="6" w:space="0"/>
              <w:right w:val="double" w:color="auto" w:sz="2"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tc>
      </w:tr>
      <w:tr>
        <w:trPr>
          <w:trHeight w:val="450" w:hRule="atLeast"/>
          <w:tblCellSpacing w:w="15" w:type="dxa"/>
        </w:trPr>
        <w:tc>
          <w:tcPr>
            <w:tcW w:w="1082" w:type="dxa"/>
            <w:tcBorders>
              <w:top w:val="nil"/>
              <w:left w:val="double" w:color="auto" w:sz="2"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2"/>
                <w:szCs w:val="22"/>
              </w:rPr>
              <w:t>5</w:t>
            </w:r>
          </w:p>
        </w:tc>
        <w:tc>
          <w:tcPr>
            <w:tcW w:w="1081"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2"/>
                <w:szCs w:val="22"/>
              </w:rPr>
              <w:t>1F</w:t>
            </w:r>
          </w:p>
        </w:tc>
        <w:tc>
          <w:tcPr>
            <w:tcW w:w="342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ind w:left="300"/>
              <w:jc w:val="left"/>
            </w:pPr>
            <w:r>
              <w:rPr>
                <w:rFonts w:hint="eastAsia" w:ascii="宋体" w:hAnsi="宋体" w:eastAsia="宋体" w:cs="宋体"/>
                <w:color w:val="000000"/>
                <w:sz w:val="22"/>
                <w:szCs w:val="22"/>
              </w:rPr>
              <w:t>导办区</w:t>
            </w:r>
          </w:p>
        </w:tc>
        <w:tc>
          <w:tcPr>
            <w:tcW w:w="108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2"/>
                <w:szCs w:val="22"/>
              </w:rPr>
              <w:t>7</w:t>
            </w:r>
          </w:p>
        </w:tc>
        <w:tc>
          <w:tcPr>
            <w:tcW w:w="1106" w:type="dxa"/>
            <w:tcBorders>
              <w:top w:val="nil"/>
              <w:left w:val="nil"/>
              <w:bottom w:val="single" w:color="auto" w:sz="6" w:space="0"/>
              <w:right w:val="double" w:color="auto" w:sz="2"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tc>
      </w:tr>
      <w:tr>
        <w:trPr>
          <w:trHeight w:val="450" w:hRule="atLeast"/>
          <w:tblCellSpacing w:w="15" w:type="dxa"/>
        </w:trPr>
        <w:tc>
          <w:tcPr>
            <w:tcW w:w="1082" w:type="dxa"/>
            <w:tcBorders>
              <w:top w:val="nil"/>
              <w:left w:val="double" w:color="auto" w:sz="2"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2"/>
                <w:szCs w:val="22"/>
              </w:rPr>
              <w:t>6</w:t>
            </w:r>
          </w:p>
        </w:tc>
        <w:tc>
          <w:tcPr>
            <w:tcW w:w="1081"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2"/>
                <w:szCs w:val="22"/>
              </w:rPr>
              <w:t>1F</w:t>
            </w:r>
          </w:p>
        </w:tc>
        <w:tc>
          <w:tcPr>
            <w:tcW w:w="342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ind w:left="300"/>
              <w:jc w:val="left"/>
            </w:pPr>
            <w:r>
              <w:rPr>
                <w:rFonts w:hint="eastAsia" w:ascii="宋体" w:hAnsi="宋体" w:eastAsia="宋体" w:cs="宋体"/>
                <w:color w:val="000000"/>
                <w:sz w:val="22"/>
                <w:szCs w:val="22"/>
              </w:rPr>
              <w:t>自助终端区</w:t>
            </w:r>
          </w:p>
        </w:tc>
        <w:tc>
          <w:tcPr>
            <w:tcW w:w="108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2"/>
                <w:szCs w:val="22"/>
              </w:rPr>
              <w:t>7</w:t>
            </w:r>
          </w:p>
        </w:tc>
        <w:tc>
          <w:tcPr>
            <w:tcW w:w="1106" w:type="dxa"/>
            <w:tcBorders>
              <w:top w:val="nil"/>
              <w:left w:val="nil"/>
              <w:bottom w:val="single" w:color="auto" w:sz="6" w:space="0"/>
              <w:right w:val="double" w:color="auto" w:sz="2"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tc>
      </w:tr>
      <w:tr>
        <w:trPr>
          <w:trHeight w:val="450" w:hRule="atLeast"/>
          <w:tblCellSpacing w:w="15" w:type="dxa"/>
        </w:trPr>
        <w:tc>
          <w:tcPr>
            <w:tcW w:w="1082" w:type="dxa"/>
            <w:tcBorders>
              <w:top w:val="nil"/>
              <w:left w:val="double" w:color="auto" w:sz="2"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2"/>
                <w:szCs w:val="22"/>
              </w:rPr>
              <w:t>7</w:t>
            </w:r>
          </w:p>
        </w:tc>
        <w:tc>
          <w:tcPr>
            <w:tcW w:w="1081"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2"/>
                <w:szCs w:val="22"/>
              </w:rPr>
              <w:t>1F</w:t>
            </w:r>
          </w:p>
        </w:tc>
        <w:tc>
          <w:tcPr>
            <w:tcW w:w="342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ind w:left="300"/>
              <w:jc w:val="left"/>
            </w:pPr>
            <w:r>
              <w:rPr>
                <w:rFonts w:hint="eastAsia" w:ascii="宋体" w:hAnsi="宋体" w:eastAsia="宋体" w:cs="宋体"/>
                <w:color w:val="000000"/>
                <w:sz w:val="22"/>
                <w:szCs w:val="22"/>
              </w:rPr>
              <w:t>自助上网区</w:t>
            </w:r>
          </w:p>
        </w:tc>
        <w:tc>
          <w:tcPr>
            <w:tcW w:w="108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2"/>
                <w:szCs w:val="22"/>
              </w:rPr>
              <w:t>3</w:t>
            </w:r>
          </w:p>
        </w:tc>
        <w:tc>
          <w:tcPr>
            <w:tcW w:w="1106" w:type="dxa"/>
            <w:tcBorders>
              <w:top w:val="nil"/>
              <w:left w:val="nil"/>
              <w:bottom w:val="single" w:color="auto" w:sz="6" w:space="0"/>
              <w:right w:val="double" w:color="auto" w:sz="2"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tc>
      </w:tr>
      <w:tr>
        <w:trPr>
          <w:trHeight w:val="450" w:hRule="atLeast"/>
          <w:tblCellSpacing w:w="15" w:type="dxa"/>
        </w:trPr>
        <w:tc>
          <w:tcPr>
            <w:tcW w:w="1082" w:type="dxa"/>
            <w:tcBorders>
              <w:top w:val="nil"/>
              <w:left w:val="double" w:color="auto" w:sz="2"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2"/>
                <w:szCs w:val="22"/>
              </w:rPr>
              <w:t>8</w:t>
            </w:r>
          </w:p>
        </w:tc>
        <w:tc>
          <w:tcPr>
            <w:tcW w:w="1081"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2"/>
                <w:szCs w:val="22"/>
              </w:rPr>
              <w:t>1F</w:t>
            </w:r>
          </w:p>
        </w:tc>
        <w:tc>
          <w:tcPr>
            <w:tcW w:w="342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ind w:left="300"/>
              <w:jc w:val="left"/>
            </w:pPr>
            <w:r>
              <w:rPr>
                <w:rFonts w:hint="eastAsia" w:ascii="宋体" w:hAnsi="宋体" w:eastAsia="宋体" w:cs="宋体"/>
                <w:color w:val="000000"/>
                <w:sz w:val="22"/>
                <w:szCs w:val="22"/>
              </w:rPr>
              <w:t>填单区</w:t>
            </w:r>
          </w:p>
        </w:tc>
        <w:tc>
          <w:tcPr>
            <w:tcW w:w="108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2"/>
                <w:szCs w:val="22"/>
              </w:rPr>
              <w:t>6</w:t>
            </w:r>
          </w:p>
        </w:tc>
        <w:tc>
          <w:tcPr>
            <w:tcW w:w="1106" w:type="dxa"/>
            <w:tcBorders>
              <w:top w:val="nil"/>
              <w:left w:val="nil"/>
              <w:bottom w:val="single" w:color="auto" w:sz="6" w:space="0"/>
              <w:right w:val="double" w:color="auto" w:sz="2"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tc>
      </w:tr>
      <w:tr>
        <w:trPr>
          <w:trHeight w:val="450" w:hRule="atLeast"/>
          <w:tblCellSpacing w:w="15" w:type="dxa"/>
        </w:trPr>
        <w:tc>
          <w:tcPr>
            <w:tcW w:w="1082" w:type="dxa"/>
            <w:tcBorders>
              <w:top w:val="nil"/>
              <w:left w:val="double" w:color="auto" w:sz="2"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2"/>
                <w:szCs w:val="22"/>
              </w:rPr>
              <w:t>9</w:t>
            </w:r>
          </w:p>
        </w:tc>
        <w:tc>
          <w:tcPr>
            <w:tcW w:w="1081"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2"/>
                <w:szCs w:val="22"/>
              </w:rPr>
              <w:t>1F</w:t>
            </w:r>
          </w:p>
        </w:tc>
        <w:tc>
          <w:tcPr>
            <w:tcW w:w="342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ind w:left="300"/>
              <w:jc w:val="left"/>
            </w:pPr>
            <w:r>
              <w:rPr>
                <w:rFonts w:hint="eastAsia" w:ascii="宋体" w:hAnsi="宋体" w:eastAsia="宋体" w:cs="宋体"/>
                <w:color w:val="000000"/>
                <w:sz w:val="22"/>
                <w:szCs w:val="22"/>
              </w:rPr>
              <w:t>取号机</w:t>
            </w:r>
          </w:p>
        </w:tc>
        <w:tc>
          <w:tcPr>
            <w:tcW w:w="108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2"/>
                <w:szCs w:val="22"/>
              </w:rPr>
              <w:t>6</w:t>
            </w:r>
          </w:p>
        </w:tc>
        <w:tc>
          <w:tcPr>
            <w:tcW w:w="1106" w:type="dxa"/>
            <w:tcBorders>
              <w:top w:val="nil"/>
              <w:left w:val="nil"/>
              <w:bottom w:val="single" w:color="auto" w:sz="6" w:space="0"/>
              <w:right w:val="double" w:color="auto" w:sz="2"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tc>
      </w:tr>
      <w:tr>
        <w:trPr>
          <w:trHeight w:val="450" w:hRule="atLeast"/>
          <w:tblCellSpacing w:w="15" w:type="dxa"/>
        </w:trPr>
        <w:tc>
          <w:tcPr>
            <w:tcW w:w="1082" w:type="dxa"/>
            <w:tcBorders>
              <w:top w:val="nil"/>
              <w:left w:val="double" w:color="auto" w:sz="2"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2"/>
                <w:szCs w:val="22"/>
              </w:rPr>
              <w:t>10</w:t>
            </w:r>
          </w:p>
        </w:tc>
        <w:tc>
          <w:tcPr>
            <w:tcW w:w="1081"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2"/>
                <w:szCs w:val="22"/>
              </w:rPr>
              <w:t>1F</w:t>
            </w:r>
          </w:p>
        </w:tc>
        <w:tc>
          <w:tcPr>
            <w:tcW w:w="342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ind w:left="300"/>
              <w:jc w:val="left"/>
            </w:pPr>
            <w:r>
              <w:rPr>
                <w:rFonts w:hint="eastAsia" w:ascii="宋体" w:hAnsi="宋体" w:eastAsia="宋体" w:cs="宋体"/>
                <w:color w:val="000000"/>
                <w:sz w:val="22"/>
                <w:szCs w:val="22"/>
              </w:rPr>
              <w:t>自助办税区</w:t>
            </w:r>
          </w:p>
        </w:tc>
        <w:tc>
          <w:tcPr>
            <w:tcW w:w="108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2"/>
                <w:szCs w:val="22"/>
              </w:rPr>
              <w:t>6</w:t>
            </w:r>
          </w:p>
        </w:tc>
        <w:tc>
          <w:tcPr>
            <w:tcW w:w="1106" w:type="dxa"/>
            <w:tcBorders>
              <w:top w:val="nil"/>
              <w:left w:val="nil"/>
              <w:bottom w:val="single" w:color="auto" w:sz="6" w:space="0"/>
              <w:right w:val="double" w:color="auto" w:sz="2"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tc>
      </w:tr>
      <w:tr>
        <w:trPr>
          <w:trHeight w:val="450" w:hRule="atLeast"/>
          <w:tblCellSpacing w:w="15" w:type="dxa"/>
        </w:trPr>
        <w:tc>
          <w:tcPr>
            <w:tcW w:w="1082" w:type="dxa"/>
            <w:tcBorders>
              <w:top w:val="nil"/>
              <w:left w:val="double" w:color="auto" w:sz="2"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2"/>
                <w:szCs w:val="22"/>
              </w:rPr>
              <w:t>11</w:t>
            </w:r>
          </w:p>
        </w:tc>
        <w:tc>
          <w:tcPr>
            <w:tcW w:w="1081"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2"/>
                <w:szCs w:val="22"/>
              </w:rPr>
              <w:t>1F</w:t>
            </w:r>
          </w:p>
        </w:tc>
        <w:tc>
          <w:tcPr>
            <w:tcW w:w="342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ind w:left="300"/>
              <w:jc w:val="left"/>
            </w:pPr>
            <w:r>
              <w:rPr>
                <w:rFonts w:hint="eastAsia" w:ascii="宋体" w:hAnsi="宋体" w:eastAsia="宋体" w:cs="宋体"/>
                <w:color w:val="000000"/>
                <w:sz w:val="22"/>
                <w:szCs w:val="22"/>
              </w:rPr>
              <w:t>自助办税终端</w:t>
            </w:r>
          </w:p>
        </w:tc>
        <w:tc>
          <w:tcPr>
            <w:tcW w:w="108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2"/>
                <w:szCs w:val="22"/>
              </w:rPr>
              <w:t>3</w:t>
            </w:r>
          </w:p>
        </w:tc>
        <w:tc>
          <w:tcPr>
            <w:tcW w:w="1106" w:type="dxa"/>
            <w:tcBorders>
              <w:top w:val="nil"/>
              <w:left w:val="nil"/>
              <w:bottom w:val="single" w:color="auto" w:sz="6" w:space="0"/>
              <w:right w:val="double" w:color="auto" w:sz="2"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tc>
      </w:tr>
      <w:tr>
        <w:trPr>
          <w:trHeight w:val="450" w:hRule="atLeast"/>
          <w:tblCellSpacing w:w="15" w:type="dxa"/>
        </w:trPr>
        <w:tc>
          <w:tcPr>
            <w:tcW w:w="1082" w:type="dxa"/>
            <w:tcBorders>
              <w:top w:val="nil"/>
              <w:left w:val="double" w:color="auto" w:sz="2"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2"/>
                <w:szCs w:val="22"/>
              </w:rPr>
              <w:t>12</w:t>
            </w:r>
          </w:p>
        </w:tc>
        <w:tc>
          <w:tcPr>
            <w:tcW w:w="1081"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2"/>
                <w:szCs w:val="22"/>
              </w:rPr>
              <w:t>1F</w:t>
            </w:r>
          </w:p>
        </w:tc>
        <w:tc>
          <w:tcPr>
            <w:tcW w:w="342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ind w:left="300"/>
              <w:jc w:val="left"/>
            </w:pPr>
            <w:r>
              <w:rPr>
                <w:rFonts w:hint="eastAsia" w:ascii="宋体" w:hAnsi="宋体" w:eastAsia="宋体" w:cs="宋体"/>
                <w:color w:val="000000"/>
                <w:sz w:val="22"/>
                <w:szCs w:val="22"/>
              </w:rPr>
              <w:t>税务会议室</w:t>
            </w:r>
          </w:p>
        </w:tc>
        <w:tc>
          <w:tcPr>
            <w:tcW w:w="108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2"/>
                <w:szCs w:val="22"/>
              </w:rPr>
              <w:t>2</w:t>
            </w:r>
          </w:p>
        </w:tc>
        <w:tc>
          <w:tcPr>
            <w:tcW w:w="1106" w:type="dxa"/>
            <w:tcBorders>
              <w:top w:val="nil"/>
              <w:left w:val="nil"/>
              <w:bottom w:val="single" w:color="auto" w:sz="6" w:space="0"/>
              <w:right w:val="double" w:color="auto" w:sz="2"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tc>
      </w:tr>
      <w:tr>
        <w:trPr>
          <w:trHeight w:val="450" w:hRule="atLeast"/>
          <w:tblCellSpacing w:w="15" w:type="dxa"/>
        </w:trPr>
        <w:tc>
          <w:tcPr>
            <w:tcW w:w="1082" w:type="dxa"/>
            <w:tcBorders>
              <w:top w:val="nil"/>
              <w:left w:val="double" w:color="auto" w:sz="2"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2"/>
                <w:szCs w:val="22"/>
              </w:rPr>
              <w:t>13</w:t>
            </w:r>
          </w:p>
        </w:tc>
        <w:tc>
          <w:tcPr>
            <w:tcW w:w="1081"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2"/>
                <w:szCs w:val="22"/>
              </w:rPr>
              <w:t>1F</w:t>
            </w:r>
          </w:p>
        </w:tc>
        <w:tc>
          <w:tcPr>
            <w:tcW w:w="342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ind w:left="300"/>
              <w:jc w:val="left"/>
            </w:pPr>
            <w:r>
              <w:rPr>
                <w:rFonts w:hint="eastAsia" w:ascii="宋体" w:hAnsi="宋体" w:eastAsia="宋体" w:cs="宋体"/>
                <w:color w:val="000000"/>
                <w:sz w:val="22"/>
                <w:szCs w:val="22"/>
              </w:rPr>
              <w:t>备用间</w:t>
            </w:r>
          </w:p>
        </w:tc>
        <w:tc>
          <w:tcPr>
            <w:tcW w:w="108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2"/>
                <w:szCs w:val="22"/>
              </w:rPr>
              <w:t>1</w:t>
            </w:r>
          </w:p>
        </w:tc>
        <w:tc>
          <w:tcPr>
            <w:tcW w:w="1106" w:type="dxa"/>
            <w:tcBorders>
              <w:top w:val="nil"/>
              <w:left w:val="nil"/>
              <w:bottom w:val="single" w:color="auto" w:sz="6" w:space="0"/>
              <w:right w:val="double" w:color="auto" w:sz="2"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tc>
      </w:tr>
      <w:tr>
        <w:trPr>
          <w:trHeight w:val="450" w:hRule="atLeast"/>
          <w:tblCellSpacing w:w="15" w:type="dxa"/>
        </w:trPr>
        <w:tc>
          <w:tcPr>
            <w:tcW w:w="1082" w:type="dxa"/>
            <w:tcBorders>
              <w:top w:val="nil"/>
              <w:left w:val="double" w:color="auto" w:sz="2"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2"/>
                <w:szCs w:val="22"/>
              </w:rPr>
              <w:t>14</w:t>
            </w:r>
          </w:p>
        </w:tc>
        <w:tc>
          <w:tcPr>
            <w:tcW w:w="1081"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2"/>
                <w:szCs w:val="22"/>
              </w:rPr>
              <w:t>1F</w:t>
            </w:r>
          </w:p>
        </w:tc>
        <w:tc>
          <w:tcPr>
            <w:tcW w:w="342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ind w:left="300"/>
              <w:jc w:val="left"/>
            </w:pPr>
            <w:r>
              <w:rPr>
                <w:rFonts w:hint="eastAsia" w:ascii="宋体" w:hAnsi="宋体" w:eastAsia="宋体" w:cs="宋体"/>
                <w:color w:val="000000"/>
                <w:sz w:val="22"/>
                <w:szCs w:val="22"/>
              </w:rPr>
              <w:t>办公室预留</w:t>
            </w:r>
          </w:p>
        </w:tc>
        <w:tc>
          <w:tcPr>
            <w:tcW w:w="108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2"/>
                <w:szCs w:val="22"/>
              </w:rPr>
              <w:t>5</w:t>
            </w:r>
          </w:p>
        </w:tc>
        <w:tc>
          <w:tcPr>
            <w:tcW w:w="1106" w:type="dxa"/>
            <w:tcBorders>
              <w:top w:val="nil"/>
              <w:left w:val="nil"/>
              <w:bottom w:val="single" w:color="auto" w:sz="6" w:space="0"/>
              <w:right w:val="double" w:color="auto" w:sz="2"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tc>
      </w:tr>
      <w:tr>
        <w:trPr>
          <w:trHeight w:val="450" w:hRule="atLeast"/>
          <w:tblCellSpacing w:w="15" w:type="dxa"/>
        </w:trPr>
        <w:tc>
          <w:tcPr>
            <w:tcW w:w="1082" w:type="dxa"/>
            <w:tcBorders>
              <w:top w:val="nil"/>
              <w:left w:val="double" w:color="auto" w:sz="2"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2"/>
                <w:szCs w:val="22"/>
              </w:rPr>
              <w:t>15</w:t>
            </w:r>
          </w:p>
        </w:tc>
        <w:tc>
          <w:tcPr>
            <w:tcW w:w="1081"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2"/>
                <w:szCs w:val="22"/>
              </w:rPr>
              <w:t>2F</w:t>
            </w:r>
          </w:p>
        </w:tc>
        <w:tc>
          <w:tcPr>
            <w:tcW w:w="342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ind w:left="300"/>
              <w:jc w:val="left"/>
            </w:pPr>
            <w:r>
              <w:rPr>
                <w:rFonts w:hint="eastAsia" w:ascii="宋体" w:hAnsi="宋体" w:eastAsia="宋体" w:cs="宋体"/>
                <w:color w:val="000000"/>
                <w:sz w:val="22"/>
                <w:szCs w:val="22"/>
              </w:rPr>
              <w:t>行政服务中心窗口</w:t>
            </w:r>
          </w:p>
        </w:tc>
        <w:tc>
          <w:tcPr>
            <w:tcW w:w="108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2"/>
                <w:szCs w:val="22"/>
              </w:rPr>
              <w:t>18</w:t>
            </w:r>
          </w:p>
        </w:tc>
        <w:tc>
          <w:tcPr>
            <w:tcW w:w="1106" w:type="dxa"/>
            <w:tcBorders>
              <w:top w:val="nil"/>
              <w:left w:val="nil"/>
              <w:bottom w:val="single" w:color="auto" w:sz="6" w:space="0"/>
              <w:right w:val="double" w:color="auto" w:sz="2"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tc>
      </w:tr>
      <w:tr>
        <w:trPr>
          <w:trHeight w:val="450" w:hRule="atLeast"/>
          <w:tblCellSpacing w:w="15" w:type="dxa"/>
        </w:trPr>
        <w:tc>
          <w:tcPr>
            <w:tcW w:w="1082" w:type="dxa"/>
            <w:tcBorders>
              <w:top w:val="nil"/>
              <w:left w:val="double" w:color="auto" w:sz="2"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2"/>
                <w:szCs w:val="22"/>
              </w:rPr>
              <w:t>16</w:t>
            </w:r>
          </w:p>
        </w:tc>
        <w:tc>
          <w:tcPr>
            <w:tcW w:w="1081"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2"/>
                <w:szCs w:val="22"/>
              </w:rPr>
              <w:t>2F</w:t>
            </w:r>
          </w:p>
        </w:tc>
        <w:tc>
          <w:tcPr>
            <w:tcW w:w="342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ind w:left="300"/>
              <w:jc w:val="left"/>
            </w:pPr>
            <w:r>
              <w:rPr>
                <w:rFonts w:hint="eastAsia" w:ascii="宋体" w:hAnsi="宋体" w:eastAsia="宋体" w:cs="宋体"/>
                <w:color w:val="000000"/>
                <w:sz w:val="22"/>
                <w:szCs w:val="22"/>
              </w:rPr>
              <w:t>行政服务中心办公区</w:t>
            </w:r>
          </w:p>
        </w:tc>
        <w:tc>
          <w:tcPr>
            <w:tcW w:w="108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2"/>
                <w:szCs w:val="22"/>
              </w:rPr>
              <w:t>24</w:t>
            </w:r>
          </w:p>
        </w:tc>
        <w:tc>
          <w:tcPr>
            <w:tcW w:w="1106" w:type="dxa"/>
            <w:tcBorders>
              <w:top w:val="nil"/>
              <w:left w:val="nil"/>
              <w:bottom w:val="single" w:color="auto" w:sz="6" w:space="0"/>
              <w:right w:val="double" w:color="auto" w:sz="2"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tc>
      </w:tr>
      <w:tr>
        <w:trPr>
          <w:trHeight w:val="450" w:hRule="atLeast"/>
          <w:tblCellSpacing w:w="15" w:type="dxa"/>
        </w:trPr>
        <w:tc>
          <w:tcPr>
            <w:tcW w:w="1082" w:type="dxa"/>
            <w:tcBorders>
              <w:top w:val="nil"/>
              <w:left w:val="double" w:color="auto" w:sz="2"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2"/>
                <w:szCs w:val="22"/>
              </w:rPr>
              <w:t>17</w:t>
            </w:r>
          </w:p>
        </w:tc>
        <w:tc>
          <w:tcPr>
            <w:tcW w:w="1081"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2"/>
                <w:szCs w:val="22"/>
              </w:rPr>
              <w:t>2F</w:t>
            </w:r>
          </w:p>
        </w:tc>
        <w:tc>
          <w:tcPr>
            <w:tcW w:w="342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ind w:left="420"/>
              <w:jc w:val="left"/>
            </w:pPr>
            <w:r>
              <w:rPr>
                <w:rFonts w:hint="eastAsia" w:ascii="宋体" w:hAnsi="宋体" w:eastAsia="宋体" w:cs="宋体"/>
                <w:color w:val="000000"/>
                <w:sz w:val="22"/>
                <w:szCs w:val="22"/>
              </w:rPr>
              <w:t>导办区</w:t>
            </w:r>
          </w:p>
        </w:tc>
        <w:tc>
          <w:tcPr>
            <w:tcW w:w="108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2"/>
                <w:szCs w:val="22"/>
              </w:rPr>
              <w:t>8</w:t>
            </w:r>
          </w:p>
        </w:tc>
        <w:tc>
          <w:tcPr>
            <w:tcW w:w="1106" w:type="dxa"/>
            <w:tcBorders>
              <w:top w:val="nil"/>
              <w:left w:val="nil"/>
              <w:bottom w:val="single" w:color="auto" w:sz="6" w:space="0"/>
              <w:right w:val="double" w:color="auto" w:sz="2"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tc>
      </w:tr>
      <w:tr>
        <w:trPr>
          <w:trHeight w:val="450" w:hRule="atLeast"/>
          <w:tblCellSpacing w:w="15" w:type="dxa"/>
        </w:trPr>
        <w:tc>
          <w:tcPr>
            <w:tcW w:w="1082" w:type="dxa"/>
            <w:tcBorders>
              <w:top w:val="nil"/>
              <w:left w:val="double" w:color="auto" w:sz="2"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2"/>
                <w:szCs w:val="22"/>
              </w:rPr>
              <w:t>18</w:t>
            </w:r>
          </w:p>
        </w:tc>
        <w:tc>
          <w:tcPr>
            <w:tcW w:w="1081"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2"/>
                <w:szCs w:val="22"/>
              </w:rPr>
              <w:t>2F</w:t>
            </w:r>
          </w:p>
        </w:tc>
        <w:tc>
          <w:tcPr>
            <w:tcW w:w="342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ind w:left="420"/>
              <w:jc w:val="left"/>
            </w:pPr>
            <w:r>
              <w:rPr>
                <w:rFonts w:hint="eastAsia" w:ascii="宋体" w:hAnsi="宋体" w:eastAsia="宋体" w:cs="宋体"/>
                <w:color w:val="000000"/>
                <w:sz w:val="22"/>
                <w:szCs w:val="22"/>
              </w:rPr>
              <w:t>取号机</w:t>
            </w:r>
          </w:p>
        </w:tc>
        <w:tc>
          <w:tcPr>
            <w:tcW w:w="108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2"/>
                <w:szCs w:val="22"/>
              </w:rPr>
              <w:t>1</w:t>
            </w:r>
          </w:p>
        </w:tc>
        <w:tc>
          <w:tcPr>
            <w:tcW w:w="1106" w:type="dxa"/>
            <w:tcBorders>
              <w:top w:val="nil"/>
              <w:left w:val="nil"/>
              <w:bottom w:val="single" w:color="auto" w:sz="6" w:space="0"/>
              <w:right w:val="double" w:color="auto" w:sz="2"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tc>
      </w:tr>
      <w:tr>
        <w:trPr>
          <w:trHeight w:val="450" w:hRule="atLeast"/>
          <w:tblCellSpacing w:w="15" w:type="dxa"/>
        </w:trPr>
        <w:tc>
          <w:tcPr>
            <w:tcW w:w="1082" w:type="dxa"/>
            <w:tcBorders>
              <w:top w:val="nil"/>
              <w:left w:val="double" w:color="auto" w:sz="2"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2"/>
                <w:szCs w:val="22"/>
              </w:rPr>
              <w:t>19</w:t>
            </w:r>
          </w:p>
        </w:tc>
        <w:tc>
          <w:tcPr>
            <w:tcW w:w="1081"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2"/>
                <w:szCs w:val="22"/>
              </w:rPr>
              <w:t>2F</w:t>
            </w:r>
          </w:p>
        </w:tc>
        <w:tc>
          <w:tcPr>
            <w:tcW w:w="342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ind w:left="420"/>
              <w:jc w:val="left"/>
            </w:pPr>
            <w:r>
              <w:rPr>
                <w:rFonts w:hint="eastAsia" w:ascii="宋体" w:hAnsi="宋体" w:eastAsia="宋体" w:cs="宋体"/>
                <w:color w:val="000000"/>
                <w:sz w:val="22"/>
                <w:szCs w:val="22"/>
              </w:rPr>
              <w:t>中会议室</w:t>
            </w:r>
          </w:p>
        </w:tc>
        <w:tc>
          <w:tcPr>
            <w:tcW w:w="108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2"/>
                <w:szCs w:val="22"/>
              </w:rPr>
              <w:t>6</w:t>
            </w:r>
          </w:p>
        </w:tc>
        <w:tc>
          <w:tcPr>
            <w:tcW w:w="1106" w:type="dxa"/>
            <w:tcBorders>
              <w:top w:val="nil"/>
              <w:left w:val="nil"/>
              <w:bottom w:val="single" w:color="auto" w:sz="6" w:space="0"/>
              <w:right w:val="double" w:color="auto" w:sz="2"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tc>
      </w:tr>
      <w:tr>
        <w:trPr>
          <w:trHeight w:val="450" w:hRule="atLeast"/>
          <w:tblCellSpacing w:w="15" w:type="dxa"/>
        </w:trPr>
        <w:tc>
          <w:tcPr>
            <w:tcW w:w="1082" w:type="dxa"/>
            <w:tcBorders>
              <w:top w:val="nil"/>
              <w:left w:val="double" w:color="auto" w:sz="2"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2"/>
                <w:szCs w:val="22"/>
              </w:rPr>
              <w:t>20</w:t>
            </w:r>
          </w:p>
        </w:tc>
        <w:tc>
          <w:tcPr>
            <w:tcW w:w="1081"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2"/>
                <w:szCs w:val="22"/>
              </w:rPr>
              <w:t>2F</w:t>
            </w:r>
          </w:p>
        </w:tc>
        <w:tc>
          <w:tcPr>
            <w:tcW w:w="342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ind w:left="420"/>
              <w:jc w:val="left"/>
            </w:pPr>
            <w:r>
              <w:rPr>
                <w:rFonts w:hint="eastAsia" w:ascii="宋体" w:hAnsi="宋体" w:eastAsia="宋体" w:cs="宋体"/>
                <w:color w:val="000000"/>
                <w:sz w:val="22"/>
                <w:szCs w:val="22"/>
              </w:rPr>
              <w:t>大会议室</w:t>
            </w:r>
          </w:p>
        </w:tc>
        <w:tc>
          <w:tcPr>
            <w:tcW w:w="108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2"/>
                <w:szCs w:val="22"/>
              </w:rPr>
              <w:t>4</w:t>
            </w:r>
          </w:p>
        </w:tc>
        <w:tc>
          <w:tcPr>
            <w:tcW w:w="1106" w:type="dxa"/>
            <w:tcBorders>
              <w:top w:val="nil"/>
              <w:left w:val="nil"/>
              <w:bottom w:val="single" w:color="auto" w:sz="6" w:space="0"/>
              <w:right w:val="double" w:color="auto" w:sz="2"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tc>
      </w:tr>
      <w:tr>
        <w:trPr>
          <w:trHeight w:val="450" w:hRule="atLeast"/>
          <w:tblCellSpacing w:w="15" w:type="dxa"/>
        </w:trPr>
        <w:tc>
          <w:tcPr>
            <w:tcW w:w="1082" w:type="dxa"/>
            <w:tcBorders>
              <w:top w:val="nil"/>
              <w:left w:val="double" w:color="auto" w:sz="2"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2"/>
                <w:szCs w:val="22"/>
              </w:rPr>
              <w:t>21</w:t>
            </w:r>
          </w:p>
        </w:tc>
        <w:tc>
          <w:tcPr>
            <w:tcW w:w="1081"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2"/>
                <w:szCs w:val="22"/>
              </w:rPr>
              <w:t>2F</w:t>
            </w:r>
          </w:p>
        </w:tc>
        <w:tc>
          <w:tcPr>
            <w:tcW w:w="342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ind w:left="420"/>
              <w:jc w:val="left"/>
            </w:pPr>
            <w:r>
              <w:rPr>
                <w:rFonts w:hint="eastAsia" w:ascii="宋体" w:hAnsi="宋体" w:eastAsia="宋体" w:cs="宋体"/>
                <w:color w:val="000000"/>
                <w:sz w:val="22"/>
                <w:szCs w:val="22"/>
              </w:rPr>
              <w:t>评标室</w:t>
            </w:r>
          </w:p>
        </w:tc>
        <w:tc>
          <w:tcPr>
            <w:tcW w:w="108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2"/>
                <w:szCs w:val="22"/>
              </w:rPr>
              <w:t>8</w:t>
            </w:r>
          </w:p>
        </w:tc>
        <w:tc>
          <w:tcPr>
            <w:tcW w:w="1106" w:type="dxa"/>
            <w:tcBorders>
              <w:top w:val="nil"/>
              <w:left w:val="nil"/>
              <w:bottom w:val="single" w:color="auto" w:sz="6" w:space="0"/>
              <w:right w:val="double" w:color="auto" w:sz="2"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tc>
      </w:tr>
      <w:tr>
        <w:trPr>
          <w:trHeight w:val="450" w:hRule="atLeast"/>
          <w:tblCellSpacing w:w="15" w:type="dxa"/>
        </w:trPr>
        <w:tc>
          <w:tcPr>
            <w:tcW w:w="1082" w:type="dxa"/>
            <w:tcBorders>
              <w:top w:val="nil"/>
              <w:left w:val="double" w:color="auto" w:sz="2"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2"/>
                <w:szCs w:val="22"/>
              </w:rPr>
              <w:t>22</w:t>
            </w:r>
          </w:p>
        </w:tc>
        <w:tc>
          <w:tcPr>
            <w:tcW w:w="1081"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2"/>
                <w:szCs w:val="22"/>
              </w:rPr>
              <w:t>2F</w:t>
            </w:r>
          </w:p>
        </w:tc>
        <w:tc>
          <w:tcPr>
            <w:tcW w:w="342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ind w:left="420"/>
              <w:jc w:val="left"/>
            </w:pPr>
            <w:r>
              <w:rPr>
                <w:rFonts w:hint="eastAsia" w:ascii="宋体" w:hAnsi="宋体" w:eastAsia="宋体" w:cs="宋体"/>
                <w:color w:val="000000"/>
                <w:sz w:val="22"/>
                <w:szCs w:val="22"/>
              </w:rPr>
              <w:t>开标室</w:t>
            </w:r>
          </w:p>
        </w:tc>
        <w:tc>
          <w:tcPr>
            <w:tcW w:w="108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2"/>
                <w:szCs w:val="22"/>
              </w:rPr>
              <w:t>16</w:t>
            </w:r>
          </w:p>
        </w:tc>
        <w:tc>
          <w:tcPr>
            <w:tcW w:w="1106" w:type="dxa"/>
            <w:tcBorders>
              <w:top w:val="nil"/>
              <w:left w:val="nil"/>
              <w:bottom w:val="single" w:color="auto" w:sz="6" w:space="0"/>
              <w:right w:val="double" w:color="auto" w:sz="2"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tc>
      </w:tr>
      <w:tr>
        <w:trPr>
          <w:trHeight w:val="450" w:hRule="atLeast"/>
          <w:tblCellSpacing w:w="15" w:type="dxa"/>
        </w:trPr>
        <w:tc>
          <w:tcPr>
            <w:tcW w:w="1082" w:type="dxa"/>
            <w:tcBorders>
              <w:top w:val="nil"/>
              <w:left w:val="double" w:color="auto" w:sz="2"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2"/>
                <w:szCs w:val="22"/>
              </w:rPr>
              <w:t>23</w:t>
            </w:r>
          </w:p>
        </w:tc>
        <w:tc>
          <w:tcPr>
            <w:tcW w:w="1081"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2"/>
                <w:szCs w:val="22"/>
              </w:rPr>
              <w:t>2F</w:t>
            </w:r>
          </w:p>
        </w:tc>
        <w:tc>
          <w:tcPr>
            <w:tcW w:w="342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ind w:left="420"/>
              <w:jc w:val="left"/>
            </w:pPr>
            <w:r>
              <w:rPr>
                <w:rFonts w:hint="eastAsia" w:ascii="宋体" w:hAnsi="宋体" w:eastAsia="宋体" w:cs="宋体"/>
                <w:color w:val="000000"/>
                <w:sz w:val="22"/>
                <w:szCs w:val="22"/>
              </w:rPr>
              <w:t>备用间</w:t>
            </w:r>
          </w:p>
        </w:tc>
        <w:tc>
          <w:tcPr>
            <w:tcW w:w="108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2"/>
                <w:szCs w:val="22"/>
              </w:rPr>
              <w:t>6</w:t>
            </w:r>
          </w:p>
        </w:tc>
        <w:tc>
          <w:tcPr>
            <w:tcW w:w="1106" w:type="dxa"/>
            <w:tcBorders>
              <w:top w:val="nil"/>
              <w:left w:val="nil"/>
              <w:bottom w:val="single" w:color="auto" w:sz="6" w:space="0"/>
              <w:right w:val="double" w:color="auto" w:sz="2"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tc>
      </w:tr>
      <w:tr>
        <w:trPr>
          <w:trHeight w:val="450" w:hRule="atLeast"/>
          <w:tblCellSpacing w:w="15" w:type="dxa"/>
        </w:trPr>
        <w:tc>
          <w:tcPr>
            <w:tcW w:w="1082" w:type="dxa"/>
            <w:tcBorders>
              <w:top w:val="nil"/>
              <w:left w:val="double" w:color="auto" w:sz="2"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2"/>
                <w:szCs w:val="22"/>
              </w:rPr>
              <w:t>24</w:t>
            </w:r>
          </w:p>
        </w:tc>
        <w:tc>
          <w:tcPr>
            <w:tcW w:w="1081"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2"/>
                <w:szCs w:val="22"/>
              </w:rPr>
              <w:t>2F</w:t>
            </w:r>
          </w:p>
        </w:tc>
        <w:tc>
          <w:tcPr>
            <w:tcW w:w="342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ind w:left="420"/>
              <w:jc w:val="left"/>
            </w:pPr>
            <w:r>
              <w:rPr>
                <w:rFonts w:hint="eastAsia" w:ascii="宋体" w:hAnsi="宋体" w:eastAsia="宋体" w:cs="宋体"/>
                <w:color w:val="000000"/>
                <w:sz w:val="22"/>
                <w:szCs w:val="22"/>
              </w:rPr>
              <w:t>备用</w:t>
            </w:r>
          </w:p>
        </w:tc>
        <w:tc>
          <w:tcPr>
            <w:tcW w:w="108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2"/>
                <w:szCs w:val="22"/>
              </w:rPr>
              <w:t>4</w:t>
            </w:r>
          </w:p>
        </w:tc>
        <w:tc>
          <w:tcPr>
            <w:tcW w:w="1106" w:type="dxa"/>
            <w:tcBorders>
              <w:top w:val="nil"/>
              <w:left w:val="nil"/>
              <w:bottom w:val="single" w:color="auto" w:sz="6" w:space="0"/>
              <w:right w:val="double" w:color="auto" w:sz="2"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tc>
      </w:tr>
      <w:tr>
        <w:trPr>
          <w:trHeight w:val="450" w:hRule="atLeast"/>
          <w:tblCellSpacing w:w="15" w:type="dxa"/>
        </w:trPr>
        <w:tc>
          <w:tcPr>
            <w:tcW w:w="1082" w:type="dxa"/>
            <w:tcBorders>
              <w:top w:val="nil"/>
              <w:left w:val="double" w:color="auto" w:sz="2"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2"/>
                <w:szCs w:val="22"/>
              </w:rPr>
              <w:t>25</w:t>
            </w:r>
          </w:p>
        </w:tc>
        <w:tc>
          <w:tcPr>
            <w:tcW w:w="1081"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2"/>
                <w:szCs w:val="22"/>
              </w:rPr>
              <w:t>3F</w:t>
            </w:r>
          </w:p>
        </w:tc>
        <w:tc>
          <w:tcPr>
            <w:tcW w:w="342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ind w:left="420"/>
              <w:jc w:val="left"/>
            </w:pPr>
            <w:r>
              <w:rPr>
                <w:rFonts w:hint="eastAsia" w:ascii="宋体" w:hAnsi="宋体" w:eastAsia="宋体" w:cs="宋体"/>
                <w:color w:val="000000"/>
                <w:sz w:val="22"/>
                <w:szCs w:val="22"/>
              </w:rPr>
              <w:t>办公区</w:t>
            </w:r>
          </w:p>
        </w:tc>
        <w:tc>
          <w:tcPr>
            <w:tcW w:w="108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2"/>
                <w:szCs w:val="22"/>
              </w:rPr>
              <w:t>158</w:t>
            </w:r>
          </w:p>
        </w:tc>
        <w:tc>
          <w:tcPr>
            <w:tcW w:w="1106" w:type="dxa"/>
            <w:tcBorders>
              <w:top w:val="nil"/>
              <w:left w:val="nil"/>
              <w:bottom w:val="single" w:color="auto" w:sz="6" w:space="0"/>
              <w:right w:val="double" w:color="auto" w:sz="2"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tc>
      </w:tr>
      <w:tr>
        <w:trPr>
          <w:trHeight w:val="450" w:hRule="atLeast"/>
          <w:tblCellSpacing w:w="15" w:type="dxa"/>
        </w:trPr>
        <w:tc>
          <w:tcPr>
            <w:tcW w:w="1082" w:type="dxa"/>
            <w:tcBorders>
              <w:top w:val="nil"/>
              <w:left w:val="double" w:color="auto" w:sz="2"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2"/>
                <w:szCs w:val="22"/>
              </w:rPr>
              <w:t>26</w:t>
            </w:r>
          </w:p>
        </w:tc>
        <w:tc>
          <w:tcPr>
            <w:tcW w:w="1081"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2"/>
                <w:szCs w:val="22"/>
              </w:rPr>
              <w:t>2F</w:t>
            </w:r>
          </w:p>
        </w:tc>
        <w:tc>
          <w:tcPr>
            <w:tcW w:w="342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ind w:left="420"/>
              <w:jc w:val="left"/>
            </w:pPr>
            <w:r>
              <w:rPr>
                <w:rFonts w:hint="eastAsia" w:ascii="宋体" w:hAnsi="宋体" w:eastAsia="宋体" w:cs="宋体"/>
                <w:color w:val="000000"/>
                <w:sz w:val="22"/>
                <w:szCs w:val="22"/>
              </w:rPr>
              <w:t>公共资源交易中心监控系统</w:t>
            </w:r>
          </w:p>
        </w:tc>
        <w:tc>
          <w:tcPr>
            <w:tcW w:w="108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2"/>
                <w:szCs w:val="22"/>
              </w:rPr>
              <w:t>20</w:t>
            </w:r>
          </w:p>
        </w:tc>
        <w:tc>
          <w:tcPr>
            <w:tcW w:w="1106" w:type="dxa"/>
            <w:tcBorders>
              <w:top w:val="nil"/>
              <w:left w:val="nil"/>
              <w:bottom w:val="single" w:color="auto" w:sz="6" w:space="0"/>
              <w:right w:val="double" w:color="auto" w:sz="2"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tc>
      </w:tr>
      <w:tr>
        <w:trPr>
          <w:trHeight w:val="435" w:hRule="atLeast"/>
          <w:tblCellSpacing w:w="15" w:type="dxa"/>
        </w:trPr>
        <w:tc>
          <w:tcPr>
            <w:tcW w:w="1082" w:type="dxa"/>
            <w:tcBorders>
              <w:top w:val="nil"/>
              <w:left w:val="double" w:color="auto" w:sz="2" w:space="0"/>
              <w:bottom w:val="double" w:color="auto" w:sz="2"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2"/>
                <w:szCs w:val="22"/>
              </w:rPr>
              <w:t>26</w:t>
            </w:r>
          </w:p>
        </w:tc>
        <w:tc>
          <w:tcPr>
            <w:tcW w:w="4537" w:type="dxa"/>
            <w:gridSpan w:val="2"/>
            <w:tcBorders>
              <w:top w:val="nil"/>
              <w:left w:val="nil"/>
              <w:bottom w:val="double" w:color="auto" w:sz="2"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2"/>
                <w:szCs w:val="22"/>
              </w:rPr>
              <w:t>共计</w:t>
            </w:r>
          </w:p>
        </w:tc>
        <w:tc>
          <w:tcPr>
            <w:tcW w:w="1086" w:type="dxa"/>
            <w:tcBorders>
              <w:top w:val="nil"/>
              <w:left w:val="nil"/>
              <w:bottom w:val="double" w:color="auto" w:sz="2"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2"/>
                <w:szCs w:val="22"/>
              </w:rPr>
              <w:t>377</w:t>
            </w:r>
          </w:p>
        </w:tc>
        <w:tc>
          <w:tcPr>
            <w:tcW w:w="1106" w:type="dxa"/>
            <w:tcBorders>
              <w:top w:val="nil"/>
              <w:left w:val="nil"/>
              <w:bottom w:val="double" w:color="auto" w:sz="2" w:space="0"/>
              <w:right w:val="double" w:color="auto" w:sz="2"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tc>
      </w:tr>
    </w:tbl>
    <w:p>
      <w:pPr>
        <w:pStyle w:val="4"/>
        <w:keepNext w:val="0"/>
        <w:keepLines w:val="0"/>
        <w:widowControl/>
        <w:suppressLineNumbers w:val="0"/>
        <w:ind w:left="0" w:firstLine="480"/>
      </w:pPr>
      <w:r>
        <w:rPr>
          <w:rFonts w:hint="eastAsia" w:ascii="宋体" w:hAnsi="宋体" w:eastAsia="宋体" w:cs="宋体"/>
          <w:sz w:val="24"/>
          <w:szCs w:val="24"/>
        </w:rPr>
        <w:t>行政服务中心政务外网接入点通过综合布线系统六类线路连接到各楼层弱电机房接入层交换机，接入层交换机通过楼内光缆汇聚到2层信息中心机房核心交换机。</w:t>
      </w:r>
      <w:r>
        <w:rPr>
          <w:rFonts w:hint="eastAsia" w:ascii="宋体" w:hAnsi="宋体" w:eastAsia="宋体" w:cs="宋体"/>
          <w:sz w:val="24"/>
          <w:szCs w:val="24"/>
        </w:rPr>
        <w:br w:type="textWrapping"/>
      </w:r>
      <w:r>
        <w:rPr>
          <w:rFonts w:hint="eastAsia" w:ascii="宋体" w:hAnsi="宋体" w:eastAsia="宋体" w:cs="宋体"/>
          <w:sz w:val="24"/>
          <w:szCs w:val="24"/>
        </w:rPr>
        <w:drawing>
          <wp:inline distT="0" distB="0" distL="114300" distR="114300">
            <wp:extent cx="5726430" cy="3305175"/>
            <wp:effectExtent l="0" t="0" r="7620" b="9525"/>
            <wp:docPr id="14" name="图片 13" descr="15354226728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3" descr="1535422672818.png"/>
                    <pic:cNvPicPr>
                      <a:picLocks noChangeAspect="1"/>
                    </pic:cNvPicPr>
                  </pic:nvPicPr>
                  <pic:blipFill>
                    <a:blip r:embed="rId16"/>
                    <a:stretch>
                      <a:fillRect/>
                    </a:stretch>
                  </pic:blipFill>
                  <pic:spPr>
                    <a:xfrm>
                      <a:off x="0" y="0"/>
                      <a:ext cx="5726430" cy="3305175"/>
                    </a:xfrm>
                    <a:prstGeom prst="rect">
                      <a:avLst/>
                    </a:prstGeom>
                    <a:noFill/>
                    <a:ln w="9525">
                      <a:noFill/>
                    </a:ln>
                  </pic:spPr>
                </pic:pic>
              </a:graphicData>
            </a:graphic>
          </wp:inline>
        </w:drawing>
      </w:r>
      <w:r>
        <w:rPr>
          <w:rFonts w:hint="eastAsia" w:ascii="宋体" w:hAnsi="宋体" w:eastAsia="宋体" w:cs="宋体"/>
          <w:sz w:val="24"/>
          <w:szCs w:val="24"/>
        </w:rPr>
        <w:br w:type="textWrapping"/>
      </w:r>
      <w:r>
        <w:rPr>
          <w:rFonts w:hint="eastAsia" w:ascii="宋体" w:hAnsi="宋体" w:eastAsia="宋体" w:cs="宋体"/>
          <w:sz w:val="24"/>
          <w:szCs w:val="24"/>
        </w:rPr>
        <w:t>图5.6-7政务外网（智网）网络设  计拓扑</w:t>
      </w:r>
    </w:p>
    <w:p>
      <w:pPr>
        <w:pStyle w:val="4"/>
        <w:keepNext w:val="0"/>
        <w:keepLines w:val="0"/>
        <w:widowControl/>
        <w:suppressLineNumbers w:val="0"/>
        <w:jc w:val="center"/>
      </w:pPr>
      <w:r>
        <w:br w:type="textWrapping"/>
      </w:r>
      <w:r>
        <w:rPr>
          <w:rFonts w:hint="default" w:ascii="Calibri" w:hAnsi="Calibri" w:cs="Calibri"/>
          <w:sz w:val="24"/>
          <w:szCs w:val="24"/>
        </w:rPr>
        <w:t> </w:t>
      </w:r>
    </w:p>
    <w:p>
      <w:pPr>
        <w:pStyle w:val="4"/>
        <w:keepNext w:val="0"/>
        <w:keepLines w:val="0"/>
        <w:widowControl/>
        <w:suppressLineNumbers w:val="0"/>
        <w:ind w:left="900"/>
      </w:pPr>
      <w:r>
        <w:rPr>
          <w:rFonts w:hint="default" w:ascii="Wingdings" w:hAnsi="Wingdings" w:cs="Wingdings"/>
          <w:sz w:val="24"/>
          <w:szCs w:val="24"/>
        </w:rPr>
        <w:t>l</w:t>
      </w:r>
      <w:r>
        <w:rPr>
          <w:rFonts w:hint="default" w:ascii="Times New Roman" w:hAnsi="Times New Roman" w:cs="Times New Roman"/>
          <w:sz w:val="13"/>
          <w:szCs w:val="13"/>
        </w:rPr>
        <w:t xml:space="preserve">  </w:t>
      </w:r>
      <w:r>
        <w:rPr>
          <w:rFonts w:hint="eastAsia" w:ascii="宋体" w:hAnsi="宋体" w:eastAsia="宋体" w:cs="宋体"/>
          <w:sz w:val="24"/>
          <w:szCs w:val="24"/>
        </w:rPr>
        <w:t>采用三层网络结构设 </w:t>
      </w:r>
      <w:r>
        <w:rPr>
          <w:rFonts w:hint="default" w:ascii="Calibri" w:hAnsi="Calibri" w:cs="Calibri"/>
          <w:sz w:val="24"/>
          <w:szCs w:val="24"/>
        </w:rPr>
        <w:t xml:space="preserve"> </w:t>
      </w:r>
      <w:r>
        <w:rPr>
          <w:rFonts w:hint="eastAsia" w:ascii="宋体" w:hAnsi="宋体" w:eastAsia="宋体" w:cs="宋体"/>
          <w:sz w:val="24"/>
          <w:szCs w:val="24"/>
        </w:rPr>
        <w:t>计，核心交换机设置于二层信息中心机房内，接入层交换机设置于楼层配线间；主干选用千兆光纤主干（聚合上行到核心），千兆到桌面。</w:t>
      </w:r>
    </w:p>
    <w:p>
      <w:pPr>
        <w:pStyle w:val="4"/>
        <w:keepNext w:val="0"/>
        <w:keepLines w:val="0"/>
        <w:widowControl/>
        <w:suppressLineNumbers w:val="0"/>
        <w:ind w:left="900"/>
      </w:pPr>
      <w:r>
        <w:rPr>
          <w:rFonts w:hint="default" w:ascii="Wingdings" w:hAnsi="Wingdings" w:cs="Wingdings"/>
          <w:sz w:val="24"/>
          <w:szCs w:val="24"/>
        </w:rPr>
        <w:t>l</w:t>
      </w:r>
      <w:r>
        <w:rPr>
          <w:rFonts w:hint="default" w:ascii="Times New Roman" w:hAnsi="Times New Roman" w:cs="Times New Roman"/>
          <w:sz w:val="13"/>
          <w:szCs w:val="13"/>
        </w:rPr>
        <w:t xml:space="preserve">  </w:t>
      </w:r>
      <w:r>
        <w:rPr>
          <w:rFonts w:hint="eastAsia" w:ascii="宋体" w:hAnsi="宋体" w:eastAsia="宋体" w:cs="宋体"/>
          <w:sz w:val="24"/>
          <w:szCs w:val="24"/>
        </w:rPr>
        <w:t>通过</w:t>
      </w:r>
      <w:r>
        <w:rPr>
          <w:rFonts w:hint="default" w:ascii="Calibri" w:hAnsi="Calibri" w:cs="Calibri"/>
          <w:sz w:val="24"/>
          <w:szCs w:val="24"/>
        </w:rPr>
        <w:t>Vlan</w:t>
      </w:r>
      <w:r>
        <w:rPr>
          <w:rFonts w:hint="eastAsia" w:ascii="宋体" w:hAnsi="宋体" w:eastAsia="宋体" w:cs="宋体"/>
          <w:sz w:val="24"/>
          <w:szCs w:val="24"/>
        </w:rPr>
        <w:t>实现全网按部门划分子网，并定制合理访问策略</w:t>
      </w:r>
    </w:p>
    <w:p>
      <w:pPr>
        <w:pStyle w:val="4"/>
        <w:keepNext w:val="0"/>
        <w:keepLines w:val="0"/>
        <w:widowControl/>
        <w:suppressLineNumbers w:val="0"/>
        <w:ind w:left="900"/>
      </w:pPr>
      <w:r>
        <w:rPr>
          <w:rFonts w:hint="default" w:ascii="Wingdings" w:hAnsi="Wingdings" w:cs="Wingdings"/>
          <w:sz w:val="24"/>
          <w:szCs w:val="24"/>
        </w:rPr>
        <w:t>l</w:t>
      </w:r>
      <w:r>
        <w:rPr>
          <w:rFonts w:hint="default" w:ascii="Times New Roman" w:hAnsi="Times New Roman" w:cs="Times New Roman"/>
          <w:sz w:val="13"/>
          <w:szCs w:val="13"/>
        </w:rPr>
        <w:t xml:space="preserve">  </w:t>
      </w:r>
      <w:r>
        <w:rPr>
          <w:rFonts w:hint="eastAsia" w:ascii="宋体" w:hAnsi="宋体" w:eastAsia="宋体" w:cs="宋体"/>
          <w:sz w:val="24"/>
          <w:szCs w:val="24"/>
        </w:rPr>
        <w:t>政务外网（智网）网关可设在核心交换机上，通过安全策略部署、</w:t>
      </w:r>
      <w:r>
        <w:rPr>
          <w:rFonts w:hint="default" w:ascii="Calibri" w:hAnsi="Calibri" w:cs="Calibri"/>
          <w:sz w:val="24"/>
          <w:szCs w:val="24"/>
        </w:rPr>
        <w:t>vlan</w:t>
      </w:r>
      <w:r>
        <w:rPr>
          <w:rFonts w:hint="eastAsia" w:ascii="宋体" w:hAnsi="宋体" w:eastAsia="宋体" w:cs="宋体"/>
          <w:sz w:val="24"/>
          <w:szCs w:val="24"/>
        </w:rPr>
        <w:t>及网段的划分避免广播风暴及病毒传播对核心交换机的冲击。</w:t>
      </w:r>
    </w:p>
    <w:p>
      <w:pPr>
        <w:pStyle w:val="4"/>
        <w:keepNext w:val="0"/>
        <w:keepLines w:val="0"/>
        <w:widowControl/>
        <w:suppressLineNumbers w:val="0"/>
        <w:ind w:left="900"/>
      </w:pPr>
      <w:r>
        <w:rPr>
          <w:rFonts w:hint="default" w:ascii="Wingdings" w:hAnsi="Wingdings" w:cs="Wingdings"/>
          <w:sz w:val="24"/>
          <w:szCs w:val="24"/>
        </w:rPr>
        <w:t>l</w:t>
      </w:r>
      <w:r>
        <w:rPr>
          <w:rFonts w:hint="default" w:ascii="Times New Roman" w:hAnsi="Times New Roman" w:cs="Times New Roman"/>
          <w:sz w:val="13"/>
          <w:szCs w:val="13"/>
        </w:rPr>
        <w:t xml:space="preserve">  </w:t>
      </w:r>
      <w:r>
        <w:rPr>
          <w:rFonts w:hint="eastAsia" w:ascii="宋体" w:hAnsi="宋体" w:eastAsia="宋体" w:cs="宋体"/>
          <w:sz w:val="24"/>
          <w:szCs w:val="24"/>
        </w:rPr>
        <w:t>局域网整体采用星型双归属架构，从接入交换机到核心交换机，具备很高的可靠性，同时提高了网络的整体性能</w:t>
      </w:r>
    </w:p>
    <w:p>
      <w:pPr>
        <w:pStyle w:val="4"/>
        <w:keepNext w:val="0"/>
        <w:keepLines w:val="0"/>
        <w:widowControl/>
        <w:suppressLineNumbers w:val="0"/>
      </w:pPr>
      <w:r>
        <w:rPr>
          <w:rFonts w:hint="default" w:ascii="Calibri" w:hAnsi="Calibri" w:cs="Calibri"/>
          <w:sz w:val="24"/>
          <w:szCs w:val="24"/>
        </w:rPr>
        <w:t xml:space="preserve">1.9.8.4 </w:t>
      </w:r>
      <w:r>
        <w:rPr>
          <w:rFonts w:hint="eastAsia" w:ascii="宋体" w:hAnsi="宋体" w:eastAsia="宋体" w:cs="宋体"/>
          <w:sz w:val="24"/>
          <w:szCs w:val="24"/>
        </w:rPr>
        <w:t>视频监控智能化专网</w:t>
      </w:r>
    </w:p>
    <w:p>
      <w:pPr>
        <w:pStyle w:val="4"/>
        <w:keepNext w:val="0"/>
        <w:keepLines w:val="0"/>
        <w:widowControl/>
        <w:suppressLineNumbers w:val="0"/>
        <w:ind w:left="0" w:firstLine="480"/>
      </w:pPr>
      <w:r>
        <w:rPr>
          <w:rFonts w:hint="eastAsia" w:ascii="宋体" w:hAnsi="宋体" w:eastAsia="宋体" w:cs="宋体"/>
          <w:sz w:val="24"/>
          <w:szCs w:val="24"/>
        </w:rPr>
        <w:t>行政服务中心所有视频监控全部接入行政服中心视频监控专网，视频监控专网主要用于传输行政服务中心1F~3F所有监控摄像机的视频信号的传输。视频监控专网具体分布如下：</w:t>
      </w:r>
      <w:r>
        <w:rPr>
          <w:rFonts w:hint="eastAsia" w:ascii="宋体" w:hAnsi="宋体" w:eastAsia="宋体" w:cs="宋体"/>
          <w:color w:val="000000"/>
          <w:sz w:val="24"/>
          <w:szCs w:val="24"/>
        </w:rPr>
        <w:br w:type="textWrapping"/>
      </w:r>
      <w:r>
        <w:rPr>
          <w:rFonts w:hint="eastAsia" w:ascii="宋体" w:hAnsi="宋体" w:eastAsia="宋体" w:cs="宋体"/>
          <w:color w:val="000000"/>
          <w:sz w:val="24"/>
          <w:szCs w:val="24"/>
        </w:rPr>
        <w:t>图5.6-6  行政服务中心监控专网信息点位分布表</w:t>
      </w:r>
    </w:p>
    <w:tbl>
      <w:tblPr>
        <w:tblStyle w:val="9"/>
        <w:tblW w:w="7962" w:type="dxa"/>
        <w:tblCellSpacing w:w="15"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15" w:type="dxa"/>
          <w:left w:w="15" w:type="dxa"/>
          <w:bottom w:w="15" w:type="dxa"/>
          <w:right w:w="15" w:type="dxa"/>
        </w:tblCellMar>
      </w:tblPr>
      <w:tblGrid>
        <w:gridCol w:w="957"/>
        <w:gridCol w:w="942"/>
        <w:gridCol w:w="2647"/>
        <w:gridCol w:w="2054"/>
        <w:gridCol w:w="1362"/>
      </w:tblGrid>
      <w:tr>
        <w:trPr>
          <w:trHeight w:val="480" w:hRule="atLeast"/>
          <w:tblCellSpacing w:w="15" w:type="dxa"/>
        </w:trPr>
        <w:tc>
          <w:tcPr>
            <w:tcW w:w="912" w:type="dxa"/>
            <w:tcBorders>
              <w:top w:val="double" w:color="auto" w:sz="2" w:space="0"/>
              <w:left w:val="double" w:color="auto" w:sz="2"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Style w:val="6"/>
                <w:rFonts w:hint="eastAsia" w:ascii="宋体" w:hAnsi="宋体" w:eastAsia="宋体" w:cs="宋体"/>
                <w:b/>
                <w:color w:val="000000"/>
                <w:sz w:val="22"/>
                <w:szCs w:val="22"/>
              </w:rPr>
              <w:t>序号</w:t>
            </w:r>
          </w:p>
        </w:tc>
        <w:tc>
          <w:tcPr>
            <w:tcW w:w="912" w:type="dxa"/>
            <w:tcBorders>
              <w:top w:val="double" w:color="auto" w:sz="2"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Style w:val="6"/>
                <w:rFonts w:hint="eastAsia" w:ascii="宋体" w:hAnsi="宋体" w:eastAsia="宋体" w:cs="宋体"/>
                <w:b/>
                <w:color w:val="000000"/>
                <w:sz w:val="22"/>
                <w:szCs w:val="22"/>
              </w:rPr>
              <w:t>楼层</w:t>
            </w:r>
          </w:p>
        </w:tc>
        <w:tc>
          <w:tcPr>
            <w:tcW w:w="2617" w:type="dxa"/>
            <w:tcBorders>
              <w:top w:val="double" w:color="auto" w:sz="2"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Style w:val="6"/>
                <w:rFonts w:hint="eastAsia" w:ascii="宋体" w:hAnsi="宋体" w:eastAsia="宋体" w:cs="宋体"/>
                <w:b/>
                <w:color w:val="000000"/>
                <w:sz w:val="22"/>
                <w:szCs w:val="22"/>
              </w:rPr>
              <w:t>位置</w:t>
            </w:r>
          </w:p>
        </w:tc>
        <w:tc>
          <w:tcPr>
            <w:tcW w:w="2024" w:type="dxa"/>
            <w:tcBorders>
              <w:top w:val="double" w:color="auto" w:sz="2"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Style w:val="6"/>
                <w:rFonts w:hint="eastAsia" w:ascii="宋体" w:hAnsi="宋体" w:eastAsia="宋体" w:cs="宋体"/>
                <w:b/>
                <w:color w:val="000000"/>
                <w:sz w:val="22"/>
                <w:szCs w:val="22"/>
              </w:rPr>
              <w:t>数量</w:t>
            </w:r>
          </w:p>
        </w:tc>
        <w:tc>
          <w:tcPr>
            <w:tcW w:w="1317" w:type="dxa"/>
            <w:tcBorders>
              <w:top w:val="double" w:color="auto" w:sz="2" w:space="0"/>
              <w:left w:val="nil"/>
              <w:bottom w:val="single" w:color="auto" w:sz="6" w:space="0"/>
              <w:right w:val="double" w:color="auto" w:sz="2"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Style w:val="6"/>
                <w:rFonts w:hint="eastAsia" w:ascii="宋体" w:hAnsi="宋体" w:eastAsia="宋体" w:cs="宋体"/>
                <w:b/>
                <w:color w:val="000000"/>
                <w:sz w:val="22"/>
                <w:szCs w:val="22"/>
              </w:rPr>
              <w:t>备注</w:t>
            </w:r>
          </w:p>
        </w:tc>
      </w:tr>
      <w:tr>
        <w:trPr>
          <w:trHeight w:val="480" w:hRule="atLeast"/>
          <w:tblCellSpacing w:w="15" w:type="dxa"/>
        </w:trPr>
        <w:tc>
          <w:tcPr>
            <w:tcW w:w="912" w:type="dxa"/>
            <w:tcBorders>
              <w:top w:val="nil"/>
              <w:left w:val="double" w:color="auto" w:sz="2"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2"/>
                <w:szCs w:val="22"/>
              </w:rPr>
              <w:t>1</w:t>
            </w:r>
          </w:p>
        </w:tc>
        <w:tc>
          <w:tcPr>
            <w:tcW w:w="91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2"/>
                <w:szCs w:val="22"/>
              </w:rPr>
              <w:t>1F</w:t>
            </w:r>
          </w:p>
        </w:tc>
        <w:tc>
          <w:tcPr>
            <w:tcW w:w="2617"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2"/>
                <w:szCs w:val="22"/>
              </w:rPr>
              <w:t>行政服务中心办公区</w:t>
            </w:r>
          </w:p>
        </w:tc>
        <w:tc>
          <w:tcPr>
            <w:tcW w:w="2024"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2"/>
                <w:szCs w:val="22"/>
              </w:rPr>
              <w:t>52</w:t>
            </w:r>
          </w:p>
        </w:tc>
        <w:tc>
          <w:tcPr>
            <w:tcW w:w="1317" w:type="dxa"/>
            <w:tcBorders>
              <w:top w:val="nil"/>
              <w:left w:val="nil"/>
              <w:bottom w:val="single" w:color="auto" w:sz="6" w:space="0"/>
              <w:right w:val="double" w:color="auto" w:sz="2"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tc>
      </w:tr>
      <w:tr>
        <w:trPr>
          <w:trHeight w:val="480" w:hRule="atLeast"/>
          <w:tblCellSpacing w:w="15" w:type="dxa"/>
        </w:trPr>
        <w:tc>
          <w:tcPr>
            <w:tcW w:w="912" w:type="dxa"/>
            <w:tcBorders>
              <w:top w:val="nil"/>
              <w:left w:val="double" w:color="auto" w:sz="2"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2"/>
                <w:szCs w:val="22"/>
              </w:rPr>
              <w:t>2</w:t>
            </w:r>
          </w:p>
        </w:tc>
        <w:tc>
          <w:tcPr>
            <w:tcW w:w="91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2"/>
                <w:szCs w:val="22"/>
              </w:rPr>
              <w:t>2F</w:t>
            </w:r>
          </w:p>
        </w:tc>
        <w:tc>
          <w:tcPr>
            <w:tcW w:w="2617"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2"/>
                <w:szCs w:val="22"/>
              </w:rPr>
              <w:t>行政服务中心办公区</w:t>
            </w:r>
          </w:p>
        </w:tc>
        <w:tc>
          <w:tcPr>
            <w:tcW w:w="2024"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2"/>
                <w:szCs w:val="22"/>
              </w:rPr>
              <w:t>26</w:t>
            </w:r>
          </w:p>
        </w:tc>
        <w:tc>
          <w:tcPr>
            <w:tcW w:w="1317" w:type="dxa"/>
            <w:tcBorders>
              <w:top w:val="nil"/>
              <w:left w:val="nil"/>
              <w:bottom w:val="single" w:color="auto" w:sz="6" w:space="0"/>
              <w:right w:val="double" w:color="auto" w:sz="2"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tc>
      </w:tr>
      <w:tr>
        <w:trPr>
          <w:trHeight w:val="480" w:hRule="atLeast"/>
          <w:tblCellSpacing w:w="15" w:type="dxa"/>
        </w:trPr>
        <w:tc>
          <w:tcPr>
            <w:tcW w:w="912" w:type="dxa"/>
            <w:tcBorders>
              <w:top w:val="nil"/>
              <w:left w:val="double" w:color="auto" w:sz="2"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2"/>
                <w:szCs w:val="22"/>
              </w:rPr>
              <w:t>3</w:t>
            </w:r>
          </w:p>
        </w:tc>
        <w:tc>
          <w:tcPr>
            <w:tcW w:w="91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2"/>
                <w:szCs w:val="22"/>
              </w:rPr>
              <w:t>3F</w:t>
            </w:r>
          </w:p>
        </w:tc>
        <w:tc>
          <w:tcPr>
            <w:tcW w:w="2617"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2"/>
                <w:szCs w:val="22"/>
              </w:rPr>
              <w:t>办公区</w:t>
            </w:r>
          </w:p>
        </w:tc>
        <w:tc>
          <w:tcPr>
            <w:tcW w:w="2024"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2"/>
                <w:szCs w:val="22"/>
              </w:rPr>
              <w:t>11</w:t>
            </w:r>
          </w:p>
        </w:tc>
        <w:tc>
          <w:tcPr>
            <w:tcW w:w="1317" w:type="dxa"/>
            <w:tcBorders>
              <w:top w:val="nil"/>
              <w:left w:val="nil"/>
              <w:bottom w:val="single" w:color="auto" w:sz="6" w:space="0"/>
              <w:right w:val="double" w:color="auto" w:sz="2"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tc>
      </w:tr>
      <w:tr>
        <w:trPr>
          <w:trHeight w:val="450" w:hRule="atLeast"/>
          <w:tblCellSpacing w:w="15" w:type="dxa"/>
        </w:trPr>
        <w:tc>
          <w:tcPr>
            <w:tcW w:w="912" w:type="dxa"/>
            <w:tcBorders>
              <w:top w:val="nil"/>
              <w:left w:val="double" w:color="auto" w:sz="2" w:space="0"/>
              <w:bottom w:val="double" w:color="auto" w:sz="2"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2"/>
                <w:szCs w:val="22"/>
              </w:rPr>
              <w:t>4</w:t>
            </w:r>
          </w:p>
        </w:tc>
        <w:tc>
          <w:tcPr>
            <w:tcW w:w="3559" w:type="dxa"/>
            <w:gridSpan w:val="2"/>
            <w:tcBorders>
              <w:top w:val="nil"/>
              <w:left w:val="nil"/>
              <w:bottom w:val="double" w:color="auto" w:sz="2"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2"/>
                <w:szCs w:val="22"/>
              </w:rPr>
              <w:t>共计</w:t>
            </w:r>
          </w:p>
        </w:tc>
        <w:tc>
          <w:tcPr>
            <w:tcW w:w="2024" w:type="dxa"/>
            <w:tcBorders>
              <w:top w:val="nil"/>
              <w:left w:val="nil"/>
              <w:bottom w:val="double" w:color="auto" w:sz="2"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color w:val="000000"/>
                <w:sz w:val="22"/>
                <w:szCs w:val="22"/>
              </w:rPr>
              <w:t>89</w:t>
            </w:r>
          </w:p>
        </w:tc>
        <w:tc>
          <w:tcPr>
            <w:tcW w:w="1317" w:type="dxa"/>
            <w:tcBorders>
              <w:top w:val="nil"/>
              <w:left w:val="nil"/>
              <w:bottom w:val="double" w:color="auto" w:sz="2" w:space="0"/>
              <w:right w:val="double" w:color="auto" w:sz="2"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tc>
      </w:tr>
    </w:tbl>
    <w:p>
      <w:pPr>
        <w:pStyle w:val="4"/>
        <w:keepNext w:val="0"/>
        <w:keepLines w:val="0"/>
        <w:widowControl/>
        <w:suppressLineNumbers w:val="0"/>
        <w:ind w:left="0" w:firstLine="480"/>
      </w:pPr>
      <w:r>
        <w:rPr>
          <w:rFonts w:hint="eastAsia" w:ascii="宋体" w:hAnsi="宋体" w:eastAsia="宋体" w:cs="宋体"/>
          <w:sz w:val="24"/>
          <w:szCs w:val="24"/>
        </w:rPr>
        <w:t>行政服务中心前端摄像机通过综合布线系统六类线路，接入行政服务中心视频安装在各个楼层弱电间的接入层交换机，接入视频监控专网，最后通过光纤汇入2F中心机房。</w:t>
      </w:r>
    </w:p>
    <w:p>
      <w:pPr>
        <w:pStyle w:val="4"/>
        <w:keepNext w:val="0"/>
        <w:keepLines w:val="0"/>
        <w:widowControl/>
        <w:suppressLineNumbers w:val="0"/>
      </w:pPr>
      <w:r>
        <w:drawing>
          <wp:inline distT="0" distB="0" distL="114300" distR="114300">
            <wp:extent cx="5797550" cy="3562350"/>
            <wp:effectExtent l="0" t="0" r="12700" b="0"/>
            <wp:docPr id="15" name="图片 14" descr="153542278346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4" descr="1535422783466.png"/>
                    <pic:cNvPicPr>
                      <a:picLocks noChangeAspect="1"/>
                    </pic:cNvPicPr>
                  </pic:nvPicPr>
                  <pic:blipFill>
                    <a:blip r:embed="rId17"/>
                    <a:stretch>
                      <a:fillRect/>
                    </a:stretch>
                  </pic:blipFill>
                  <pic:spPr>
                    <a:xfrm>
                      <a:off x="0" y="0"/>
                      <a:ext cx="5797550" cy="3562350"/>
                    </a:xfrm>
                    <a:prstGeom prst="rect">
                      <a:avLst/>
                    </a:prstGeom>
                    <a:noFill/>
                    <a:ln w="9525">
                      <a:noFill/>
                    </a:ln>
                  </pic:spPr>
                </pic:pic>
              </a:graphicData>
            </a:graphic>
          </wp:inline>
        </w:drawing>
      </w:r>
      <w:r>
        <w:rPr>
          <w:rFonts w:hint="default" w:ascii="Calibri" w:hAnsi="Calibri" w:cs="Calibri"/>
          <w:sz w:val="24"/>
          <w:szCs w:val="24"/>
        </w:rPr>
        <w:t> </w:t>
      </w:r>
      <w:r>
        <w:rPr>
          <w:rFonts w:hint="eastAsia" w:ascii="宋体" w:hAnsi="宋体" w:eastAsia="宋体" w:cs="宋体"/>
          <w:sz w:val="24"/>
          <w:szCs w:val="24"/>
        </w:rPr>
        <w:br w:type="textWrapping"/>
      </w:r>
      <w:r>
        <w:rPr>
          <w:rFonts w:hint="eastAsia" w:ascii="宋体" w:hAnsi="宋体" w:eastAsia="宋体" w:cs="宋体"/>
          <w:sz w:val="24"/>
          <w:szCs w:val="24"/>
        </w:rPr>
        <w:t>图5.6-8  政务外网（智网）网络设  计拓扑</w:t>
      </w:r>
    </w:p>
    <w:p>
      <w:pPr>
        <w:pStyle w:val="4"/>
        <w:keepNext w:val="0"/>
        <w:keepLines w:val="0"/>
        <w:widowControl/>
        <w:suppressLineNumbers w:val="0"/>
        <w:ind w:left="900"/>
      </w:pPr>
      <w:r>
        <w:rPr>
          <w:rFonts w:hint="default" w:ascii="Wingdings" w:hAnsi="Wingdings" w:cs="Wingdings"/>
          <w:sz w:val="24"/>
          <w:szCs w:val="24"/>
        </w:rPr>
        <w:t>l</w:t>
      </w:r>
      <w:r>
        <w:rPr>
          <w:rFonts w:hint="default" w:ascii="Times New Roman" w:hAnsi="Times New Roman" w:cs="Times New Roman"/>
          <w:sz w:val="13"/>
          <w:szCs w:val="13"/>
        </w:rPr>
        <w:t xml:space="preserve">  </w:t>
      </w:r>
      <w:r>
        <w:rPr>
          <w:rFonts w:hint="eastAsia" w:ascii="宋体" w:hAnsi="宋体" w:eastAsia="宋体" w:cs="宋体"/>
          <w:sz w:val="24"/>
          <w:szCs w:val="24"/>
        </w:rPr>
        <w:t>采用三层网络结构设</w:t>
      </w:r>
      <w:r>
        <w:rPr>
          <w:rFonts w:hint="default" w:ascii="Calibri" w:hAnsi="Calibri" w:cs="Calibri"/>
          <w:sz w:val="24"/>
          <w:szCs w:val="24"/>
        </w:rPr>
        <w:t xml:space="preserve">   </w:t>
      </w:r>
      <w:r>
        <w:rPr>
          <w:rFonts w:hint="eastAsia" w:ascii="宋体" w:hAnsi="宋体" w:eastAsia="宋体" w:cs="宋体"/>
          <w:sz w:val="24"/>
          <w:szCs w:val="24"/>
        </w:rPr>
        <w:t>计，核心交换机设置于二层信息中心机房内，接入层交换机设置于楼层配线间；主干选用千兆光纤主干（聚合上行到核心），千兆到终端。</w:t>
      </w:r>
    </w:p>
    <w:p>
      <w:pPr>
        <w:pStyle w:val="4"/>
        <w:keepNext w:val="0"/>
        <w:keepLines w:val="0"/>
        <w:widowControl/>
        <w:suppressLineNumbers w:val="0"/>
        <w:ind w:left="0" w:firstLine="0"/>
      </w:pPr>
      <w:r>
        <w:rPr>
          <w:rFonts w:hint="default" w:ascii="Calibri" w:hAnsi="Calibri" w:cs="Calibri"/>
          <w:sz w:val="24"/>
          <w:szCs w:val="24"/>
        </w:rPr>
        <w:t>1.9.9</w:t>
      </w:r>
      <w:r>
        <w:rPr>
          <w:rFonts w:hint="default" w:ascii="Times New Roman" w:hAnsi="Times New Roman" w:cs="Times New Roman"/>
          <w:sz w:val="13"/>
          <w:szCs w:val="13"/>
        </w:rPr>
        <w:t xml:space="preserve">       </w:t>
      </w:r>
      <w:r>
        <w:rPr>
          <w:rFonts w:hint="eastAsia" w:ascii="黑体" w:hAnsi="宋体" w:eastAsia="黑体" w:cs="黑体"/>
          <w:sz w:val="24"/>
          <w:szCs w:val="24"/>
        </w:rPr>
        <w:t>网络安全设</w:t>
      </w:r>
      <w:r>
        <w:rPr>
          <w:rFonts w:hint="default" w:ascii="Calibri" w:hAnsi="Calibri" w:cs="Calibri"/>
          <w:sz w:val="24"/>
          <w:szCs w:val="24"/>
        </w:rPr>
        <w:t xml:space="preserve">   </w:t>
      </w:r>
      <w:r>
        <w:rPr>
          <w:rFonts w:hint="eastAsia" w:ascii="黑体" w:hAnsi="宋体" w:eastAsia="黑体" w:cs="黑体"/>
          <w:sz w:val="24"/>
          <w:szCs w:val="24"/>
        </w:rPr>
        <w:t>计</w:t>
      </w:r>
    </w:p>
    <w:p>
      <w:pPr>
        <w:pStyle w:val="4"/>
        <w:keepNext w:val="0"/>
        <w:keepLines w:val="0"/>
        <w:widowControl/>
        <w:suppressLineNumbers w:val="0"/>
        <w:ind w:left="0" w:firstLine="480"/>
      </w:pPr>
      <w:r>
        <w:rPr>
          <w:rFonts w:hint="eastAsia" w:ascii="宋体" w:hAnsi="宋体" w:eastAsia="宋体" w:cs="宋体"/>
          <w:sz w:val="24"/>
          <w:szCs w:val="24"/>
        </w:rPr>
        <w:t>通过在物理安全、网络安全、主机安全、应用安全、数据安全五个方面基本技术要求进行技术体系建设；满足安全管理制度、安全管理机构、人员安全管理、系统建设管理、系统运维管理五个方面基本管理要求进行管理体系建设。使得办案工作点信息化的等级保护建设方案最终既可以满足等级保护的相关要求，又能够全方面为福州市纪委办案工作点信息化系统提供立体、纵深的安全保障防御体系，保证信息系统整体的安全保护能力。</w:t>
      </w:r>
    </w:p>
    <w:p>
      <w:pPr>
        <w:pStyle w:val="4"/>
        <w:keepNext w:val="0"/>
        <w:keepLines w:val="0"/>
        <w:widowControl/>
        <w:suppressLineNumbers w:val="0"/>
        <w:ind w:left="0" w:firstLine="480"/>
      </w:pPr>
      <w:r>
        <w:rPr>
          <w:rFonts w:hint="eastAsia" w:ascii="宋体" w:hAnsi="宋体" w:eastAsia="宋体" w:cs="宋体"/>
          <w:sz w:val="24"/>
          <w:szCs w:val="24"/>
        </w:rPr>
        <w:t>此次主是针对互联网、政务外网（智网）、政务信息网安装相应的网络安全设备以保证各网络的信息安全。根据各个网络使用用途的不同，配置不同的网络安全设备。</w:t>
      </w:r>
      <w:r>
        <w:rPr>
          <w:rFonts w:hint="eastAsia" w:ascii="宋体" w:hAnsi="宋体" w:eastAsia="宋体" w:cs="宋体"/>
          <w:sz w:val="24"/>
          <w:szCs w:val="24"/>
        </w:rPr>
        <w:br w:type="textWrapping"/>
      </w:r>
      <w:r>
        <w:rPr>
          <w:rFonts w:hint="eastAsia" w:ascii="宋体" w:hAnsi="宋体" w:eastAsia="宋体" w:cs="宋体"/>
          <w:sz w:val="24"/>
          <w:szCs w:val="24"/>
        </w:rPr>
        <w:t>图</w:t>
      </w:r>
      <w:r>
        <w:rPr>
          <w:rFonts w:hint="default" w:ascii="Calibri" w:hAnsi="Calibri" w:cs="Calibri"/>
          <w:sz w:val="24"/>
          <w:szCs w:val="24"/>
        </w:rPr>
        <w:t xml:space="preserve">5.6-8  </w:t>
      </w:r>
      <w:r>
        <w:rPr>
          <w:rFonts w:hint="eastAsia" w:ascii="宋体" w:hAnsi="宋体" w:eastAsia="宋体" w:cs="宋体"/>
          <w:sz w:val="24"/>
          <w:szCs w:val="24"/>
        </w:rPr>
        <w:t>网络安全设备配置清单</w:t>
      </w:r>
    </w:p>
    <w:tbl>
      <w:tblPr>
        <w:tblStyle w:val="9"/>
        <w:tblW w:w="7964" w:type="dxa"/>
        <w:tblCellSpacing w:w="15"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15" w:type="dxa"/>
          <w:left w:w="15" w:type="dxa"/>
          <w:bottom w:w="15" w:type="dxa"/>
          <w:right w:w="15" w:type="dxa"/>
        </w:tblCellMar>
      </w:tblPr>
      <w:tblGrid>
        <w:gridCol w:w="984"/>
        <w:gridCol w:w="2530"/>
        <w:gridCol w:w="4450"/>
      </w:tblGrid>
      <w:tr>
        <w:trPr>
          <w:tblCellSpacing w:w="15" w:type="dxa"/>
        </w:trPr>
        <w:tc>
          <w:tcPr>
            <w:tcW w:w="939" w:type="dxa"/>
            <w:tcBorders>
              <w:top w:val="double" w:color="auto" w:sz="2" w:space="0"/>
              <w:left w:val="double" w:color="auto" w:sz="2" w:space="0"/>
              <w:bottom w:val="single" w:color="auto" w:sz="6" w:space="0"/>
              <w:right w:val="single" w:color="auto" w:sz="6" w:space="0"/>
            </w:tcBorders>
            <w:shd w:val="clear" w:color="auto" w:fill="FFFFFF"/>
            <w:tcMar>
              <w:top w:w="0" w:type="dxa"/>
              <w:left w:w="105" w:type="dxa"/>
              <w:bottom w:w="0" w:type="dxa"/>
              <w:right w:w="105" w:type="dxa"/>
            </w:tcMar>
            <w:vAlign w:val="top"/>
          </w:tcPr>
          <w:p>
            <w:pPr>
              <w:pStyle w:val="4"/>
              <w:keepNext w:val="0"/>
              <w:keepLines w:val="0"/>
              <w:widowControl/>
              <w:suppressLineNumbers w:val="0"/>
              <w:jc w:val="center"/>
            </w:pPr>
            <w:r>
              <w:rPr>
                <w:rStyle w:val="6"/>
                <w:rFonts w:hint="default" w:ascii="Calibri" w:hAnsi="Calibri" w:cs="Calibri"/>
                <w:b/>
              </w:rPr>
              <w:t>序号</w:t>
            </w:r>
          </w:p>
        </w:tc>
        <w:tc>
          <w:tcPr>
            <w:tcW w:w="2500" w:type="dxa"/>
            <w:tcBorders>
              <w:top w:val="double" w:color="auto" w:sz="2" w:space="0"/>
              <w:left w:val="nil"/>
              <w:bottom w:val="single" w:color="auto" w:sz="6" w:space="0"/>
              <w:right w:val="single" w:color="auto" w:sz="6" w:space="0"/>
            </w:tcBorders>
            <w:shd w:val="clear" w:color="auto" w:fill="FFFFFF"/>
            <w:tcMar>
              <w:top w:w="0" w:type="dxa"/>
              <w:left w:w="105" w:type="dxa"/>
              <w:bottom w:w="0" w:type="dxa"/>
              <w:right w:w="105" w:type="dxa"/>
            </w:tcMar>
            <w:vAlign w:val="top"/>
          </w:tcPr>
          <w:p>
            <w:pPr>
              <w:pStyle w:val="4"/>
              <w:keepNext w:val="0"/>
              <w:keepLines w:val="0"/>
              <w:widowControl/>
              <w:suppressLineNumbers w:val="0"/>
              <w:jc w:val="center"/>
            </w:pPr>
            <w:r>
              <w:rPr>
                <w:rStyle w:val="6"/>
                <w:rFonts w:hint="default" w:ascii="Calibri" w:hAnsi="Calibri" w:cs="Calibri"/>
                <w:b/>
              </w:rPr>
              <w:t>网络名 称</w:t>
            </w:r>
          </w:p>
        </w:tc>
        <w:tc>
          <w:tcPr>
            <w:tcW w:w="4405" w:type="dxa"/>
            <w:tcBorders>
              <w:top w:val="double" w:color="auto" w:sz="2" w:space="0"/>
              <w:left w:val="nil"/>
              <w:bottom w:val="single" w:color="auto" w:sz="6" w:space="0"/>
              <w:right w:val="double" w:color="auto" w:sz="2" w:space="0"/>
            </w:tcBorders>
            <w:shd w:val="clear" w:color="auto" w:fill="FFFFFF"/>
            <w:tcMar>
              <w:top w:w="0" w:type="dxa"/>
              <w:left w:w="105" w:type="dxa"/>
              <w:bottom w:w="0" w:type="dxa"/>
              <w:right w:w="105" w:type="dxa"/>
            </w:tcMar>
            <w:vAlign w:val="top"/>
          </w:tcPr>
          <w:p>
            <w:pPr>
              <w:pStyle w:val="4"/>
              <w:keepNext w:val="0"/>
              <w:keepLines w:val="0"/>
              <w:widowControl/>
              <w:suppressLineNumbers w:val="0"/>
              <w:jc w:val="center"/>
            </w:pPr>
            <w:r>
              <w:rPr>
                <w:rStyle w:val="6"/>
                <w:rFonts w:hint="default" w:ascii="Calibri" w:hAnsi="Calibri" w:cs="Calibri"/>
                <w:b/>
              </w:rPr>
              <w:t>网络安全设备</w:t>
            </w:r>
          </w:p>
        </w:tc>
      </w:tr>
      <w:tr>
        <w:trPr>
          <w:tblCellSpacing w:w="15" w:type="dxa"/>
        </w:trPr>
        <w:tc>
          <w:tcPr>
            <w:tcW w:w="939" w:type="dxa"/>
            <w:tcBorders>
              <w:top w:val="nil"/>
              <w:left w:val="double" w:color="auto" w:sz="2" w:space="0"/>
              <w:bottom w:val="single" w:color="auto" w:sz="6" w:space="0"/>
              <w:right w:val="single" w:color="auto" w:sz="6" w:space="0"/>
            </w:tcBorders>
            <w:shd w:val="clear" w:color="auto" w:fill="FFFFFF"/>
            <w:tcMar>
              <w:top w:w="0" w:type="dxa"/>
              <w:left w:w="105" w:type="dxa"/>
              <w:bottom w:w="0" w:type="dxa"/>
              <w:right w:w="105" w:type="dxa"/>
            </w:tcMar>
            <w:vAlign w:val="top"/>
          </w:tcPr>
          <w:p>
            <w:pPr>
              <w:pStyle w:val="4"/>
              <w:keepNext w:val="0"/>
              <w:keepLines w:val="0"/>
              <w:widowControl/>
              <w:suppressLineNumbers w:val="0"/>
              <w:jc w:val="center"/>
            </w:pPr>
            <w:r>
              <w:rPr>
                <w:rFonts w:hint="default" w:ascii="Calibri" w:hAnsi="Calibri" w:cs="Calibri"/>
                <w:sz w:val="24"/>
                <w:szCs w:val="24"/>
              </w:rPr>
              <w:t>1</w:t>
            </w:r>
          </w:p>
        </w:tc>
        <w:tc>
          <w:tcPr>
            <w:tcW w:w="250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top"/>
          </w:tcPr>
          <w:p>
            <w:pPr>
              <w:pStyle w:val="4"/>
              <w:keepNext w:val="0"/>
              <w:keepLines w:val="0"/>
              <w:widowControl/>
              <w:suppressLineNumbers w:val="0"/>
              <w:ind w:left="285"/>
              <w:jc w:val="left"/>
            </w:pPr>
            <w:r>
              <w:rPr>
                <w:rFonts w:hint="default" w:ascii="Calibri" w:hAnsi="Calibri" w:cs="Calibri"/>
                <w:sz w:val="24"/>
                <w:szCs w:val="24"/>
              </w:rPr>
              <w:t>互联网</w:t>
            </w:r>
          </w:p>
        </w:tc>
        <w:tc>
          <w:tcPr>
            <w:tcW w:w="4405" w:type="dxa"/>
            <w:tcBorders>
              <w:top w:val="nil"/>
              <w:left w:val="nil"/>
              <w:bottom w:val="single" w:color="auto" w:sz="6" w:space="0"/>
              <w:right w:val="double" w:color="auto" w:sz="2" w:space="0"/>
            </w:tcBorders>
            <w:shd w:val="clear" w:color="auto" w:fill="FFFFFF"/>
            <w:tcMar>
              <w:top w:w="0" w:type="dxa"/>
              <w:left w:w="105" w:type="dxa"/>
              <w:bottom w:w="0" w:type="dxa"/>
              <w:right w:w="105" w:type="dxa"/>
            </w:tcMar>
            <w:vAlign w:val="top"/>
          </w:tcPr>
          <w:p>
            <w:pPr>
              <w:pStyle w:val="4"/>
              <w:keepNext w:val="0"/>
              <w:keepLines w:val="0"/>
              <w:widowControl/>
              <w:suppressLineNumbers w:val="0"/>
            </w:pPr>
            <w:r>
              <w:rPr>
                <w:rFonts w:hint="default" w:ascii="Calibri" w:hAnsi="Calibri" w:cs="Calibri"/>
                <w:sz w:val="24"/>
                <w:szCs w:val="24"/>
              </w:rPr>
              <w:t>防火墙、防病毒网关</w:t>
            </w:r>
          </w:p>
        </w:tc>
      </w:tr>
      <w:tr>
        <w:trPr>
          <w:tblCellSpacing w:w="15" w:type="dxa"/>
        </w:trPr>
        <w:tc>
          <w:tcPr>
            <w:tcW w:w="939" w:type="dxa"/>
            <w:tcBorders>
              <w:top w:val="nil"/>
              <w:left w:val="double" w:color="auto" w:sz="2" w:space="0"/>
              <w:bottom w:val="single" w:color="auto" w:sz="6" w:space="0"/>
              <w:right w:val="single" w:color="auto" w:sz="6" w:space="0"/>
            </w:tcBorders>
            <w:shd w:val="clear" w:color="auto" w:fill="FFFFFF"/>
            <w:tcMar>
              <w:top w:w="0" w:type="dxa"/>
              <w:left w:w="105" w:type="dxa"/>
              <w:bottom w:w="0" w:type="dxa"/>
              <w:right w:w="105" w:type="dxa"/>
            </w:tcMar>
            <w:vAlign w:val="top"/>
          </w:tcPr>
          <w:p>
            <w:pPr>
              <w:pStyle w:val="4"/>
              <w:keepNext w:val="0"/>
              <w:keepLines w:val="0"/>
              <w:widowControl/>
              <w:suppressLineNumbers w:val="0"/>
              <w:jc w:val="center"/>
            </w:pPr>
            <w:r>
              <w:rPr>
                <w:rFonts w:hint="default" w:ascii="Calibri" w:hAnsi="Calibri" w:cs="Calibri"/>
                <w:sz w:val="24"/>
                <w:szCs w:val="24"/>
              </w:rPr>
              <w:t>2</w:t>
            </w:r>
          </w:p>
        </w:tc>
        <w:tc>
          <w:tcPr>
            <w:tcW w:w="250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top"/>
          </w:tcPr>
          <w:p>
            <w:pPr>
              <w:pStyle w:val="4"/>
              <w:keepNext w:val="0"/>
              <w:keepLines w:val="0"/>
              <w:widowControl/>
              <w:suppressLineNumbers w:val="0"/>
              <w:ind w:left="285"/>
              <w:jc w:val="left"/>
            </w:pPr>
            <w:r>
              <w:rPr>
                <w:rFonts w:hint="default" w:ascii="Calibri" w:hAnsi="Calibri" w:cs="Calibri"/>
                <w:sz w:val="24"/>
                <w:szCs w:val="24"/>
              </w:rPr>
              <w:t>政务信息网</w:t>
            </w:r>
          </w:p>
        </w:tc>
        <w:tc>
          <w:tcPr>
            <w:tcW w:w="4405" w:type="dxa"/>
            <w:tcBorders>
              <w:top w:val="nil"/>
              <w:left w:val="nil"/>
              <w:bottom w:val="single" w:color="auto" w:sz="6" w:space="0"/>
              <w:right w:val="double" w:color="auto" w:sz="2" w:space="0"/>
            </w:tcBorders>
            <w:shd w:val="clear" w:color="auto" w:fill="FFFFFF"/>
            <w:tcMar>
              <w:top w:w="0" w:type="dxa"/>
              <w:left w:w="105" w:type="dxa"/>
              <w:bottom w:w="0" w:type="dxa"/>
              <w:right w:w="105" w:type="dxa"/>
            </w:tcMar>
            <w:vAlign w:val="top"/>
          </w:tcPr>
          <w:p>
            <w:pPr>
              <w:pStyle w:val="4"/>
              <w:keepNext w:val="0"/>
              <w:keepLines w:val="0"/>
              <w:widowControl/>
              <w:suppressLineNumbers w:val="0"/>
            </w:pPr>
            <w:r>
              <w:rPr>
                <w:rFonts w:hint="default" w:ascii="Calibri" w:hAnsi="Calibri" w:cs="Calibri"/>
                <w:sz w:val="24"/>
                <w:szCs w:val="24"/>
              </w:rPr>
              <w:t>防火墙、入侵防御系统</w:t>
            </w:r>
          </w:p>
        </w:tc>
      </w:tr>
      <w:tr>
        <w:trPr>
          <w:tblCellSpacing w:w="15" w:type="dxa"/>
        </w:trPr>
        <w:tc>
          <w:tcPr>
            <w:tcW w:w="939" w:type="dxa"/>
            <w:tcBorders>
              <w:top w:val="nil"/>
              <w:left w:val="double" w:color="auto" w:sz="2" w:space="0"/>
              <w:bottom w:val="double" w:color="auto" w:sz="2" w:space="0"/>
              <w:right w:val="single" w:color="auto" w:sz="6" w:space="0"/>
            </w:tcBorders>
            <w:shd w:val="clear" w:color="auto" w:fill="FFFFFF"/>
            <w:tcMar>
              <w:top w:w="0" w:type="dxa"/>
              <w:left w:w="105" w:type="dxa"/>
              <w:bottom w:w="0" w:type="dxa"/>
              <w:right w:w="105" w:type="dxa"/>
            </w:tcMar>
            <w:vAlign w:val="top"/>
          </w:tcPr>
          <w:p>
            <w:pPr>
              <w:pStyle w:val="4"/>
              <w:keepNext w:val="0"/>
              <w:keepLines w:val="0"/>
              <w:widowControl/>
              <w:suppressLineNumbers w:val="0"/>
              <w:jc w:val="center"/>
            </w:pPr>
            <w:r>
              <w:rPr>
                <w:rFonts w:hint="default" w:ascii="Calibri" w:hAnsi="Calibri" w:cs="Calibri"/>
                <w:sz w:val="24"/>
                <w:szCs w:val="24"/>
              </w:rPr>
              <w:t>3</w:t>
            </w:r>
          </w:p>
        </w:tc>
        <w:tc>
          <w:tcPr>
            <w:tcW w:w="2500" w:type="dxa"/>
            <w:tcBorders>
              <w:top w:val="nil"/>
              <w:left w:val="nil"/>
              <w:bottom w:val="double" w:color="auto" w:sz="2" w:space="0"/>
              <w:right w:val="single" w:color="auto" w:sz="6" w:space="0"/>
            </w:tcBorders>
            <w:shd w:val="clear" w:color="auto" w:fill="FFFFFF"/>
            <w:tcMar>
              <w:top w:w="0" w:type="dxa"/>
              <w:left w:w="105" w:type="dxa"/>
              <w:bottom w:w="0" w:type="dxa"/>
              <w:right w:w="105" w:type="dxa"/>
            </w:tcMar>
            <w:vAlign w:val="top"/>
          </w:tcPr>
          <w:p>
            <w:pPr>
              <w:pStyle w:val="4"/>
              <w:keepNext w:val="0"/>
              <w:keepLines w:val="0"/>
              <w:widowControl/>
              <w:suppressLineNumbers w:val="0"/>
              <w:ind w:left="285"/>
              <w:jc w:val="left"/>
            </w:pPr>
            <w:r>
              <w:rPr>
                <w:rFonts w:hint="default" w:ascii="Calibri" w:hAnsi="Calibri" w:cs="Calibri"/>
                <w:sz w:val="24"/>
                <w:szCs w:val="24"/>
              </w:rPr>
              <w:t>政务外网（智网）</w:t>
            </w:r>
          </w:p>
        </w:tc>
        <w:tc>
          <w:tcPr>
            <w:tcW w:w="4405" w:type="dxa"/>
            <w:tcBorders>
              <w:top w:val="nil"/>
              <w:left w:val="nil"/>
              <w:bottom w:val="double" w:color="auto" w:sz="2" w:space="0"/>
              <w:right w:val="double" w:color="auto" w:sz="2" w:space="0"/>
            </w:tcBorders>
            <w:shd w:val="clear" w:color="auto" w:fill="FFFFFF"/>
            <w:tcMar>
              <w:top w:w="0" w:type="dxa"/>
              <w:left w:w="105" w:type="dxa"/>
              <w:bottom w:w="0" w:type="dxa"/>
              <w:right w:w="105" w:type="dxa"/>
            </w:tcMar>
            <w:vAlign w:val="top"/>
          </w:tcPr>
          <w:p>
            <w:pPr>
              <w:pStyle w:val="4"/>
              <w:keepNext w:val="0"/>
              <w:keepLines w:val="0"/>
              <w:widowControl/>
              <w:suppressLineNumbers w:val="0"/>
            </w:pPr>
            <w:r>
              <w:rPr>
                <w:rFonts w:hint="default" w:ascii="Calibri" w:hAnsi="Calibri" w:cs="Calibri"/>
                <w:sz w:val="24"/>
                <w:szCs w:val="24"/>
              </w:rPr>
              <w:t>防火墙、入侵防御系统、主机监控与审计</w:t>
            </w:r>
          </w:p>
        </w:tc>
      </w:tr>
    </w:tbl>
    <w:p>
      <w:pPr>
        <w:pStyle w:val="4"/>
        <w:keepNext w:val="0"/>
        <w:keepLines w:val="0"/>
        <w:widowControl/>
        <w:suppressLineNumbers w:val="0"/>
        <w:ind w:left="0" w:firstLine="480"/>
      </w:pPr>
      <w:r>
        <w:rPr>
          <w:rFonts w:hint="eastAsia" w:ascii="宋体" w:hAnsi="宋体" w:eastAsia="宋体" w:cs="宋体"/>
          <w:sz w:val="24"/>
          <w:szCs w:val="24"/>
        </w:rPr>
        <w:t>外网：</w:t>
      </w:r>
      <w:r>
        <w:rPr>
          <w:rFonts w:hint="eastAsia" w:ascii="宋体" w:hAnsi="宋体" w:eastAsia="宋体" w:cs="宋体"/>
          <w:color w:val="000000"/>
          <w:sz w:val="24"/>
          <w:szCs w:val="24"/>
        </w:rPr>
        <w:t>在外网的出口处部署防火墙和防病毒网关。通过访问控制，以及进出数据的安全和病毒的杀除。</w:t>
      </w:r>
    </w:p>
    <w:p>
      <w:pPr>
        <w:pStyle w:val="4"/>
        <w:keepNext w:val="0"/>
        <w:keepLines w:val="0"/>
        <w:widowControl/>
        <w:suppressLineNumbers w:val="0"/>
        <w:ind w:left="0" w:firstLine="480"/>
      </w:pPr>
      <w:r>
        <w:rPr>
          <w:rFonts w:hint="eastAsia" w:ascii="宋体" w:hAnsi="宋体" w:eastAsia="宋体" w:cs="宋体"/>
          <w:color w:val="000000"/>
          <w:sz w:val="24"/>
          <w:szCs w:val="24"/>
        </w:rPr>
        <w:t>政务信息网：出口处部署防火墙、入侵防御系统及主机监控与审计，实现和政务信息网用户互联互通的需求。</w:t>
      </w:r>
    </w:p>
    <w:p>
      <w:pPr>
        <w:pStyle w:val="4"/>
        <w:keepNext w:val="0"/>
        <w:keepLines w:val="0"/>
        <w:widowControl/>
        <w:suppressLineNumbers w:val="0"/>
        <w:ind w:left="0" w:firstLine="480"/>
        <w:jc w:val="left"/>
      </w:pPr>
      <w:r>
        <w:rPr>
          <w:rFonts w:hint="eastAsia" w:ascii="宋体" w:hAnsi="宋体" w:eastAsia="宋体" w:cs="宋体"/>
          <w:color w:val="000000"/>
          <w:sz w:val="24"/>
          <w:szCs w:val="24"/>
        </w:rPr>
        <w:t>政务外网（智网）：出口处部署防火墙、入侵防御系统及主机监控与审计，实现和政务信息网用户互联互通的需求。对接入网络的终端和终端的使用人进行合规性检查。</w:t>
      </w:r>
    </w:p>
    <w:p>
      <w:pPr>
        <w:pStyle w:val="4"/>
        <w:keepNext w:val="0"/>
        <w:keepLines w:val="0"/>
        <w:widowControl/>
        <w:suppressLineNumbers w:val="0"/>
      </w:pPr>
      <w:r>
        <w:rPr>
          <w:rFonts w:hint="default" w:ascii="Calibri" w:hAnsi="Calibri" w:cs="Calibri"/>
          <w:sz w:val="24"/>
          <w:szCs w:val="24"/>
        </w:rPr>
        <w:t xml:space="preserve">1.9.9.1 </w:t>
      </w:r>
      <w:r>
        <w:rPr>
          <w:rFonts w:hint="eastAsia" w:ascii="宋体" w:hAnsi="宋体" w:eastAsia="宋体" w:cs="宋体"/>
          <w:sz w:val="24"/>
          <w:szCs w:val="24"/>
        </w:rPr>
        <w:t>安全策略</w:t>
      </w:r>
    </w:p>
    <w:p>
      <w:pPr>
        <w:pStyle w:val="4"/>
        <w:keepNext w:val="0"/>
        <w:keepLines w:val="0"/>
        <w:widowControl/>
        <w:suppressLineNumbers w:val="0"/>
        <w:spacing w:before="120" w:beforeAutospacing="0" w:after="120" w:afterAutospacing="0"/>
        <w:ind w:left="0" w:right="0" w:firstLine="480"/>
      </w:pPr>
      <w:r>
        <w:rPr>
          <w:rFonts w:hint="eastAsia" w:ascii="宋体" w:hAnsi="宋体" w:eastAsia="宋体" w:cs="宋体"/>
          <w:color w:val="000000"/>
          <w:sz w:val="24"/>
          <w:szCs w:val="24"/>
        </w:rPr>
        <w:t>外网边界安全策略措施如下：</w:t>
      </w:r>
    </w:p>
    <w:p>
      <w:pPr>
        <w:pStyle w:val="4"/>
        <w:keepNext w:val="0"/>
        <w:keepLines w:val="0"/>
        <w:widowControl/>
        <w:suppressLineNumbers w:val="0"/>
        <w:spacing w:before="120" w:beforeAutospacing="0" w:after="120" w:afterAutospacing="0"/>
        <w:ind w:left="0" w:right="0" w:firstLine="480"/>
      </w:pPr>
      <w:r>
        <w:rPr>
          <w:rFonts w:hint="eastAsia" w:ascii="宋体" w:hAnsi="宋体" w:eastAsia="宋体" w:cs="宋体"/>
          <w:color w:val="000000"/>
          <w:sz w:val="24"/>
          <w:szCs w:val="24"/>
        </w:rPr>
        <w:t xml:space="preserve">外网主要是采用防火墙进行隔离；外网的出口需要通过NAT策略隐藏内部访问外部的地址；关闭网络病毒相关端口，无特殊需要，禁止开放； </w:t>
      </w:r>
    </w:p>
    <w:p>
      <w:pPr>
        <w:pStyle w:val="4"/>
        <w:keepNext w:val="0"/>
        <w:keepLines w:val="0"/>
        <w:widowControl/>
        <w:suppressLineNumbers w:val="0"/>
        <w:spacing w:before="120" w:beforeAutospacing="0" w:after="120" w:afterAutospacing="0"/>
        <w:ind w:left="0" w:right="0" w:firstLine="480"/>
      </w:pPr>
      <w:r>
        <w:rPr>
          <w:rFonts w:hint="eastAsia" w:ascii="宋体" w:hAnsi="宋体" w:eastAsia="宋体" w:cs="宋体"/>
          <w:color w:val="000000"/>
          <w:sz w:val="24"/>
          <w:szCs w:val="24"/>
        </w:rPr>
        <w:t>政务信息网边界安全策略措施如下：</w:t>
      </w:r>
    </w:p>
    <w:p>
      <w:pPr>
        <w:pStyle w:val="4"/>
        <w:keepNext w:val="0"/>
        <w:keepLines w:val="0"/>
        <w:widowControl/>
        <w:suppressLineNumbers w:val="0"/>
        <w:spacing w:before="120" w:beforeAutospacing="0" w:after="120" w:afterAutospacing="0"/>
        <w:ind w:left="0" w:right="0" w:firstLine="480"/>
      </w:pPr>
      <w:r>
        <w:rPr>
          <w:rFonts w:hint="eastAsia" w:ascii="宋体" w:hAnsi="宋体" w:eastAsia="宋体" w:cs="宋体"/>
          <w:color w:val="000000"/>
          <w:sz w:val="24"/>
          <w:szCs w:val="24"/>
        </w:rPr>
        <w:t>政务网主要是采用防火墙进行隔离；政务网的出口需要通过NAT策略隐藏内部访问外部的地址；关闭网络病毒相关端口，无特殊需要，禁止开放；</w:t>
      </w:r>
    </w:p>
    <w:p>
      <w:pPr>
        <w:pStyle w:val="4"/>
        <w:keepNext w:val="0"/>
        <w:keepLines w:val="0"/>
        <w:widowControl/>
        <w:suppressLineNumbers w:val="0"/>
        <w:spacing w:before="120" w:beforeAutospacing="0" w:after="120" w:afterAutospacing="0"/>
        <w:ind w:left="0" w:right="0" w:firstLine="480"/>
      </w:pPr>
      <w:r>
        <w:rPr>
          <w:rFonts w:hint="eastAsia" w:ascii="宋体" w:hAnsi="宋体" w:eastAsia="宋体" w:cs="宋体"/>
          <w:color w:val="000000"/>
          <w:sz w:val="24"/>
          <w:szCs w:val="24"/>
        </w:rPr>
        <w:t>政务外网（智网）边界安全策略措施如下：</w:t>
      </w:r>
    </w:p>
    <w:p>
      <w:pPr>
        <w:pStyle w:val="4"/>
        <w:keepNext w:val="0"/>
        <w:keepLines w:val="0"/>
        <w:widowControl/>
        <w:suppressLineNumbers w:val="0"/>
        <w:spacing w:before="120" w:beforeAutospacing="0" w:after="120" w:afterAutospacing="0"/>
        <w:ind w:left="0" w:right="0" w:firstLine="480"/>
      </w:pPr>
      <w:r>
        <w:rPr>
          <w:rFonts w:hint="eastAsia" w:ascii="宋体" w:hAnsi="宋体" w:eastAsia="宋体" w:cs="宋体"/>
          <w:color w:val="000000"/>
          <w:sz w:val="24"/>
          <w:szCs w:val="24"/>
        </w:rPr>
        <w:t>政务网主要是采用防火墙进行隔离；政务网的出口需要通过NAT策略隐藏内部访问外部的地址；同时在政务外网（智网）上安装主机监控与审计，审计记录应包括事件的日期和时间、用户、事件类型、事件是否成功及其他与审计相关的信息。</w:t>
      </w:r>
    </w:p>
    <w:p>
      <w:pPr>
        <w:pStyle w:val="4"/>
        <w:keepNext w:val="0"/>
        <w:keepLines w:val="0"/>
        <w:widowControl/>
        <w:suppressLineNumbers w:val="0"/>
        <w:ind w:left="0" w:firstLine="0"/>
      </w:pPr>
      <w:r>
        <w:rPr>
          <w:rFonts w:hint="default" w:ascii="Calibri" w:hAnsi="Calibri" w:cs="Calibri"/>
          <w:color w:val="000000"/>
          <w:sz w:val="24"/>
          <w:szCs w:val="24"/>
        </w:rPr>
        <w:t>1.10</w:t>
      </w:r>
      <w:r>
        <w:rPr>
          <w:rFonts w:hint="default" w:ascii="Times New Roman" w:hAnsi="Times New Roman" w:cs="Times New Roman"/>
          <w:color w:val="000000"/>
          <w:sz w:val="13"/>
          <w:szCs w:val="13"/>
        </w:rPr>
        <w:t xml:space="preserve">     </w:t>
      </w:r>
      <w:r>
        <w:rPr>
          <w:rFonts w:hint="eastAsia" w:ascii="宋体" w:hAnsi="宋体" w:eastAsia="宋体" w:cs="宋体"/>
          <w:color w:val="000000"/>
          <w:sz w:val="24"/>
          <w:szCs w:val="24"/>
        </w:rPr>
        <w:t>机房工程设</w:t>
      </w:r>
      <w:r>
        <w:rPr>
          <w:rFonts w:hint="default" w:ascii="Calibri" w:hAnsi="Calibri" w:cs="Calibri"/>
          <w:color w:val="000000"/>
          <w:sz w:val="24"/>
          <w:szCs w:val="24"/>
        </w:rPr>
        <w:t xml:space="preserve">   </w:t>
      </w:r>
      <w:r>
        <w:rPr>
          <w:rFonts w:hint="eastAsia" w:ascii="宋体" w:hAnsi="宋体" w:eastAsia="宋体" w:cs="宋体"/>
          <w:color w:val="000000"/>
          <w:sz w:val="24"/>
          <w:szCs w:val="24"/>
        </w:rPr>
        <w:t>计</w:t>
      </w:r>
    </w:p>
    <w:p>
      <w:pPr>
        <w:pStyle w:val="4"/>
        <w:keepNext w:val="0"/>
        <w:keepLines w:val="0"/>
        <w:widowControl/>
        <w:suppressLineNumbers w:val="0"/>
        <w:ind w:left="0" w:firstLine="0"/>
      </w:pPr>
      <w:r>
        <w:rPr>
          <w:rFonts w:hint="default" w:ascii="Calibri" w:hAnsi="Calibri" w:cs="Calibri"/>
          <w:sz w:val="24"/>
          <w:szCs w:val="24"/>
        </w:rPr>
        <w:t>1.10.1</w:t>
      </w:r>
      <w:r>
        <w:rPr>
          <w:rFonts w:hint="default" w:ascii="Times New Roman" w:hAnsi="Times New Roman" w:cs="Times New Roman"/>
          <w:sz w:val="13"/>
          <w:szCs w:val="13"/>
        </w:rPr>
        <w:t xml:space="preserve">    </w:t>
      </w:r>
      <w:r>
        <w:rPr>
          <w:rFonts w:hint="eastAsia" w:ascii="黑体" w:hAnsi="宋体" w:eastAsia="黑体" w:cs="黑体"/>
          <w:sz w:val="24"/>
          <w:szCs w:val="24"/>
        </w:rPr>
        <w:t>需求分析</w:t>
      </w:r>
    </w:p>
    <w:p>
      <w:pPr>
        <w:pStyle w:val="4"/>
        <w:keepNext w:val="0"/>
        <w:keepLines w:val="0"/>
        <w:widowControl/>
        <w:suppressLineNumbers w:val="0"/>
        <w:ind w:left="0" w:firstLine="480"/>
      </w:pPr>
      <w:r>
        <w:rPr>
          <w:rFonts w:hint="eastAsia" w:ascii="宋体" w:hAnsi="宋体" w:eastAsia="宋体" w:cs="宋体"/>
          <w:color w:val="000000"/>
          <w:sz w:val="24"/>
          <w:szCs w:val="24"/>
        </w:rPr>
        <w:t>数据中心机房是集网络汇聚、数据存储处理、设备存放等多个功能的核心区域。合理的机房设</w:t>
      </w:r>
      <w:r>
        <w:rPr>
          <w:rFonts w:hint="default" w:ascii="Calibri" w:hAnsi="Calibri" w:cs="Calibri"/>
          <w:color w:val="000000"/>
          <w:sz w:val="24"/>
          <w:szCs w:val="24"/>
        </w:rPr>
        <w:t xml:space="preserve">   </w:t>
      </w:r>
      <w:r>
        <w:rPr>
          <w:rFonts w:hint="eastAsia" w:ascii="宋体" w:hAnsi="宋体" w:eastAsia="宋体" w:cs="宋体"/>
          <w:color w:val="000000"/>
          <w:sz w:val="24"/>
          <w:szCs w:val="24"/>
        </w:rPr>
        <w:t>计可以最大限度地减少外部环境的影响，为机房内部设备系统提供良好的运行条件，以实现机房内安全环保、高效节能、管理方便</w:t>
      </w:r>
      <w:r>
        <w:rPr>
          <w:rFonts w:hint="default" w:ascii="Calibri" w:hAnsi="Calibri" w:cs="Calibri"/>
          <w:color w:val="000000"/>
          <w:sz w:val="24"/>
          <w:szCs w:val="24"/>
        </w:rPr>
        <w:t xml:space="preserve"> </w:t>
      </w:r>
      <w:r>
        <w:rPr>
          <w:rFonts w:hint="eastAsia" w:ascii="宋体" w:hAnsi="宋体" w:eastAsia="宋体" w:cs="宋体"/>
          <w:color w:val="000000"/>
          <w:sz w:val="24"/>
          <w:szCs w:val="24"/>
        </w:rPr>
        <w:t>、扩展性强的建设目标，确保整个信息设备系统高可靠运行，满足未来信息智能化的发展需求。</w:t>
      </w:r>
    </w:p>
    <w:p>
      <w:pPr>
        <w:pStyle w:val="4"/>
        <w:keepNext w:val="0"/>
        <w:keepLines w:val="0"/>
        <w:widowControl/>
        <w:suppressLineNumbers w:val="0"/>
        <w:ind w:left="0" w:firstLine="480"/>
      </w:pPr>
      <w:r>
        <w:rPr>
          <w:rFonts w:hint="eastAsia" w:ascii="宋体" w:hAnsi="宋体" w:eastAsia="宋体" w:cs="宋体"/>
          <w:color w:val="000000"/>
          <w:sz w:val="24"/>
          <w:szCs w:val="24"/>
        </w:rPr>
        <w:t>项目于行政服务大楼二层规划了一间</w:t>
      </w:r>
      <w:r>
        <w:rPr>
          <w:rFonts w:hint="default" w:ascii="Calibri" w:hAnsi="Calibri" w:cs="Calibri"/>
          <w:color w:val="000000"/>
          <w:sz w:val="24"/>
          <w:szCs w:val="24"/>
        </w:rPr>
        <w:t>61</w:t>
      </w:r>
      <w:r>
        <w:rPr>
          <w:rFonts w:hint="eastAsia" w:ascii="宋体" w:hAnsi="宋体" w:eastAsia="宋体" w:cs="宋体"/>
          <w:color w:val="000000"/>
          <w:sz w:val="24"/>
          <w:szCs w:val="24"/>
        </w:rPr>
        <w:t>平方的数据中心机房，机房按照《电子计算机机房设  计规范》国家</w:t>
      </w:r>
      <w:r>
        <w:rPr>
          <w:rFonts w:hint="default" w:ascii="Calibri" w:hAnsi="Calibri" w:cs="Calibri"/>
          <w:color w:val="000000"/>
          <w:sz w:val="24"/>
          <w:szCs w:val="24"/>
        </w:rPr>
        <w:t>B</w:t>
      </w:r>
      <w:r>
        <w:rPr>
          <w:rFonts w:hint="eastAsia" w:ascii="宋体" w:hAnsi="宋体" w:eastAsia="宋体" w:cs="宋体"/>
          <w:color w:val="000000"/>
          <w:sz w:val="24"/>
          <w:szCs w:val="24"/>
        </w:rPr>
        <w:t>级机房标准进行设 计，包含机房装修、机房照明、机房供配电、防雷接地、精密空调、新风系统、综合布线、机房消防等。</w:t>
      </w:r>
    </w:p>
    <w:p>
      <w:pPr>
        <w:pStyle w:val="4"/>
        <w:keepNext w:val="0"/>
        <w:keepLines w:val="0"/>
        <w:widowControl/>
        <w:suppressLineNumbers w:val="0"/>
        <w:ind w:left="0" w:firstLine="0"/>
      </w:pPr>
      <w:r>
        <w:rPr>
          <w:rFonts w:hint="default" w:ascii="Calibri" w:hAnsi="Calibri" w:cs="Calibri"/>
          <w:sz w:val="24"/>
          <w:szCs w:val="24"/>
        </w:rPr>
        <w:t>1.10.2</w:t>
      </w:r>
      <w:r>
        <w:rPr>
          <w:rFonts w:hint="default" w:ascii="Times New Roman" w:hAnsi="Times New Roman" w:cs="Times New Roman"/>
          <w:sz w:val="13"/>
          <w:szCs w:val="13"/>
        </w:rPr>
        <w:t xml:space="preserve">    </w:t>
      </w:r>
      <w:r>
        <w:rPr>
          <w:rFonts w:hint="eastAsia" w:ascii="黑体" w:hAnsi="宋体" w:eastAsia="黑体" w:cs="黑体"/>
          <w:sz w:val="24"/>
          <w:szCs w:val="24"/>
        </w:rPr>
        <w:t>机房建设指标</w:t>
      </w:r>
    </w:p>
    <w:p>
      <w:pPr>
        <w:pStyle w:val="4"/>
        <w:keepNext w:val="0"/>
        <w:keepLines w:val="0"/>
        <w:widowControl/>
        <w:suppressLineNumbers w:val="0"/>
        <w:spacing w:before="0" w:beforeAutospacing="1" w:after="0" w:afterAutospacing="1"/>
        <w:ind w:left="900" w:right="0"/>
      </w:pPr>
      <w:r>
        <w:rPr>
          <w:rFonts w:hint="default" w:ascii="Wingdings" w:hAnsi="Wingdings" w:cs="Wingdings"/>
          <w:sz w:val="24"/>
          <w:szCs w:val="24"/>
        </w:rPr>
        <w:t>n</w:t>
      </w:r>
      <w:r>
        <w:rPr>
          <w:rFonts w:hint="default" w:ascii="Times New Roman" w:hAnsi="Times New Roman" w:cs="Times New Roman"/>
          <w:sz w:val="13"/>
          <w:szCs w:val="13"/>
        </w:rPr>
        <w:t xml:space="preserve">  </w:t>
      </w:r>
      <w:r>
        <w:rPr>
          <w:rFonts w:hint="eastAsia" w:ascii="宋体" w:hAnsi="宋体" w:eastAsia="宋体" w:cs="宋体"/>
          <w:sz w:val="24"/>
          <w:szCs w:val="24"/>
        </w:rPr>
        <w:t>尘埃：国家标准A级  粒径≥0.5um 个数≤18000/dm3</w:t>
      </w:r>
    </w:p>
    <w:p>
      <w:pPr>
        <w:pStyle w:val="4"/>
        <w:keepNext w:val="0"/>
        <w:keepLines w:val="0"/>
        <w:widowControl/>
        <w:suppressLineNumbers w:val="0"/>
        <w:spacing w:before="0" w:beforeAutospacing="1" w:after="0" w:afterAutospacing="1"/>
        <w:ind w:left="900" w:right="0"/>
      </w:pPr>
      <w:r>
        <w:rPr>
          <w:rFonts w:hint="default" w:ascii="Wingdings" w:hAnsi="Wingdings" w:cs="Wingdings"/>
          <w:sz w:val="24"/>
          <w:szCs w:val="24"/>
        </w:rPr>
        <w:t>n</w:t>
      </w:r>
      <w:r>
        <w:rPr>
          <w:rFonts w:hint="default" w:ascii="Times New Roman" w:hAnsi="Times New Roman" w:cs="Times New Roman"/>
          <w:sz w:val="13"/>
          <w:szCs w:val="13"/>
        </w:rPr>
        <w:t xml:space="preserve">  </w:t>
      </w:r>
      <w:r>
        <w:rPr>
          <w:rFonts w:hint="eastAsia" w:ascii="宋体" w:hAnsi="宋体" w:eastAsia="宋体" w:cs="宋体"/>
          <w:sz w:val="24"/>
          <w:szCs w:val="24"/>
        </w:rPr>
        <w:t>噪音：计算机开机条件下，主机操作员位置≤65dB</w:t>
      </w:r>
    </w:p>
    <w:p>
      <w:pPr>
        <w:pStyle w:val="4"/>
        <w:keepNext w:val="0"/>
        <w:keepLines w:val="0"/>
        <w:widowControl/>
        <w:suppressLineNumbers w:val="0"/>
        <w:spacing w:before="0" w:beforeAutospacing="1" w:after="0" w:afterAutospacing="1"/>
        <w:ind w:left="900" w:right="0"/>
      </w:pPr>
      <w:r>
        <w:rPr>
          <w:rFonts w:hint="default" w:ascii="Wingdings" w:hAnsi="Wingdings" w:cs="Wingdings"/>
          <w:sz w:val="24"/>
          <w:szCs w:val="24"/>
        </w:rPr>
        <w:t>n</w:t>
      </w:r>
      <w:r>
        <w:rPr>
          <w:rFonts w:hint="default" w:ascii="Times New Roman" w:hAnsi="Times New Roman" w:cs="Times New Roman"/>
          <w:sz w:val="13"/>
          <w:szCs w:val="13"/>
        </w:rPr>
        <w:t xml:space="preserve">  </w:t>
      </w:r>
      <w:r>
        <w:rPr>
          <w:rFonts w:hint="eastAsia" w:ascii="宋体" w:hAnsi="宋体" w:eastAsia="宋体" w:cs="宋体"/>
          <w:sz w:val="24"/>
          <w:szCs w:val="24"/>
        </w:rPr>
        <w:t>接地电阻：R≤1欧姆,零地电位差≤1伏.</w:t>
      </w:r>
    </w:p>
    <w:p>
      <w:pPr>
        <w:pStyle w:val="4"/>
        <w:keepNext w:val="0"/>
        <w:keepLines w:val="0"/>
        <w:widowControl/>
        <w:suppressLineNumbers w:val="0"/>
        <w:spacing w:before="0" w:beforeAutospacing="1" w:after="0" w:afterAutospacing="1"/>
        <w:ind w:left="900" w:right="0"/>
      </w:pPr>
      <w:r>
        <w:rPr>
          <w:rFonts w:hint="default" w:ascii="Wingdings" w:hAnsi="Wingdings" w:cs="Wingdings"/>
          <w:sz w:val="24"/>
          <w:szCs w:val="24"/>
        </w:rPr>
        <w:t>n</w:t>
      </w:r>
      <w:r>
        <w:rPr>
          <w:rFonts w:hint="default" w:ascii="Times New Roman" w:hAnsi="Times New Roman" w:cs="Times New Roman"/>
          <w:sz w:val="13"/>
          <w:szCs w:val="13"/>
        </w:rPr>
        <w:t xml:space="preserve">  </w:t>
      </w:r>
      <w:r>
        <w:rPr>
          <w:rFonts w:hint="eastAsia" w:ascii="宋体" w:hAnsi="宋体" w:eastAsia="宋体" w:cs="宋体"/>
          <w:sz w:val="24"/>
          <w:szCs w:val="24"/>
        </w:rPr>
        <w:t>电压：三相电压为380V，波动不大于±5%</w:t>
      </w:r>
    </w:p>
    <w:p>
      <w:pPr>
        <w:pStyle w:val="4"/>
        <w:keepNext w:val="0"/>
        <w:keepLines w:val="0"/>
        <w:widowControl/>
        <w:suppressLineNumbers w:val="0"/>
        <w:spacing w:before="0" w:beforeAutospacing="1" w:after="0" w:afterAutospacing="1"/>
        <w:ind w:left="900" w:right="0"/>
      </w:pPr>
      <w:r>
        <w:rPr>
          <w:rFonts w:hint="default" w:ascii="Wingdings" w:hAnsi="Wingdings" w:cs="Wingdings"/>
          <w:sz w:val="24"/>
          <w:szCs w:val="24"/>
        </w:rPr>
        <w:t>n</w:t>
      </w:r>
      <w:r>
        <w:rPr>
          <w:rFonts w:hint="default" w:ascii="Times New Roman" w:hAnsi="Times New Roman" w:cs="Times New Roman"/>
          <w:sz w:val="13"/>
          <w:szCs w:val="13"/>
        </w:rPr>
        <w:t xml:space="preserve">  </w:t>
      </w:r>
      <w:r>
        <w:rPr>
          <w:rFonts w:hint="eastAsia" w:ascii="宋体" w:hAnsi="宋体" w:eastAsia="宋体" w:cs="宋体"/>
          <w:sz w:val="24"/>
          <w:szCs w:val="24"/>
        </w:rPr>
        <w:t>单相电压为220V，波动不大于±5%</w:t>
      </w:r>
    </w:p>
    <w:p>
      <w:pPr>
        <w:pStyle w:val="4"/>
        <w:keepNext w:val="0"/>
        <w:keepLines w:val="0"/>
        <w:widowControl/>
        <w:suppressLineNumbers w:val="0"/>
        <w:spacing w:before="0" w:beforeAutospacing="1" w:after="0" w:afterAutospacing="1"/>
        <w:ind w:left="900" w:right="0"/>
      </w:pPr>
      <w:r>
        <w:rPr>
          <w:rFonts w:hint="default" w:ascii="Wingdings" w:hAnsi="Wingdings" w:cs="Wingdings"/>
          <w:sz w:val="24"/>
          <w:szCs w:val="24"/>
        </w:rPr>
        <w:t>n</w:t>
      </w:r>
      <w:r>
        <w:rPr>
          <w:rFonts w:hint="default" w:ascii="Times New Roman" w:hAnsi="Times New Roman" w:cs="Times New Roman"/>
          <w:sz w:val="13"/>
          <w:szCs w:val="13"/>
        </w:rPr>
        <w:t xml:space="preserve">  </w:t>
      </w:r>
      <w:r>
        <w:rPr>
          <w:rFonts w:hint="eastAsia" w:ascii="宋体" w:hAnsi="宋体" w:eastAsia="宋体" w:cs="宋体"/>
          <w:sz w:val="24"/>
          <w:szCs w:val="24"/>
        </w:rPr>
        <w:t>频率：50Hz±0.2Hz</w:t>
      </w:r>
    </w:p>
    <w:p>
      <w:pPr>
        <w:pStyle w:val="4"/>
        <w:keepNext w:val="0"/>
        <w:keepLines w:val="0"/>
        <w:widowControl/>
        <w:suppressLineNumbers w:val="0"/>
        <w:spacing w:before="0" w:beforeAutospacing="1" w:after="0" w:afterAutospacing="1"/>
        <w:ind w:left="900" w:right="0"/>
      </w:pPr>
      <w:r>
        <w:rPr>
          <w:rFonts w:hint="default" w:ascii="Wingdings" w:hAnsi="Wingdings" w:cs="Wingdings"/>
          <w:sz w:val="24"/>
          <w:szCs w:val="24"/>
        </w:rPr>
        <w:t>n</w:t>
      </w:r>
      <w:r>
        <w:rPr>
          <w:rFonts w:hint="default" w:ascii="Times New Roman" w:hAnsi="Times New Roman" w:cs="Times New Roman"/>
          <w:sz w:val="13"/>
          <w:szCs w:val="13"/>
        </w:rPr>
        <w:t xml:space="preserve">  </w:t>
      </w:r>
      <w:r>
        <w:rPr>
          <w:rFonts w:hint="eastAsia" w:ascii="宋体" w:hAnsi="宋体" w:eastAsia="宋体" w:cs="宋体"/>
          <w:sz w:val="24"/>
          <w:szCs w:val="24"/>
        </w:rPr>
        <w:t>负荷分配：三相电流不平衡度≤20%</w:t>
      </w:r>
    </w:p>
    <w:p>
      <w:pPr>
        <w:pStyle w:val="4"/>
        <w:keepNext w:val="0"/>
        <w:keepLines w:val="0"/>
        <w:widowControl/>
        <w:suppressLineNumbers w:val="0"/>
        <w:spacing w:before="0" w:beforeAutospacing="1" w:after="0" w:afterAutospacing="1"/>
        <w:ind w:left="900" w:right="0"/>
      </w:pPr>
      <w:r>
        <w:rPr>
          <w:rFonts w:hint="default" w:ascii="Wingdings" w:hAnsi="Wingdings" w:cs="Wingdings"/>
          <w:sz w:val="24"/>
          <w:szCs w:val="24"/>
        </w:rPr>
        <w:t>n</w:t>
      </w:r>
      <w:r>
        <w:rPr>
          <w:rFonts w:hint="default" w:ascii="Times New Roman" w:hAnsi="Times New Roman" w:cs="Times New Roman"/>
          <w:sz w:val="13"/>
          <w:szCs w:val="13"/>
        </w:rPr>
        <w:t xml:space="preserve">  </w:t>
      </w:r>
      <w:r>
        <w:rPr>
          <w:rFonts w:hint="eastAsia" w:ascii="宋体" w:hAnsi="宋体" w:eastAsia="宋体" w:cs="宋体"/>
          <w:sz w:val="24"/>
          <w:szCs w:val="24"/>
        </w:rPr>
        <w:t>三相电压不平衡度≤5%</w:t>
      </w:r>
    </w:p>
    <w:p>
      <w:pPr>
        <w:pStyle w:val="4"/>
        <w:keepNext w:val="0"/>
        <w:keepLines w:val="0"/>
        <w:widowControl/>
        <w:suppressLineNumbers w:val="0"/>
        <w:spacing w:before="0" w:beforeAutospacing="1" w:after="0" w:afterAutospacing="1"/>
        <w:ind w:left="900" w:right="0"/>
      </w:pPr>
      <w:r>
        <w:rPr>
          <w:rFonts w:hint="default" w:ascii="Wingdings" w:hAnsi="Wingdings" w:cs="Wingdings"/>
          <w:sz w:val="24"/>
          <w:szCs w:val="24"/>
        </w:rPr>
        <w:t>n</w:t>
      </w:r>
      <w:r>
        <w:rPr>
          <w:rFonts w:hint="default" w:ascii="Times New Roman" w:hAnsi="Times New Roman" w:cs="Times New Roman"/>
          <w:sz w:val="13"/>
          <w:szCs w:val="13"/>
        </w:rPr>
        <w:t xml:space="preserve">  </w:t>
      </w:r>
      <w:r>
        <w:rPr>
          <w:rFonts w:hint="eastAsia" w:ascii="宋体" w:hAnsi="宋体" w:eastAsia="宋体" w:cs="宋体"/>
          <w:sz w:val="24"/>
          <w:szCs w:val="24"/>
        </w:rPr>
        <w:t>照度：300LX- 500LX</w:t>
      </w:r>
    </w:p>
    <w:p>
      <w:pPr>
        <w:pStyle w:val="4"/>
        <w:keepNext w:val="0"/>
        <w:keepLines w:val="0"/>
        <w:widowControl/>
        <w:suppressLineNumbers w:val="0"/>
        <w:spacing w:before="0" w:beforeAutospacing="1" w:after="0" w:afterAutospacing="1"/>
        <w:ind w:left="900" w:right="0"/>
      </w:pPr>
      <w:r>
        <w:rPr>
          <w:rFonts w:hint="default" w:ascii="Wingdings" w:hAnsi="Wingdings" w:cs="Wingdings"/>
          <w:sz w:val="24"/>
          <w:szCs w:val="24"/>
        </w:rPr>
        <w:t>n</w:t>
      </w:r>
      <w:r>
        <w:rPr>
          <w:rFonts w:hint="default" w:ascii="Times New Roman" w:hAnsi="Times New Roman" w:cs="Times New Roman"/>
          <w:sz w:val="13"/>
          <w:szCs w:val="13"/>
        </w:rPr>
        <w:t xml:space="preserve">  </w:t>
      </w:r>
      <w:r>
        <w:rPr>
          <w:rFonts w:hint="eastAsia" w:ascii="宋体" w:hAnsi="宋体" w:eastAsia="宋体" w:cs="宋体"/>
          <w:sz w:val="24"/>
          <w:szCs w:val="24"/>
        </w:rPr>
        <w:t>应急照明：≥50LX</w:t>
      </w:r>
    </w:p>
    <w:p>
      <w:pPr>
        <w:pStyle w:val="4"/>
        <w:keepNext w:val="0"/>
        <w:keepLines w:val="0"/>
        <w:widowControl/>
        <w:suppressLineNumbers w:val="0"/>
        <w:spacing w:before="0" w:beforeAutospacing="1" w:after="0" w:afterAutospacing="1"/>
        <w:ind w:left="900" w:right="0"/>
      </w:pPr>
      <w:r>
        <w:rPr>
          <w:rFonts w:hint="default" w:ascii="Wingdings" w:hAnsi="Wingdings" w:cs="Wingdings"/>
          <w:sz w:val="24"/>
          <w:szCs w:val="24"/>
        </w:rPr>
        <w:t>n</w:t>
      </w:r>
      <w:r>
        <w:rPr>
          <w:rFonts w:hint="default" w:ascii="Times New Roman" w:hAnsi="Times New Roman" w:cs="Times New Roman"/>
          <w:sz w:val="13"/>
          <w:szCs w:val="13"/>
        </w:rPr>
        <w:t xml:space="preserve">  </w:t>
      </w:r>
      <w:r>
        <w:rPr>
          <w:rFonts w:hint="eastAsia" w:ascii="宋体" w:hAnsi="宋体" w:eastAsia="宋体" w:cs="宋体"/>
          <w:sz w:val="24"/>
          <w:szCs w:val="24"/>
        </w:rPr>
        <w:t>电磁干扰：在频率为0.15－1000MHz时,无线电干扰场强不应大于126dB</w:t>
      </w:r>
    </w:p>
    <w:p>
      <w:pPr>
        <w:pStyle w:val="4"/>
        <w:keepNext w:val="0"/>
        <w:keepLines w:val="0"/>
        <w:widowControl/>
        <w:suppressLineNumbers w:val="0"/>
        <w:spacing w:before="0" w:beforeAutospacing="1" w:after="0" w:afterAutospacing="1"/>
        <w:ind w:left="900" w:right="0"/>
      </w:pPr>
      <w:r>
        <w:rPr>
          <w:rFonts w:hint="default" w:ascii="Wingdings" w:hAnsi="Wingdings" w:cs="Wingdings"/>
          <w:sz w:val="24"/>
          <w:szCs w:val="24"/>
        </w:rPr>
        <w:t>n</w:t>
      </w:r>
      <w:r>
        <w:rPr>
          <w:rFonts w:hint="default" w:ascii="Times New Roman" w:hAnsi="Times New Roman" w:cs="Times New Roman"/>
          <w:sz w:val="13"/>
          <w:szCs w:val="13"/>
        </w:rPr>
        <w:t xml:space="preserve">  </w:t>
      </w:r>
      <w:r>
        <w:rPr>
          <w:rFonts w:hint="eastAsia" w:ascii="宋体" w:hAnsi="宋体" w:eastAsia="宋体" w:cs="宋体"/>
          <w:sz w:val="24"/>
          <w:szCs w:val="24"/>
        </w:rPr>
        <w:t>磁场干扰强度≤800A/m</w:t>
      </w:r>
    </w:p>
    <w:p>
      <w:pPr>
        <w:pStyle w:val="4"/>
        <w:keepNext w:val="0"/>
        <w:keepLines w:val="0"/>
        <w:widowControl/>
        <w:suppressLineNumbers w:val="0"/>
        <w:ind w:left="0" w:firstLine="0"/>
      </w:pPr>
      <w:r>
        <w:rPr>
          <w:rFonts w:hint="default" w:ascii="Calibri" w:hAnsi="Calibri" w:cs="Calibri"/>
          <w:sz w:val="24"/>
          <w:szCs w:val="24"/>
        </w:rPr>
        <w:t>1.10.3</w:t>
      </w:r>
      <w:r>
        <w:rPr>
          <w:rFonts w:hint="default" w:ascii="Times New Roman" w:hAnsi="Times New Roman" w:cs="Times New Roman"/>
          <w:sz w:val="13"/>
          <w:szCs w:val="13"/>
        </w:rPr>
        <w:t xml:space="preserve">    </w:t>
      </w:r>
      <w:r>
        <w:rPr>
          <w:rFonts w:hint="eastAsia" w:ascii="黑体" w:hAnsi="宋体" w:eastAsia="黑体" w:cs="黑体"/>
          <w:sz w:val="24"/>
          <w:szCs w:val="24"/>
        </w:rPr>
        <w:t>设</w:t>
      </w:r>
      <w:r>
        <w:rPr>
          <w:rFonts w:hint="default" w:ascii="Calibri" w:hAnsi="Calibri" w:cs="Calibri"/>
          <w:sz w:val="24"/>
          <w:szCs w:val="24"/>
        </w:rPr>
        <w:t xml:space="preserve">  </w:t>
      </w:r>
      <w:r>
        <w:rPr>
          <w:rFonts w:hint="eastAsia" w:ascii="黑体" w:hAnsi="宋体" w:eastAsia="黑体" w:cs="黑体"/>
          <w:sz w:val="24"/>
          <w:szCs w:val="24"/>
        </w:rPr>
        <w:t>计方案</w:t>
      </w:r>
    </w:p>
    <w:p>
      <w:pPr>
        <w:pStyle w:val="4"/>
        <w:keepNext w:val="0"/>
        <w:keepLines w:val="0"/>
        <w:widowControl/>
        <w:suppressLineNumbers w:val="0"/>
      </w:pPr>
      <w:r>
        <w:rPr>
          <w:rFonts w:hint="default" w:ascii="Calibri" w:hAnsi="Calibri" w:cs="Calibri"/>
          <w:sz w:val="24"/>
          <w:szCs w:val="24"/>
        </w:rPr>
        <w:t xml:space="preserve">1.10.3.1 </w:t>
      </w:r>
      <w:r>
        <w:rPr>
          <w:rFonts w:hint="eastAsia" w:ascii="宋体" w:hAnsi="宋体" w:eastAsia="宋体" w:cs="宋体"/>
          <w:sz w:val="24"/>
          <w:szCs w:val="24"/>
        </w:rPr>
        <w:t>机房平面布局设  计</w:t>
      </w:r>
    </w:p>
    <w:p>
      <w:pPr>
        <w:pStyle w:val="4"/>
        <w:keepNext w:val="0"/>
        <w:keepLines w:val="0"/>
        <w:widowControl/>
        <w:suppressLineNumbers w:val="0"/>
      </w:pPr>
      <w:r>
        <w:drawing>
          <wp:inline distT="0" distB="0" distL="114300" distR="114300">
            <wp:extent cx="5743575" cy="3781425"/>
            <wp:effectExtent l="0" t="0" r="9525" b="9525"/>
            <wp:docPr id="16" name="图片 15" descr="15354248694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5" descr="1535424869449.png"/>
                    <pic:cNvPicPr>
                      <a:picLocks noChangeAspect="1"/>
                    </pic:cNvPicPr>
                  </pic:nvPicPr>
                  <pic:blipFill>
                    <a:blip r:embed="rId18"/>
                    <a:stretch>
                      <a:fillRect/>
                    </a:stretch>
                  </pic:blipFill>
                  <pic:spPr>
                    <a:xfrm>
                      <a:off x="0" y="0"/>
                      <a:ext cx="5743575" cy="3781425"/>
                    </a:xfrm>
                    <a:prstGeom prst="rect">
                      <a:avLst/>
                    </a:prstGeom>
                    <a:noFill/>
                    <a:ln w="9525">
                      <a:noFill/>
                    </a:ln>
                  </pic:spPr>
                </pic:pic>
              </a:graphicData>
            </a:graphic>
          </wp:inline>
        </w:drawing>
      </w:r>
      <w:r>
        <w:rPr>
          <w:rFonts w:hint="default" w:ascii="Calibri" w:hAnsi="Calibri" w:cs="Calibri"/>
          <w:sz w:val="24"/>
          <w:szCs w:val="24"/>
        </w:rPr>
        <w:t> </w:t>
      </w:r>
    </w:p>
    <w:p>
      <w:pPr>
        <w:pStyle w:val="4"/>
        <w:keepNext w:val="0"/>
        <w:keepLines w:val="0"/>
        <w:widowControl/>
        <w:suppressLineNumbers w:val="0"/>
      </w:pPr>
      <w:r>
        <w:rPr>
          <w:rFonts w:hint="default" w:ascii="Calibri" w:hAnsi="Calibri" w:cs="Calibri"/>
          <w:sz w:val="24"/>
          <w:szCs w:val="24"/>
        </w:rPr>
        <w:br w:type="textWrapping"/>
      </w:r>
      <w:r>
        <w:rPr>
          <w:rFonts w:hint="default" w:ascii="Calibri" w:hAnsi="Calibri" w:cs="Calibri"/>
          <w:sz w:val="24"/>
          <w:szCs w:val="24"/>
        </w:rPr>
        <w:t>                图5.7-1机房平面设   计布置图 </w:t>
      </w:r>
    </w:p>
    <w:p>
      <w:pPr>
        <w:pStyle w:val="4"/>
        <w:keepNext w:val="0"/>
        <w:keepLines w:val="0"/>
        <w:widowControl/>
        <w:suppressLineNumbers w:val="0"/>
        <w:jc w:val="center"/>
      </w:pPr>
      <w:r>
        <w:rPr>
          <w:rFonts w:hint="default" w:ascii="Calibri" w:hAnsi="Calibri" w:cs="Calibri"/>
          <w:sz w:val="24"/>
          <w:szCs w:val="24"/>
        </w:rPr>
        <w:t> </w:t>
      </w:r>
    </w:p>
    <w:p>
      <w:pPr>
        <w:pStyle w:val="4"/>
        <w:keepNext w:val="0"/>
        <w:keepLines w:val="0"/>
        <w:widowControl/>
        <w:suppressLineNumbers w:val="0"/>
      </w:pPr>
      <w:r>
        <w:rPr>
          <w:rFonts w:hint="eastAsia" w:ascii="宋体" w:hAnsi="宋体" w:eastAsia="宋体" w:cs="宋体"/>
          <w:sz w:val="21"/>
          <w:szCs w:val="21"/>
        </w:rPr>
        <w:br w:type="textWrapping"/>
      </w:r>
      <w:r>
        <w:rPr>
          <w:rFonts w:hint="default" w:ascii="Calibri" w:hAnsi="Calibri" w:cs="Calibri"/>
          <w:sz w:val="24"/>
          <w:szCs w:val="24"/>
        </w:rPr>
        <w:t> </w:t>
      </w:r>
    </w:p>
    <w:p>
      <w:pPr>
        <w:pStyle w:val="4"/>
        <w:keepNext w:val="0"/>
        <w:keepLines w:val="0"/>
        <w:widowControl/>
        <w:suppressLineNumbers w:val="0"/>
        <w:ind w:left="0" w:firstLine="480"/>
      </w:pPr>
      <w:r>
        <w:rPr>
          <w:rFonts w:hint="eastAsia" w:ascii="宋体" w:hAnsi="宋体" w:eastAsia="宋体" w:cs="宋体"/>
          <w:color w:val="000000"/>
          <w:sz w:val="24"/>
          <w:szCs w:val="24"/>
        </w:rPr>
        <w:t>如上图所示，机房可用面积约61平方米，设  计不做区域隔离，规划可布局9架服务器机柜位置，保障电源设备区域及部署精密空调、消防灭火设备，配电设备空间。</w:t>
      </w:r>
    </w:p>
    <w:p>
      <w:pPr>
        <w:pStyle w:val="4"/>
        <w:keepNext w:val="0"/>
        <w:keepLines w:val="0"/>
        <w:widowControl/>
        <w:suppressLineNumbers w:val="0"/>
        <w:ind w:left="0" w:firstLine="480"/>
      </w:pPr>
      <w:r>
        <w:rPr>
          <w:rFonts w:hint="eastAsia" w:ascii="宋体" w:hAnsi="宋体" w:eastAsia="宋体" w:cs="宋体"/>
          <w:color w:val="000000"/>
          <w:sz w:val="24"/>
          <w:szCs w:val="24"/>
        </w:rPr>
        <w:t>根据规范，室内装饰应采用非燃烧材料（燃烧性能A级）或难燃材料（燃烧性能B1级），当设有火灾自动报警装置或自动灭火系统时，除顶棚外其它装修材料燃烧性能等级可降低一级。</w:t>
      </w:r>
    </w:p>
    <w:p>
      <w:pPr>
        <w:pStyle w:val="4"/>
        <w:keepNext w:val="0"/>
        <w:keepLines w:val="0"/>
        <w:widowControl/>
        <w:suppressLineNumbers w:val="0"/>
      </w:pPr>
      <w:r>
        <w:rPr>
          <w:rFonts w:hint="default" w:ascii="Calibri" w:hAnsi="Calibri" w:cs="Calibri"/>
          <w:sz w:val="24"/>
          <w:szCs w:val="24"/>
        </w:rPr>
        <w:t xml:space="preserve">1.10.3.2 </w:t>
      </w:r>
      <w:r>
        <w:rPr>
          <w:rFonts w:hint="eastAsia" w:ascii="宋体" w:hAnsi="宋体" w:eastAsia="宋体" w:cs="宋体"/>
          <w:sz w:val="24"/>
          <w:szCs w:val="24"/>
        </w:rPr>
        <w:t>防水、防火、防潮和保温处理</w:t>
      </w:r>
    </w:p>
    <w:p>
      <w:pPr>
        <w:pStyle w:val="4"/>
        <w:keepNext w:val="0"/>
        <w:keepLines w:val="0"/>
        <w:widowControl/>
        <w:suppressLineNumbers w:val="0"/>
        <w:spacing w:before="0" w:beforeAutospacing="1" w:after="0" w:afterAutospacing="1"/>
        <w:ind w:left="420" w:right="0"/>
      </w:pPr>
      <w:r>
        <w:rPr>
          <w:rFonts w:hint="default" w:ascii="Wingdings" w:hAnsi="Wingdings" w:cs="Wingdings"/>
          <w:sz w:val="24"/>
          <w:szCs w:val="24"/>
        </w:rPr>
        <w:t>n</w:t>
      </w:r>
      <w:r>
        <w:rPr>
          <w:rFonts w:hint="default" w:ascii="Times New Roman" w:hAnsi="Times New Roman" w:cs="Times New Roman"/>
          <w:sz w:val="13"/>
          <w:szCs w:val="13"/>
        </w:rPr>
        <w:t xml:space="preserve">  </w:t>
      </w:r>
      <w:r>
        <w:rPr>
          <w:rFonts w:hint="eastAsia" w:ascii="宋体" w:hAnsi="宋体" w:eastAsia="宋体" w:cs="宋体"/>
          <w:sz w:val="24"/>
          <w:szCs w:val="24"/>
        </w:rPr>
        <w:t>机房防水</w:t>
      </w:r>
    </w:p>
    <w:p>
      <w:pPr>
        <w:pStyle w:val="4"/>
        <w:keepNext w:val="0"/>
        <w:keepLines w:val="0"/>
        <w:widowControl/>
        <w:suppressLineNumbers w:val="0"/>
        <w:ind w:left="0" w:firstLine="480"/>
      </w:pPr>
      <w:r>
        <w:rPr>
          <w:rFonts w:hint="eastAsia" w:ascii="宋体" w:hAnsi="宋体" w:eastAsia="宋体" w:cs="宋体"/>
          <w:sz w:val="24"/>
          <w:szCs w:val="24"/>
        </w:rPr>
        <w:t>机房防水主要分为室内防水和外墙墙面防水两部分，地面和墙面清洁后采用水泥沙浆找平，并进行防水处理。同时在安装的精密空调出风口确认漏水监测。</w:t>
      </w:r>
    </w:p>
    <w:p>
      <w:pPr>
        <w:pStyle w:val="4"/>
        <w:keepNext w:val="0"/>
        <w:keepLines w:val="0"/>
        <w:widowControl/>
        <w:suppressLineNumbers w:val="0"/>
        <w:spacing w:before="0" w:beforeAutospacing="1" w:after="0" w:afterAutospacing="1"/>
        <w:ind w:left="420" w:right="0"/>
      </w:pPr>
      <w:r>
        <w:rPr>
          <w:rFonts w:hint="default" w:ascii="Wingdings" w:hAnsi="Wingdings" w:cs="Wingdings"/>
          <w:sz w:val="24"/>
          <w:szCs w:val="24"/>
        </w:rPr>
        <w:t>n</w:t>
      </w:r>
      <w:r>
        <w:rPr>
          <w:rFonts w:hint="default" w:ascii="Times New Roman" w:hAnsi="Times New Roman" w:cs="Times New Roman"/>
          <w:sz w:val="13"/>
          <w:szCs w:val="13"/>
        </w:rPr>
        <w:t xml:space="preserve">  </w:t>
      </w:r>
      <w:r>
        <w:rPr>
          <w:rFonts w:hint="eastAsia" w:ascii="宋体" w:hAnsi="宋体" w:eastAsia="宋体" w:cs="宋体"/>
          <w:sz w:val="24"/>
          <w:szCs w:val="24"/>
        </w:rPr>
        <w:t>机房防火</w:t>
      </w:r>
    </w:p>
    <w:p>
      <w:pPr>
        <w:pStyle w:val="4"/>
        <w:keepNext w:val="0"/>
        <w:keepLines w:val="0"/>
        <w:widowControl/>
        <w:suppressLineNumbers w:val="0"/>
        <w:ind w:left="0" w:firstLine="480"/>
      </w:pPr>
      <w:r>
        <w:rPr>
          <w:rFonts w:hint="eastAsia" w:ascii="宋体" w:hAnsi="宋体" w:eastAsia="宋体" w:cs="宋体"/>
          <w:sz w:val="24"/>
          <w:szCs w:val="24"/>
        </w:rPr>
        <w:t>(1)机房应采用非燃或难燃材料，材料燃烧性能应符合《建筑内部装修设  计防火规范》的有关规定。</w:t>
      </w:r>
    </w:p>
    <w:p>
      <w:pPr>
        <w:pStyle w:val="4"/>
        <w:keepNext w:val="0"/>
        <w:keepLines w:val="0"/>
        <w:widowControl/>
        <w:suppressLineNumbers w:val="0"/>
        <w:ind w:left="0" w:firstLine="480"/>
      </w:pPr>
      <w:r>
        <w:rPr>
          <w:rFonts w:hint="eastAsia" w:ascii="宋体" w:hAnsi="宋体" w:eastAsia="宋体" w:cs="宋体"/>
          <w:sz w:val="24"/>
          <w:szCs w:val="24"/>
        </w:rPr>
        <w:t>(2)机房应设火灾报警和气体灭火系统。</w:t>
      </w:r>
    </w:p>
    <w:p>
      <w:pPr>
        <w:pStyle w:val="4"/>
        <w:keepNext w:val="0"/>
        <w:keepLines w:val="0"/>
        <w:widowControl/>
        <w:suppressLineNumbers w:val="0"/>
        <w:ind w:left="0" w:firstLine="480"/>
      </w:pPr>
      <w:r>
        <w:rPr>
          <w:rFonts w:hint="eastAsia" w:ascii="宋体" w:hAnsi="宋体" w:eastAsia="宋体" w:cs="宋体"/>
          <w:sz w:val="24"/>
          <w:szCs w:val="24"/>
        </w:rPr>
        <w:t>(3)机房应有畅通的疏散通道、足够的疏散出口和醒目的疏散标志。</w:t>
      </w:r>
    </w:p>
    <w:p>
      <w:pPr>
        <w:pStyle w:val="4"/>
        <w:keepNext w:val="0"/>
        <w:keepLines w:val="0"/>
        <w:widowControl/>
        <w:suppressLineNumbers w:val="0"/>
        <w:ind w:left="0" w:firstLine="480"/>
      </w:pPr>
      <w:r>
        <w:rPr>
          <w:rFonts w:hint="eastAsia" w:ascii="宋体" w:hAnsi="宋体" w:eastAsia="宋体" w:cs="宋体"/>
          <w:sz w:val="24"/>
          <w:szCs w:val="24"/>
        </w:rPr>
        <w:t>(4)新风进场应设防火阀。</w:t>
      </w:r>
    </w:p>
    <w:p>
      <w:pPr>
        <w:pStyle w:val="4"/>
        <w:keepNext w:val="0"/>
        <w:keepLines w:val="0"/>
        <w:widowControl/>
        <w:suppressLineNumbers w:val="0"/>
        <w:spacing w:before="0" w:beforeAutospacing="1" w:after="0" w:afterAutospacing="1"/>
        <w:ind w:left="420" w:right="0"/>
      </w:pPr>
      <w:r>
        <w:rPr>
          <w:rFonts w:hint="default" w:ascii="Wingdings" w:hAnsi="Wingdings" w:cs="Wingdings"/>
          <w:sz w:val="24"/>
          <w:szCs w:val="24"/>
        </w:rPr>
        <w:t>n</w:t>
      </w:r>
      <w:r>
        <w:rPr>
          <w:rFonts w:hint="default" w:ascii="Times New Roman" w:hAnsi="Times New Roman" w:cs="Times New Roman"/>
          <w:sz w:val="13"/>
          <w:szCs w:val="13"/>
        </w:rPr>
        <w:t xml:space="preserve">  </w:t>
      </w:r>
      <w:r>
        <w:rPr>
          <w:rFonts w:hint="eastAsia" w:ascii="宋体" w:hAnsi="宋体" w:eastAsia="宋体" w:cs="宋体"/>
          <w:sz w:val="24"/>
          <w:szCs w:val="24"/>
        </w:rPr>
        <w:t>防潮保温</w:t>
      </w:r>
    </w:p>
    <w:p>
      <w:pPr>
        <w:pStyle w:val="4"/>
        <w:keepNext w:val="0"/>
        <w:keepLines w:val="0"/>
        <w:widowControl/>
        <w:suppressLineNumbers w:val="0"/>
        <w:ind w:left="0" w:firstLine="480"/>
      </w:pPr>
      <w:r>
        <w:rPr>
          <w:rFonts w:hint="eastAsia" w:ascii="宋体" w:hAnsi="宋体" w:eastAsia="宋体" w:cs="宋体"/>
          <w:sz w:val="24"/>
          <w:szCs w:val="24"/>
        </w:rPr>
        <w:t>为了节约能源，减少日后的运行费用，解决计算机房相邻界面凝露的相关问题，机房顶部、墙体和地面都需要保温棉，既能保持机房的温度恒定，同时地板的灰尘又不至于被风吹进机器内。</w:t>
      </w:r>
    </w:p>
    <w:p>
      <w:pPr>
        <w:pStyle w:val="4"/>
        <w:keepNext w:val="0"/>
        <w:keepLines w:val="0"/>
        <w:widowControl/>
        <w:suppressLineNumbers w:val="0"/>
        <w:ind w:left="0" w:firstLine="0"/>
      </w:pPr>
      <w:r>
        <w:rPr>
          <w:rFonts w:hint="eastAsia" w:ascii="宋体" w:hAnsi="宋体" w:eastAsia="宋体" w:cs="宋体"/>
          <w:sz w:val="24"/>
          <w:szCs w:val="24"/>
        </w:rPr>
        <w:t>1.10.4 机房六面体处理设  计</w:t>
      </w:r>
    </w:p>
    <w:p>
      <w:pPr>
        <w:pStyle w:val="4"/>
        <w:keepNext w:val="0"/>
        <w:keepLines w:val="0"/>
        <w:widowControl/>
        <w:suppressLineNumbers w:val="0"/>
      </w:pPr>
      <w:r>
        <w:rPr>
          <w:rFonts w:hint="default" w:ascii="Calibri" w:hAnsi="Calibri" w:cs="Calibri"/>
          <w:sz w:val="24"/>
          <w:szCs w:val="24"/>
        </w:rPr>
        <w:t xml:space="preserve">1.10.4.1 </w:t>
      </w:r>
      <w:r>
        <w:rPr>
          <w:rFonts w:hint="eastAsia" w:ascii="宋体" w:hAnsi="宋体" w:eastAsia="宋体" w:cs="宋体"/>
          <w:sz w:val="24"/>
          <w:szCs w:val="24"/>
        </w:rPr>
        <w:t>地面处理设 计</w:t>
      </w:r>
    </w:p>
    <w:p>
      <w:pPr>
        <w:pStyle w:val="4"/>
        <w:keepNext w:val="0"/>
        <w:keepLines w:val="0"/>
        <w:widowControl/>
        <w:suppressLineNumbers w:val="0"/>
        <w:ind w:left="0" w:firstLine="480"/>
      </w:pPr>
      <w:r>
        <w:rPr>
          <w:rFonts w:hint="eastAsia" w:ascii="宋体" w:hAnsi="宋体" w:eastAsia="宋体" w:cs="宋体"/>
          <w:sz w:val="24"/>
          <w:szCs w:val="24"/>
        </w:rPr>
        <w:t>（1）在找平地面上做防潮防尘处理，刷高级防潮防尘漆。</w:t>
      </w:r>
    </w:p>
    <w:p>
      <w:pPr>
        <w:pStyle w:val="4"/>
        <w:keepNext w:val="0"/>
        <w:keepLines w:val="0"/>
        <w:widowControl/>
        <w:suppressLineNumbers w:val="0"/>
        <w:ind w:left="0" w:firstLine="480"/>
      </w:pPr>
      <w:r>
        <w:rPr>
          <w:rFonts w:hint="eastAsia" w:ascii="宋体" w:hAnsi="宋体" w:eastAsia="宋体" w:cs="宋体"/>
          <w:sz w:val="24"/>
          <w:szCs w:val="24"/>
        </w:rPr>
        <w:t>地面保温；主机房、测试机房地面全部贴一层15mm厚保温棉。</w:t>
      </w:r>
    </w:p>
    <w:p>
      <w:pPr>
        <w:pStyle w:val="4"/>
        <w:keepNext w:val="0"/>
        <w:keepLines w:val="0"/>
        <w:widowControl/>
        <w:suppressLineNumbers w:val="0"/>
        <w:ind w:left="0" w:firstLine="480"/>
      </w:pPr>
      <w:r>
        <w:rPr>
          <w:rFonts w:hint="eastAsia" w:ascii="宋体" w:hAnsi="宋体" w:eastAsia="宋体" w:cs="宋体"/>
          <w:sz w:val="24"/>
          <w:szCs w:val="24"/>
        </w:rPr>
        <w:t>（2）防静电地板下，在敷设地板之前，先敷设3×30mm紫铜板网格等电位网，地板金属支架均匀用BV2.5导线与等电位网连接，便于泄放静电；</w:t>
      </w:r>
    </w:p>
    <w:p>
      <w:pPr>
        <w:pStyle w:val="4"/>
        <w:keepNext w:val="0"/>
        <w:keepLines w:val="0"/>
        <w:widowControl/>
        <w:suppressLineNumbers w:val="0"/>
        <w:ind w:left="0" w:firstLine="480"/>
      </w:pPr>
      <w:r>
        <w:rPr>
          <w:rFonts w:hint="eastAsia" w:ascii="宋体" w:hAnsi="宋体" w:eastAsia="宋体" w:cs="宋体"/>
          <w:sz w:val="24"/>
          <w:szCs w:val="24"/>
        </w:rPr>
        <w:t>（3）活动地板采用无边防静电地板，防静电地板安装高度距地250mm，铺设应紧密、牢固、不得有响动。</w:t>
      </w:r>
    </w:p>
    <w:p>
      <w:pPr>
        <w:pStyle w:val="4"/>
        <w:keepNext w:val="0"/>
        <w:keepLines w:val="0"/>
        <w:widowControl/>
        <w:suppressLineNumbers w:val="0"/>
        <w:ind w:left="0" w:firstLine="480"/>
      </w:pPr>
      <w:r>
        <w:rPr>
          <w:rFonts w:hint="eastAsia" w:ascii="宋体" w:hAnsi="宋体" w:eastAsia="宋体" w:cs="宋体"/>
          <w:sz w:val="24"/>
          <w:szCs w:val="24"/>
        </w:rPr>
        <w:t>（4）各板块间隙不大于0.5mm；相邻板块高度差不大于0.5mm；各区整体不平度不大于0.2mm。</w:t>
      </w:r>
    </w:p>
    <w:p>
      <w:pPr>
        <w:pStyle w:val="4"/>
        <w:keepNext w:val="0"/>
        <w:keepLines w:val="0"/>
        <w:widowControl/>
        <w:suppressLineNumbers w:val="0"/>
        <w:ind w:left="0" w:firstLine="480"/>
      </w:pPr>
      <w:r>
        <w:rPr>
          <w:rFonts w:hint="eastAsia" w:ascii="宋体" w:hAnsi="宋体" w:eastAsia="宋体" w:cs="宋体"/>
          <w:sz w:val="24"/>
          <w:szCs w:val="24"/>
        </w:rPr>
        <w:t>（5）地板调整水平时，不得用垫物；遇不规则地面时，应对地面处理。</w:t>
      </w:r>
    </w:p>
    <w:p>
      <w:pPr>
        <w:pStyle w:val="4"/>
        <w:keepNext w:val="0"/>
        <w:keepLines w:val="0"/>
        <w:widowControl/>
        <w:suppressLineNumbers w:val="0"/>
        <w:ind w:left="0" w:firstLine="480"/>
      </w:pPr>
      <w:r>
        <w:rPr>
          <w:rFonts w:hint="eastAsia" w:ascii="宋体" w:hAnsi="宋体" w:eastAsia="宋体" w:cs="宋体"/>
          <w:sz w:val="24"/>
          <w:szCs w:val="24"/>
        </w:rPr>
        <w:t>（6）加工地板光滑、平整，走线口边必须磨圆滑，加装塑料走线孔盖。</w:t>
      </w:r>
    </w:p>
    <w:p>
      <w:pPr>
        <w:pStyle w:val="4"/>
        <w:keepNext w:val="0"/>
        <w:keepLines w:val="0"/>
        <w:widowControl/>
        <w:suppressLineNumbers w:val="0"/>
        <w:ind w:left="0" w:firstLine="480"/>
      </w:pPr>
      <w:r>
        <w:rPr>
          <w:rFonts w:hint="eastAsia" w:ascii="宋体" w:hAnsi="宋体" w:eastAsia="宋体" w:cs="宋体"/>
          <w:sz w:val="24"/>
          <w:szCs w:val="24"/>
        </w:rPr>
        <w:t>（7）地板与墙面交界处，需精确切割下料。切割边需封胶处理后安装。地板安装后，用彩钢板厂家踢脚板压边装饰。</w:t>
      </w:r>
    </w:p>
    <w:p>
      <w:pPr>
        <w:pStyle w:val="4"/>
        <w:keepNext w:val="0"/>
        <w:keepLines w:val="0"/>
        <w:widowControl/>
        <w:suppressLineNumbers w:val="0"/>
        <w:ind w:left="0" w:firstLine="480"/>
      </w:pPr>
      <w:r>
        <w:rPr>
          <w:rFonts w:hint="eastAsia" w:ascii="宋体" w:hAnsi="宋体" w:eastAsia="宋体" w:cs="宋体"/>
          <w:sz w:val="24"/>
          <w:szCs w:val="24"/>
        </w:rPr>
        <w:t>（8）主机房与走道连接处、消防通道与室外连接处做设备斜坡，方便重型设备搬运。监控室、UPS间等辅助功能区安装静电地板的区域门口做台阶，要求美观大方，台阶面敷设抗静电防滑地毯。</w:t>
      </w:r>
    </w:p>
    <w:p>
      <w:pPr>
        <w:pStyle w:val="4"/>
        <w:keepNext w:val="0"/>
        <w:keepLines w:val="0"/>
        <w:widowControl/>
        <w:suppressLineNumbers w:val="0"/>
        <w:ind w:left="0" w:firstLine="480"/>
      </w:pPr>
      <w:r>
        <w:rPr>
          <w:rFonts w:hint="eastAsia" w:ascii="宋体" w:hAnsi="宋体" w:eastAsia="宋体" w:cs="宋体"/>
          <w:sz w:val="24"/>
          <w:szCs w:val="24"/>
        </w:rPr>
        <w:t>（9） 精密空调、小型机、UPS主机及电池柜、配电柜等重型设备下均做槽钢支架，使负载均衡，确保整体负荷在可承受范围内。机房承重加固采用10CM槽钢进行加固，加固区间必须和静电地板保持在同一高度。</w:t>
      </w:r>
    </w:p>
    <w:p>
      <w:pPr>
        <w:pStyle w:val="4"/>
        <w:keepNext w:val="0"/>
        <w:keepLines w:val="0"/>
        <w:widowControl/>
        <w:suppressLineNumbers w:val="0"/>
        <w:ind w:left="0" w:firstLine="480"/>
      </w:pPr>
      <w:r>
        <w:rPr>
          <w:rFonts w:hint="eastAsia" w:ascii="宋体" w:hAnsi="宋体" w:eastAsia="宋体" w:cs="宋体"/>
          <w:sz w:val="24"/>
          <w:szCs w:val="24"/>
        </w:rPr>
        <w:t>（10）为了防止老鼠对线缆的破坏，所有机房与外界连接的管线槽口处均以专用防火泥封堵，各消防分区的围护上下均作适当的隔离封堵；机柜下开孔均加有PVC护套；各专业管线均分别放置在各自的金属桥架内或外套金属管。</w:t>
      </w:r>
      <w:r>
        <w:rPr>
          <w:rFonts w:hint="eastAsia" w:ascii="宋体" w:hAnsi="宋体" w:eastAsia="宋体" w:cs="宋体"/>
          <w:sz w:val="24"/>
          <w:szCs w:val="24"/>
        </w:rPr>
        <w:br w:type="textWrapping"/>
      </w:r>
      <w:r>
        <w:rPr>
          <w:rFonts w:hint="eastAsia" w:ascii="宋体" w:hAnsi="宋体" w:eastAsia="宋体" w:cs="宋体"/>
          <w:sz w:val="24"/>
          <w:szCs w:val="24"/>
        </w:rPr>
        <w:drawing>
          <wp:inline distT="0" distB="0" distL="114300" distR="114300">
            <wp:extent cx="5457825" cy="3754755"/>
            <wp:effectExtent l="0" t="0" r="9525" b="17145"/>
            <wp:docPr id="17" name="图片 16" descr="15354214841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6" descr="1535421484183.png"/>
                    <pic:cNvPicPr>
                      <a:picLocks noChangeAspect="1"/>
                    </pic:cNvPicPr>
                  </pic:nvPicPr>
                  <pic:blipFill>
                    <a:blip r:embed="rId19"/>
                    <a:stretch>
                      <a:fillRect/>
                    </a:stretch>
                  </pic:blipFill>
                  <pic:spPr>
                    <a:xfrm>
                      <a:off x="0" y="0"/>
                      <a:ext cx="5457825" cy="3754755"/>
                    </a:xfrm>
                    <a:prstGeom prst="rect">
                      <a:avLst/>
                    </a:prstGeom>
                    <a:noFill/>
                    <a:ln w="9525">
                      <a:noFill/>
                    </a:ln>
                  </pic:spPr>
                </pic:pic>
              </a:graphicData>
            </a:graphic>
          </wp:inline>
        </w:drawing>
      </w:r>
    </w:p>
    <w:p>
      <w:pPr>
        <w:pStyle w:val="4"/>
        <w:keepNext w:val="0"/>
        <w:keepLines w:val="0"/>
        <w:widowControl/>
        <w:suppressLineNumbers w:val="0"/>
        <w:jc w:val="center"/>
      </w:pPr>
      <w:r>
        <w:rPr>
          <w:rFonts w:hint="default" w:ascii="Calibri" w:hAnsi="Calibri" w:cs="Calibri"/>
          <w:sz w:val="24"/>
          <w:szCs w:val="24"/>
        </w:rPr>
        <w:t> </w:t>
      </w:r>
      <w:r>
        <w:rPr>
          <w:rFonts w:hint="eastAsia" w:ascii="宋体" w:hAnsi="宋体" w:eastAsia="宋体" w:cs="宋体"/>
          <w:sz w:val="24"/>
          <w:szCs w:val="24"/>
        </w:rPr>
        <w:t xml:space="preserve"> </w:t>
      </w:r>
    </w:p>
    <w:p>
      <w:pPr>
        <w:pStyle w:val="4"/>
        <w:keepNext w:val="0"/>
        <w:keepLines w:val="0"/>
        <w:widowControl/>
        <w:suppressLineNumbers w:val="0"/>
      </w:pPr>
      <w:r>
        <w:rPr>
          <w:rFonts w:hint="default" w:ascii="Calibri" w:hAnsi="Calibri" w:cs="Calibri"/>
          <w:sz w:val="24"/>
          <w:szCs w:val="24"/>
        </w:rPr>
        <w:t xml:space="preserve">1.10.4.2 </w:t>
      </w:r>
      <w:r>
        <w:rPr>
          <w:rFonts w:hint="eastAsia" w:ascii="宋体" w:hAnsi="宋体" w:eastAsia="宋体" w:cs="宋体"/>
          <w:sz w:val="24"/>
          <w:szCs w:val="24"/>
        </w:rPr>
        <w:t>天花板处理设  计</w:t>
      </w:r>
    </w:p>
    <w:p>
      <w:pPr>
        <w:pStyle w:val="4"/>
        <w:keepNext w:val="0"/>
        <w:keepLines w:val="0"/>
        <w:widowControl/>
        <w:suppressLineNumbers w:val="0"/>
        <w:ind w:left="0" w:firstLine="480"/>
      </w:pPr>
      <w:r>
        <w:rPr>
          <w:rFonts w:hint="eastAsia" w:ascii="宋体" w:hAnsi="宋体" w:eastAsia="宋体" w:cs="宋体"/>
          <w:sz w:val="24"/>
          <w:szCs w:val="24"/>
        </w:rPr>
        <w:t>天面防水处理（三遍）---防尘漆处理（三遍）---刷灰色乳胶漆（三遍）</w:t>
      </w:r>
    </w:p>
    <w:p>
      <w:pPr>
        <w:pStyle w:val="4"/>
        <w:keepNext w:val="0"/>
        <w:keepLines w:val="0"/>
        <w:widowControl/>
        <w:suppressLineNumbers w:val="0"/>
      </w:pPr>
      <w:r>
        <w:rPr>
          <w:rFonts w:hint="default" w:ascii="Calibri" w:hAnsi="Calibri" w:cs="Calibri"/>
          <w:sz w:val="24"/>
          <w:szCs w:val="24"/>
        </w:rPr>
        <w:t xml:space="preserve">1.10.4.3 </w:t>
      </w:r>
      <w:r>
        <w:rPr>
          <w:rFonts w:hint="eastAsia" w:ascii="宋体" w:hAnsi="宋体" w:eastAsia="宋体" w:cs="宋体"/>
          <w:sz w:val="24"/>
          <w:szCs w:val="24"/>
        </w:rPr>
        <w:t>墙面处理设 计</w:t>
      </w:r>
    </w:p>
    <w:p>
      <w:pPr>
        <w:pStyle w:val="4"/>
        <w:keepNext w:val="0"/>
        <w:keepLines w:val="0"/>
        <w:widowControl/>
        <w:suppressLineNumbers w:val="0"/>
        <w:ind w:left="0" w:firstLine="480"/>
      </w:pPr>
      <w:r>
        <w:rPr>
          <w:rFonts w:hint="eastAsia" w:ascii="宋体" w:hAnsi="宋体" w:eastAsia="宋体" w:cs="宋体"/>
          <w:sz w:val="24"/>
          <w:szCs w:val="24"/>
        </w:rPr>
        <w:t>墙面防水处理（三遍）---防尘漆处理（三遍）---刷白色乳胶漆（三遍）。机房和会议室墙面铺设75轻钢龙骨石膏板加保温隔音棉再安装彩钢板。机房隔墙板采用金属板饰面（钢板厚度大于0.6mm），饰面材料为粉墨静电喷涂工艺。彩钢板安装示意图如下：</w:t>
      </w:r>
      <w:r>
        <w:rPr>
          <w:rFonts w:hint="eastAsia" w:ascii="宋体" w:hAnsi="宋体" w:eastAsia="宋体" w:cs="宋体"/>
          <w:sz w:val="24"/>
          <w:szCs w:val="24"/>
        </w:rPr>
        <w:br w:type="textWrapping"/>
      </w:r>
      <w:r>
        <w:rPr>
          <w:rFonts w:hint="eastAsia" w:ascii="宋体" w:hAnsi="宋体" w:eastAsia="宋体" w:cs="宋体"/>
          <w:sz w:val="24"/>
          <w:szCs w:val="24"/>
        </w:rPr>
        <w:br w:type="textWrapping"/>
      </w:r>
      <w:r>
        <w:rPr>
          <w:rFonts w:hint="eastAsia" w:ascii="宋体" w:hAnsi="宋体" w:eastAsia="宋体" w:cs="宋体"/>
          <w:sz w:val="24"/>
          <w:szCs w:val="24"/>
        </w:rPr>
        <w:drawing>
          <wp:inline distT="0" distB="0" distL="114300" distR="114300">
            <wp:extent cx="4762500" cy="7172325"/>
            <wp:effectExtent l="0" t="0" r="0" b="9525"/>
            <wp:docPr id="18" name="图片 17" descr="15354215939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7" descr="1535421593958.png"/>
                    <pic:cNvPicPr>
                      <a:picLocks noChangeAspect="1"/>
                    </pic:cNvPicPr>
                  </pic:nvPicPr>
                  <pic:blipFill>
                    <a:blip r:embed="rId20"/>
                    <a:stretch>
                      <a:fillRect/>
                    </a:stretch>
                  </pic:blipFill>
                  <pic:spPr>
                    <a:xfrm>
                      <a:off x="0" y="0"/>
                      <a:ext cx="4762500" cy="7172325"/>
                    </a:xfrm>
                    <a:prstGeom prst="rect">
                      <a:avLst/>
                    </a:prstGeom>
                    <a:noFill/>
                    <a:ln w="9525">
                      <a:noFill/>
                    </a:ln>
                  </pic:spPr>
                </pic:pic>
              </a:graphicData>
            </a:graphic>
          </wp:inline>
        </w:drawing>
      </w:r>
      <w:r>
        <w:rPr>
          <w:rFonts w:hint="eastAsia" w:ascii="宋体" w:hAnsi="宋体" w:eastAsia="宋体" w:cs="宋体"/>
          <w:sz w:val="24"/>
          <w:szCs w:val="24"/>
        </w:rPr>
        <w:t>图5.7-3  彩钢板板安装示意图</w:t>
      </w:r>
    </w:p>
    <w:p>
      <w:pPr>
        <w:pStyle w:val="4"/>
        <w:keepNext w:val="0"/>
        <w:keepLines w:val="0"/>
        <w:widowControl/>
        <w:suppressLineNumbers w:val="0"/>
        <w:ind w:left="0" w:firstLine="480"/>
      </w:pPr>
      <w:r>
        <w:rPr>
          <w:rFonts w:hint="eastAsia" w:ascii="宋体" w:hAnsi="宋体" w:eastAsia="宋体" w:cs="宋体"/>
          <w:sz w:val="24"/>
          <w:szCs w:val="24"/>
        </w:rPr>
        <w:t>参数如下：</w:t>
      </w:r>
    </w:p>
    <w:p>
      <w:pPr>
        <w:pStyle w:val="4"/>
        <w:keepNext w:val="0"/>
        <w:keepLines w:val="0"/>
        <w:widowControl/>
        <w:suppressLineNumbers w:val="0"/>
        <w:ind w:left="0" w:firstLine="480"/>
      </w:pPr>
      <w:r>
        <w:rPr>
          <w:rFonts w:hint="eastAsia" w:ascii="宋体" w:hAnsi="宋体" w:eastAsia="宋体" w:cs="宋体"/>
          <w:sz w:val="24"/>
          <w:szCs w:val="24"/>
        </w:rPr>
        <w:t>1、表面SGCC钢板静电喷涂正面烤漆膜厚≥25um：</w:t>
      </w:r>
    </w:p>
    <w:p>
      <w:pPr>
        <w:pStyle w:val="4"/>
        <w:keepNext w:val="0"/>
        <w:keepLines w:val="0"/>
        <w:widowControl/>
        <w:suppressLineNumbers w:val="0"/>
        <w:ind w:left="0" w:firstLine="480"/>
      </w:pPr>
      <w:r>
        <w:rPr>
          <w:rFonts w:hint="eastAsia" w:ascii="宋体" w:hAnsi="宋体" w:eastAsia="宋体" w:cs="宋体"/>
          <w:sz w:val="24"/>
          <w:szCs w:val="24"/>
        </w:rPr>
        <w:t>1）、表面具备抗静电能力，规格值：表面电阻率：106---108Ω/㎡；</w:t>
      </w:r>
    </w:p>
    <w:p>
      <w:pPr>
        <w:pStyle w:val="4"/>
        <w:keepNext w:val="0"/>
        <w:keepLines w:val="0"/>
        <w:widowControl/>
        <w:suppressLineNumbers w:val="0"/>
        <w:ind w:left="0" w:firstLine="480"/>
      </w:pPr>
      <w:r>
        <w:rPr>
          <w:rFonts w:hint="eastAsia" w:ascii="宋体" w:hAnsi="宋体" w:eastAsia="宋体" w:cs="宋体"/>
          <w:sz w:val="24"/>
          <w:szCs w:val="24"/>
        </w:rPr>
        <w:t>2）、满足以下试验要求：</w:t>
      </w:r>
    </w:p>
    <w:p>
      <w:pPr>
        <w:pStyle w:val="4"/>
        <w:keepNext w:val="0"/>
        <w:keepLines w:val="0"/>
        <w:widowControl/>
        <w:suppressLineNumbers w:val="0"/>
        <w:ind w:left="0" w:firstLine="480"/>
      </w:pPr>
      <w:r>
        <w:rPr>
          <w:rFonts w:hint="eastAsia" w:ascii="宋体" w:hAnsi="宋体" w:eastAsia="宋体" w:cs="宋体"/>
          <w:sz w:val="24"/>
          <w:szCs w:val="24"/>
        </w:rPr>
        <w:t>？ 艾力生试验：表膜不发生龟裂、剥离；</w:t>
      </w:r>
    </w:p>
    <w:p>
      <w:pPr>
        <w:pStyle w:val="4"/>
        <w:keepNext w:val="0"/>
        <w:keepLines w:val="0"/>
        <w:widowControl/>
        <w:suppressLineNumbers w:val="0"/>
        <w:ind w:left="0" w:firstLine="480"/>
      </w:pPr>
      <w:r>
        <w:rPr>
          <w:rFonts w:hint="eastAsia" w:ascii="宋体" w:hAnsi="宋体" w:eastAsia="宋体" w:cs="宋体"/>
          <w:sz w:val="24"/>
          <w:szCs w:val="24"/>
        </w:rPr>
        <w:t>？ 1800弯曲试验：表膜不龟裂；</w:t>
      </w:r>
    </w:p>
    <w:p>
      <w:pPr>
        <w:pStyle w:val="4"/>
        <w:keepNext w:val="0"/>
        <w:keepLines w:val="0"/>
        <w:widowControl/>
        <w:suppressLineNumbers w:val="0"/>
        <w:ind w:left="0" w:firstLine="480"/>
      </w:pPr>
      <w:r>
        <w:rPr>
          <w:rFonts w:hint="eastAsia" w:ascii="宋体" w:hAnsi="宋体" w:eastAsia="宋体" w:cs="宋体"/>
          <w:sz w:val="24"/>
          <w:szCs w:val="24"/>
        </w:rPr>
        <w:t>？ 耐酸碱性：在24小时内，以5%的烧碱或同浓度的硫酸浸泡，表面不起泡；</w:t>
      </w:r>
    </w:p>
    <w:p>
      <w:pPr>
        <w:pStyle w:val="4"/>
        <w:keepNext w:val="0"/>
        <w:keepLines w:val="0"/>
        <w:widowControl/>
        <w:suppressLineNumbers w:val="0"/>
        <w:ind w:left="0" w:firstLine="480"/>
      </w:pPr>
      <w:r>
        <w:rPr>
          <w:rFonts w:hint="eastAsia" w:ascii="宋体" w:hAnsi="宋体" w:eastAsia="宋体" w:cs="宋体"/>
          <w:sz w:val="24"/>
          <w:szCs w:val="24"/>
        </w:rPr>
        <w:t>？ 冲击试验：满足50kg冲击实验，180kgf/㎡垂球打击下，表膜不龟裂、胶带粘贴不脱漆；</w:t>
      </w:r>
    </w:p>
    <w:p>
      <w:pPr>
        <w:pStyle w:val="4"/>
        <w:keepNext w:val="0"/>
        <w:keepLines w:val="0"/>
        <w:widowControl/>
        <w:suppressLineNumbers w:val="0"/>
        <w:ind w:left="0" w:firstLine="480"/>
      </w:pPr>
      <w:r>
        <w:rPr>
          <w:rFonts w:hint="eastAsia" w:ascii="宋体" w:hAnsi="宋体" w:eastAsia="宋体" w:cs="宋体"/>
          <w:sz w:val="24"/>
          <w:szCs w:val="24"/>
        </w:rPr>
        <w:t>？ 耐溶性测试：以MEK擦试100次，不掉漆；</w:t>
      </w:r>
    </w:p>
    <w:p>
      <w:pPr>
        <w:pStyle w:val="4"/>
        <w:keepNext w:val="0"/>
        <w:keepLines w:val="0"/>
        <w:widowControl/>
        <w:suppressLineNumbers w:val="0"/>
        <w:ind w:left="0" w:firstLine="480"/>
      </w:pPr>
      <w:r>
        <w:rPr>
          <w:rFonts w:hint="eastAsia" w:ascii="宋体" w:hAnsi="宋体" w:eastAsia="宋体" w:cs="宋体"/>
          <w:sz w:val="24"/>
          <w:szCs w:val="24"/>
        </w:rPr>
        <w:t>3)、表面采用先折弯后喷涂的工艺保证折弯处与切割处无折痕、不易氧化。钢板原料使用热熔镀锌（SGCC）使得在施工中开口与切割处不会锈蚀。喷涂完成后呈亚光效果反光率低于20%，光线柔和。</w:t>
      </w:r>
    </w:p>
    <w:p>
      <w:pPr>
        <w:pStyle w:val="4"/>
        <w:keepNext w:val="0"/>
        <w:keepLines w:val="0"/>
        <w:widowControl/>
        <w:suppressLineNumbers w:val="0"/>
        <w:ind w:left="0" w:firstLine="480"/>
      </w:pPr>
      <w:r>
        <w:rPr>
          <w:rFonts w:hint="eastAsia" w:ascii="宋体" w:hAnsi="宋体" w:eastAsia="宋体" w:cs="宋体"/>
          <w:sz w:val="24"/>
          <w:szCs w:val="24"/>
        </w:rPr>
        <w:t>2、背衬材：</w:t>
      </w:r>
    </w:p>
    <w:p>
      <w:pPr>
        <w:pStyle w:val="4"/>
        <w:keepNext w:val="0"/>
        <w:keepLines w:val="0"/>
        <w:widowControl/>
        <w:suppressLineNumbers w:val="0"/>
        <w:ind w:left="0" w:firstLine="480"/>
      </w:pPr>
      <w:r>
        <w:rPr>
          <w:rFonts w:hint="eastAsia" w:ascii="宋体" w:hAnsi="宋体" w:eastAsia="宋体" w:cs="宋体"/>
          <w:sz w:val="24"/>
          <w:szCs w:val="24"/>
        </w:rPr>
        <w:t>采用优质的 品 牌石膏板，厚度T=12mm，满足相关产品规定；</w:t>
      </w:r>
    </w:p>
    <w:p>
      <w:pPr>
        <w:pStyle w:val="4"/>
        <w:keepNext w:val="0"/>
        <w:keepLines w:val="0"/>
        <w:widowControl/>
        <w:suppressLineNumbers w:val="0"/>
        <w:ind w:left="0" w:firstLine="480"/>
      </w:pPr>
      <w:r>
        <w:rPr>
          <w:rFonts w:hint="eastAsia" w:ascii="宋体" w:hAnsi="宋体" w:eastAsia="宋体" w:cs="宋体"/>
          <w:sz w:val="24"/>
          <w:szCs w:val="24"/>
        </w:rPr>
        <w:t>3、提供国家防火建筑材料质量监督检验中心的检验报告：</w:t>
      </w:r>
    </w:p>
    <w:p>
      <w:pPr>
        <w:pStyle w:val="4"/>
        <w:keepNext w:val="0"/>
        <w:keepLines w:val="0"/>
        <w:widowControl/>
        <w:suppressLineNumbers w:val="0"/>
        <w:ind w:left="0" w:firstLine="480"/>
      </w:pPr>
      <w:r>
        <w:rPr>
          <w:rFonts w:hint="eastAsia" w:ascii="宋体" w:hAnsi="宋体" w:eastAsia="宋体" w:cs="宋体"/>
          <w:sz w:val="24"/>
          <w:szCs w:val="24"/>
        </w:rPr>
        <w:t>检验类别：型式检验（安全性能），达到GB8624 A级。</w:t>
      </w:r>
    </w:p>
    <w:p>
      <w:pPr>
        <w:pStyle w:val="4"/>
        <w:keepNext w:val="0"/>
        <w:keepLines w:val="0"/>
        <w:widowControl/>
        <w:suppressLineNumbers w:val="0"/>
        <w:ind w:left="0" w:firstLine="480"/>
      </w:pPr>
      <w:r>
        <w:rPr>
          <w:rFonts w:hint="eastAsia" w:ascii="宋体" w:hAnsi="宋体" w:eastAsia="宋体" w:cs="宋体"/>
          <w:sz w:val="24"/>
          <w:szCs w:val="24"/>
        </w:rPr>
        <w:t>4、提供环保总局的环境检测报告；</w:t>
      </w:r>
    </w:p>
    <w:p>
      <w:pPr>
        <w:pStyle w:val="4"/>
        <w:keepNext w:val="0"/>
        <w:keepLines w:val="0"/>
        <w:widowControl/>
        <w:suppressLineNumbers w:val="0"/>
        <w:ind w:left="0" w:firstLine="0"/>
      </w:pPr>
      <w:r>
        <w:rPr>
          <w:rFonts w:hint="eastAsia" w:ascii="宋体" w:hAnsi="宋体" w:eastAsia="宋体" w:cs="宋体"/>
          <w:sz w:val="24"/>
          <w:szCs w:val="24"/>
        </w:rPr>
        <w:t>1.10.5 门窗</w:t>
      </w:r>
    </w:p>
    <w:p>
      <w:pPr>
        <w:pStyle w:val="4"/>
        <w:keepNext w:val="0"/>
        <w:keepLines w:val="0"/>
        <w:widowControl/>
        <w:suppressLineNumbers w:val="0"/>
        <w:ind w:left="0" w:firstLine="480"/>
      </w:pPr>
      <w:r>
        <w:rPr>
          <w:rFonts w:hint="eastAsia" w:ascii="宋体" w:hAnsi="宋体" w:eastAsia="宋体" w:cs="宋体"/>
          <w:sz w:val="24"/>
          <w:szCs w:val="24"/>
        </w:rPr>
        <w:t>根据机房防火要求，各功能分区应采用钢制防火门。</w:t>
      </w:r>
    </w:p>
    <w:p>
      <w:pPr>
        <w:pStyle w:val="4"/>
        <w:keepNext w:val="0"/>
        <w:keepLines w:val="0"/>
        <w:widowControl/>
        <w:suppressLineNumbers w:val="0"/>
        <w:ind w:left="0" w:firstLine="480"/>
      </w:pPr>
      <w:r>
        <w:rPr>
          <w:rFonts w:hint="eastAsia" w:ascii="宋体" w:hAnsi="宋体" w:eastAsia="宋体" w:cs="宋体"/>
          <w:sz w:val="24"/>
          <w:szCs w:val="24"/>
        </w:rPr>
        <w:t>不锈钢门框、窗框、隔断墙的规格型号应符合设 计要求，安装应牢固、平整，其间隙用非腐蚀性材料密封。</w:t>
      </w:r>
    </w:p>
    <w:p>
      <w:pPr>
        <w:pStyle w:val="4"/>
        <w:keepNext w:val="0"/>
        <w:keepLines w:val="0"/>
        <w:widowControl/>
        <w:suppressLineNumbers w:val="0"/>
        <w:ind w:left="0" w:firstLine="480"/>
      </w:pPr>
      <w:r>
        <w:rPr>
          <w:rFonts w:hint="eastAsia" w:ascii="宋体" w:hAnsi="宋体" w:eastAsia="宋体" w:cs="宋体"/>
          <w:sz w:val="24"/>
          <w:szCs w:val="24"/>
        </w:rPr>
        <w:t>门扇、窗扇应平整、接缝严密、安装牢固、开闭自如、推拉灵活。</w:t>
      </w:r>
    </w:p>
    <w:p>
      <w:pPr>
        <w:pStyle w:val="4"/>
        <w:keepNext w:val="0"/>
        <w:keepLines w:val="0"/>
        <w:widowControl/>
        <w:suppressLineNumbers w:val="0"/>
        <w:ind w:left="0" w:firstLine="0"/>
      </w:pPr>
      <w:r>
        <w:rPr>
          <w:rFonts w:hint="eastAsia" w:ascii="宋体" w:hAnsi="宋体" w:eastAsia="宋体" w:cs="宋体"/>
          <w:sz w:val="24"/>
          <w:szCs w:val="24"/>
        </w:rPr>
        <w:t>1.10.6 照明系统</w:t>
      </w:r>
    </w:p>
    <w:p>
      <w:pPr>
        <w:pStyle w:val="4"/>
        <w:keepNext w:val="0"/>
        <w:keepLines w:val="0"/>
        <w:widowControl/>
        <w:suppressLineNumbers w:val="0"/>
        <w:ind w:left="0" w:firstLine="480"/>
      </w:pPr>
      <w:r>
        <w:rPr>
          <w:rFonts w:hint="eastAsia" w:ascii="宋体" w:hAnsi="宋体" w:eastAsia="宋体" w:cs="宋体"/>
          <w:sz w:val="24"/>
          <w:szCs w:val="24"/>
        </w:rPr>
        <w:t>数据中心照明按国家标准JGB/T16-92《民用建筑电气设 计规范》、《电子计算机房设 计规范》规定,满足规范对于照度、照明均匀度（不少于0.7）照明稳定 性及抑制眩光的要求。</w:t>
      </w:r>
    </w:p>
    <w:p>
      <w:pPr>
        <w:pStyle w:val="4"/>
        <w:keepNext w:val="0"/>
        <w:keepLines w:val="0"/>
        <w:widowControl/>
        <w:suppressLineNumbers w:val="0"/>
        <w:ind w:left="0" w:firstLine="480"/>
      </w:pPr>
      <w:r>
        <w:rPr>
          <w:rFonts w:hint="eastAsia" w:ascii="宋体" w:hAnsi="宋体" w:eastAsia="宋体" w:cs="宋体"/>
          <w:sz w:val="24"/>
          <w:szCs w:val="24"/>
        </w:rPr>
        <w:t>机房区及办公区设置应急照明(约为普通照明的十分之一)，疏散照明（如出口指示灯、诱导灯等），在主机房区均匀分布带蓄电池的隔栅灯，作为应急照明灯。蓄电池时间不小于60钟。应急照明管线应单独敷设，与其他照明管线区分开。</w:t>
      </w:r>
      <w:r>
        <w:rPr>
          <w:rFonts w:hint="eastAsia" w:ascii="宋体" w:hAnsi="宋体" w:eastAsia="宋体" w:cs="宋体"/>
          <w:sz w:val="24"/>
          <w:szCs w:val="24"/>
        </w:rPr>
        <w:br w:type="textWrapping"/>
      </w:r>
      <w:r>
        <w:rPr>
          <w:rFonts w:hint="eastAsia" w:ascii="宋体" w:hAnsi="宋体" w:eastAsia="宋体" w:cs="宋体"/>
          <w:sz w:val="24"/>
          <w:szCs w:val="24"/>
        </w:rPr>
        <w:drawing>
          <wp:inline distT="0" distB="0" distL="114300" distR="114300">
            <wp:extent cx="6629400" cy="4133850"/>
            <wp:effectExtent l="0" t="0" r="0" b="0"/>
            <wp:docPr id="19" name="图片 18" descr="153542169549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8" descr="1535421695496.png"/>
                    <pic:cNvPicPr>
                      <a:picLocks noChangeAspect="1"/>
                    </pic:cNvPicPr>
                  </pic:nvPicPr>
                  <pic:blipFill>
                    <a:blip r:embed="rId21"/>
                    <a:stretch>
                      <a:fillRect/>
                    </a:stretch>
                  </pic:blipFill>
                  <pic:spPr>
                    <a:xfrm>
                      <a:off x="0" y="0"/>
                      <a:ext cx="6629400" cy="4133850"/>
                    </a:xfrm>
                    <a:prstGeom prst="rect">
                      <a:avLst/>
                    </a:prstGeom>
                    <a:noFill/>
                    <a:ln w="9525">
                      <a:noFill/>
                    </a:ln>
                  </pic:spPr>
                </pic:pic>
              </a:graphicData>
            </a:graphic>
          </wp:inline>
        </w:drawing>
      </w:r>
    </w:p>
    <w:p>
      <w:pPr>
        <w:pStyle w:val="4"/>
        <w:keepNext w:val="0"/>
        <w:keepLines w:val="0"/>
        <w:widowControl/>
        <w:suppressLineNumbers w:val="0"/>
        <w:jc w:val="center"/>
      </w:pPr>
      <w:r>
        <w:rPr>
          <w:rFonts w:hint="default" w:ascii="Calibri" w:hAnsi="Calibri" w:cs="Calibri"/>
          <w:sz w:val="24"/>
          <w:szCs w:val="24"/>
        </w:rPr>
        <w:t> </w:t>
      </w:r>
    </w:p>
    <w:p>
      <w:pPr>
        <w:pStyle w:val="4"/>
        <w:keepNext w:val="0"/>
        <w:keepLines w:val="0"/>
        <w:widowControl/>
        <w:suppressLineNumbers w:val="0"/>
        <w:jc w:val="center"/>
      </w:pPr>
    </w:p>
    <w:p>
      <w:pPr>
        <w:pStyle w:val="4"/>
        <w:keepNext w:val="0"/>
        <w:keepLines w:val="0"/>
        <w:widowControl/>
        <w:suppressLineNumbers w:val="0"/>
        <w:spacing w:before="0" w:beforeAutospacing="1" w:after="0" w:afterAutospacing="1"/>
        <w:ind w:left="420" w:right="0"/>
      </w:pPr>
      <w:r>
        <w:rPr>
          <w:rFonts w:hint="eastAsia" w:ascii="宋体" w:hAnsi="宋体" w:eastAsia="宋体" w:cs="宋体"/>
          <w:sz w:val="24"/>
          <w:szCs w:val="24"/>
        </w:rPr>
        <w:t>？</w:t>
      </w:r>
      <w:r>
        <w:rPr>
          <w:rFonts w:hint="default" w:ascii="Times New Roman" w:hAnsi="Times New Roman" w:cs="Times New Roman"/>
          <w:sz w:val="13"/>
          <w:szCs w:val="13"/>
        </w:rPr>
        <w:t xml:space="preserve">  </w:t>
      </w:r>
      <w:r>
        <w:rPr>
          <w:rFonts w:hint="eastAsia" w:ascii="宋体" w:hAnsi="宋体" w:eastAsia="宋体" w:cs="宋体"/>
          <w:sz w:val="24"/>
          <w:szCs w:val="24"/>
        </w:rPr>
        <w:t>照度要求</w:t>
      </w:r>
    </w:p>
    <w:p>
      <w:pPr>
        <w:pStyle w:val="4"/>
        <w:keepNext w:val="0"/>
        <w:keepLines w:val="0"/>
        <w:widowControl/>
        <w:suppressLineNumbers w:val="0"/>
        <w:ind w:left="0" w:firstLine="480"/>
      </w:pPr>
      <w:r>
        <w:rPr>
          <w:rFonts w:hint="eastAsia" w:ascii="宋体" w:hAnsi="宋体" w:eastAsia="宋体" w:cs="宋体"/>
          <w:sz w:val="24"/>
          <w:szCs w:val="24"/>
        </w:rPr>
        <w:t>中心机房区：照度≥400lx；辅助机房区（办公区）≥300lx。</w:t>
      </w:r>
    </w:p>
    <w:p>
      <w:pPr>
        <w:pStyle w:val="4"/>
        <w:keepNext w:val="0"/>
        <w:keepLines w:val="0"/>
        <w:widowControl/>
        <w:suppressLineNumbers w:val="0"/>
        <w:spacing w:before="0" w:beforeAutospacing="1" w:after="0" w:afterAutospacing="1"/>
        <w:ind w:left="420" w:right="0"/>
      </w:pPr>
      <w:r>
        <w:rPr>
          <w:rFonts w:hint="eastAsia" w:ascii="宋体" w:hAnsi="宋体" w:eastAsia="宋体" w:cs="宋体"/>
          <w:sz w:val="24"/>
          <w:szCs w:val="24"/>
        </w:rPr>
        <w:t>？</w:t>
      </w:r>
      <w:r>
        <w:rPr>
          <w:rFonts w:hint="default" w:ascii="Times New Roman" w:hAnsi="Times New Roman" w:cs="Times New Roman"/>
          <w:sz w:val="13"/>
          <w:szCs w:val="13"/>
        </w:rPr>
        <w:t xml:space="preserve">  </w:t>
      </w:r>
      <w:r>
        <w:rPr>
          <w:rFonts w:hint="eastAsia" w:ascii="宋体" w:hAnsi="宋体" w:eastAsia="宋体" w:cs="宋体"/>
          <w:sz w:val="24"/>
          <w:szCs w:val="24"/>
        </w:rPr>
        <w:t>灯具选择及布置</w:t>
      </w:r>
    </w:p>
    <w:p>
      <w:pPr>
        <w:pStyle w:val="4"/>
        <w:keepNext w:val="0"/>
        <w:keepLines w:val="0"/>
        <w:widowControl/>
        <w:suppressLineNumbers w:val="0"/>
        <w:ind w:left="0" w:firstLine="480"/>
      </w:pPr>
      <w:r>
        <w:rPr>
          <w:rFonts w:hint="eastAsia" w:ascii="宋体" w:hAnsi="宋体" w:eastAsia="宋体" w:cs="宋体"/>
          <w:sz w:val="24"/>
          <w:szCs w:val="24"/>
        </w:rPr>
        <w:t>本设 计根据数据中心电气设  计规范对照度的要求,结合自然采光及墙面反射率等因素，计算确定灯具数量。在灯的布置上,机房区选用格栅荧光灯具。根据实际情况决定灯具间隔，并充分考虑到照度均匀性和有效抑制眩光等因素。</w:t>
      </w:r>
    </w:p>
    <w:p>
      <w:pPr>
        <w:pStyle w:val="4"/>
        <w:keepNext w:val="0"/>
        <w:keepLines w:val="0"/>
        <w:widowControl/>
        <w:suppressLineNumbers w:val="0"/>
        <w:spacing w:before="0" w:beforeAutospacing="1" w:after="0" w:afterAutospacing="1"/>
        <w:ind w:left="420" w:right="0"/>
      </w:pPr>
      <w:r>
        <w:rPr>
          <w:rFonts w:hint="eastAsia" w:ascii="宋体" w:hAnsi="宋体" w:eastAsia="宋体" w:cs="宋体"/>
          <w:sz w:val="24"/>
          <w:szCs w:val="24"/>
        </w:rPr>
        <w:t>？</w:t>
      </w:r>
      <w:r>
        <w:rPr>
          <w:rFonts w:hint="default" w:ascii="Times New Roman" w:hAnsi="Times New Roman" w:cs="Times New Roman"/>
          <w:sz w:val="13"/>
          <w:szCs w:val="13"/>
        </w:rPr>
        <w:t xml:space="preserve">  </w:t>
      </w:r>
      <w:r>
        <w:rPr>
          <w:rFonts w:hint="eastAsia" w:ascii="宋体" w:hAnsi="宋体" w:eastAsia="宋体" w:cs="宋体"/>
          <w:sz w:val="24"/>
          <w:szCs w:val="24"/>
        </w:rPr>
        <w:t>应急照明、疏散照明及安全出口标志</w:t>
      </w:r>
    </w:p>
    <w:p>
      <w:pPr>
        <w:pStyle w:val="4"/>
        <w:keepNext w:val="0"/>
        <w:keepLines w:val="0"/>
        <w:widowControl/>
        <w:suppressLineNumbers w:val="0"/>
        <w:ind w:left="0" w:firstLine="480"/>
      </w:pPr>
      <w:r>
        <w:rPr>
          <w:rFonts w:hint="eastAsia" w:ascii="宋体" w:hAnsi="宋体" w:eastAsia="宋体" w:cs="宋体"/>
          <w:sz w:val="24"/>
          <w:szCs w:val="24"/>
        </w:rPr>
        <w:t>应急照明可保证人员做应急处理或安全快捷地沿通道向出口或应急出口疏散。应急照明照度宜为一般照明的1/10。</w:t>
      </w:r>
    </w:p>
    <w:p>
      <w:pPr>
        <w:pStyle w:val="4"/>
        <w:keepNext w:val="0"/>
        <w:keepLines w:val="0"/>
        <w:widowControl/>
        <w:suppressLineNumbers w:val="0"/>
        <w:ind w:left="0" w:firstLine="480"/>
      </w:pPr>
      <w:r>
        <w:rPr>
          <w:rFonts w:hint="eastAsia" w:ascii="宋体" w:hAnsi="宋体" w:eastAsia="宋体" w:cs="宋体"/>
          <w:sz w:val="24"/>
          <w:szCs w:val="24"/>
        </w:rPr>
        <w:t>取嵌入式荧光灯具中的部分灯管作为应急照明灯具，平常作为一般照明由市电供电，当市电停电时，应急照明灯具由UPS电源供电，保证应急照明的连续性的。</w:t>
      </w:r>
    </w:p>
    <w:p>
      <w:pPr>
        <w:pStyle w:val="4"/>
        <w:keepNext w:val="0"/>
        <w:keepLines w:val="0"/>
        <w:widowControl/>
        <w:suppressLineNumbers w:val="0"/>
        <w:ind w:left="0" w:firstLine="480"/>
      </w:pPr>
      <w:r>
        <w:rPr>
          <w:rFonts w:hint="eastAsia" w:ascii="宋体" w:hAnsi="宋体" w:eastAsia="宋体" w:cs="宋体"/>
          <w:sz w:val="24"/>
          <w:szCs w:val="24"/>
        </w:rPr>
        <w:t>疏散照明和安全出口标志灯，其照度不应低于0.5LX。</w:t>
      </w:r>
    </w:p>
    <w:p>
      <w:pPr>
        <w:pStyle w:val="4"/>
        <w:keepNext w:val="0"/>
        <w:keepLines w:val="0"/>
        <w:widowControl/>
        <w:suppressLineNumbers w:val="0"/>
        <w:spacing w:before="0" w:beforeAutospacing="1" w:after="0" w:afterAutospacing="1"/>
        <w:ind w:left="420" w:right="0"/>
      </w:pPr>
      <w:r>
        <w:rPr>
          <w:rFonts w:hint="eastAsia" w:ascii="宋体" w:hAnsi="宋体" w:eastAsia="宋体" w:cs="宋体"/>
          <w:sz w:val="24"/>
          <w:szCs w:val="24"/>
        </w:rPr>
        <w:t>？</w:t>
      </w:r>
      <w:r>
        <w:rPr>
          <w:rFonts w:hint="default" w:ascii="Times New Roman" w:hAnsi="Times New Roman" w:cs="Times New Roman"/>
          <w:sz w:val="13"/>
          <w:szCs w:val="13"/>
        </w:rPr>
        <w:t xml:space="preserve">  </w:t>
      </w:r>
      <w:r>
        <w:rPr>
          <w:rFonts w:hint="eastAsia" w:ascii="宋体" w:hAnsi="宋体" w:eastAsia="宋体" w:cs="宋体"/>
          <w:sz w:val="24"/>
          <w:szCs w:val="24"/>
        </w:rPr>
        <w:t>照明灯具控制方式</w:t>
      </w:r>
    </w:p>
    <w:p>
      <w:pPr>
        <w:pStyle w:val="4"/>
        <w:keepNext w:val="0"/>
        <w:keepLines w:val="0"/>
        <w:widowControl/>
        <w:suppressLineNumbers w:val="0"/>
        <w:ind w:left="0" w:firstLine="480"/>
      </w:pPr>
      <w:r>
        <w:rPr>
          <w:rFonts w:hint="eastAsia" w:ascii="宋体" w:hAnsi="宋体" w:eastAsia="宋体" w:cs="宋体"/>
          <w:sz w:val="24"/>
          <w:szCs w:val="24"/>
        </w:rPr>
        <w:t>采用分散控制的方式,即通过墙面跷板开关控制灯具的开启。应急照明单独走管穿线并由墙面荧光显示跷板开关单独控制。</w:t>
      </w:r>
    </w:p>
    <w:p>
      <w:pPr>
        <w:pStyle w:val="4"/>
        <w:keepNext w:val="0"/>
        <w:keepLines w:val="0"/>
        <w:widowControl/>
        <w:suppressLineNumbers w:val="0"/>
        <w:ind w:left="0" w:firstLine="480"/>
      </w:pPr>
      <w:r>
        <w:rPr>
          <w:rFonts w:hint="eastAsia" w:ascii="宋体" w:hAnsi="宋体" w:eastAsia="宋体" w:cs="宋体"/>
          <w:sz w:val="24"/>
          <w:szCs w:val="24"/>
        </w:rPr>
        <w:t>所有照明灯具采用电感镇流器电容补偿方式，减少线路电能损耗。补偿后灯具的功率因数达到0.9以上。</w:t>
      </w:r>
    </w:p>
    <w:p>
      <w:pPr>
        <w:pStyle w:val="4"/>
        <w:keepNext w:val="0"/>
        <w:keepLines w:val="0"/>
        <w:widowControl/>
        <w:suppressLineNumbers w:val="0"/>
        <w:ind w:left="0" w:firstLine="0"/>
      </w:pPr>
      <w:r>
        <w:rPr>
          <w:rFonts w:hint="eastAsia" w:ascii="宋体" w:hAnsi="宋体" w:eastAsia="宋体" w:cs="宋体"/>
          <w:sz w:val="24"/>
          <w:szCs w:val="24"/>
        </w:rPr>
        <w:t>1.10.7 供配电系统</w:t>
      </w:r>
    </w:p>
    <w:p>
      <w:pPr>
        <w:pStyle w:val="4"/>
        <w:keepNext w:val="0"/>
        <w:keepLines w:val="0"/>
        <w:widowControl/>
        <w:suppressLineNumbers w:val="0"/>
        <w:ind w:left="0" w:firstLine="480"/>
      </w:pPr>
      <w:r>
        <w:rPr>
          <w:rFonts w:hint="eastAsia" w:ascii="宋体" w:hAnsi="宋体" w:eastAsia="宋体" w:cs="宋体"/>
          <w:sz w:val="24"/>
          <w:szCs w:val="24"/>
        </w:rPr>
        <w:t>计算机系统由计算机设备、外部设备、辅助设备和工程工艺设备四部分组成。因此计算机机房的供配电系统就是为满足这四大部分的要求，以保证获得稳定、可靠的电源而服务的。计算机设备供配电系统提供电源的质量好坏直接影响着计算机系统工作的稳定 性和可靠性。</w:t>
      </w:r>
    </w:p>
    <w:p>
      <w:pPr>
        <w:pStyle w:val="4"/>
        <w:keepNext w:val="0"/>
        <w:keepLines w:val="0"/>
        <w:widowControl/>
        <w:suppressLineNumbers w:val="0"/>
        <w:ind w:left="0" w:firstLine="480"/>
      </w:pPr>
      <w:r>
        <w:rPr>
          <w:rFonts w:hint="eastAsia" w:ascii="宋体" w:hAnsi="宋体" w:eastAsia="宋体" w:cs="宋体"/>
          <w:sz w:val="24"/>
          <w:szCs w:val="24"/>
        </w:rPr>
        <w:t>机房电气系统采用三相五线制TN-S系统，其三相额定电压为380伏，单相额定电压为220伏，供电频率为50Hz。</w:t>
      </w:r>
    </w:p>
    <w:p>
      <w:pPr>
        <w:pStyle w:val="4"/>
        <w:keepNext w:val="0"/>
        <w:keepLines w:val="0"/>
        <w:widowControl/>
        <w:suppressLineNumbers w:val="0"/>
      </w:pPr>
      <w:r>
        <w:rPr>
          <w:rFonts w:hint="default" w:ascii="Calibri" w:hAnsi="Calibri" w:cs="Calibri"/>
          <w:sz w:val="24"/>
          <w:szCs w:val="24"/>
        </w:rPr>
        <w:t xml:space="preserve">1.10.7.1 </w:t>
      </w:r>
      <w:r>
        <w:rPr>
          <w:rFonts w:hint="eastAsia" w:ascii="宋体" w:hAnsi="宋体" w:eastAsia="宋体" w:cs="宋体"/>
          <w:sz w:val="24"/>
          <w:szCs w:val="24"/>
        </w:rPr>
        <w:t>系统方案设  计</w:t>
      </w:r>
    </w:p>
    <w:p>
      <w:pPr>
        <w:pStyle w:val="4"/>
        <w:keepNext w:val="0"/>
        <w:keepLines w:val="0"/>
        <w:widowControl/>
        <w:suppressLineNumbers w:val="0"/>
        <w:ind w:left="0" w:firstLine="480"/>
      </w:pPr>
      <w:r>
        <w:rPr>
          <w:rFonts w:hint="eastAsia" w:ascii="宋体" w:hAnsi="宋体" w:eastAsia="宋体" w:cs="宋体"/>
          <w:sz w:val="24"/>
          <w:szCs w:val="24"/>
        </w:rPr>
        <w:t>在主机房配置2台一体化UPS配电柜。</w:t>
      </w:r>
    </w:p>
    <w:p>
      <w:pPr>
        <w:pStyle w:val="4"/>
        <w:keepNext w:val="0"/>
        <w:keepLines w:val="0"/>
        <w:widowControl/>
        <w:suppressLineNumbers w:val="0"/>
        <w:ind w:left="0" w:firstLine="480"/>
      </w:pPr>
      <w:r>
        <w:rPr>
          <w:rFonts w:hint="eastAsia" w:ascii="宋体" w:hAnsi="宋体" w:eastAsia="宋体" w:cs="宋体"/>
          <w:sz w:val="24"/>
          <w:szCs w:val="24"/>
        </w:rPr>
        <w:t>1、市电总进线</w:t>
      </w:r>
    </w:p>
    <w:p>
      <w:pPr>
        <w:pStyle w:val="4"/>
        <w:keepNext w:val="0"/>
        <w:keepLines w:val="0"/>
        <w:widowControl/>
        <w:suppressLineNumbers w:val="0"/>
        <w:ind w:left="0" w:firstLine="480"/>
      </w:pPr>
      <w:r>
        <w:rPr>
          <w:rFonts w:hint="eastAsia" w:ascii="宋体" w:hAnsi="宋体" w:eastAsia="宋体" w:cs="宋体"/>
          <w:sz w:val="24"/>
          <w:szCs w:val="24"/>
        </w:rPr>
        <w:t>新建行政服务中心大楼的市电引入由大楼建设的土建电力配套项目规划建设。本项目的机房引入由大楼总配电间引入。</w:t>
      </w:r>
    </w:p>
    <w:p>
      <w:pPr>
        <w:pStyle w:val="4"/>
        <w:keepNext w:val="0"/>
        <w:keepLines w:val="0"/>
        <w:widowControl/>
        <w:suppressLineNumbers w:val="0"/>
        <w:ind w:left="0" w:firstLine="480"/>
      </w:pPr>
      <w:r>
        <w:rPr>
          <w:rFonts w:hint="eastAsia" w:ascii="宋体" w:hAnsi="宋体" w:eastAsia="宋体" w:cs="宋体"/>
          <w:sz w:val="24"/>
          <w:szCs w:val="24"/>
        </w:rPr>
        <w:t>机房电气系统应采用独立的供电线路，从大楼总配电间引接两条供电线路，在机房配电柜设置自切换后为机房网络配电设备和动力配电设备供电。</w:t>
      </w:r>
    </w:p>
    <w:p>
      <w:pPr>
        <w:pStyle w:val="4"/>
        <w:keepNext w:val="0"/>
        <w:keepLines w:val="0"/>
        <w:widowControl/>
        <w:suppressLineNumbers w:val="0"/>
        <w:ind w:left="0" w:firstLine="480"/>
      </w:pPr>
      <w:r>
        <w:rPr>
          <w:rFonts w:hint="eastAsia" w:ascii="宋体" w:hAnsi="宋体" w:eastAsia="宋体" w:cs="宋体"/>
          <w:sz w:val="24"/>
          <w:szCs w:val="24"/>
        </w:rPr>
        <w:t>2、网络配电</w:t>
      </w:r>
    </w:p>
    <w:p>
      <w:pPr>
        <w:pStyle w:val="4"/>
        <w:keepNext w:val="0"/>
        <w:keepLines w:val="0"/>
        <w:widowControl/>
        <w:suppressLineNumbers w:val="0"/>
        <w:ind w:left="0" w:firstLine="480"/>
      </w:pPr>
      <w:r>
        <w:rPr>
          <w:rFonts w:hint="eastAsia" w:ascii="宋体" w:hAnsi="宋体" w:eastAsia="宋体" w:cs="宋体"/>
          <w:sz w:val="24"/>
          <w:szCs w:val="24"/>
        </w:rPr>
        <w:t>两条供电线路进入配电柜进行统一分配后输出到2台 UPS主机，UPS主机输出2路电源进入配电柜分配供电。</w:t>
      </w:r>
    </w:p>
    <w:p>
      <w:pPr>
        <w:pStyle w:val="4"/>
        <w:keepNext w:val="0"/>
        <w:keepLines w:val="0"/>
        <w:widowControl/>
        <w:suppressLineNumbers w:val="0"/>
        <w:ind w:left="0" w:firstLine="480"/>
      </w:pPr>
      <w:r>
        <w:rPr>
          <w:rFonts w:hint="eastAsia" w:ascii="宋体" w:hAnsi="宋体" w:eastAsia="宋体" w:cs="宋体"/>
          <w:sz w:val="24"/>
          <w:szCs w:val="24"/>
        </w:rPr>
        <w:t>3、动力配电</w:t>
      </w:r>
    </w:p>
    <w:p>
      <w:pPr>
        <w:pStyle w:val="4"/>
        <w:keepNext w:val="0"/>
        <w:keepLines w:val="0"/>
        <w:widowControl/>
        <w:suppressLineNumbers w:val="0"/>
        <w:ind w:left="0" w:firstLine="480"/>
      </w:pPr>
      <w:r>
        <w:rPr>
          <w:rFonts w:hint="eastAsia" w:ascii="宋体" w:hAnsi="宋体" w:eastAsia="宋体" w:cs="宋体"/>
          <w:sz w:val="24"/>
          <w:szCs w:val="24"/>
        </w:rPr>
        <w:t>市电进入配电柜进行统一分配输出后为机房动力设备供电，机房动力配电与UPS配电分开设置。</w:t>
      </w:r>
    </w:p>
    <w:p>
      <w:pPr>
        <w:pStyle w:val="4"/>
        <w:keepNext w:val="0"/>
        <w:keepLines w:val="0"/>
        <w:widowControl/>
        <w:suppressLineNumbers w:val="0"/>
      </w:pPr>
      <w:r>
        <w:rPr>
          <w:rFonts w:hint="default" w:ascii="Calibri" w:hAnsi="Calibri" w:cs="Calibri"/>
          <w:sz w:val="24"/>
          <w:szCs w:val="24"/>
        </w:rPr>
        <w:t xml:space="preserve">1.10.7.2 </w:t>
      </w:r>
      <w:r>
        <w:rPr>
          <w:rFonts w:hint="eastAsia" w:ascii="宋体" w:hAnsi="宋体" w:eastAsia="宋体" w:cs="宋体"/>
          <w:sz w:val="24"/>
          <w:szCs w:val="24"/>
        </w:rPr>
        <w:t>网络配电</w:t>
      </w:r>
    </w:p>
    <w:p>
      <w:pPr>
        <w:pStyle w:val="4"/>
        <w:keepNext w:val="0"/>
        <w:keepLines w:val="0"/>
        <w:widowControl/>
        <w:suppressLineNumbers w:val="0"/>
        <w:ind w:left="0" w:firstLine="480"/>
      </w:pPr>
      <w:r>
        <w:rPr>
          <w:rFonts w:hint="eastAsia" w:ascii="宋体" w:hAnsi="宋体" w:eastAsia="宋体" w:cs="宋体"/>
          <w:sz w:val="24"/>
          <w:szCs w:val="24"/>
        </w:rPr>
        <w:t>网络配电设备用电，均引至UPS不间断电源系统，经过UPS系统得到稳压定频的电源经UPS配电柜分配输出，为机房内计算机设备供电。网络配电设备主要包括计算机设备、应急照明、安防设备、消防设备以及场地监控设备等。</w:t>
      </w:r>
    </w:p>
    <w:p>
      <w:pPr>
        <w:pStyle w:val="4"/>
        <w:keepNext w:val="0"/>
        <w:keepLines w:val="0"/>
        <w:widowControl/>
        <w:suppressLineNumbers w:val="0"/>
        <w:ind w:left="0" w:firstLine="480"/>
      </w:pPr>
      <w:r>
        <w:rPr>
          <w:rFonts w:hint="eastAsia" w:ascii="宋体" w:hAnsi="宋体" w:eastAsia="宋体" w:cs="宋体"/>
          <w:sz w:val="24"/>
          <w:szCs w:val="24"/>
        </w:rPr>
        <w:t>机房主设备由配电柜分配供电，每台设备机柜分别从配电柜引接2条供电回路，各个机柜内均设有2个12口PDU插座。计算机设备、应急照明、安防、消防以及场地监控设备供电回路，均由配电柜分配供电。</w:t>
      </w:r>
    </w:p>
    <w:p>
      <w:pPr>
        <w:pStyle w:val="4"/>
        <w:keepNext w:val="0"/>
        <w:keepLines w:val="0"/>
        <w:widowControl/>
        <w:suppressLineNumbers w:val="0"/>
      </w:pPr>
      <w:r>
        <w:rPr>
          <w:rFonts w:hint="default" w:ascii="Calibri" w:hAnsi="Calibri" w:cs="Calibri"/>
          <w:sz w:val="24"/>
          <w:szCs w:val="24"/>
        </w:rPr>
        <w:t xml:space="preserve">1.10.7.3 </w:t>
      </w:r>
      <w:r>
        <w:rPr>
          <w:rFonts w:hint="eastAsia" w:ascii="宋体" w:hAnsi="宋体" w:eastAsia="宋体" w:cs="宋体"/>
          <w:sz w:val="24"/>
          <w:szCs w:val="24"/>
        </w:rPr>
        <w:t>动力配电</w:t>
      </w:r>
    </w:p>
    <w:p>
      <w:pPr>
        <w:pStyle w:val="4"/>
        <w:keepNext w:val="0"/>
        <w:keepLines w:val="0"/>
        <w:widowControl/>
        <w:suppressLineNumbers w:val="0"/>
        <w:ind w:left="0" w:firstLine="480"/>
      </w:pPr>
      <w:r>
        <w:rPr>
          <w:rFonts w:hint="eastAsia" w:ascii="宋体" w:hAnsi="宋体" w:eastAsia="宋体" w:cs="宋体"/>
          <w:sz w:val="24"/>
          <w:szCs w:val="24"/>
        </w:rPr>
        <w:t>动力配电主要包括机房内的精密空调、市电插座、灯光照明等等，均由配电柜分配供电。</w:t>
      </w:r>
    </w:p>
    <w:p>
      <w:pPr>
        <w:pStyle w:val="4"/>
        <w:keepNext w:val="0"/>
        <w:keepLines w:val="0"/>
        <w:widowControl/>
        <w:suppressLineNumbers w:val="0"/>
        <w:ind w:left="0" w:firstLine="480"/>
      </w:pPr>
      <w:r>
        <w:rPr>
          <w:rFonts w:hint="eastAsia" w:ascii="宋体" w:hAnsi="宋体" w:eastAsia="宋体" w:cs="宋体"/>
          <w:sz w:val="24"/>
          <w:szCs w:val="24"/>
        </w:rPr>
        <w:t>1、照明设备用电</w:t>
      </w:r>
    </w:p>
    <w:p>
      <w:pPr>
        <w:pStyle w:val="4"/>
        <w:keepNext w:val="0"/>
        <w:keepLines w:val="0"/>
        <w:widowControl/>
        <w:suppressLineNumbers w:val="0"/>
        <w:ind w:left="0" w:firstLine="480"/>
      </w:pPr>
      <w:r>
        <w:rPr>
          <w:rFonts w:hint="eastAsia" w:ascii="宋体" w:hAnsi="宋体" w:eastAsia="宋体" w:cs="宋体"/>
          <w:sz w:val="24"/>
          <w:szCs w:val="24"/>
        </w:rPr>
        <w:t>机房内的照明系统与大楼的照明系统分开，机房独立设  计，由机房内的市电配电柜供电。</w:t>
      </w:r>
    </w:p>
    <w:p>
      <w:pPr>
        <w:pStyle w:val="4"/>
        <w:keepNext w:val="0"/>
        <w:keepLines w:val="0"/>
        <w:widowControl/>
        <w:suppressLineNumbers w:val="0"/>
        <w:ind w:left="0" w:firstLine="480"/>
      </w:pPr>
      <w:r>
        <w:rPr>
          <w:rFonts w:hint="eastAsia" w:ascii="宋体" w:hAnsi="宋体" w:eastAsia="宋体" w:cs="宋体"/>
          <w:sz w:val="24"/>
          <w:szCs w:val="24"/>
        </w:rPr>
        <w:t>2、插座</w:t>
      </w:r>
    </w:p>
    <w:p>
      <w:pPr>
        <w:pStyle w:val="4"/>
        <w:keepNext w:val="0"/>
        <w:keepLines w:val="0"/>
        <w:widowControl/>
        <w:suppressLineNumbers w:val="0"/>
        <w:ind w:left="0" w:firstLine="480"/>
      </w:pPr>
      <w:r>
        <w:rPr>
          <w:rFonts w:hint="eastAsia" w:ascii="宋体" w:hAnsi="宋体" w:eastAsia="宋体" w:cs="宋体"/>
          <w:sz w:val="24"/>
          <w:szCs w:val="24"/>
        </w:rPr>
        <w:t>根据插座用途机房内插座可分两类，一类是供设备及其外部设备用电的专用插座；另一类为提供给通用测试设备、清扫机房用设备的辅助插座。本次设 计每台服务器机柜采用20A/1P工业连接器插座，合理布置于活动地板下。电源接线预留500mm使插座可在一定距离内自由移动，安全方便使用。</w:t>
      </w:r>
    </w:p>
    <w:p>
      <w:pPr>
        <w:pStyle w:val="4"/>
        <w:keepNext w:val="0"/>
        <w:keepLines w:val="0"/>
        <w:widowControl/>
        <w:suppressLineNumbers w:val="0"/>
        <w:ind w:left="0" w:firstLine="480"/>
      </w:pPr>
      <w:r>
        <w:rPr>
          <w:rFonts w:hint="eastAsia" w:ascii="宋体" w:hAnsi="宋体" w:eastAsia="宋体" w:cs="宋体"/>
          <w:sz w:val="24"/>
          <w:szCs w:val="24"/>
        </w:rPr>
        <w:t>辅助插座一般选用墙面插座，安装位置为离活动地板表面300mm处，辅助插座均采用5位多功能插座。</w:t>
      </w:r>
    </w:p>
    <w:p>
      <w:pPr>
        <w:pStyle w:val="4"/>
        <w:keepNext w:val="0"/>
        <w:keepLines w:val="0"/>
        <w:widowControl/>
        <w:suppressLineNumbers w:val="0"/>
        <w:ind w:left="0" w:firstLine="480"/>
      </w:pPr>
      <w:r>
        <w:rPr>
          <w:rFonts w:hint="eastAsia" w:ascii="宋体" w:hAnsi="宋体" w:eastAsia="宋体" w:cs="宋体"/>
          <w:sz w:val="24"/>
          <w:szCs w:val="24"/>
        </w:rPr>
        <w:t>3、配管、线、槽</w:t>
      </w:r>
    </w:p>
    <w:p>
      <w:pPr>
        <w:pStyle w:val="4"/>
        <w:keepNext w:val="0"/>
        <w:keepLines w:val="0"/>
        <w:widowControl/>
        <w:suppressLineNumbers w:val="0"/>
        <w:ind w:left="0" w:firstLine="480"/>
      </w:pPr>
      <w:r>
        <w:rPr>
          <w:rFonts w:hint="eastAsia" w:ascii="宋体" w:hAnsi="宋体" w:eastAsia="宋体" w:cs="宋体"/>
          <w:sz w:val="24"/>
          <w:szCs w:val="24"/>
        </w:rPr>
        <w:t>（1）动力设备电缆选用阻燃交联聚乙烯绝缘护套ZR-YJV电力电缆，在地板下金属线槽内敷设。末端穿金属软管，并留1～1.5米的活动半径。</w:t>
      </w:r>
    </w:p>
    <w:p>
      <w:pPr>
        <w:pStyle w:val="4"/>
        <w:keepNext w:val="0"/>
        <w:keepLines w:val="0"/>
        <w:widowControl/>
        <w:suppressLineNumbers w:val="0"/>
        <w:ind w:left="0" w:firstLine="480"/>
      </w:pPr>
      <w:r>
        <w:rPr>
          <w:rFonts w:hint="eastAsia" w:ascii="宋体" w:hAnsi="宋体" w:eastAsia="宋体" w:cs="宋体"/>
          <w:sz w:val="24"/>
          <w:szCs w:val="24"/>
        </w:rPr>
        <w:t>（2）计算机插座电缆全部采用RVVP专用屏蔽电缆，敷设在地板下金属线槽内向设备供电。</w:t>
      </w:r>
    </w:p>
    <w:p>
      <w:pPr>
        <w:pStyle w:val="4"/>
        <w:keepNext w:val="0"/>
        <w:keepLines w:val="0"/>
        <w:widowControl/>
        <w:suppressLineNumbers w:val="0"/>
        <w:ind w:left="0" w:firstLine="480"/>
      </w:pPr>
      <w:r>
        <w:rPr>
          <w:rFonts w:hint="eastAsia" w:ascii="宋体" w:hAnsi="宋体" w:eastAsia="宋体" w:cs="宋体"/>
          <w:sz w:val="24"/>
          <w:szCs w:val="24"/>
        </w:rPr>
        <w:t>（3）照明、辅助用电、应急照明等采用KBG无焊接、卡榫式镀锌钢管明配。活动联接部于采用金属可挠软管保护。</w:t>
      </w:r>
    </w:p>
    <w:p>
      <w:pPr>
        <w:pStyle w:val="4"/>
        <w:keepNext w:val="0"/>
        <w:keepLines w:val="0"/>
        <w:widowControl/>
        <w:suppressLineNumbers w:val="0"/>
        <w:ind w:left="0" w:firstLine="480"/>
      </w:pPr>
      <w:r>
        <w:rPr>
          <w:rFonts w:hint="eastAsia" w:ascii="宋体" w:hAnsi="宋体" w:eastAsia="宋体" w:cs="宋体"/>
          <w:sz w:val="24"/>
          <w:szCs w:val="24"/>
        </w:rPr>
        <w:t>（4）机房采用上走线方式，采用网格式桥架吊装在天花板下方敷设。</w:t>
      </w:r>
    </w:p>
    <w:p>
      <w:pPr>
        <w:pStyle w:val="4"/>
        <w:keepNext w:val="0"/>
        <w:keepLines w:val="0"/>
        <w:widowControl/>
        <w:suppressLineNumbers w:val="0"/>
        <w:ind w:left="0" w:firstLine="480"/>
      </w:pPr>
      <w:r>
        <w:rPr>
          <w:rFonts w:hint="eastAsia" w:ascii="宋体" w:hAnsi="宋体" w:eastAsia="宋体" w:cs="宋体"/>
          <w:sz w:val="24"/>
          <w:szCs w:val="24"/>
        </w:rPr>
        <w:t>（5）所有控制电缆必须穿管，线管连接牢固，可靠接地。地板下电缆、电线敷设采取了全封闭方式，防尘、防鼠，减少事故隐患，保障计算机设备安全，可靠运行。</w:t>
      </w:r>
    </w:p>
    <w:p>
      <w:pPr>
        <w:pStyle w:val="4"/>
        <w:keepNext w:val="0"/>
        <w:keepLines w:val="0"/>
        <w:widowControl/>
        <w:suppressLineNumbers w:val="0"/>
        <w:ind w:left="0" w:firstLine="480"/>
      </w:pPr>
      <w:r>
        <w:rPr>
          <w:rFonts w:hint="eastAsia" w:ascii="宋体" w:hAnsi="宋体" w:eastAsia="宋体" w:cs="宋体"/>
          <w:sz w:val="24"/>
          <w:szCs w:val="24"/>
        </w:rPr>
        <w:t>（6）所有电器具、盒、槽均应可靠接地。</w:t>
      </w:r>
    </w:p>
    <w:p>
      <w:pPr>
        <w:pStyle w:val="4"/>
        <w:keepNext w:val="0"/>
        <w:keepLines w:val="0"/>
        <w:widowControl/>
        <w:suppressLineNumbers w:val="0"/>
        <w:ind w:left="0" w:firstLine="480"/>
      </w:pPr>
      <w:r>
        <w:rPr>
          <w:rFonts w:hint="eastAsia" w:ascii="宋体" w:hAnsi="宋体" w:eastAsia="宋体" w:cs="宋体"/>
          <w:sz w:val="24"/>
          <w:szCs w:val="24"/>
        </w:rPr>
        <w:t>（7）电缆桥架、线管安装时避免环行布线。</w:t>
      </w:r>
    </w:p>
    <w:p>
      <w:pPr>
        <w:pStyle w:val="4"/>
        <w:keepNext w:val="0"/>
        <w:keepLines w:val="0"/>
        <w:widowControl/>
        <w:suppressLineNumbers w:val="0"/>
        <w:ind w:left="0" w:firstLine="480"/>
      </w:pPr>
      <w:r>
        <w:rPr>
          <w:rFonts w:hint="eastAsia" w:ascii="宋体" w:hAnsi="宋体" w:eastAsia="宋体" w:cs="宋体"/>
          <w:sz w:val="24"/>
          <w:szCs w:val="24"/>
        </w:rPr>
        <w:t>（8）所有穿墙、顶空洞施工后均进行防鼠、防火、防水封堵处理。</w:t>
      </w:r>
    </w:p>
    <w:p>
      <w:pPr>
        <w:pStyle w:val="4"/>
        <w:keepNext w:val="0"/>
        <w:keepLines w:val="0"/>
        <w:widowControl/>
        <w:suppressLineNumbers w:val="0"/>
        <w:ind w:left="0" w:firstLine="480"/>
      </w:pPr>
      <w:r>
        <w:rPr>
          <w:rFonts w:hint="eastAsia" w:ascii="宋体" w:hAnsi="宋体" w:eastAsia="宋体" w:cs="宋体"/>
          <w:sz w:val="24"/>
          <w:szCs w:val="24"/>
        </w:rPr>
        <w:t>（9）所有电缆电线联结均采用铜端子或铜卡涮锡冷压连接。</w:t>
      </w:r>
      <w:r>
        <w:rPr>
          <w:rFonts w:hint="eastAsia" w:ascii="宋体" w:hAnsi="宋体" w:eastAsia="宋体" w:cs="宋体"/>
          <w:sz w:val="24"/>
          <w:szCs w:val="24"/>
        </w:rPr>
        <w:br w:type="textWrapping"/>
      </w:r>
      <w:r>
        <w:rPr>
          <w:rFonts w:hint="eastAsia" w:ascii="宋体" w:hAnsi="宋体" w:eastAsia="宋体" w:cs="宋体"/>
          <w:sz w:val="24"/>
          <w:szCs w:val="24"/>
        </w:rPr>
        <w:drawing>
          <wp:inline distT="0" distB="0" distL="114300" distR="114300">
            <wp:extent cx="5658485" cy="5664835"/>
            <wp:effectExtent l="0" t="0" r="18415" b="12065"/>
            <wp:docPr id="20" name="图片 19" descr="15354217337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9" descr="1535421733757.png"/>
                    <pic:cNvPicPr>
                      <a:picLocks noChangeAspect="1"/>
                    </pic:cNvPicPr>
                  </pic:nvPicPr>
                  <pic:blipFill>
                    <a:blip r:embed="rId22"/>
                    <a:stretch>
                      <a:fillRect/>
                    </a:stretch>
                  </pic:blipFill>
                  <pic:spPr>
                    <a:xfrm>
                      <a:off x="0" y="0"/>
                      <a:ext cx="5658485" cy="5664835"/>
                    </a:xfrm>
                    <a:prstGeom prst="rect">
                      <a:avLst/>
                    </a:prstGeom>
                    <a:noFill/>
                    <a:ln w="9525">
                      <a:noFill/>
                    </a:ln>
                  </pic:spPr>
                </pic:pic>
              </a:graphicData>
            </a:graphic>
          </wp:inline>
        </w:drawing>
      </w:r>
    </w:p>
    <w:p>
      <w:pPr>
        <w:pStyle w:val="4"/>
        <w:keepNext w:val="0"/>
        <w:keepLines w:val="0"/>
        <w:widowControl/>
        <w:suppressLineNumbers w:val="0"/>
      </w:pPr>
      <w:r>
        <w:rPr>
          <w:rFonts w:hint="eastAsia" w:ascii="宋体" w:hAnsi="宋体" w:eastAsia="宋体" w:cs="宋体"/>
          <w:sz w:val="24"/>
          <w:szCs w:val="24"/>
        </w:rPr>
        <w:t xml:space="preserve">  </w:t>
      </w:r>
    </w:p>
    <w:p>
      <w:pPr>
        <w:pStyle w:val="4"/>
        <w:keepNext w:val="0"/>
        <w:keepLines w:val="0"/>
        <w:widowControl/>
        <w:suppressLineNumbers w:val="0"/>
        <w:jc w:val="center"/>
      </w:pPr>
      <w:r>
        <w:br w:type="textWrapping"/>
      </w:r>
      <w:r>
        <w:rPr>
          <w:rFonts w:hint="default" w:ascii="Calibri" w:hAnsi="Calibri" w:cs="Calibri"/>
          <w:sz w:val="24"/>
          <w:szCs w:val="24"/>
        </w:rPr>
        <w:t> </w:t>
      </w:r>
    </w:p>
    <w:p>
      <w:pPr>
        <w:pStyle w:val="4"/>
        <w:keepNext w:val="0"/>
        <w:keepLines w:val="0"/>
        <w:widowControl/>
        <w:suppressLineNumbers w:val="0"/>
        <w:jc w:val="center"/>
      </w:pPr>
    </w:p>
    <w:p>
      <w:pPr>
        <w:pStyle w:val="4"/>
        <w:keepNext w:val="0"/>
        <w:keepLines w:val="0"/>
        <w:widowControl/>
        <w:suppressLineNumbers w:val="0"/>
      </w:pPr>
      <w:r>
        <w:rPr>
          <w:rFonts w:hint="default" w:ascii="Calibri" w:hAnsi="Calibri" w:cs="Calibri"/>
          <w:sz w:val="24"/>
          <w:szCs w:val="24"/>
        </w:rPr>
        <w:t> </w:t>
      </w:r>
    </w:p>
    <w:p>
      <w:pPr>
        <w:pStyle w:val="4"/>
        <w:keepNext w:val="0"/>
        <w:keepLines w:val="0"/>
        <w:widowControl/>
        <w:suppressLineNumbers w:val="0"/>
      </w:pPr>
      <w:r>
        <w:rPr>
          <w:rFonts w:hint="default" w:ascii="Calibri" w:hAnsi="Calibri" w:cs="Calibri"/>
          <w:sz w:val="24"/>
          <w:szCs w:val="24"/>
        </w:rPr>
        <w:t xml:space="preserve">1.10.7.4 </w:t>
      </w:r>
      <w:r>
        <w:rPr>
          <w:rFonts w:hint="eastAsia" w:ascii="宋体" w:hAnsi="宋体" w:eastAsia="宋体" w:cs="宋体"/>
          <w:sz w:val="24"/>
          <w:szCs w:val="24"/>
        </w:rPr>
        <w:t>供电量测算</w:t>
      </w:r>
    </w:p>
    <w:p>
      <w:pPr>
        <w:pStyle w:val="4"/>
        <w:keepNext w:val="0"/>
        <w:keepLines w:val="0"/>
        <w:widowControl/>
        <w:suppressLineNumbers w:val="0"/>
        <w:ind w:left="0" w:firstLine="480"/>
      </w:pPr>
      <w:r>
        <w:rPr>
          <w:rFonts w:hint="eastAsia" w:ascii="宋体" w:hAnsi="宋体" w:eastAsia="宋体" w:cs="宋体"/>
          <w:sz w:val="24"/>
          <w:szCs w:val="24"/>
        </w:rPr>
        <w:t>网络供电量测算</w:t>
      </w:r>
      <w:r>
        <w:rPr>
          <w:rFonts w:hint="eastAsia" w:ascii="宋体" w:hAnsi="宋体" w:eastAsia="宋体" w:cs="宋体"/>
          <w:sz w:val="24"/>
          <w:szCs w:val="24"/>
        </w:rPr>
        <w:br w:type="textWrapping"/>
      </w:r>
      <w:r>
        <w:rPr>
          <w:rFonts w:hint="eastAsia" w:ascii="宋体" w:hAnsi="宋体" w:eastAsia="宋体" w:cs="宋体"/>
          <w:sz w:val="24"/>
          <w:szCs w:val="24"/>
        </w:rPr>
        <w:t>表5.7-1 网络供电量测算表</w:t>
      </w:r>
    </w:p>
    <w:tbl>
      <w:tblPr>
        <w:tblStyle w:val="9"/>
        <w:tblW w:w="7962" w:type="dxa"/>
        <w:tblCellSpacing w:w="15"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15" w:type="dxa"/>
          <w:left w:w="15" w:type="dxa"/>
          <w:bottom w:w="15" w:type="dxa"/>
          <w:right w:w="15" w:type="dxa"/>
        </w:tblCellMar>
      </w:tblPr>
      <w:tblGrid>
        <w:gridCol w:w="807"/>
        <w:gridCol w:w="3192"/>
        <w:gridCol w:w="593"/>
        <w:gridCol w:w="861"/>
        <w:gridCol w:w="1271"/>
        <w:gridCol w:w="1238"/>
      </w:tblGrid>
      <w:tr>
        <w:trPr>
          <w:trHeight w:val="45" w:hRule="atLeast"/>
          <w:tblCellSpacing w:w="15" w:type="dxa"/>
        </w:trPr>
        <w:tc>
          <w:tcPr>
            <w:tcW w:w="762" w:type="dxa"/>
            <w:tcBorders>
              <w:top w:val="double" w:color="auto" w:sz="2" w:space="0"/>
              <w:left w:val="double" w:color="auto" w:sz="2"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Style w:val="6"/>
                <w:rFonts w:hint="eastAsia" w:ascii="宋体" w:hAnsi="宋体" w:eastAsia="宋体" w:cs="宋体"/>
                <w:b/>
              </w:rPr>
              <w:t>序号</w:t>
            </w:r>
          </w:p>
        </w:tc>
        <w:tc>
          <w:tcPr>
            <w:tcW w:w="3162" w:type="dxa"/>
            <w:tcBorders>
              <w:top w:val="double" w:color="auto" w:sz="2"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Style w:val="6"/>
                <w:rFonts w:hint="eastAsia" w:ascii="宋体" w:hAnsi="宋体" w:eastAsia="宋体" w:cs="宋体"/>
                <w:b/>
              </w:rPr>
              <w:t>设备名</w:t>
            </w:r>
            <w:r>
              <w:rPr>
                <w:rStyle w:val="6"/>
                <w:rFonts w:hint="default" w:ascii="Calibri" w:hAnsi="Calibri" w:cs="Calibri"/>
                <w:b/>
              </w:rPr>
              <w:t> </w:t>
            </w:r>
            <w:r>
              <w:rPr>
                <w:rStyle w:val="6"/>
                <w:rFonts w:hint="eastAsia" w:ascii="宋体" w:hAnsi="宋体" w:eastAsia="宋体" w:cs="宋体"/>
                <w:b/>
              </w:rPr>
              <w:t>称</w:t>
            </w:r>
          </w:p>
        </w:tc>
        <w:tc>
          <w:tcPr>
            <w:tcW w:w="563" w:type="dxa"/>
            <w:tcBorders>
              <w:top w:val="double" w:color="auto" w:sz="2"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Style w:val="6"/>
                <w:rFonts w:hint="eastAsia" w:ascii="宋体" w:hAnsi="宋体" w:eastAsia="宋体" w:cs="宋体"/>
                <w:b/>
              </w:rPr>
              <w:t>单位</w:t>
            </w:r>
          </w:p>
        </w:tc>
        <w:tc>
          <w:tcPr>
            <w:tcW w:w="831" w:type="dxa"/>
            <w:tcBorders>
              <w:top w:val="double" w:color="auto" w:sz="2"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Style w:val="6"/>
                <w:rFonts w:hint="eastAsia" w:ascii="宋体" w:hAnsi="宋体" w:eastAsia="宋体" w:cs="宋体"/>
                <w:b/>
              </w:rPr>
              <w:t>数量</w:t>
            </w:r>
          </w:p>
        </w:tc>
        <w:tc>
          <w:tcPr>
            <w:tcW w:w="1241" w:type="dxa"/>
            <w:tcBorders>
              <w:top w:val="double" w:color="auto" w:sz="2"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Style w:val="6"/>
                <w:rFonts w:hint="eastAsia" w:ascii="宋体" w:hAnsi="宋体" w:eastAsia="宋体" w:cs="宋体"/>
                <w:b/>
              </w:rPr>
              <w:t>单位功率</w:t>
            </w:r>
          </w:p>
          <w:p>
            <w:pPr>
              <w:pStyle w:val="4"/>
              <w:keepNext w:val="0"/>
              <w:keepLines w:val="0"/>
              <w:widowControl/>
              <w:suppressLineNumbers w:val="0"/>
              <w:jc w:val="center"/>
            </w:pPr>
            <w:r>
              <w:rPr>
                <w:rStyle w:val="6"/>
                <w:rFonts w:hint="default" w:ascii="Calibri" w:hAnsi="Calibri" w:cs="Calibri"/>
                <w:b/>
              </w:rPr>
              <w:t>(KW)</w:t>
            </w:r>
          </w:p>
        </w:tc>
        <w:tc>
          <w:tcPr>
            <w:tcW w:w="1193" w:type="dxa"/>
            <w:tcBorders>
              <w:top w:val="double" w:color="auto" w:sz="2" w:space="0"/>
              <w:left w:val="nil"/>
              <w:bottom w:val="single" w:color="auto" w:sz="6" w:space="0"/>
              <w:right w:val="double" w:color="auto" w:sz="2"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Style w:val="6"/>
                <w:rFonts w:hint="eastAsia" w:ascii="宋体" w:hAnsi="宋体" w:eastAsia="宋体" w:cs="宋体"/>
                <w:b/>
              </w:rPr>
              <w:t>总功率</w:t>
            </w:r>
          </w:p>
          <w:p>
            <w:pPr>
              <w:pStyle w:val="4"/>
              <w:keepNext w:val="0"/>
              <w:keepLines w:val="0"/>
              <w:widowControl/>
              <w:suppressLineNumbers w:val="0"/>
              <w:jc w:val="center"/>
            </w:pPr>
            <w:r>
              <w:rPr>
                <w:rStyle w:val="6"/>
                <w:rFonts w:hint="default" w:ascii="Calibri" w:hAnsi="Calibri" w:cs="Calibri"/>
                <w:b/>
              </w:rPr>
              <w:t>(KW)</w:t>
            </w:r>
          </w:p>
        </w:tc>
      </w:tr>
      <w:tr>
        <w:trPr>
          <w:trHeight w:val="255" w:hRule="atLeast"/>
          <w:tblCellSpacing w:w="15" w:type="dxa"/>
        </w:trPr>
        <w:tc>
          <w:tcPr>
            <w:tcW w:w="762" w:type="dxa"/>
            <w:tcBorders>
              <w:top w:val="nil"/>
              <w:left w:val="double" w:color="auto" w:sz="2"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default" w:ascii="Calibri" w:hAnsi="Calibri" w:cs="Calibri"/>
                <w:sz w:val="24"/>
                <w:szCs w:val="24"/>
              </w:rPr>
              <w:t>1</w:t>
            </w:r>
          </w:p>
        </w:tc>
        <w:tc>
          <w:tcPr>
            <w:tcW w:w="3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left"/>
            </w:pPr>
            <w:r>
              <w:rPr>
                <w:rFonts w:hint="eastAsia" w:ascii="宋体" w:hAnsi="宋体" w:eastAsia="宋体" w:cs="宋体"/>
                <w:sz w:val="24"/>
                <w:szCs w:val="24"/>
              </w:rPr>
              <w:t>服务器机柜</w:t>
            </w:r>
          </w:p>
        </w:tc>
        <w:tc>
          <w:tcPr>
            <w:tcW w:w="563"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sz w:val="24"/>
                <w:szCs w:val="24"/>
              </w:rPr>
              <w:t>台</w:t>
            </w:r>
          </w:p>
        </w:tc>
        <w:tc>
          <w:tcPr>
            <w:tcW w:w="831"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default" w:ascii="Calibri" w:hAnsi="Calibri" w:cs="Calibri"/>
                <w:sz w:val="24"/>
                <w:szCs w:val="24"/>
              </w:rPr>
              <w:t>6</w:t>
            </w:r>
          </w:p>
        </w:tc>
        <w:tc>
          <w:tcPr>
            <w:tcW w:w="1241"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default" w:ascii="Calibri" w:hAnsi="Calibri" w:cs="Calibri"/>
                <w:sz w:val="24"/>
                <w:szCs w:val="24"/>
              </w:rPr>
              <w:t>3</w:t>
            </w:r>
          </w:p>
        </w:tc>
        <w:tc>
          <w:tcPr>
            <w:tcW w:w="1193" w:type="dxa"/>
            <w:tcBorders>
              <w:top w:val="nil"/>
              <w:left w:val="nil"/>
              <w:bottom w:val="single" w:color="auto" w:sz="6" w:space="0"/>
              <w:right w:val="double" w:color="auto" w:sz="2"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default" w:ascii="Calibri" w:hAnsi="Calibri" w:cs="Calibri"/>
                <w:sz w:val="24"/>
                <w:szCs w:val="24"/>
              </w:rPr>
              <w:t>18</w:t>
            </w:r>
          </w:p>
        </w:tc>
      </w:tr>
      <w:tr>
        <w:trPr>
          <w:trHeight w:val="255" w:hRule="atLeast"/>
          <w:tblCellSpacing w:w="15" w:type="dxa"/>
        </w:trPr>
        <w:tc>
          <w:tcPr>
            <w:tcW w:w="762" w:type="dxa"/>
            <w:tcBorders>
              <w:top w:val="nil"/>
              <w:left w:val="double" w:color="auto" w:sz="2"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default" w:ascii="Calibri" w:hAnsi="Calibri" w:cs="Calibri"/>
                <w:sz w:val="24"/>
                <w:szCs w:val="24"/>
              </w:rPr>
              <w:t>2</w:t>
            </w:r>
          </w:p>
        </w:tc>
        <w:tc>
          <w:tcPr>
            <w:tcW w:w="3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left"/>
            </w:pPr>
            <w:r>
              <w:rPr>
                <w:rFonts w:hint="eastAsia" w:ascii="宋体" w:hAnsi="宋体" w:eastAsia="宋体" w:cs="宋体"/>
                <w:sz w:val="24"/>
                <w:szCs w:val="24"/>
              </w:rPr>
              <w:t>网络机柜</w:t>
            </w:r>
          </w:p>
        </w:tc>
        <w:tc>
          <w:tcPr>
            <w:tcW w:w="563"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sz w:val="24"/>
                <w:szCs w:val="24"/>
              </w:rPr>
              <w:t>台</w:t>
            </w:r>
          </w:p>
        </w:tc>
        <w:tc>
          <w:tcPr>
            <w:tcW w:w="831"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default" w:ascii="Calibri" w:hAnsi="Calibri" w:cs="Calibri"/>
                <w:sz w:val="24"/>
                <w:szCs w:val="24"/>
              </w:rPr>
              <w:t>3</w:t>
            </w:r>
          </w:p>
        </w:tc>
        <w:tc>
          <w:tcPr>
            <w:tcW w:w="1241"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default" w:ascii="Calibri" w:hAnsi="Calibri" w:cs="Calibri"/>
                <w:sz w:val="24"/>
                <w:szCs w:val="24"/>
              </w:rPr>
              <w:t>2</w:t>
            </w:r>
          </w:p>
        </w:tc>
        <w:tc>
          <w:tcPr>
            <w:tcW w:w="1193" w:type="dxa"/>
            <w:tcBorders>
              <w:top w:val="nil"/>
              <w:left w:val="nil"/>
              <w:bottom w:val="single" w:color="auto" w:sz="6" w:space="0"/>
              <w:right w:val="double" w:color="auto" w:sz="2"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default" w:ascii="Calibri" w:hAnsi="Calibri" w:cs="Calibri"/>
                <w:sz w:val="24"/>
                <w:szCs w:val="24"/>
              </w:rPr>
              <w:t>6</w:t>
            </w:r>
          </w:p>
        </w:tc>
      </w:tr>
      <w:tr>
        <w:trPr>
          <w:trHeight w:val="255" w:hRule="atLeast"/>
          <w:tblCellSpacing w:w="15" w:type="dxa"/>
        </w:trPr>
        <w:tc>
          <w:tcPr>
            <w:tcW w:w="762" w:type="dxa"/>
            <w:tcBorders>
              <w:top w:val="nil"/>
              <w:left w:val="double" w:color="auto" w:sz="2"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default" w:ascii="Calibri" w:hAnsi="Calibri" w:cs="Calibri"/>
                <w:sz w:val="24"/>
                <w:szCs w:val="24"/>
              </w:rPr>
              <w:t>3</w:t>
            </w:r>
          </w:p>
        </w:tc>
        <w:tc>
          <w:tcPr>
            <w:tcW w:w="3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left"/>
            </w:pPr>
            <w:r>
              <w:rPr>
                <w:rFonts w:hint="eastAsia" w:ascii="宋体" w:hAnsi="宋体" w:eastAsia="宋体" w:cs="宋体"/>
                <w:sz w:val="24"/>
                <w:szCs w:val="24"/>
              </w:rPr>
              <w:t>应急照明、安防、消防、场地监控</w:t>
            </w:r>
          </w:p>
        </w:tc>
        <w:tc>
          <w:tcPr>
            <w:tcW w:w="563"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sz w:val="24"/>
                <w:szCs w:val="24"/>
              </w:rPr>
              <w:t>项</w:t>
            </w:r>
          </w:p>
        </w:tc>
        <w:tc>
          <w:tcPr>
            <w:tcW w:w="831"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default" w:ascii="Calibri" w:hAnsi="Calibri" w:cs="Calibri"/>
                <w:sz w:val="24"/>
                <w:szCs w:val="24"/>
              </w:rPr>
              <w:t>1</w:t>
            </w:r>
          </w:p>
        </w:tc>
        <w:tc>
          <w:tcPr>
            <w:tcW w:w="1241"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default" w:ascii="Calibri" w:hAnsi="Calibri" w:cs="Calibri"/>
                <w:sz w:val="24"/>
                <w:szCs w:val="24"/>
              </w:rPr>
              <w:t>1</w:t>
            </w:r>
          </w:p>
        </w:tc>
        <w:tc>
          <w:tcPr>
            <w:tcW w:w="1193" w:type="dxa"/>
            <w:tcBorders>
              <w:top w:val="nil"/>
              <w:left w:val="nil"/>
              <w:bottom w:val="single" w:color="auto" w:sz="6" w:space="0"/>
              <w:right w:val="double" w:color="auto" w:sz="2"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Fonts w:hint="default" w:ascii="Calibri" w:hAnsi="Calibri" w:cs="Calibri"/>
                <w:sz w:val="24"/>
                <w:szCs w:val="24"/>
              </w:rPr>
              <w:t>1</w:t>
            </w:r>
          </w:p>
        </w:tc>
      </w:tr>
      <w:tr>
        <w:trPr>
          <w:trHeight w:val="270" w:hRule="atLeast"/>
          <w:tblCellSpacing w:w="15" w:type="dxa"/>
        </w:trPr>
        <w:tc>
          <w:tcPr>
            <w:tcW w:w="4547" w:type="dxa"/>
            <w:gridSpan w:val="3"/>
            <w:tcBorders>
              <w:top w:val="nil"/>
              <w:left w:val="double" w:color="auto" w:sz="2" w:space="0"/>
              <w:bottom w:val="double" w:color="auto" w:sz="2"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ind w:left="0" w:firstLine="420"/>
              <w:jc w:val="center"/>
            </w:pPr>
            <w:r>
              <w:rPr>
                <w:rStyle w:val="6"/>
                <w:rFonts w:hint="eastAsia" w:ascii="宋体" w:hAnsi="宋体" w:eastAsia="宋体" w:cs="宋体"/>
                <w:b/>
              </w:rPr>
              <w:t>合计：</w:t>
            </w:r>
          </w:p>
        </w:tc>
        <w:tc>
          <w:tcPr>
            <w:tcW w:w="831" w:type="dxa"/>
            <w:tcBorders>
              <w:top w:val="nil"/>
              <w:left w:val="nil"/>
              <w:bottom w:val="double" w:color="auto" w:sz="2" w:space="0"/>
              <w:right w:val="single" w:color="auto" w:sz="6"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Style w:val="6"/>
                <w:rFonts w:hint="default" w:ascii="Calibri" w:hAnsi="Calibri" w:cs="Calibri"/>
                <w:b/>
              </w:rPr>
              <w:t>10</w:t>
            </w:r>
          </w:p>
        </w:tc>
        <w:tc>
          <w:tcPr>
            <w:tcW w:w="1241" w:type="dxa"/>
            <w:tcBorders>
              <w:top w:val="nil"/>
              <w:left w:val="nil"/>
              <w:bottom w:val="double" w:color="auto" w:sz="2"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tc>
        <w:tc>
          <w:tcPr>
            <w:tcW w:w="1193" w:type="dxa"/>
            <w:tcBorders>
              <w:top w:val="nil"/>
              <w:left w:val="nil"/>
              <w:bottom w:val="double" w:color="auto" w:sz="2" w:space="0"/>
              <w:right w:val="double" w:color="auto" w:sz="2" w:space="0"/>
            </w:tcBorders>
            <w:shd w:val="clear" w:color="auto" w:fill="FFFFFF"/>
            <w:tcMar>
              <w:top w:w="0" w:type="dxa"/>
              <w:left w:w="105" w:type="dxa"/>
              <w:bottom w:w="0" w:type="dxa"/>
              <w:right w:w="105" w:type="dxa"/>
            </w:tcMar>
            <w:vAlign w:val="center"/>
          </w:tcPr>
          <w:p>
            <w:pPr>
              <w:pStyle w:val="4"/>
              <w:keepNext w:val="0"/>
              <w:keepLines w:val="0"/>
              <w:widowControl/>
              <w:suppressLineNumbers w:val="0"/>
              <w:jc w:val="center"/>
            </w:pPr>
            <w:r>
              <w:rPr>
                <w:rStyle w:val="6"/>
                <w:rFonts w:hint="default" w:ascii="Calibri" w:hAnsi="Calibri" w:cs="Calibri"/>
                <w:b/>
              </w:rPr>
              <w:t>25</w:t>
            </w:r>
          </w:p>
        </w:tc>
      </w:tr>
    </w:tbl>
    <w:p>
      <w:pPr>
        <w:pStyle w:val="4"/>
        <w:keepNext w:val="0"/>
        <w:keepLines w:val="0"/>
        <w:widowControl/>
        <w:suppressLineNumbers w:val="0"/>
        <w:spacing w:before="0" w:beforeAutospacing="1" w:after="0" w:afterAutospacing="1"/>
        <w:ind w:left="420" w:right="0"/>
      </w:pPr>
      <w:r>
        <w:rPr>
          <w:rFonts w:hint="eastAsia" w:ascii="宋体" w:hAnsi="宋体" w:eastAsia="宋体" w:cs="宋体"/>
          <w:sz w:val="24"/>
          <w:szCs w:val="24"/>
        </w:rPr>
        <w:t>？</w:t>
      </w:r>
      <w:r>
        <w:rPr>
          <w:rFonts w:hint="default" w:ascii="Times New Roman" w:hAnsi="Times New Roman" w:cs="Times New Roman"/>
          <w:sz w:val="13"/>
          <w:szCs w:val="13"/>
        </w:rPr>
        <w:t xml:space="preserve">  </w:t>
      </w:r>
      <w:r>
        <w:rPr>
          <w:rFonts w:hint="eastAsia" w:ascii="宋体" w:hAnsi="宋体" w:eastAsia="宋体" w:cs="宋体"/>
          <w:sz w:val="24"/>
          <w:szCs w:val="24"/>
        </w:rPr>
        <w:t>动力供电量测算</w:t>
      </w:r>
    </w:p>
    <w:p>
      <w:pPr>
        <w:pStyle w:val="4"/>
        <w:keepNext w:val="0"/>
        <w:keepLines w:val="0"/>
        <w:widowControl/>
        <w:suppressLineNumbers w:val="0"/>
        <w:ind w:left="0" w:firstLine="480"/>
      </w:pPr>
      <w:r>
        <w:rPr>
          <w:rFonts w:hint="eastAsia" w:ascii="宋体" w:hAnsi="宋体" w:eastAsia="宋体" w:cs="宋体"/>
          <w:sz w:val="24"/>
          <w:szCs w:val="24"/>
        </w:rPr>
        <w:t>1、精密空调设备供电容量</w:t>
      </w:r>
    </w:p>
    <w:p>
      <w:pPr>
        <w:pStyle w:val="4"/>
        <w:keepNext w:val="0"/>
        <w:keepLines w:val="0"/>
        <w:widowControl/>
        <w:suppressLineNumbers w:val="0"/>
        <w:ind w:left="0" w:firstLine="480"/>
      </w:pPr>
      <w:r>
        <w:rPr>
          <w:rFonts w:hint="eastAsia" w:ascii="宋体" w:hAnsi="宋体" w:eastAsia="宋体" w:cs="宋体"/>
          <w:sz w:val="24"/>
          <w:szCs w:val="24"/>
        </w:rPr>
        <w:t>本项目在机房采用行级精密空调，部署2台20KW精密空调集成在一体化机柜系统中，提40KW制冷量。</w:t>
      </w:r>
    </w:p>
    <w:p>
      <w:pPr>
        <w:pStyle w:val="4"/>
        <w:keepNext w:val="0"/>
        <w:keepLines w:val="0"/>
        <w:widowControl/>
        <w:suppressLineNumbers w:val="0"/>
        <w:ind w:left="0" w:firstLine="480"/>
      </w:pPr>
      <w:r>
        <w:rPr>
          <w:rFonts w:hint="eastAsia" w:ascii="宋体" w:hAnsi="宋体" w:eastAsia="宋体" w:cs="宋体"/>
          <w:sz w:val="24"/>
          <w:szCs w:val="24"/>
        </w:rPr>
        <w:t>精密设备功率包括空调压缩机、加湿器、加热器、风机、过滤器等各项部件功率的总和。精密空调设备功率可按照制冷量的80%估算，则精密空调设备供电容量约为：40KW×0.8≈32KW。</w:t>
      </w:r>
    </w:p>
    <w:p>
      <w:pPr>
        <w:pStyle w:val="4"/>
        <w:keepNext w:val="0"/>
        <w:keepLines w:val="0"/>
        <w:widowControl/>
        <w:suppressLineNumbers w:val="0"/>
        <w:ind w:left="0" w:firstLine="480"/>
      </w:pPr>
      <w:r>
        <w:rPr>
          <w:rFonts w:hint="eastAsia" w:ascii="宋体" w:hAnsi="宋体" w:eastAsia="宋体" w:cs="宋体"/>
          <w:sz w:val="24"/>
          <w:szCs w:val="24"/>
        </w:rPr>
        <w:t>2、其他设备供电容量</w:t>
      </w:r>
    </w:p>
    <w:p>
      <w:pPr>
        <w:pStyle w:val="4"/>
        <w:keepNext w:val="0"/>
        <w:keepLines w:val="0"/>
        <w:widowControl/>
        <w:suppressLineNumbers w:val="0"/>
        <w:ind w:left="0" w:firstLine="480"/>
      </w:pPr>
      <w:r>
        <w:rPr>
          <w:rFonts w:hint="eastAsia" w:ascii="宋体" w:hAnsi="宋体" w:eastAsia="宋体" w:cs="宋体"/>
          <w:sz w:val="24"/>
          <w:szCs w:val="24"/>
        </w:rPr>
        <w:t>机房其他设备包括：灯光照明设备、墙面市电插座等，供电容量约为2KW。</w:t>
      </w:r>
    </w:p>
    <w:p>
      <w:pPr>
        <w:pStyle w:val="4"/>
        <w:keepNext w:val="0"/>
        <w:keepLines w:val="0"/>
        <w:widowControl/>
        <w:suppressLineNumbers w:val="0"/>
        <w:ind w:left="0" w:firstLine="480"/>
      </w:pPr>
      <w:r>
        <w:rPr>
          <w:rFonts w:hint="eastAsia" w:ascii="宋体" w:hAnsi="宋体" w:eastAsia="宋体" w:cs="宋体"/>
          <w:sz w:val="24"/>
          <w:szCs w:val="24"/>
        </w:rPr>
        <w:t>综上所述，机房网络配电设备供电容量约需要25KW，动力设备供电容量约需要34KW，总容量为59KW。</w:t>
      </w:r>
    </w:p>
    <w:p>
      <w:pPr>
        <w:pStyle w:val="4"/>
        <w:keepNext w:val="0"/>
        <w:keepLines w:val="0"/>
        <w:widowControl/>
        <w:suppressLineNumbers w:val="0"/>
        <w:ind w:left="0" w:firstLine="480"/>
      </w:pPr>
      <w:r>
        <w:rPr>
          <w:rFonts w:hint="eastAsia" w:ascii="宋体" w:hAnsi="宋体" w:eastAsia="宋体" w:cs="宋体"/>
          <w:sz w:val="24"/>
          <w:szCs w:val="24"/>
        </w:rPr>
        <w:t>大楼总配电需要为机房网络配电设备提供25KW以上供电容量，为动力设备供电回路提供34KW以上的供电容量。</w:t>
      </w:r>
    </w:p>
    <w:p>
      <w:pPr>
        <w:pStyle w:val="4"/>
        <w:keepNext w:val="0"/>
        <w:keepLines w:val="0"/>
        <w:widowControl/>
        <w:suppressLineNumbers w:val="0"/>
      </w:pPr>
      <w:r>
        <w:rPr>
          <w:rFonts w:hint="default" w:ascii="Calibri" w:hAnsi="Calibri" w:cs="Calibri"/>
          <w:sz w:val="24"/>
          <w:szCs w:val="24"/>
        </w:rPr>
        <w:t>1.10.7.5 UPS</w:t>
      </w:r>
      <w:r>
        <w:rPr>
          <w:rFonts w:hint="eastAsia" w:ascii="宋体" w:hAnsi="宋体" w:eastAsia="宋体" w:cs="宋体"/>
          <w:sz w:val="24"/>
          <w:szCs w:val="24"/>
        </w:rPr>
        <w:t>电源设  计</w:t>
      </w:r>
    </w:p>
    <w:p>
      <w:pPr>
        <w:pStyle w:val="4"/>
        <w:keepNext w:val="0"/>
        <w:keepLines w:val="0"/>
        <w:widowControl/>
        <w:suppressLineNumbers w:val="0"/>
        <w:ind w:left="0" w:firstLine="480"/>
      </w:pPr>
      <w:r>
        <w:rPr>
          <w:rFonts w:hint="eastAsia" w:ascii="宋体" w:hAnsi="宋体" w:eastAsia="宋体" w:cs="宋体"/>
          <w:sz w:val="24"/>
          <w:szCs w:val="24"/>
        </w:rPr>
        <w:t>机房内IT设备采用UPS系统N+1供电方式，IT设备均采用双路供电，两回路分别由综合配电内的两个不同断路器供电，提供可靠的供电。</w:t>
      </w:r>
    </w:p>
    <w:p>
      <w:pPr>
        <w:pStyle w:val="4"/>
        <w:keepNext w:val="0"/>
        <w:keepLines w:val="0"/>
        <w:widowControl/>
        <w:suppressLineNumbers w:val="0"/>
        <w:ind w:left="0" w:firstLine="480"/>
      </w:pPr>
      <w:r>
        <w:rPr>
          <w:rFonts w:hint="eastAsia" w:ascii="宋体" w:hAnsi="宋体" w:eastAsia="宋体" w:cs="宋体"/>
          <w:sz w:val="24"/>
          <w:szCs w:val="24"/>
        </w:rPr>
        <w:t>本期项目UPS电源仅供电配置考虑覆盖机房的网络动力，配电设备主要包括计算机设备、应急照明、安防设备、消防设备以及场地监控。行政办公大厅的应用终端及电脑终端等设备的电力配电保障由大楼的其它项目承建考虑。</w:t>
      </w:r>
    </w:p>
    <w:p>
      <w:pPr>
        <w:pStyle w:val="4"/>
        <w:keepNext w:val="0"/>
        <w:keepLines w:val="0"/>
        <w:widowControl/>
        <w:suppressLineNumbers w:val="0"/>
        <w:ind w:left="0" w:firstLine="480"/>
      </w:pPr>
      <w:r>
        <w:rPr>
          <w:rFonts w:hint="eastAsia" w:ascii="宋体" w:hAnsi="宋体" w:eastAsia="宋体" w:cs="宋体"/>
          <w:sz w:val="24"/>
          <w:szCs w:val="24"/>
        </w:rPr>
        <w:t>网络配电容量测算为25KW，功率因素设为0.8，25KW÷0.8=30KVA。考虑UPS容量的冗余，一般以20%到30%（UPS最佳工作状态是负载70%到80%）UPS容量应该为30KVA X 1.3 =39KVA，从而可以得出选用40KVA的UPS。</w:t>
      </w:r>
    </w:p>
    <w:p>
      <w:pPr>
        <w:pStyle w:val="4"/>
        <w:keepNext w:val="0"/>
        <w:keepLines w:val="0"/>
        <w:widowControl/>
        <w:suppressLineNumbers w:val="0"/>
        <w:ind w:left="0" w:firstLine="480"/>
      </w:pPr>
      <w:r>
        <w:rPr>
          <w:rFonts w:hint="eastAsia" w:ascii="宋体" w:hAnsi="宋体" w:eastAsia="宋体" w:cs="宋体"/>
          <w:sz w:val="24"/>
          <w:szCs w:val="24"/>
        </w:rPr>
        <w:t>UPS后备电池配置，根据UPS电池计算公式：</w:t>
      </w:r>
    </w:p>
    <w:p>
      <w:pPr>
        <w:pStyle w:val="4"/>
        <w:keepNext w:val="0"/>
        <w:keepLines w:val="0"/>
        <w:widowControl/>
        <w:suppressLineNumbers w:val="0"/>
        <w:ind w:left="0" w:firstLine="480"/>
      </w:pPr>
      <w:r>
        <w:rPr>
          <w:rFonts w:hint="eastAsia" w:ascii="宋体" w:hAnsi="宋体" w:eastAsia="宋体" w:cs="宋体"/>
          <w:sz w:val="24"/>
          <w:szCs w:val="24"/>
        </w:rPr>
        <w:t>H＝Udc÷P÷K×C (P：整机功率；K：有功功率系数；Udc：电池电压；H：备用时间；C：电池组容量)，即</w:t>
      </w:r>
    </w:p>
    <w:p>
      <w:pPr>
        <w:pStyle w:val="4"/>
        <w:keepNext w:val="0"/>
        <w:keepLines w:val="0"/>
        <w:widowControl/>
        <w:suppressLineNumbers w:val="0"/>
        <w:ind w:left="0" w:firstLine="480"/>
      </w:pPr>
      <w:r>
        <w:rPr>
          <w:rFonts w:hint="eastAsia" w:ascii="宋体" w:hAnsi="宋体" w:eastAsia="宋体" w:cs="宋体"/>
          <w:sz w:val="24"/>
          <w:szCs w:val="24"/>
        </w:rPr>
        <w:t>后备UPS电池在容量：C＝H×P×K÷Udc≈2×40000×0.8÷12≈5333AH</w:t>
      </w:r>
    </w:p>
    <w:p>
      <w:pPr>
        <w:pStyle w:val="4"/>
        <w:keepNext w:val="0"/>
        <w:keepLines w:val="0"/>
        <w:widowControl/>
        <w:suppressLineNumbers w:val="0"/>
        <w:ind w:left="0" w:firstLine="480"/>
      </w:pPr>
      <w:r>
        <w:rPr>
          <w:rFonts w:hint="eastAsia" w:ascii="宋体" w:hAnsi="宋体" w:eastAsia="宋体" w:cs="宋体"/>
          <w:sz w:val="24"/>
          <w:szCs w:val="24"/>
        </w:rPr>
        <w:t>因此UPS后备电池组采用2组共28节电压12V容量200AH的电池，分装在2个电池箱中为机房提供满载负荷条件下接近2小时供电。</w:t>
      </w:r>
    </w:p>
    <w:p>
      <w:pPr>
        <w:pStyle w:val="4"/>
        <w:keepNext w:val="0"/>
        <w:keepLines w:val="0"/>
        <w:widowControl/>
        <w:suppressLineNumbers w:val="0"/>
        <w:ind w:left="0" w:firstLine="0"/>
      </w:pPr>
      <w:r>
        <w:rPr>
          <w:rFonts w:hint="eastAsia" w:ascii="宋体" w:hAnsi="宋体" w:eastAsia="宋体" w:cs="宋体"/>
          <w:sz w:val="24"/>
          <w:szCs w:val="24"/>
        </w:rPr>
        <w:t>1.10.8 机房防雷接地</w:t>
      </w:r>
    </w:p>
    <w:p>
      <w:pPr>
        <w:pStyle w:val="4"/>
        <w:keepNext w:val="0"/>
        <w:keepLines w:val="0"/>
        <w:widowControl/>
        <w:suppressLineNumbers w:val="0"/>
      </w:pPr>
      <w:r>
        <w:rPr>
          <w:rFonts w:hint="default" w:ascii="Calibri" w:hAnsi="Calibri" w:cs="Calibri"/>
          <w:sz w:val="24"/>
          <w:szCs w:val="24"/>
        </w:rPr>
        <w:t xml:space="preserve">1.10.8.1 </w:t>
      </w:r>
      <w:r>
        <w:rPr>
          <w:rFonts w:hint="eastAsia" w:ascii="宋体" w:hAnsi="宋体" w:eastAsia="宋体" w:cs="宋体"/>
          <w:sz w:val="24"/>
          <w:szCs w:val="24"/>
        </w:rPr>
        <w:t>设 计依据</w:t>
      </w:r>
    </w:p>
    <w:p>
      <w:pPr>
        <w:pStyle w:val="4"/>
        <w:keepNext w:val="0"/>
        <w:keepLines w:val="0"/>
        <w:widowControl/>
        <w:suppressLineNumbers w:val="0"/>
        <w:ind w:left="0" w:firstLine="480"/>
      </w:pPr>
      <w:r>
        <w:rPr>
          <w:rFonts w:hint="eastAsia" w:ascii="宋体" w:hAnsi="宋体" w:eastAsia="宋体" w:cs="宋体"/>
          <w:sz w:val="24"/>
          <w:szCs w:val="24"/>
        </w:rPr>
        <w:t>？ 《民用建筑电气设  计规范》                 JGJ/G16-2008</w:t>
      </w:r>
    </w:p>
    <w:p>
      <w:pPr>
        <w:pStyle w:val="4"/>
        <w:keepNext w:val="0"/>
        <w:keepLines w:val="0"/>
        <w:widowControl/>
        <w:suppressLineNumbers w:val="0"/>
        <w:ind w:left="0" w:firstLine="480"/>
      </w:pPr>
      <w:r>
        <w:rPr>
          <w:rFonts w:hint="eastAsia" w:ascii="宋体" w:hAnsi="宋体" w:eastAsia="宋体" w:cs="宋体"/>
          <w:sz w:val="24"/>
          <w:szCs w:val="24"/>
        </w:rPr>
        <w:t>？ 《建筑物电子信息系统防雷技术规范》       GB 50343-2012</w:t>
      </w:r>
    </w:p>
    <w:p>
      <w:pPr>
        <w:pStyle w:val="4"/>
        <w:keepNext w:val="0"/>
        <w:keepLines w:val="0"/>
        <w:widowControl/>
        <w:suppressLineNumbers w:val="0"/>
        <w:ind w:left="0" w:firstLine="480"/>
      </w:pPr>
      <w:r>
        <w:rPr>
          <w:rFonts w:hint="eastAsia" w:ascii="宋体" w:hAnsi="宋体" w:eastAsia="宋体" w:cs="宋体"/>
          <w:sz w:val="24"/>
          <w:szCs w:val="24"/>
        </w:rPr>
        <w:t>？ 《建筑物防雷设  计规范》                   GB50057-2010</w:t>
      </w:r>
    </w:p>
    <w:p>
      <w:pPr>
        <w:pStyle w:val="4"/>
        <w:keepNext w:val="0"/>
        <w:keepLines w:val="0"/>
        <w:widowControl/>
        <w:suppressLineNumbers w:val="0"/>
        <w:ind w:left="0" w:firstLine="480"/>
      </w:pPr>
      <w:r>
        <w:rPr>
          <w:rFonts w:hint="eastAsia" w:ascii="宋体" w:hAnsi="宋体" w:eastAsia="宋体" w:cs="宋体"/>
          <w:sz w:val="24"/>
          <w:szCs w:val="24"/>
        </w:rPr>
        <w:t>？ 《电子信息系统机房设  计规范》             GB50174-2008</w:t>
      </w:r>
    </w:p>
    <w:p>
      <w:pPr>
        <w:pStyle w:val="4"/>
        <w:keepNext w:val="0"/>
        <w:keepLines w:val="0"/>
        <w:widowControl/>
        <w:suppressLineNumbers w:val="0"/>
        <w:ind w:left="0" w:firstLine="480"/>
      </w:pPr>
      <w:r>
        <w:rPr>
          <w:rFonts w:hint="eastAsia" w:ascii="宋体" w:hAnsi="宋体" w:eastAsia="宋体" w:cs="宋体"/>
          <w:sz w:val="24"/>
          <w:szCs w:val="24"/>
        </w:rPr>
        <w:t>？ 《电子信息系统机房施工及验收规范》       GB 50462-2008</w:t>
      </w:r>
    </w:p>
    <w:p>
      <w:pPr>
        <w:pStyle w:val="4"/>
        <w:keepNext w:val="0"/>
        <w:keepLines w:val="0"/>
        <w:widowControl/>
        <w:suppressLineNumbers w:val="0"/>
        <w:ind w:left="0" w:firstLine="480"/>
      </w:pPr>
      <w:r>
        <w:rPr>
          <w:rFonts w:hint="eastAsia" w:ascii="宋体" w:hAnsi="宋体" w:eastAsia="宋体" w:cs="宋体"/>
          <w:sz w:val="24"/>
          <w:szCs w:val="24"/>
        </w:rPr>
        <w:t>？ 《电子计算机场地通用规范》               GB/T2887-2011</w:t>
      </w:r>
    </w:p>
    <w:p>
      <w:pPr>
        <w:pStyle w:val="4"/>
        <w:keepNext w:val="0"/>
        <w:keepLines w:val="0"/>
        <w:widowControl/>
        <w:suppressLineNumbers w:val="0"/>
        <w:ind w:left="0" w:firstLine="480"/>
      </w:pPr>
      <w:r>
        <w:rPr>
          <w:rFonts w:hint="eastAsia" w:ascii="宋体" w:hAnsi="宋体" w:eastAsia="宋体" w:cs="宋体"/>
          <w:sz w:val="24"/>
          <w:szCs w:val="24"/>
        </w:rPr>
        <w:t>？ 《电子设备雷击保护导则》                 GB7450-87</w:t>
      </w:r>
    </w:p>
    <w:p>
      <w:pPr>
        <w:pStyle w:val="4"/>
        <w:keepNext w:val="0"/>
        <w:keepLines w:val="0"/>
        <w:widowControl/>
        <w:suppressLineNumbers w:val="0"/>
      </w:pPr>
      <w:r>
        <w:rPr>
          <w:rFonts w:hint="default" w:ascii="Calibri" w:hAnsi="Calibri" w:cs="Calibri"/>
          <w:sz w:val="24"/>
          <w:szCs w:val="24"/>
        </w:rPr>
        <w:t xml:space="preserve">1.10.8.2 </w:t>
      </w:r>
      <w:r>
        <w:rPr>
          <w:rFonts w:hint="eastAsia" w:ascii="宋体" w:hAnsi="宋体" w:eastAsia="宋体" w:cs="宋体"/>
          <w:sz w:val="24"/>
          <w:szCs w:val="24"/>
        </w:rPr>
        <w:t>电源系统防雷</w:t>
      </w:r>
    </w:p>
    <w:p>
      <w:pPr>
        <w:pStyle w:val="4"/>
        <w:keepNext w:val="0"/>
        <w:keepLines w:val="0"/>
        <w:widowControl/>
        <w:suppressLineNumbers w:val="0"/>
        <w:ind w:left="0" w:firstLine="480"/>
      </w:pPr>
      <w:r>
        <w:rPr>
          <w:rFonts w:hint="eastAsia" w:ascii="宋体" w:hAnsi="宋体" w:eastAsia="宋体" w:cs="宋体"/>
          <w:sz w:val="24"/>
          <w:szCs w:val="24"/>
        </w:rPr>
        <w:t>第一级电源防雷：在大楼的总进线配电柜或本楼层的总配电柜上并联安装一套一级电源防雷模块，用于整体电源第一级的雷电初级保护。由大楼统一考虑。</w:t>
      </w:r>
    </w:p>
    <w:p>
      <w:pPr>
        <w:pStyle w:val="4"/>
        <w:keepNext w:val="0"/>
        <w:keepLines w:val="0"/>
        <w:widowControl/>
        <w:suppressLineNumbers w:val="0"/>
        <w:ind w:left="0" w:firstLine="480"/>
      </w:pPr>
      <w:r>
        <w:rPr>
          <w:rFonts w:hint="eastAsia" w:ascii="宋体" w:hAnsi="宋体" w:eastAsia="宋体" w:cs="宋体"/>
          <w:sz w:val="24"/>
          <w:szCs w:val="24"/>
        </w:rPr>
        <w:t>第二级电源防雷：在大楼配电间的市电配电柜上安装配置一套具有40KA的通流容量第二级电源防雷模块，用于数据中心整体雷电防护。</w:t>
      </w:r>
    </w:p>
    <w:p>
      <w:pPr>
        <w:pStyle w:val="4"/>
        <w:keepNext w:val="0"/>
        <w:keepLines w:val="0"/>
        <w:widowControl/>
        <w:suppressLineNumbers w:val="0"/>
        <w:ind w:left="0" w:firstLine="480"/>
      </w:pPr>
      <w:r>
        <w:rPr>
          <w:rFonts w:hint="eastAsia" w:ascii="宋体" w:hAnsi="宋体" w:eastAsia="宋体" w:cs="宋体"/>
          <w:sz w:val="24"/>
          <w:szCs w:val="24"/>
        </w:rPr>
        <w:t>第三级电源防雷：在数据中心的综合配电柜上安装配置一套具有20KA的通流容量第三级电源防雷模块，用于主机房UPS配电电源的雷电防护。</w:t>
      </w:r>
    </w:p>
    <w:p>
      <w:pPr>
        <w:pStyle w:val="4"/>
        <w:keepNext w:val="0"/>
        <w:keepLines w:val="0"/>
        <w:widowControl/>
        <w:suppressLineNumbers w:val="0"/>
        <w:ind w:left="0" w:firstLine="0"/>
      </w:pPr>
      <w:r>
        <w:rPr>
          <w:rFonts w:hint="eastAsia" w:ascii="宋体" w:hAnsi="宋体" w:eastAsia="宋体" w:cs="宋体"/>
          <w:sz w:val="24"/>
          <w:szCs w:val="24"/>
        </w:rPr>
        <w:t>1.10.9 接地系统</w:t>
      </w:r>
    </w:p>
    <w:p>
      <w:pPr>
        <w:pStyle w:val="4"/>
        <w:keepNext w:val="0"/>
        <w:keepLines w:val="0"/>
        <w:widowControl/>
        <w:suppressLineNumbers w:val="0"/>
        <w:ind w:left="0" w:firstLine="480"/>
      </w:pPr>
      <w:r>
        <w:rPr>
          <w:rFonts w:hint="eastAsia" w:ascii="宋体" w:hAnsi="宋体" w:eastAsia="宋体" w:cs="宋体"/>
          <w:sz w:val="24"/>
          <w:szCs w:val="24"/>
        </w:rPr>
        <w:t>接地系统是涉及多方面的综合性信息处理工程，是数据中心建设中的一项重要内容，不仅影响到计算机设备本身的正常运行，而且还直接关系到计算机设备和工作人员的安全。接地系统是否良好是衡量一个机房建设质量的关键性问题之一。</w:t>
      </w:r>
    </w:p>
    <w:p>
      <w:pPr>
        <w:pStyle w:val="4"/>
        <w:keepNext w:val="0"/>
        <w:keepLines w:val="0"/>
        <w:widowControl/>
        <w:suppressLineNumbers w:val="0"/>
        <w:ind w:left="0" w:firstLine="480"/>
      </w:pPr>
      <w:r>
        <w:rPr>
          <w:rFonts w:hint="eastAsia" w:ascii="宋体" w:hAnsi="宋体" w:eastAsia="宋体" w:cs="宋体"/>
          <w:sz w:val="24"/>
          <w:szCs w:val="24"/>
        </w:rPr>
        <w:t>机房内常见基地内容包括工作接地、保护接地、抗静电接地、防雷接地、屏蔽接地。不同接地内容对接地电阻由不同接地要求。</w:t>
      </w:r>
    </w:p>
    <w:p>
      <w:pPr>
        <w:pStyle w:val="4"/>
        <w:keepNext w:val="0"/>
        <w:keepLines w:val="0"/>
        <w:widowControl/>
        <w:suppressLineNumbers w:val="0"/>
      </w:pPr>
      <w:r>
        <w:drawing>
          <wp:inline distT="0" distB="0" distL="114300" distR="114300">
            <wp:extent cx="5353050" cy="3514725"/>
            <wp:effectExtent l="0" t="0" r="0" b="9525"/>
            <wp:docPr id="21" name="图片 20" descr="15354217737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0" descr="1535421773773.png"/>
                    <pic:cNvPicPr>
                      <a:picLocks noChangeAspect="1"/>
                    </pic:cNvPicPr>
                  </pic:nvPicPr>
                  <pic:blipFill>
                    <a:blip r:embed="rId23"/>
                    <a:stretch>
                      <a:fillRect/>
                    </a:stretch>
                  </pic:blipFill>
                  <pic:spPr>
                    <a:xfrm>
                      <a:off x="0" y="0"/>
                      <a:ext cx="5353050" cy="3514725"/>
                    </a:xfrm>
                    <a:prstGeom prst="rect">
                      <a:avLst/>
                    </a:prstGeom>
                    <a:noFill/>
                    <a:ln w="9525">
                      <a:noFill/>
                    </a:ln>
                  </pic:spPr>
                </pic:pic>
              </a:graphicData>
            </a:graphic>
          </wp:inline>
        </w:drawing>
      </w:r>
      <w:r>
        <w:rPr>
          <w:rFonts w:hint="default" w:ascii="Calibri" w:hAnsi="Calibri" w:cs="Calibri"/>
          <w:sz w:val="24"/>
          <w:szCs w:val="24"/>
        </w:rPr>
        <w:t> </w:t>
      </w:r>
    </w:p>
    <w:p>
      <w:pPr>
        <w:pStyle w:val="4"/>
        <w:keepNext w:val="0"/>
        <w:keepLines w:val="0"/>
        <w:widowControl/>
        <w:suppressLineNumbers w:val="0"/>
        <w:jc w:val="center"/>
      </w:pPr>
    </w:p>
    <w:p>
      <w:pPr>
        <w:pStyle w:val="4"/>
        <w:keepNext w:val="0"/>
        <w:keepLines w:val="0"/>
        <w:widowControl/>
        <w:suppressLineNumbers w:val="0"/>
        <w:ind w:left="0" w:firstLine="480"/>
      </w:pPr>
      <w:r>
        <w:rPr>
          <w:rFonts w:hint="eastAsia" w:ascii="宋体" w:hAnsi="宋体" w:eastAsia="宋体" w:cs="宋体"/>
          <w:sz w:val="24"/>
          <w:szCs w:val="24"/>
        </w:rPr>
        <w:t>为便于接地系统的统一管理，数据中心接地系统普遍采用联合接地方式，利用大楼承重柱内专用接地钢筋引出联合接地点，接地电阻小于1欧姆。同时，在铺设架空地板的数据中心内抗静电地板下方设置30mm×3mm的紫铜排，按照4000×4000间距呈网状布置，且每隔2000mm用绝缘胶木板绝缘支撑，在没有架空地板的数据中心，在机房内四周设置30mm×3mm的紫铜排或40mm×4mm的接地扁钢，机房内机柜底座互相连接，并与机房四周的接地扁钢或接地铜排可靠连接（连接2处以上），以此建立数据中心等电位接地网，与联合接地点一点接地。所有功能接地均就近接入等电位接地网。</w:t>
      </w:r>
    </w:p>
    <w:p>
      <w:pPr>
        <w:pStyle w:val="4"/>
        <w:keepNext w:val="0"/>
        <w:keepLines w:val="0"/>
        <w:widowControl/>
        <w:suppressLineNumbers w:val="0"/>
        <w:ind w:left="0" w:firstLine="480"/>
      </w:pPr>
      <w:r>
        <w:rPr>
          <w:rFonts w:hint="eastAsia" w:ascii="宋体" w:hAnsi="宋体" w:eastAsia="宋体" w:cs="宋体"/>
          <w:sz w:val="24"/>
          <w:szCs w:val="24"/>
        </w:rPr>
        <w:t>机房内每套重要设备的外壳采用4 mm2铜导线接入等电位接地网，所有设备机柜的外壳用BVR6mm2绝缘导线直接接入等电位接地网，数据中心的第二、第三级防雷直接采用BVR16MM2线接入配电柜内PE线等电位端子排，并在UPS输出配电柜内统一重复接地后，采用BVR25mm2统一接入机房等点位网，弱电信号线路浪涌保护装置采用BV2.5mm2线直接与设备机柜连接。</w:t>
      </w:r>
    </w:p>
    <w:p>
      <w:pPr>
        <w:pStyle w:val="4"/>
        <w:keepNext w:val="0"/>
        <w:keepLines w:val="0"/>
        <w:widowControl/>
        <w:suppressLineNumbers w:val="0"/>
        <w:ind w:left="0" w:firstLine="0"/>
      </w:pPr>
      <w:r>
        <w:rPr>
          <w:rFonts w:hint="eastAsia" w:ascii="宋体" w:hAnsi="宋体" w:eastAsia="宋体" w:cs="宋体"/>
          <w:sz w:val="24"/>
          <w:szCs w:val="24"/>
        </w:rPr>
        <w:t>1.10.10</w:t>
      </w:r>
      <w:r>
        <w:rPr>
          <w:rFonts w:hint="default" w:ascii="Times New Roman" w:hAnsi="Times New Roman" w:cs="Times New Roman"/>
          <w:sz w:val="13"/>
          <w:szCs w:val="13"/>
        </w:rPr>
        <w:t xml:space="preserve">     </w:t>
      </w:r>
      <w:r>
        <w:rPr>
          <w:rFonts w:hint="eastAsia" w:ascii="宋体" w:hAnsi="宋体" w:eastAsia="宋体" w:cs="宋体"/>
          <w:sz w:val="24"/>
          <w:szCs w:val="24"/>
        </w:rPr>
        <w:t>精密空调系统</w:t>
      </w:r>
    </w:p>
    <w:p>
      <w:pPr>
        <w:pStyle w:val="4"/>
        <w:keepNext w:val="0"/>
        <w:keepLines w:val="0"/>
        <w:widowControl/>
        <w:suppressLineNumbers w:val="0"/>
        <w:ind w:left="0" w:firstLine="480"/>
      </w:pPr>
      <w:r>
        <w:rPr>
          <w:rFonts w:hint="eastAsia" w:ascii="宋体" w:hAnsi="宋体" w:eastAsia="宋体" w:cs="宋体"/>
          <w:sz w:val="24"/>
          <w:szCs w:val="24"/>
        </w:rPr>
        <w:t>计算机机房区具有余热量大、余湿量小、循环风量大等特点，同时机房空调的任务是为了保证电子计算机系统能够连续、稳定、可靠地运行，需要排出机房内设备及其它热源所散发的热量，维持机房内恒温恒湿状态，并控制机房的空气含尘量，为此要求机房空调系统具有送风、回风、加热、冷却、减湿和空气净化的功能。因此选用恒温恒湿机房专用空调。机房采用下送风、上回风精密空调进行温湿度调节。</w:t>
      </w:r>
    </w:p>
    <w:p>
      <w:pPr>
        <w:pStyle w:val="4"/>
        <w:keepNext w:val="0"/>
        <w:keepLines w:val="0"/>
        <w:widowControl/>
        <w:suppressLineNumbers w:val="0"/>
      </w:pPr>
      <w:r>
        <w:rPr>
          <w:rFonts w:hint="default" w:ascii="Calibri" w:hAnsi="Calibri" w:cs="Calibri"/>
          <w:sz w:val="24"/>
          <w:szCs w:val="24"/>
        </w:rPr>
        <w:t>1.10.10.1</w:t>
      </w:r>
      <w:r>
        <w:rPr>
          <w:rFonts w:hint="default" w:ascii="Times New Roman" w:hAnsi="Times New Roman" w:cs="Times New Roman"/>
          <w:sz w:val="13"/>
          <w:szCs w:val="13"/>
        </w:rPr>
        <w:t xml:space="preserve">     </w:t>
      </w:r>
      <w:r>
        <w:rPr>
          <w:rFonts w:hint="eastAsia" w:ascii="宋体" w:hAnsi="宋体" w:eastAsia="宋体" w:cs="宋体"/>
          <w:sz w:val="24"/>
          <w:szCs w:val="24"/>
        </w:rPr>
        <w:t>机房制冷量测算</w:t>
      </w:r>
    </w:p>
    <w:p>
      <w:pPr>
        <w:pStyle w:val="4"/>
        <w:keepNext w:val="0"/>
        <w:keepLines w:val="0"/>
        <w:widowControl/>
        <w:suppressLineNumbers w:val="0"/>
        <w:ind w:left="0" w:firstLine="480"/>
      </w:pPr>
      <w:r>
        <w:rPr>
          <w:rFonts w:hint="eastAsia" w:ascii="宋体" w:hAnsi="宋体" w:eastAsia="宋体" w:cs="宋体"/>
          <w:sz w:val="24"/>
          <w:szCs w:val="24"/>
        </w:rPr>
        <w:t>本项目计算机房冷负荷采用"功率及面积法"，具体计算公式如下：</w:t>
      </w:r>
    </w:p>
    <w:p>
      <w:pPr>
        <w:pStyle w:val="4"/>
        <w:keepNext w:val="0"/>
        <w:keepLines w:val="0"/>
        <w:widowControl/>
        <w:suppressLineNumbers w:val="0"/>
        <w:ind w:left="0" w:firstLine="480"/>
      </w:pPr>
      <w:r>
        <w:rPr>
          <w:rFonts w:hint="eastAsia" w:ascii="宋体" w:hAnsi="宋体" w:eastAsia="宋体" w:cs="宋体"/>
          <w:sz w:val="24"/>
          <w:szCs w:val="24"/>
        </w:rPr>
        <w:t>Qt＝Q1＋Q2 (Qt：总冷负荷，Q1：环境冷负荷，Q2：设备冷负荷)</w:t>
      </w:r>
    </w:p>
    <w:p>
      <w:pPr>
        <w:pStyle w:val="4"/>
        <w:keepNext w:val="0"/>
        <w:keepLines w:val="0"/>
        <w:widowControl/>
        <w:suppressLineNumbers w:val="0"/>
        <w:ind w:left="0" w:firstLine="480"/>
      </w:pPr>
      <w:r>
        <w:rPr>
          <w:rFonts w:hint="eastAsia" w:ascii="宋体" w:hAnsi="宋体" w:eastAsia="宋体" w:cs="宋体"/>
          <w:sz w:val="24"/>
          <w:szCs w:val="24"/>
        </w:rPr>
        <w:t>（1）Q1环境冷负荷</w:t>
      </w:r>
    </w:p>
    <w:p>
      <w:pPr>
        <w:pStyle w:val="4"/>
        <w:keepNext w:val="0"/>
        <w:keepLines w:val="0"/>
        <w:widowControl/>
        <w:suppressLineNumbers w:val="0"/>
        <w:ind w:left="0" w:firstLine="480"/>
      </w:pPr>
      <w:r>
        <w:rPr>
          <w:rFonts w:hint="eastAsia" w:ascii="宋体" w:hAnsi="宋体" w:eastAsia="宋体" w:cs="宋体"/>
          <w:sz w:val="24"/>
          <w:szCs w:val="24"/>
        </w:rPr>
        <w:t>本项目中环境冷负荷按照以往工程经验以0.15KW/㎡计算，则机房精密空调制冷区域的环境冷负荷Q1＝机房精密空调制冷区域面积×0.15KW/㎡；</w:t>
      </w:r>
    </w:p>
    <w:p>
      <w:pPr>
        <w:pStyle w:val="4"/>
        <w:keepNext w:val="0"/>
        <w:keepLines w:val="0"/>
        <w:widowControl/>
        <w:suppressLineNumbers w:val="0"/>
        <w:ind w:left="0" w:firstLine="480"/>
      </w:pPr>
      <w:r>
        <w:rPr>
          <w:rFonts w:hint="eastAsia" w:ascii="宋体" w:hAnsi="宋体" w:eastAsia="宋体" w:cs="宋体"/>
          <w:sz w:val="24"/>
          <w:szCs w:val="24"/>
        </w:rPr>
        <w:t>则Q1环境冷负荷＝61㎡×0.15KW/㎡＝9.15KW</w:t>
      </w:r>
    </w:p>
    <w:p>
      <w:pPr>
        <w:pStyle w:val="4"/>
        <w:keepNext w:val="0"/>
        <w:keepLines w:val="0"/>
        <w:widowControl/>
        <w:suppressLineNumbers w:val="0"/>
        <w:ind w:left="0" w:firstLine="480"/>
      </w:pPr>
      <w:r>
        <w:rPr>
          <w:rFonts w:hint="eastAsia" w:ascii="宋体" w:hAnsi="宋体" w:eastAsia="宋体" w:cs="宋体"/>
          <w:sz w:val="24"/>
          <w:szCs w:val="24"/>
        </w:rPr>
        <w:t>（2）Q2设备冷负荷</w:t>
      </w:r>
    </w:p>
    <w:p>
      <w:pPr>
        <w:pStyle w:val="4"/>
        <w:keepNext w:val="0"/>
        <w:keepLines w:val="0"/>
        <w:widowControl/>
        <w:suppressLineNumbers w:val="0"/>
        <w:ind w:left="0" w:firstLine="480"/>
      </w:pPr>
      <w:r>
        <w:rPr>
          <w:rFonts w:hint="eastAsia" w:ascii="宋体" w:hAnsi="宋体" w:eastAsia="宋体" w:cs="宋体"/>
          <w:sz w:val="24"/>
          <w:szCs w:val="24"/>
        </w:rPr>
        <w:t>机房内设备的散热Q2=P×η1×η2×η3 (P：主机房计算机设备总功率(KW)，η1：同时使用系数，η2：利用系数，η3：负荷工作均匀系数)；</w:t>
      </w:r>
    </w:p>
    <w:p>
      <w:pPr>
        <w:pStyle w:val="4"/>
        <w:keepNext w:val="0"/>
        <w:keepLines w:val="0"/>
        <w:widowControl/>
        <w:suppressLineNumbers w:val="0"/>
        <w:ind w:left="0" w:firstLine="480"/>
      </w:pPr>
      <w:r>
        <w:rPr>
          <w:rFonts w:hint="eastAsia" w:ascii="宋体" w:hAnsi="宋体" w:eastAsia="宋体" w:cs="宋体"/>
          <w:sz w:val="24"/>
          <w:szCs w:val="24"/>
        </w:rPr>
        <w:t>根据以往工程经验考虑制冷量的冗余，通常η1×η2×η3取值为0.8，则Q2＝P×0.8；</w:t>
      </w:r>
    </w:p>
    <w:p>
      <w:pPr>
        <w:pStyle w:val="4"/>
        <w:keepNext w:val="0"/>
        <w:keepLines w:val="0"/>
        <w:widowControl/>
        <w:suppressLineNumbers w:val="0"/>
        <w:ind w:left="0" w:firstLine="480"/>
      </w:pPr>
      <w:r>
        <w:rPr>
          <w:rFonts w:hint="eastAsia" w:ascii="宋体" w:hAnsi="宋体" w:eastAsia="宋体" w:cs="宋体"/>
          <w:sz w:val="24"/>
          <w:szCs w:val="24"/>
        </w:rPr>
        <w:t>机房单个服务器机柜满载负荷设  计为5KW、单个网络机柜满载负荷设  计为3KW。满载负荷计算方式理论为上架设备额定功率的总和。</w:t>
      </w:r>
    </w:p>
    <w:p>
      <w:pPr>
        <w:pStyle w:val="4"/>
        <w:keepNext w:val="0"/>
        <w:keepLines w:val="0"/>
        <w:widowControl/>
        <w:suppressLineNumbers w:val="0"/>
        <w:ind w:left="0" w:firstLine="480"/>
      </w:pPr>
      <w:r>
        <w:rPr>
          <w:rFonts w:hint="eastAsia" w:ascii="宋体" w:hAnsi="宋体" w:eastAsia="宋体" w:cs="宋体"/>
          <w:sz w:val="24"/>
          <w:szCs w:val="24"/>
        </w:rPr>
        <w:t>考虑到机房大部分计算机设备实际运行过程中，不大可能完全处于满载负荷运行，因此在计算机设备供电总容量时，根据工程经验每个设备机柜供电容量均值可按照3KW计算、网络机柜可按照2KW计算。</w:t>
      </w:r>
    </w:p>
    <w:p>
      <w:pPr>
        <w:pStyle w:val="4"/>
        <w:keepNext w:val="0"/>
        <w:keepLines w:val="0"/>
        <w:widowControl/>
        <w:suppressLineNumbers w:val="0"/>
        <w:ind w:left="0" w:firstLine="480"/>
      </w:pPr>
      <w:r>
        <w:rPr>
          <w:rFonts w:hint="eastAsia" w:ascii="宋体" w:hAnsi="宋体" w:eastAsia="宋体" w:cs="宋体"/>
          <w:sz w:val="24"/>
          <w:szCs w:val="24"/>
        </w:rPr>
        <w:t>则设备冷负荷Q2＝（3×6+2×3）×0.8＝19.2KW</w:t>
      </w:r>
    </w:p>
    <w:p>
      <w:pPr>
        <w:pStyle w:val="4"/>
        <w:keepNext w:val="0"/>
        <w:keepLines w:val="0"/>
        <w:widowControl/>
        <w:suppressLineNumbers w:val="0"/>
        <w:ind w:left="0" w:firstLine="480"/>
      </w:pPr>
      <w:r>
        <w:rPr>
          <w:rFonts w:hint="eastAsia" w:ascii="宋体" w:hAnsi="宋体" w:eastAsia="宋体" w:cs="宋体"/>
          <w:sz w:val="24"/>
          <w:szCs w:val="24"/>
        </w:rPr>
        <w:t>（3）Qt总冷负荷</w:t>
      </w:r>
    </w:p>
    <w:p>
      <w:pPr>
        <w:pStyle w:val="4"/>
        <w:keepNext w:val="0"/>
        <w:keepLines w:val="0"/>
        <w:widowControl/>
        <w:suppressLineNumbers w:val="0"/>
        <w:ind w:left="0" w:firstLine="480"/>
      </w:pPr>
      <w:r>
        <w:rPr>
          <w:rFonts w:hint="eastAsia" w:ascii="宋体" w:hAnsi="宋体" w:eastAsia="宋体" w:cs="宋体"/>
          <w:sz w:val="24"/>
          <w:szCs w:val="24"/>
        </w:rPr>
        <w:t>Qt总冷负荷＝9.15W＋19.2    KW＝28.35KW</w:t>
      </w:r>
    </w:p>
    <w:p>
      <w:pPr>
        <w:pStyle w:val="4"/>
        <w:keepNext w:val="0"/>
        <w:keepLines w:val="0"/>
        <w:widowControl/>
        <w:suppressLineNumbers w:val="0"/>
        <w:ind w:left="0" w:firstLine="480"/>
      </w:pPr>
      <w:r>
        <w:rPr>
          <w:rFonts w:hint="eastAsia" w:ascii="宋体" w:hAnsi="宋体" w:eastAsia="宋体" w:cs="宋体"/>
          <w:sz w:val="24"/>
          <w:szCs w:val="24"/>
        </w:rPr>
        <w:t>考虑到当地的实际气候条件、空调自身运行产生的热量及机房不可预见的冷负荷,预留10%制冷冗余量，则总冷量需求约为30KW。</w:t>
      </w:r>
    </w:p>
    <w:p>
      <w:pPr>
        <w:pStyle w:val="4"/>
        <w:keepNext w:val="0"/>
        <w:keepLines w:val="0"/>
        <w:widowControl/>
        <w:suppressLineNumbers w:val="0"/>
      </w:pPr>
      <w:r>
        <w:rPr>
          <w:rFonts w:hint="default" w:ascii="Calibri" w:hAnsi="Calibri" w:cs="Calibri"/>
          <w:sz w:val="24"/>
          <w:szCs w:val="24"/>
        </w:rPr>
        <w:t>1.10.10.2</w:t>
      </w:r>
      <w:r>
        <w:rPr>
          <w:rFonts w:hint="default" w:ascii="Times New Roman" w:hAnsi="Times New Roman" w:cs="Times New Roman"/>
          <w:sz w:val="13"/>
          <w:szCs w:val="13"/>
        </w:rPr>
        <w:t xml:space="preserve">     </w:t>
      </w:r>
      <w:r>
        <w:rPr>
          <w:rFonts w:hint="eastAsia" w:ascii="宋体" w:hAnsi="宋体" w:eastAsia="宋体" w:cs="宋体"/>
          <w:sz w:val="24"/>
          <w:szCs w:val="24"/>
        </w:rPr>
        <w:t>精密空调系统气流组织</w:t>
      </w:r>
    </w:p>
    <w:p>
      <w:pPr>
        <w:pStyle w:val="4"/>
        <w:keepNext w:val="0"/>
        <w:keepLines w:val="0"/>
        <w:widowControl/>
        <w:suppressLineNumbers w:val="0"/>
        <w:ind w:left="0" w:firstLine="480"/>
      </w:pPr>
      <w:r>
        <w:rPr>
          <w:rFonts w:hint="eastAsia" w:ascii="宋体" w:hAnsi="宋体" w:eastAsia="宋体" w:cs="宋体"/>
          <w:sz w:val="24"/>
          <w:szCs w:val="24"/>
        </w:rPr>
        <w:t>机房内应合理规划精密空调系统的气流组织形式，合理部署空调的送、回风通道，将冷热通道分隔开来，有利于设备机柜的散热和机房内各个交流的温度调节，避免造成局部热点。</w:t>
      </w:r>
    </w:p>
    <w:p>
      <w:pPr>
        <w:pStyle w:val="4"/>
        <w:keepNext w:val="0"/>
        <w:keepLines w:val="0"/>
        <w:widowControl/>
        <w:suppressLineNumbers w:val="0"/>
        <w:ind w:left="0" w:firstLine="480"/>
      </w:pPr>
      <w:r>
        <w:rPr>
          <w:rFonts w:hint="eastAsia" w:ascii="宋体" w:hAnsi="宋体" w:eastAsia="宋体" w:cs="宋体"/>
          <w:sz w:val="24"/>
          <w:szCs w:val="24"/>
        </w:rPr>
        <w:t>机房精密空调送出的冷风经部署在机柜正面通道的通风地板送出，从机柜正面进入对机柜内各部件进行制冷，再从机柜背面吹出后，回到机房精密空调。</w:t>
      </w:r>
    </w:p>
    <w:p>
      <w:pPr>
        <w:pStyle w:val="4"/>
        <w:keepNext w:val="0"/>
        <w:keepLines w:val="0"/>
        <w:widowControl/>
        <w:suppressLineNumbers w:val="0"/>
      </w:pPr>
      <w:r>
        <w:rPr>
          <w:rFonts w:hint="default" w:ascii="Calibri" w:hAnsi="Calibri" w:cs="Calibri"/>
          <w:sz w:val="24"/>
          <w:szCs w:val="24"/>
        </w:rPr>
        <w:t>1.10.10.3</w:t>
      </w:r>
      <w:r>
        <w:rPr>
          <w:rFonts w:hint="default" w:ascii="Times New Roman" w:hAnsi="Times New Roman" w:cs="Times New Roman"/>
          <w:sz w:val="13"/>
          <w:szCs w:val="13"/>
        </w:rPr>
        <w:t xml:space="preserve">     </w:t>
      </w:r>
      <w:r>
        <w:rPr>
          <w:rFonts w:hint="eastAsia" w:ascii="宋体" w:hAnsi="宋体" w:eastAsia="宋体" w:cs="宋体"/>
          <w:sz w:val="24"/>
          <w:szCs w:val="24"/>
        </w:rPr>
        <w:t>精密空调部署方案</w:t>
      </w:r>
    </w:p>
    <w:p>
      <w:pPr>
        <w:pStyle w:val="4"/>
        <w:keepNext w:val="0"/>
        <w:keepLines w:val="0"/>
        <w:widowControl/>
        <w:suppressLineNumbers w:val="0"/>
        <w:ind w:left="0" w:firstLine="480"/>
      </w:pPr>
      <w:r>
        <w:rPr>
          <w:rFonts w:hint="eastAsia" w:ascii="宋体" w:hAnsi="宋体" w:eastAsia="宋体" w:cs="宋体"/>
          <w:sz w:val="24"/>
          <w:szCs w:val="24"/>
        </w:rPr>
        <w:t>本项目在机房采用单机方式，部署2台20KW的风冷型精密空调，为机房提供40KW以上制冷量。</w:t>
      </w:r>
    </w:p>
    <w:p>
      <w:pPr>
        <w:pStyle w:val="4"/>
        <w:keepNext w:val="0"/>
        <w:keepLines w:val="0"/>
        <w:widowControl/>
        <w:suppressLineNumbers w:val="0"/>
        <w:ind w:left="0" w:firstLine="0"/>
      </w:pPr>
      <w:r>
        <w:rPr>
          <w:rFonts w:hint="eastAsia" w:ascii="宋体" w:hAnsi="宋体" w:eastAsia="宋体" w:cs="宋体"/>
          <w:sz w:val="24"/>
          <w:szCs w:val="24"/>
        </w:rPr>
        <w:t>1.10.11</w:t>
      </w:r>
      <w:r>
        <w:rPr>
          <w:rFonts w:hint="default" w:ascii="Times New Roman" w:hAnsi="Times New Roman" w:cs="Times New Roman"/>
          <w:sz w:val="13"/>
          <w:szCs w:val="13"/>
        </w:rPr>
        <w:t xml:space="preserve">     </w:t>
      </w:r>
      <w:r>
        <w:rPr>
          <w:rFonts w:hint="eastAsia" w:ascii="宋体" w:hAnsi="宋体" w:eastAsia="宋体" w:cs="宋体"/>
          <w:sz w:val="24"/>
          <w:szCs w:val="24"/>
        </w:rPr>
        <w:t>新风系统</w:t>
      </w:r>
    </w:p>
    <w:p>
      <w:pPr>
        <w:pStyle w:val="4"/>
        <w:keepNext w:val="0"/>
        <w:keepLines w:val="0"/>
        <w:widowControl/>
        <w:suppressLineNumbers w:val="0"/>
      </w:pPr>
      <w:r>
        <w:rPr>
          <w:rFonts w:hint="default" w:ascii="Calibri" w:hAnsi="Calibri" w:cs="Calibri"/>
          <w:sz w:val="24"/>
          <w:szCs w:val="24"/>
        </w:rPr>
        <w:t>1.10.11.1</w:t>
      </w:r>
      <w:r>
        <w:rPr>
          <w:rFonts w:hint="default" w:ascii="Times New Roman" w:hAnsi="Times New Roman" w:cs="Times New Roman"/>
          <w:sz w:val="13"/>
          <w:szCs w:val="13"/>
        </w:rPr>
        <w:t xml:space="preserve">     </w:t>
      </w:r>
      <w:r>
        <w:rPr>
          <w:rFonts w:hint="eastAsia" w:ascii="宋体" w:hAnsi="宋体" w:eastAsia="宋体" w:cs="宋体"/>
          <w:sz w:val="24"/>
          <w:szCs w:val="24"/>
        </w:rPr>
        <w:t>系统设</w:t>
      </w:r>
      <w:r>
        <w:rPr>
          <w:rFonts w:hint="default" w:ascii="Calibri" w:hAnsi="Calibri" w:cs="Calibri"/>
          <w:sz w:val="24"/>
          <w:szCs w:val="24"/>
        </w:rPr>
        <w:t xml:space="preserve">   </w:t>
      </w:r>
      <w:r>
        <w:rPr>
          <w:rFonts w:hint="eastAsia" w:ascii="宋体" w:hAnsi="宋体" w:eastAsia="宋体" w:cs="宋体"/>
          <w:sz w:val="24"/>
          <w:szCs w:val="24"/>
        </w:rPr>
        <w:t>计要求</w:t>
      </w:r>
    </w:p>
    <w:p>
      <w:pPr>
        <w:pStyle w:val="4"/>
        <w:keepNext w:val="0"/>
        <w:keepLines w:val="0"/>
        <w:widowControl/>
        <w:suppressLineNumbers w:val="0"/>
        <w:ind w:left="0" w:firstLine="480"/>
      </w:pPr>
      <w:r>
        <w:rPr>
          <w:rFonts w:hint="eastAsia" w:ascii="宋体" w:hAnsi="宋体" w:eastAsia="宋体" w:cs="宋体"/>
          <w:sz w:val="24"/>
          <w:szCs w:val="24"/>
        </w:rPr>
        <w:t>通过新风引进，各房间内应达到以下要求：</w:t>
      </w:r>
    </w:p>
    <w:p>
      <w:pPr>
        <w:pStyle w:val="4"/>
        <w:keepNext w:val="0"/>
        <w:keepLines w:val="0"/>
        <w:widowControl/>
        <w:suppressLineNumbers w:val="0"/>
        <w:ind w:left="0" w:firstLine="480"/>
      </w:pPr>
      <w:r>
        <w:rPr>
          <w:rFonts w:hint="eastAsia" w:ascii="宋体" w:hAnsi="宋体" w:eastAsia="宋体" w:cs="宋体"/>
          <w:sz w:val="24"/>
          <w:szCs w:val="24"/>
        </w:rPr>
        <w:t>足量的新、排风，能够达到：A 维持室内的正压；B排出室内不断产生的空气污染物；C保证室内空气洁净，维持室内空气的健康品质；D给工作人员营造一个健康舒适的工作环境；E新风量不宜过大，以减少引进的新风给室温带来的影响；F对新风进行温度预处理，使新风可达到机房要求.</w:t>
      </w:r>
    </w:p>
    <w:p>
      <w:pPr>
        <w:pStyle w:val="4"/>
        <w:keepNext w:val="0"/>
        <w:keepLines w:val="0"/>
        <w:widowControl/>
        <w:suppressLineNumbers w:val="0"/>
      </w:pPr>
      <w:r>
        <w:rPr>
          <w:rFonts w:hint="default" w:ascii="Calibri" w:hAnsi="Calibri" w:cs="Calibri"/>
          <w:sz w:val="24"/>
          <w:szCs w:val="24"/>
        </w:rPr>
        <w:t>1.10.11.2</w:t>
      </w:r>
      <w:r>
        <w:rPr>
          <w:rFonts w:hint="default" w:ascii="Times New Roman" w:hAnsi="Times New Roman" w:cs="Times New Roman"/>
          <w:sz w:val="13"/>
          <w:szCs w:val="13"/>
        </w:rPr>
        <w:t xml:space="preserve">     </w:t>
      </w:r>
      <w:r>
        <w:rPr>
          <w:rFonts w:hint="eastAsia" w:ascii="宋体" w:hAnsi="宋体" w:eastAsia="宋体" w:cs="宋体"/>
          <w:sz w:val="24"/>
          <w:szCs w:val="24"/>
        </w:rPr>
        <w:t>设 </w:t>
      </w:r>
      <w:r>
        <w:rPr>
          <w:rFonts w:hint="default" w:ascii="Calibri" w:hAnsi="Calibri" w:cs="Calibri"/>
          <w:sz w:val="24"/>
          <w:szCs w:val="24"/>
        </w:rPr>
        <w:t xml:space="preserve"> </w:t>
      </w:r>
      <w:r>
        <w:rPr>
          <w:rFonts w:hint="eastAsia" w:ascii="宋体" w:hAnsi="宋体" w:eastAsia="宋体" w:cs="宋体"/>
          <w:sz w:val="24"/>
          <w:szCs w:val="24"/>
        </w:rPr>
        <w:t>计方案</w:t>
      </w:r>
    </w:p>
    <w:p>
      <w:pPr>
        <w:pStyle w:val="4"/>
        <w:keepNext w:val="0"/>
        <w:keepLines w:val="0"/>
        <w:widowControl/>
        <w:suppressLineNumbers w:val="0"/>
        <w:ind w:left="0" w:firstLine="480"/>
      </w:pPr>
      <w:r>
        <w:rPr>
          <w:rFonts w:hint="eastAsia" w:ascii="宋体" w:hAnsi="宋体" w:eastAsia="宋体" w:cs="宋体"/>
          <w:sz w:val="24"/>
          <w:szCs w:val="24"/>
        </w:rPr>
        <w:t>机房面积61m2,高度3m,空调体积183m3，为保证机房正压及空气新鲜的需要，新风引进量应至少为机房总体积的2-4倍；本次方案取3，即新风量：183×3=549m3/h。设 计选配1台风量600m3/h左右的新风处理机，新风设备采用亚高效过滤器，带有温湿度预处理功能，并可选配电子净化单元，通过电子净化单元对新风进行高效净化，满足标准机房的净化效率；并弥补空调在除湿功能方面的不足，更有效保证厅内的温湿度恒定。</w:t>
      </w:r>
    </w:p>
    <w:p>
      <w:pPr>
        <w:pStyle w:val="4"/>
        <w:keepNext w:val="0"/>
        <w:keepLines w:val="0"/>
        <w:widowControl/>
        <w:suppressLineNumbers w:val="0"/>
        <w:ind w:left="0" w:firstLine="480"/>
      </w:pPr>
      <w:r>
        <w:rPr>
          <w:rFonts w:hint="eastAsia" w:ascii="宋体" w:hAnsi="宋体" w:eastAsia="宋体" w:cs="宋体"/>
          <w:sz w:val="24"/>
          <w:szCs w:val="24"/>
        </w:rPr>
        <w:t>部署方案如下图：</w:t>
      </w:r>
    </w:p>
    <w:p>
      <w:pPr>
        <w:pStyle w:val="4"/>
        <w:keepNext w:val="0"/>
        <w:keepLines w:val="0"/>
        <w:widowControl/>
        <w:suppressLineNumbers w:val="0"/>
      </w:pPr>
      <w:r>
        <w:drawing>
          <wp:inline distT="0" distB="0" distL="114300" distR="114300">
            <wp:extent cx="5429250" cy="2752725"/>
            <wp:effectExtent l="0" t="0" r="0" b="9525"/>
            <wp:docPr id="1" name="图片 21" descr="15354217977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1" descr="1535421797711.png"/>
                    <pic:cNvPicPr>
                      <a:picLocks noChangeAspect="1"/>
                    </pic:cNvPicPr>
                  </pic:nvPicPr>
                  <pic:blipFill>
                    <a:blip r:embed="rId24"/>
                    <a:stretch>
                      <a:fillRect/>
                    </a:stretch>
                  </pic:blipFill>
                  <pic:spPr>
                    <a:xfrm>
                      <a:off x="0" y="0"/>
                      <a:ext cx="5429250" cy="2752725"/>
                    </a:xfrm>
                    <a:prstGeom prst="rect">
                      <a:avLst/>
                    </a:prstGeom>
                    <a:noFill/>
                    <a:ln w="9525">
                      <a:noFill/>
                    </a:ln>
                  </pic:spPr>
                </pic:pic>
              </a:graphicData>
            </a:graphic>
          </wp:inline>
        </w:drawing>
      </w:r>
      <w:r>
        <w:rPr>
          <w:rFonts w:hint="default" w:ascii="Calibri" w:hAnsi="Calibri" w:cs="Calibri"/>
          <w:sz w:val="24"/>
          <w:szCs w:val="24"/>
        </w:rPr>
        <w:t> </w:t>
      </w:r>
    </w:p>
    <w:p>
      <w:pPr>
        <w:pStyle w:val="4"/>
        <w:keepNext w:val="0"/>
        <w:keepLines w:val="0"/>
        <w:widowControl/>
        <w:suppressLineNumbers w:val="0"/>
        <w:jc w:val="center"/>
      </w:pPr>
    </w:p>
    <w:p>
      <w:pPr>
        <w:pStyle w:val="4"/>
        <w:keepNext w:val="0"/>
        <w:keepLines w:val="0"/>
        <w:widowControl/>
        <w:suppressLineNumbers w:val="0"/>
        <w:ind w:left="0" w:firstLine="480"/>
      </w:pPr>
      <w:r>
        <w:rPr>
          <w:rFonts w:hint="eastAsia" w:ascii="宋体" w:hAnsi="宋体" w:eastAsia="宋体" w:cs="宋体"/>
          <w:sz w:val="24"/>
          <w:szCs w:val="24"/>
        </w:rPr>
        <w:t xml:space="preserve"> 处理过程：将新风机安放在空调旁，通过墙壁开风口，将新风引进到新风机内处理，经过对新风的温度及净化处理后，再经过精密空调回风将新风吸入再送入室。 </w:t>
      </w:r>
    </w:p>
    <w:p>
      <w:pPr>
        <w:pStyle w:val="4"/>
        <w:keepNext w:val="0"/>
        <w:keepLines w:val="0"/>
        <w:widowControl/>
        <w:suppressLineNumbers w:val="0"/>
        <w:ind w:left="0" w:firstLine="480"/>
      </w:pPr>
      <w:r>
        <w:rPr>
          <w:rFonts w:hint="eastAsia" w:ascii="宋体" w:hAnsi="宋体" w:eastAsia="宋体" w:cs="宋体"/>
          <w:sz w:val="24"/>
          <w:szCs w:val="24"/>
        </w:rPr>
        <w:t>安装说明：选择合适位置开新风口，建议设备尽量靠近新风口；在墙壁上开一个300</w:t>
      </w:r>
      <w:r>
        <w:rPr>
          <w:rFonts w:hint="eastAsia" w:ascii="宋体" w:hAnsi="宋体" w:eastAsia="宋体" w:cs="宋体"/>
          <w:sz w:val="19"/>
          <w:szCs w:val="19"/>
        </w:rPr>
        <w:t>×</w:t>
      </w:r>
      <w:r>
        <w:rPr>
          <w:rFonts w:hint="eastAsia" w:ascii="宋体" w:hAnsi="宋体" w:eastAsia="宋体" w:cs="宋体"/>
          <w:sz w:val="24"/>
          <w:szCs w:val="24"/>
        </w:rPr>
        <w:t>250mm的新风口，并安装防雨百叶风口（标配1米风管和百叶风口）；通过上送风式送风口将新风送至室内，新风通直接送入室内；</w:t>
      </w:r>
    </w:p>
    <w:p>
      <w:pPr>
        <w:pStyle w:val="4"/>
        <w:keepNext w:val="0"/>
        <w:keepLines w:val="0"/>
        <w:widowControl/>
        <w:suppressLineNumbers w:val="0"/>
      </w:pPr>
      <w:r>
        <w:rPr>
          <w:rFonts w:hint="eastAsia" w:ascii="宋体" w:hAnsi="宋体" w:eastAsia="宋体" w:cs="宋体"/>
          <w:sz w:val="24"/>
          <w:szCs w:val="24"/>
        </w:rPr>
        <w:t>为在万一发生火灾时，隔绝室内外空气流通，在新风引进风道上安装电动防火阀，一旦发生火情，自动隔断室内外空气流通。</w:t>
      </w:r>
    </w:p>
    <w:p>
      <w:pPr>
        <w:pStyle w:val="4"/>
        <w:keepNext w:val="0"/>
        <w:keepLines w:val="0"/>
        <w:widowControl/>
        <w:suppressLineNumbers w:val="0"/>
        <w:ind w:left="0" w:firstLine="0"/>
      </w:pPr>
      <w:r>
        <w:rPr>
          <w:rFonts w:hint="eastAsia" w:ascii="宋体" w:hAnsi="宋体" w:eastAsia="宋体" w:cs="宋体"/>
          <w:sz w:val="24"/>
          <w:szCs w:val="24"/>
        </w:rPr>
        <w:t>1.10.12</w:t>
      </w:r>
      <w:r>
        <w:rPr>
          <w:rFonts w:hint="default" w:ascii="Times New Roman" w:hAnsi="Times New Roman" w:cs="Times New Roman"/>
          <w:sz w:val="13"/>
          <w:szCs w:val="13"/>
        </w:rPr>
        <w:t xml:space="preserve">     </w:t>
      </w:r>
      <w:r>
        <w:rPr>
          <w:rFonts w:hint="eastAsia" w:ascii="宋体" w:hAnsi="宋体" w:eastAsia="宋体" w:cs="宋体"/>
          <w:sz w:val="24"/>
          <w:szCs w:val="24"/>
        </w:rPr>
        <w:t>综合布线系统</w:t>
      </w:r>
    </w:p>
    <w:p>
      <w:pPr>
        <w:pStyle w:val="4"/>
        <w:keepNext w:val="0"/>
        <w:keepLines w:val="0"/>
        <w:widowControl/>
        <w:suppressLineNumbers w:val="0"/>
      </w:pPr>
      <w:r>
        <w:rPr>
          <w:rFonts w:hint="default" w:ascii="Calibri" w:hAnsi="Calibri" w:cs="Calibri"/>
          <w:sz w:val="24"/>
          <w:szCs w:val="24"/>
        </w:rPr>
        <w:t>1.10.12.1</w:t>
      </w:r>
      <w:r>
        <w:rPr>
          <w:rFonts w:hint="default" w:ascii="Times New Roman" w:hAnsi="Times New Roman" w:cs="Times New Roman"/>
          <w:sz w:val="13"/>
          <w:szCs w:val="13"/>
        </w:rPr>
        <w:t xml:space="preserve">     </w:t>
      </w:r>
      <w:r>
        <w:rPr>
          <w:rFonts w:hint="eastAsia" w:ascii="宋体" w:hAnsi="宋体" w:eastAsia="宋体" w:cs="宋体"/>
          <w:sz w:val="24"/>
          <w:szCs w:val="24"/>
        </w:rPr>
        <w:t>系统布线规划</w:t>
      </w:r>
    </w:p>
    <w:p>
      <w:pPr>
        <w:pStyle w:val="4"/>
        <w:keepNext w:val="0"/>
        <w:keepLines w:val="0"/>
        <w:widowControl/>
        <w:suppressLineNumbers w:val="0"/>
        <w:ind w:left="0" w:firstLine="480"/>
      </w:pPr>
      <w:r>
        <w:rPr>
          <w:rFonts w:hint="eastAsia" w:ascii="宋体" w:hAnsi="宋体" w:eastAsia="宋体" w:cs="宋体"/>
          <w:sz w:val="24"/>
          <w:szCs w:val="24"/>
        </w:rPr>
        <w:t>考虑到机房综合布线系统主要为设备机柜之间的布线，并且设备机柜数量较多，为了方便布线管理，采用分布式布线方式。</w:t>
      </w:r>
    </w:p>
    <w:p>
      <w:pPr>
        <w:pStyle w:val="4"/>
        <w:keepNext w:val="0"/>
        <w:keepLines w:val="0"/>
        <w:widowControl/>
        <w:suppressLineNumbers w:val="0"/>
        <w:ind w:left="0" w:firstLine="480"/>
      </w:pPr>
      <w:r>
        <w:rPr>
          <w:rFonts w:hint="eastAsia" w:ascii="宋体" w:hAnsi="宋体" w:eastAsia="宋体" w:cs="宋体"/>
          <w:sz w:val="24"/>
          <w:szCs w:val="24"/>
        </w:rPr>
        <w:t>机房综合布线系统走线方式主要分为下走线和上走线两种方式，下走线采用静电地板下敷设金属线槽的方式，上走线采用吊顶下方吊挂网格状桥架的方式，上走线方式无论从安装工程量、扩容、维护能力等方面都优于下走线方式，且机房层高3.42m足够高，因此，建议中心机房内综合布线系统采用网格状桥架上走线的方式。同时项目建设机房平面较为狭长，不做强弱电上下面布线，改为强弱电错开布线也可满足项目机房的布线需求。</w:t>
      </w:r>
    </w:p>
    <w:p>
      <w:pPr>
        <w:pStyle w:val="4"/>
        <w:keepNext w:val="0"/>
        <w:keepLines w:val="0"/>
        <w:widowControl/>
        <w:suppressLineNumbers w:val="0"/>
      </w:pPr>
      <w:r>
        <w:rPr>
          <w:rFonts w:hint="default" w:ascii="Calibri" w:hAnsi="Calibri" w:cs="Calibri"/>
          <w:sz w:val="24"/>
          <w:szCs w:val="24"/>
        </w:rPr>
        <w:t>1.10.12.2</w:t>
      </w:r>
      <w:r>
        <w:rPr>
          <w:rFonts w:hint="default" w:ascii="Times New Roman" w:hAnsi="Times New Roman" w:cs="Times New Roman"/>
          <w:sz w:val="13"/>
          <w:szCs w:val="13"/>
        </w:rPr>
        <w:t xml:space="preserve">     </w:t>
      </w:r>
      <w:r>
        <w:rPr>
          <w:rFonts w:hint="eastAsia" w:ascii="宋体" w:hAnsi="宋体" w:eastAsia="宋体" w:cs="宋体"/>
          <w:sz w:val="24"/>
          <w:szCs w:val="24"/>
        </w:rPr>
        <w:t>机柜功能规划</w:t>
      </w:r>
    </w:p>
    <w:p>
      <w:pPr>
        <w:pStyle w:val="4"/>
        <w:keepNext w:val="0"/>
        <w:keepLines w:val="0"/>
        <w:widowControl/>
        <w:suppressLineNumbers w:val="0"/>
        <w:ind w:left="0" w:firstLine="480"/>
      </w:pPr>
      <w:r>
        <w:rPr>
          <w:rFonts w:hint="eastAsia" w:ascii="宋体" w:hAnsi="宋体" w:eastAsia="宋体" w:cs="宋体"/>
          <w:sz w:val="24"/>
          <w:szCs w:val="24"/>
        </w:rPr>
        <w:t>机房内的机柜根据不同的用途可分为：</w:t>
      </w:r>
    </w:p>
    <w:p>
      <w:pPr>
        <w:pStyle w:val="4"/>
        <w:keepNext w:val="0"/>
        <w:keepLines w:val="0"/>
        <w:widowControl/>
        <w:suppressLineNumbers w:val="0"/>
        <w:ind w:left="0" w:firstLine="480"/>
      </w:pPr>
      <w:r>
        <w:rPr>
          <w:rFonts w:hint="eastAsia" w:ascii="宋体" w:hAnsi="宋体" w:eastAsia="宋体" w:cs="宋体"/>
          <w:sz w:val="24"/>
          <w:szCs w:val="24"/>
        </w:rPr>
        <w:t>（1）服务器机柜，用于安装上架主机服务器和存储设备，每个机柜部署1个24口六类配线架，每隔一个机柜部署1个24口光纤配线架。</w:t>
      </w:r>
    </w:p>
    <w:p>
      <w:pPr>
        <w:pStyle w:val="4"/>
        <w:keepNext w:val="0"/>
        <w:keepLines w:val="0"/>
        <w:widowControl/>
        <w:suppressLineNumbers w:val="0"/>
        <w:ind w:left="0" w:firstLine="480"/>
      </w:pPr>
      <w:r>
        <w:rPr>
          <w:rFonts w:hint="eastAsia" w:ascii="宋体" w:hAnsi="宋体" w:eastAsia="宋体" w:cs="宋体"/>
          <w:sz w:val="24"/>
          <w:szCs w:val="24"/>
        </w:rPr>
        <w:t>（2）服务器列头柜，用于安装部署机房综合布线主干配线架和交换机设备，实现所在列的服务器机柜综合布线的汇聚，并通过光纤和六类线上联至网络总配线柜。</w:t>
      </w:r>
    </w:p>
    <w:p>
      <w:pPr>
        <w:pStyle w:val="4"/>
        <w:keepNext w:val="0"/>
        <w:keepLines w:val="0"/>
        <w:widowControl/>
        <w:suppressLineNumbers w:val="0"/>
        <w:ind w:left="0" w:firstLine="480"/>
      </w:pPr>
      <w:r>
        <w:rPr>
          <w:rFonts w:hint="eastAsia" w:ascii="宋体" w:hAnsi="宋体" w:eastAsia="宋体" w:cs="宋体"/>
          <w:sz w:val="24"/>
          <w:szCs w:val="24"/>
        </w:rPr>
        <w:t>（3）网络机柜，用于安装上架机房网络设备、安全设备等，每个机柜部署1个24口六类配线架。</w:t>
      </w:r>
    </w:p>
    <w:p>
      <w:pPr>
        <w:pStyle w:val="4"/>
        <w:keepNext w:val="0"/>
        <w:keepLines w:val="0"/>
        <w:widowControl/>
        <w:suppressLineNumbers w:val="0"/>
        <w:ind w:left="0" w:firstLine="480"/>
      </w:pPr>
      <w:r>
        <w:rPr>
          <w:rFonts w:hint="eastAsia" w:ascii="宋体" w:hAnsi="宋体" w:eastAsia="宋体" w:cs="宋体"/>
          <w:sz w:val="24"/>
          <w:szCs w:val="24"/>
        </w:rPr>
        <w:t>（4）网络总配线柜，用于安装部署综合布线主干配线架和核心网络交换机，实现机房内综合布线系统的总汇聚。</w:t>
      </w:r>
    </w:p>
    <w:p>
      <w:pPr>
        <w:pStyle w:val="4"/>
        <w:keepNext w:val="0"/>
        <w:keepLines w:val="0"/>
        <w:widowControl/>
        <w:suppressLineNumbers w:val="0"/>
        <w:ind w:left="0" w:firstLine="480"/>
      </w:pPr>
      <w:r>
        <w:rPr>
          <w:rFonts w:hint="eastAsia" w:ascii="宋体" w:hAnsi="宋体" w:eastAsia="宋体" w:cs="宋体"/>
          <w:sz w:val="24"/>
          <w:szCs w:val="24"/>
        </w:rPr>
        <w:t>（5）通信机柜，用于安装部署大楼综合布线配线架和交换机设备和运营商线路进线。</w:t>
      </w:r>
    </w:p>
    <w:p>
      <w:pPr>
        <w:pStyle w:val="4"/>
        <w:keepNext w:val="0"/>
        <w:keepLines w:val="0"/>
        <w:widowControl/>
        <w:suppressLineNumbers w:val="0"/>
      </w:pPr>
      <w:r>
        <w:rPr>
          <w:rFonts w:hint="default" w:ascii="Calibri" w:hAnsi="Calibri" w:cs="Calibri"/>
          <w:sz w:val="24"/>
          <w:szCs w:val="24"/>
        </w:rPr>
        <w:t>1.10.12.3</w:t>
      </w:r>
      <w:r>
        <w:rPr>
          <w:rFonts w:hint="default" w:ascii="Times New Roman" w:hAnsi="Times New Roman" w:cs="Times New Roman"/>
          <w:sz w:val="13"/>
          <w:szCs w:val="13"/>
        </w:rPr>
        <w:t xml:space="preserve">     </w:t>
      </w:r>
      <w:r>
        <w:rPr>
          <w:rFonts w:hint="eastAsia" w:ascii="宋体" w:hAnsi="宋体" w:eastAsia="宋体" w:cs="宋体"/>
          <w:sz w:val="24"/>
          <w:szCs w:val="24"/>
        </w:rPr>
        <w:t>线缆桥架布局</w:t>
      </w:r>
    </w:p>
    <w:p>
      <w:pPr>
        <w:pStyle w:val="4"/>
        <w:keepNext w:val="0"/>
        <w:keepLines w:val="0"/>
        <w:widowControl/>
        <w:suppressLineNumbers w:val="0"/>
        <w:ind w:left="0" w:firstLine="480"/>
      </w:pPr>
      <w:r>
        <w:drawing>
          <wp:inline distT="0" distB="0" distL="114300" distR="114300">
            <wp:extent cx="5591175" cy="4772025"/>
            <wp:effectExtent l="0" t="0" r="9525" b="9525"/>
            <wp:docPr id="22" name="图片 22" descr="15354218893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1535421889331.png"/>
                    <pic:cNvPicPr>
                      <a:picLocks noChangeAspect="1"/>
                    </pic:cNvPicPr>
                  </pic:nvPicPr>
                  <pic:blipFill>
                    <a:blip r:embed="rId25"/>
                    <a:stretch>
                      <a:fillRect/>
                    </a:stretch>
                  </pic:blipFill>
                  <pic:spPr>
                    <a:xfrm>
                      <a:off x="0" y="0"/>
                      <a:ext cx="5591175" cy="4772025"/>
                    </a:xfrm>
                    <a:prstGeom prst="rect">
                      <a:avLst/>
                    </a:prstGeom>
                    <a:noFill/>
                    <a:ln w="9525">
                      <a:noFill/>
                    </a:ln>
                  </pic:spPr>
                </pic:pic>
              </a:graphicData>
            </a:graphic>
          </wp:inline>
        </w:drawing>
      </w:r>
      <w:r>
        <w:rPr>
          <w:rFonts w:hint="default" w:ascii="Calibri" w:hAnsi="Calibri" w:cs="Calibri"/>
          <w:sz w:val="24"/>
          <w:szCs w:val="24"/>
        </w:rPr>
        <w:t> </w:t>
      </w:r>
    </w:p>
    <w:p>
      <w:pPr>
        <w:pStyle w:val="4"/>
        <w:keepNext w:val="0"/>
        <w:keepLines w:val="0"/>
        <w:widowControl/>
        <w:suppressLineNumbers w:val="0"/>
      </w:pPr>
      <w:r>
        <w:rPr>
          <w:rFonts w:hint="default" w:ascii="Calibri" w:hAnsi="Calibri" w:cs="Calibri"/>
          <w:sz w:val="24"/>
          <w:szCs w:val="24"/>
        </w:rPr>
        <w:t> </w:t>
      </w:r>
    </w:p>
    <w:p>
      <w:pPr>
        <w:pStyle w:val="4"/>
        <w:keepNext w:val="0"/>
        <w:keepLines w:val="0"/>
        <w:widowControl/>
        <w:suppressLineNumbers w:val="0"/>
        <w:jc w:val="left"/>
      </w:pPr>
      <w:r>
        <w:rPr>
          <w:rFonts w:hint="default" w:ascii="Calibri" w:hAnsi="Calibri" w:cs="Calibri"/>
          <w:sz w:val="21"/>
          <w:szCs w:val="21"/>
        </w:rPr>
        <w:t> </w:t>
      </w:r>
    </w:p>
    <w:p>
      <w:pPr>
        <w:pStyle w:val="4"/>
        <w:keepNext w:val="0"/>
        <w:keepLines w:val="0"/>
        <w:widowControl/>
        <w:suppressLineNumbers w:val="0"/>
        <w:ind w:left="0" w:firstLine="480"/>
      </w:pPr>
      <w:r>
        <w:rPr>
          <w:rFonts w:hint="eastAsia" w:ascii="宋体" w:hAnsi="宋体" w:eastAsia="宋体" w:cs="宋体"/>
          <w:sz w:val="24"/>
          <w:szCs w:val="24"/>
        </w:rPr>
        <w:t>采用上走线架方案设 计机房内桥架布局，且强弱电错开设  计。强电走线架衔接机房外弱电桥加，并于机房内地板下方的接地网做等电位联结。弱电走线架与机房外弱电走线架衔接，同样于机房内地板下方的接地网做等电位联结。</w:t>
      </w:r>
    </w:p>
    <w:p>
      <w:pPr>
        <w:pStyle w:val="4"/>
        <w:keepNext w:val="0"/>
        <w:keepLines w:val="0"/>
        <w:widowControl/>
        <w:suppressLineNumbers w:val="0"/>
      </w:pPr>
      <w:r>
        <w:rPr>
          <w:rFonts w:hint="default" w:ascii="Calibri" w:hAnsi="Calibri" w:cs="Calibri"/>
          <w:sz w:val="24"/>
          <w:szCs w:val="24"/>
        </w:rPr>
        <w:t> </w:t>
      </w:r>
    </w:p>
    <w:p>
      <w:pPr>
        <w:pStyle w:val="4"/>
        <w:keepNext w:val="0"/>
        <w:keepLines w:val="0"/>
        <w:widowControl/>
        <w:suppressLineNumbers w:val="0"/>
        <w:ind w:left="0" w:firstLine="0"/>
      </w:pPr>
      <w:r>
        <w:rPr>
          <w:rFonts w:hint="eastAsia" w:ascii="宋体" w:hAnsi="宋体" w:eastAsia="宋体" w:cs="宋体"/>
          <w:sz w:val="24"/>
          <w:szCs w:val="24"/>
        </w:rPr>
        <w:t>1.10.13</w:t>
      </w:r>
      <w:r>
        <w:rPr>
          <w:rFonts w:hint="default" w:ascii="Times New Roman" w:hAnsi="Times New Roman" w:cs="Times New Roman"/>
          <w:sz w:val="13"/>
          <w:szCs w:val="13"/>
        </w:rPr>
        <w:t xml:space="preserve">     </w:t>
      </w:r>
      <w:r>
        <w:rPr>
          <w:rFonts w:hint="eastAsia" w:ascii="宋体" w:hAnsi="宋体" w:eastAsia="宋体" w:cs="宋体"/>
          <w:sz w:val="24"/>
          <w:szCs w:val="24"/>
        </w:rPr>
        <w:t>消防灭火系统</w:t>
      </w:r>
    </w:p>
    <w:p>
      <w:pPr>
        <w:pStyle w:val="4"/>
        <w:keepNext w:val="0"/>
        <w:keepLines w:val="0"/>
        <w:widowControl/>
        <w:suppressLineNumbers w:val="0"/>
      </w:pPr>
      <w:r>
        <w:rPr>
          <w:rFonts w:hint="default" w:ascii="Calibri" w:hAnsi="Calibri" w:cs="Calibri"/>
          <w:sz w:val="24"/>
          <w:szCs w:val="24"/>
        </w:rPr>
        <w:t>1.10.13.1</w:t>
      </w:r>
      <w:r>
        <w:rPr>
          <w:rFonts w:hint="default" w:ascii="Times New Roman" w:hAnsi="Times New Roman" w:cs="Times New Roman"/>
          <w:sz w:val="13"/>
          <w:szCs w:val="13"/>
        </w:rPr>
        <w:t xml:space="preserve">     </w:t>
      </w:r>
      <w:r>
        <w:rPr>
          <w:rFonts w:hint="eastAsia" w:ascii="宋体" w:hAnsi="宋体" w:eastAsia="宋体" w:cs="宋体"/>
          <w:sz w:val="24"/>
          <w:szCs w:val="24"/>
        </w:rPr>
        <w:t>系统设 </w:t>
      </w:r>
      <w:r>
        <w:rPr>
          <w:rFonts w:hint="default" w:ascii="Calibri" w:hAnsi="Calibri" w:cs="Calibri"/>
          <w:sz w:val="24"/>
          <w:szCs w:val="24"/>
        </w:rPr>
        <w:t xml:space="preserve"> </w:t>
      </w:r>
      <w:r>
        <w:rPr>
          <w:rFonts w:hint="eastAsia" w:ascii="宋体" w:hAnsi="宋体" w:eastAsia="宋体" w:cs="宋体"/>
          <w:sz w:val="24"/>
          <w:szCs w:val="24"/>
        </w:rPr>
        <w:t>计选型</w:t>
      </w:r>
    </w:p>
    <w:p>
      <w:pPr>
        <w:pStyle w:val="4"/>
        <w:keepNext w:val="0"/>
        <w:keepLines w:val="0"/>
        <w:widowControl/>
        <w:suppressLineNumbers w:val="0"/>
        <w:ind w:left="0" w:firstLine="480"/>
      </w:pPr>
      <w:r>
        <w:rPr>
          <w:rFonts w:hint="eastAsia" w:ascii="宋体" w:hAnsi="宋体" w:eastAsia="宋体" w:cs="宋体"/>
          <w:sz w:val="24"/>
          <w:szCs w:val="24"/>
        </w:rPr>
        <w:t>鉴于机房场景的特殊性，灭火系统通常采用气体灭火的方式，最大限度地在火灾发生后快速灭火并尽可能地保留机房内设备的可持续利用性。</w:t>
      </w:r>
    </w:p>
    <w:p>
      <w:pPr>
        <w:pStyle w:val="4"/>
        <w:keepNext w:val="0"/>
        <w:keepLines w:val="0"/>
        <w:widowControl/>
        <w:suppressLineNumbers w:val="0"/>
        <w:ind w:left="0" w:firstLine="480"/>
      </w:pPr>
      <w:r>
        <w:rPr>
          <w:rFonts w:hint="eastAsia" w:ascii="宋体" w:hAnsi="宋体" w:eastAsia="宋体" w:cs="宋体"/>
          <w:sz w:val="24"/>
          <w:szCs w:val="24"/>
        </w:rPr>
        <w:t>常见的气体灭火设备包括：卤代烷灭火器、二氧化碳灭火器、烟烙烬和七氟丙烷灭火器等。其中其中七氟丙烷灭火器相对于其他灭火设备具有以下优势：</w:t>
      </w:r>
    </w:p>
    <w:p>
      <w:pPr>
        <w:pStyle w:val="4"/>
        <w:keepNext w:val="0"/>
        <w:keepLines w:val="0"/>
        <w:widowControl/>
        <w:suppressLineNumbers w:val="0"/>
        <w:ind w:left="0" w:firstLine="480"/>
      </w:pPr>
      <w:r>
        <w:rPr>
          <w:rFonts w:hint="eastAsia" w:ascii="宋体" w:hAnsi="宋体" w:eastAsia="宋体" w:cs="宋体"/>
          <w:sz w:val="24"/>
          <w:szCs w:val="24"/>
        </w:rPr>
        <w:t>（1）七氟丙烷灭火剂是无色、无味、不导电、无二次污染。对臭氧层的耗损潜能值(ODP)为零，符合环保要求，其毒副作用比卤代烷灭火剂更小，是卤代烷灭火剂理想的替代物。</w:t>
      </w:r>
    </w:p>
    <w:p>
      <w:pPr>
        <w:pStyle w:val="4"/>
        <w:keepNext w:val="0"/>
        <w:keepLines w:val="0"/>
        <w:widowControl/>
        <w:suppressLineNumbers w:val="0"/>
        <w:ind w:left="0" w:firstLine="480"/>
      </w:pPr>
      <w:r>
        <w:rPr>
          <w:rFonts w:hint="eastAsia" w:ascii="宋体" w:hAnsi="宋体" w:eastAsia="宋体" w:cs="宋体"/>
          <w:sz w:val="24"/>
          <w:szCs w:val="24"/>
        </w:rPr>
        <w:t>（2）七氟丙烷灭火剂具有灭火效能高，对设备无污损，电绝缘性好，灭火迅速等优点。且灭火剂释放后不含有粒子和油状物，不破坏环境，且当灭火后，及时通风迅速排除灭火剂，即可很快恢复正常情况。</w:t>
      </w:r>
    </w:p>
    <w:p>
      <w:pPr>
        <w:pStyle w:val="4"/>
        <w:keepNext w:val="0"/>
        <w:keepLines w:val="0"/>
        <w:widowControl/>
        <w:suppressLineNumbers w:val="0"/>
        <w:ind w:left="0" w:firstLine="480"/>
      </w:pPr>
      <w:r>
        <w:rPr>
          <w:rFonts w:hint="eastAsia" w:ascii="宋体" w:hAnsi="宋体" w:eastAsia="宋体" w:cs="宋体"/>
          <w:sz w:val="24"/>
          <w:szCs w:val="24"/>
        </w:rPr>
        <w:t>（3）七氟丙烷经试验安全性比1301卤代烷更为安全可靠，用于有人场所，人员无任何危险，并且七氟丙烷是具有非导电性能，因此，是电气设备的理想灭火剂。</w:t>
      </w:r>
    </w:p>
    <w:p>
      <w:pPr>
        <w:pStyle w:val="4"/>
        <w:keepNext w:val="0"/>
        <w:keepLines w:val="0"/>
        <w:widowControl/>
        <w:suppressLineNumbers w:val="0"/>
        <w:ind w:left="0" w:firstLine="480"/>
      </w:pPr>
      <w:r>
        <w:rPr>
          <w:rFonts w:hint="eastAsia" w:ascii="宋体" w:hAnsi="宋体" w:eastAsia="宋体" w:cs="宋体"/>
          <w:sz w:val="24"/>
          <w:szCs w:val="24"/>
        </w:rPr>
        <w:t>（4）由于七氟丙烷的灭火浓度远低于二氧化碳、烟烙净等其它灭火系统。因此灭火剂用量也比其它灭火系统要节省得多。</w:t>
      </w:r>
    </w:p>
    <w:p>
      <w:pPr>
        <w:pStyle w:val="4"/>
        <w:keepNext w:val="0"/>
        <w:keepLines w:val="0"/>
        <w:widowControl/>
        <w:suppressLineNumbers w:val="0"/>
        <w:ind w:left="0" w:firstLine="480"/>
      </w:pPr>
      <w:r>
        <w:rPr>
          <w:rFonts w:hint="eastAsia" w:ascii="宋体" w:hAnsi="宋体" w:eastAsia="宋体" w:cs="宋体"/>
          <w:sz w:val="24"/>
          <w:szCs w:val="24"/>
        </w:rPr>
        <w:t>综上所述，建议本次项目选用七氟丙烷灭火器作为消防灭火设备。</w:t>
      </w:r>
    </w:p>
    <w:p>
      <w:pPr>
        <w:pStyle w:val="4"/>
        <w:keepNext w:val="0"/>
        <w:keepLines w:val="0"/>
        <w:widowControl/>
        <w:suppressLineNumbers w:val="0"/>
      </w:pPr>
      <w:r>
        <w:rPr>
          <w:rFonts w:hint="default" w:ascii="Calibri" w:hAnsi="Calibri" w:cs="Calibri"/>
          <w:sz w:val="24"/>
          <w:szCs w:val="24"/>
        </w:rPr>
        <w:t>1.10.13.2</w:t>
      </w:r>
      <w:r>
        <w:rPr>
          <w:rFonts w:hint="default" w:ascii="Times New Roman" w:hAnsi="Times New Roman" w:cs="Times New Roman"/>
          <w:sz w:val="13"/>
          <w:szCs w:val="13"/>
        </w:rPr>
        <w:t xml:space="preserve">     </w:t>
      </w:r>
      <w:r>
        <w:rPr>
          <w:rFonts w:hint="eastAsia" w:ascii="宋体" w:hAnsi="宋体" w:eastAsia="宋体" w:cs="宋体"/>
          <w:sz w:val="24"/>
          <w:szCs w:val="24"/>
        </w:rPr>
        <w:t>方案设 </w:t>
      </w:r>
      <w:r>
        <w:rPr>
          <w:rFonts w:hint="default" w:ascii="Calibri" w:hAnsi="Calibri" w:cs="Calibri"/>
          <w:sz w:val="24"/>
          <w:szCs w:val="24"/>
        </w:rPr>
        <w:t xml:space="preserve"> </w:t>
      </w:r>
      <w:r>
        <w:rPr>
          <w:rFonts w:hint="eastAsia" w:ascii="宋体" w:hAnsi="宋体" w:eastAsia="宋体" w:cs="宋体"/>
          <w:sz w:val="24"/>
          <w:szCs w:val="24"/>
        </w:rPr>
        <w:t>计</w:t>
      </w:r>
    </w:p>
    <w:p>
      <w:pPr>
        <w:pStyle w:val="4"/>
        <w:keepNext w:val="0"/>
        <w:keepLines w:val="0"/>
        <w:widowControl/>
        <w:suppressLineNumbers w:val="0"/>
        <w:ind w:left="0" w:firstLine="480"/>
      </w:pPr>
      <w:r>
        <w:rPr>
          <w:rFonts w:hint="eastAsia" w:ascii="宋体" w:hAnsi="宋体" w:eastAsia="宋体" w:cs="宋体"/>
          <w:sz w:val="24"/>
          <w:szCs w:val="24"/>
        </w:rPr>
        <w:t>本次项目建议选用无管网柜式直喷七氟丙烷气体灭火系统。根据计算机房的防火要求，要求采用七氟丙烷组合分配系统对机房区域进行消防保护，作为独立的消防区。消防报警信号传送至大楼值班室，由大楼管理人员负责消防报警信号的监控处理。当火灾发生时，感烟探测器报警后，火灾控制器发出火警预警声、光报警信号。但此时不启动灭火程序。当同一防护区的感温探测器与感烟探测器同时报警时，控制器发出声光报警信号。在手动或自动启动灭火程序喷气前，总控制台发出指令，通知人员撤离，并发出联动控制信号，切断机房配电柜供电电源，即切断非消防电源供电的用电设备。</w:t>
      </w:r>
    </w:p>
    <w:p>
      <w:pPr>
        <w:pStyle w:val="4"/>
        <w:keepNext w:val="0"/>
        <w:keepLines w:val="0"/>
        <w:widowControl/>
        <w:suppressLineNumbers w:val="0"/>
        <w:ind w:left="0" w:firstLine="480"/>
      </w:pPr>
      <w:r>
        <w:rPr>
          <w:rFonts w:hint="eastAsia" w:ascii="宋体" w:hAnsi="宋体" w:eastAsia="宋体" w:cs="宋体"/>
          <w:sz w:val="24"/>
          <w:szCs w:val="24"/>
        </w:rPr>
        <w:t>七氟丙烷气体灭火系统主要由消防报警主机、七氟丙烷自动灭火柜、火灾探测器、紧急启停按钮、声光报警器、放气指示灯、切非消防电源、联动防火阀、气体钢瓶电磁阀等装置组成。本次设  计的七氟丙烷自动灭火应具备以下特性：</w:t>
      </w:r>
    </w:p>
    <w:p>
      <w:pPr>
        <w:pStyle w:val="4"/>
        <w:keepNext w:val="0"/>
        <w:keepLines w:val="0"/>
        <w:widowControl/>
        <w:suppressLineNumbers w:val="0"/>
        <w:ind w:left="0" w:firstLine="480"/>
      </w:pPr>
      <w:r>
        <w:rPr>
          <w:rFonts w:hint="eastAsia" w:ascii="宋体" w:hAnsi="宋体" w:eastAsia="宋体" w:cs="宋体"/>
          <w:sz w:val="24"/>
          <w:szCs w:val="24"/>
        </w:rPr>
        <w:t>（1）采用七氟丙烷无管网灭火系统，部署2套70kg单瓶组七氟丙烷气体自动灭火柜；</w:t>
      </w:r>
    </w:p>
    <w:p>
      <w:pPr>
        <w:pStyle w:val="4"/>
        <w:keepNext w:val="0"/>
        <w:keepLines w:val="0"/>
        <w:widowControl/>
        <w:suppressLineNumbers w:val="0"/>
        <w:ind w:left="0" w:firstLine="480"/>
      </w:pPr>
      <w:r>
        <w:rPr>
          <w:rFonts w:hint="eastAsia" w:ascii="宋体" w:hAnsi="宋体" w:eastAsia="宋体" w:cs="宋体"/>
          <w:sz w:val="24"/>
          <w:szCs w:val="24"/>
        </w:rPr>
        <w:t>（2）灭火区域采用全淹没式设  计；</w:t>
      </w:r>
    </w:p>
    <w:p>
      <w:pPr>
        <w:pStyle w:val="4"/>
        <w:keepNext w:val="0"/>
        <w:keepLines w:val="0"/>
        <w:widowControl/>
        <w:suppressLineNumbers w:val="0"/>
        <w:ind w:left="0" w:firstLine="480"/>
      </w:pPr>
      <w:r>
        <w:rPr>
          <w:rFonts w:hint="eastAsia" w:ascii="宋体" w:hAnsi="宋体" w:eastAsia="宋体" w:cs="宋体"/>
          <w:sz w:val="24"/>
          <w:szCs w:val="24"/>
        </w:rPr>
        <w:t>（3）系统操作方式有自动控制、手动控制、机械应急操作三种启动方式；</w:t>
      </w:r>
    </w:p>
    <w:p>
      <w:pPr>
        <w:pStyle w:val="4"/>
        <w:keepNext w:val="0"/>
        <w:keepLines w:val="0"/>
        <w:widowControl/>
        <w:suppressLineNumbers w:val="0"/>
        <w:ind w:left="0" w:firstLine="480"/>
      </w:pPr>
      <w:r>
        <w:rPr>
          <w:rFonts w:hint="eastAsia" w:ascii="宋体" w:hAnsi="宋体" w:eastAsia="宋体" w:cs="宋体"/>
          <w:sz w:val="24"/>
          <w:szCs w:val="24"/>
        </w:rPr>
        <w:t>（4）灭火区域采用自动报警。</w:t>
      </w:r>
    </w:p>
    <w:p>
      <w:pPr>
        <w:pStyle w:val="4"/>
        <w:keepNext w:val="0"/>
        <w:keepLines w:val="0"/>
        <w:widowControl/>
        <w:suppressLineNumbers w:val="0"/>
      </w:pPr>
      <w:r>
        <w:rPr>
          <w:rFonts w:hint="default" w:ascii="Calibri" w:hAnsi="Calibri" w:cs="Calibri"/>
          <w:sz w:val="24"/>
          <w:szCs w:val="24"/>
        </w:rPr>
        <w:t>1.10.13.3</w:t>
      </w:r>
      <w:r>
        <w:rPr>
          <w:rFonts w:hint="default" w:ascii="Times New Roman" w:hAnsi="Times New Roman" w:cs="Times New Roman"/>
          <w:sz w:val="13"/>
          <w:szCs w:val="13"/>
        </w:rPr>
        <w:t xml:space="preserve">     </w:t>
      </w:r>
      <w:r>
        <w:rPr>
          <w:rFonts w:hint="eastAsia" w:ascii="宋体" w:hAnsi="宋体" w:eastAsia="宋体" w:cs="宋体"/>
          <w:sz w:val="24"/>
          <w:szCs w:val="24"/>
        </w:rPr>
        <w:t>系统功能</w:t>
      </w:r>
    </w:p>
    <w:p>
      <w:pPr>
        <w:pStyle w:val="4"/>
        <w:keepNext w:val="0"/>
        <w:keepLines w:val="0"/>
        <w:widowControl/>
        <w:suppressLineNumbers w:val="0"/>
        <w:ind w:left="0" w:firstLine="480"/>
      </w:pPr>
      <w:r>
        <w:rPr>
          <w:rFonts w:hint="eastAsia" w:ascii="宋体" w:hAnsi="宋体" w:eastAsia="宋体" w:cs="宋体"/>
          <w:sz w:val="24"/>
          <w:szCs w:val="24"/>
        </w:rPr>
        <w:t>系统按以火灾报警功能为主，并可实现消防联动等功能设 计，主机不仅具备自动报警、编码选址、自动打印等功能，同时可以实现与气体灭火控制器实现联动的功能。</w:t>
      </w:r>
    </w:p>
    <w:p>
      <w:pPr>
        <w:pStyle w:val="4"/>
        <w:keepNext w:val="0"/>
        <w:keepLines w:val="0"/>
        <w:widowControl/>
        <w:suppressLineNumbers w:val="0"/>
        <w:ind w:left="0" w:firstLine="480"/>
      </w:pPr>
      <w:r>
        <w:rPr>
          <w:rFonts w:hint="eastAsia" w:ascii="宋体" w:hAnsi="宋体" w:eastAsia="宋体" w:cs="宋体"/>
          <w:sz w:val="24"/>
          <w:szCs w:val="24"/>
        </w:rPr>
        <w:t>系统在机房内设置烟感及温感。当有火情时，烟感报警，同时室内声光讯响器报警，保护区内人员开始疏散，当温感报警30秒后，开始向保护区喷气，同时保护区门口的放气指示灯点亮，警告人员不得入内。如在火情时，报警系统出现故障，可通过保护区门口的紧急起停按钮，手动按下进行人工放气。如出现误报警状态，也可通过该按钮，停止向保护区放气。</w:t>
      </w:r>
    </w:p>
    <w:p>
      <w:pPr>
        <w:pStyle w:val="4"/>
        <w:keepNext w:val="0"/>
        <w:keepLines w:val="0"/>
        <w:widowControl/>
        <w:suppressLineNumbers w:val="0"/>
      </w:pPr>
      <w:r>
        <w:rPr>
          <w:rFonts w:hint="default" w:ascii="Calibri" w:hAnsi="Calibri" w:cs="Calibri"/>
          <w:sz w:val="24"/>
          <w:szCs w:val="24"/>
        </w:rPr>
        <w:t>1.10.13.4</w:t>
      </w:r>
      <w:r>
        <w:rPr>
          <w:rFonts w:hint="default" w:ascii="Times New Roman" w:hAnsi="Times New Roman" w:cs="Times New Roman"/>
          <w:sz w:val="13"/>
          <w:szCs w:val="13"/>
        </w:rPr>
        <w:t xml:space="preserve">     </w:t>
      </w:r>
      <w:r>
        <w:rPr>
          <w:rFonts w:hint="eastAsia" w:ascii="宋体" w:hAnsi="宋体" w:eastAsia="宋体" w:cs="宋体"/>
          <w:sz w:val="24"/>
          <w:szCs w:val="24"/>
        </w:rPr>
        <w:t>灭火剂量测算</w:t>
      </w:r>
    </w:p>
    <w:p>
      <w:pPr>
        <w:pStyle w:val="4"/>
        <w:keepNext w:val="0"/>
        <w:keepLines w:val="0"/>
        <w:widowControl/>
        <w:suppressLineNumbers w:val="0"/>
        <w:ind w:left="0" w:firstLine="480"/>
      </w:pPr>
      <w:r>
        <w:rPr>
          <w:rFonts w:hint="eastAsia" w:ascii="宋体" w:hAnsi="宋体" w:eastAsia="宋体" w:cs="宋体"/>
          <w:sz w:val="24"/>
          <w:szCs w:val="24"/>
        </w:rPr>
        <w:t>根据气体灭火系统设</w:t>
      </w:r>
      <w:r>
        <w:rPr>
          <w:rFonts w:hint="default" w:ascii="Calibri" w:hAnsi="Calibri" w:cs="Calibri"/>
          <w:sz w:val="24"/>
          <w:szCs w:val="24"/>
        </w:rPr>
        <w:t xml:space="preserve">   </w:t>
      </w:r>
      <w:r>
        <w:rPr>
          <w:rFonts w:hint="eastAsia" w:ascii="宋体" w:hAnsi="宋体" w:eastAsia="宋体" w:cs="宋体"/>
          <w:sz w:val="24"/>
          <w:szCs w:val="24"/>
        </w:rPr>
        <w:t>计规范</w:t>
      </w:r>
      <w:r>
        <w:rPr>
          <w:rFonts w:hint="default" w:ascii="Calibri" w:hAnsi="Calibri" w:cs="Calibri"/>
          <w:sz w:val="24"/>
          <w:szCs w:val="24"/>
        </w:rPr>
        <w:t>GB50370</w:t>
      </w:r>
      <w:r>
        <w:rPr>
          <w:rFonts w:hint="eastAsia" w:ascii="宋体" w:hAnsi="宋体" w:eastAsia="宋体" w:cs="宋体"/>
          <w:sz w:val="24"/>
          <w:szCs w:val="24"/>
        </w:rPr>
        <w:t>—</w:t>
      </w:r>
      <w:r>
        <w:rPr>
          <w:rFonts w:hint="default" w:ascii="Calibri" w:hAnsi="Calibri" w:cs="Calibri"/>
          <w:sz w:val="24"/>
          <w:szCs w:val="24"/>
        </w:rPr>
        <w:t>2005</w:t>
      </w:r>
      <w:r>
        <w:rPr>
          <w:rFonts w:hint="eastAsia" w:ascii="宋体" w:hAnsi="宋体" w:eastAsia="宋体" w:cs="宋体"/>
          <w:sz w:val="24"/>
          <w:szCs w:val="24"/>
        </w:rPr>
        <w:t>，七氟丙烷的设</w:t>
      </w:r>
      <w:r>
        <w:rPr>
          <w:rFonts w:hint="default" w:ascii="Calibri" w:hAnsi="Calibri" w:cs="Calibri"/>
          <w:sz w:val="24"/>
          <w:szCs w:val="24"/>
        </w:rPr>
        <w:t> </w:t>
      </w:r>
      <w:r>
        <w:rPr>
          <w:rFonts w:hint="eastAsia" w:ascii="宋体" w:hAnsi="宋体" w:eastAsia="宋体" w:cs="宋体"/>
          <w:sz w:val="24"/>
          <w:szCs w:val="24"/>
        </w:rPr>
        <w:t>计用量计算公式如下：</w:t>
      </w:r>
    </w:p>
    <w:p>
      <w:pPr>
        <w:pStyle w:val="4"/>
        <w:keepNext w:val="0"/>
        <w:keepLines w:val="0"/>
        <w:widowControl/>
        <w:suppressLineNumbers w:val="0"/>
        <w:ind w:left="0" w:firstLine="480"/>
        <w:jc w:val="center"/>
      </w:pPr>
      <w:r>
        <w:drawing>
          <wp:inline distT="0" distB="0" distL="114300" distR="114300">
            <wp:extent cx="1228725" cy="314325"/>
            <wp:effectExtent l="0" t="0" r="0" b="0"/>
            <wp:docPr id="23" name="图片 23" descr="IMG_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IMG_278"/>
                    <pic:cNvPicPr>
                      <a:picLocks noChangeAspect="1"/>
                    </pic:cNvPicPr>
                  </pic:nvPicPr>
                  <pic:blipFill>
                    <a:blip r:embed="rId26"/>
                    <a:stretch>
                      <a:fillRect/>
                    </a:stretch>
                  </pic:blipFill>
                  <pic:spPr>
                    <a:xfrm>
                      <a:off x="0" y="0"/>
                      <a:ext cx="1228725" cy="314325"/>
                    </a:xfrm>
                    <a:prstGeom prst="rect">
                      <a:avLst/>
                    </a:prstGeom>
                    <a:noFill/>
                    <a:ln w="9525">
                      <a:noFill/>
                    </a:ln>
                  </pic:spPr>
                </pic:pic>
              </a:graphicData>
            </a:graphic>
          </wp:inline>
        </w:drawing>
      </w:r>
      <w:r>
        <w:rPr>
          <w:rFonts w:hint="default" w:ascii="Calibri" w:hAnsi="Calibri" w:cs="Calibri"/>
          <w:sz w:val="24"/>
          <w:szCs w:val="24"/>
        </w:rPr>
        <w:t> </w:t>
      </w:r>
    </w:p>
    <w:p>
      <w:pPr>
        <w:pStyle w:val="4"/>
        <w:keepNext w:val="0"/>
        <w:keepLines w:val="0"/>
        <w:widowControl/>
        <w:suppressLineNumbers w:val="0"/>
        <w:ind w:left="0" w:firstLine="480"/>
      </w:pPr>
      <w:r>
        <w:rPr>
          <w:rFonts w:hint="eastAsia" w:ascii="宋体" w:hAnsi="宋体" w:eastAsia="宋体" w:cs="宋体"/>
          <w:sz w:val="24"/>
          <w:szCs w:val="24"/>
        </w:rPr>
        <w:t>式中</w:t>
      </w:r>
      <w:r>
        <w:rPr>
          <w:rFonts w:hint="default" w:ascii="Calibri" w:hAnsi="Calibri" w:cs="Calibri"/>
          <w:sz w:val="24"/>
          <w:szCs w:val="24"/>
        </w:rPr>
        <w:t xml:space="preserve">W --- </w:t>
      </w:r>
      <w:r>
        <w:rPr>
          <w:rFonts w:hint="eastAsia" w:ascii="宋体" w:hAnsi="宋体" w:eastAsia="宋体" w:cs="宋体"/>
          <w:sz w:val="24"/>
          <w:szCs w:val="24"/>
        </w:rPr>
        <w:t>防护区七氟丙烷灭火</w:t>
      </w:r>
      <w:r>
        <w:rPr>
          <w:rFonts w:hint="default" w:ascii="Calibri" w:hAnsi="Calibri" w:cs="Calibri"/>
          <w:sz w:val="24"/>
          <w:szCs w:val="24"/>
        </w:rPr>
        <w:t>(</w:t>
      </w:r>
      <w:r>
        <w:rPr>
          <w:rFonts w:hint="eastAsia" w:ascii="宋体" w:hAnsi="宋体" w:eastAsia="宋体" w:cs="宋体"/>
          <w:sz w:val="24"/>
          <w:szCs w:val="24"/>
        </w:rPr>
        <w:t>或惰化</w:t>
      </w:r>
      <w:r>
        <w:rPr>
          <w:rFonts w:hint="default" w:ascii="Calibri" w:hAnsi="Calibri" w:cs="Calibri"/>
          <w:sz w:val="24"/>
          <w:szCs w:val="24"/>
        </w:rPr>
        <w:t>)</w:t>
      </w:r>
      <w:r>
        <w:rPr>
          <w:rFonts w:hint="eastAsia" w:ascii="宋体" w:hAnsi="宋体" w:eastAsia="宋体" w:cs="宋体"/>
          <w:sz w:val="24"/>
          <w:szCs w:val="24"/>
        </w:rPr>
        <w:t>设</w:t>
      </w:r>
      <w:r>
        <w:rPr>
          <w:rFonts w:hint="default" w:ascii="Calibri" w:hAnsi="Calibri" w:cs="Calibri"/>
          <w:sz w:val="24"/>
          <w:szCs w:val="24"/>
        </w:rPr>
        <w:t xml:space="preserve">   </w:t>
      </w:r>
      <w:r>
        <w:rPr>
          <w:rFonts w:hint="eastAsia" w:ascii="宋体" w:hAnsi="宋体" w:eastAsia="宋体" w:cs="宋体"/>
          <w:sz w:val="24"/>
          <w:szCs w:val="24"/>
        </w:rPr>
        <w:t>计用量</w:t>
      </w:r>
      <w:r>
        <w:rPr>
          <w:rFonts w:hint="default" w:ascii="Calibri" w:hAnsi="Calibri" w:cs="Calibri"/>
          <w:sz w:val="24"/>
          <w:szCs w:val="24"/>
        </w:rPr>
        <w:t>(Kg)</w:t>
      </w:r>
    </w:p>
    <w:p>
      <w:pPr>
        <w:pStyle w:val="4"/>
        <w:keepNext w:val="0"/>
        <w:keepLines w:val="0"/>
        <w:widowControl/>
        <w:suppressLineNumbers w:val="0"/>
        <w:ind w:left="0" w:firstLine="480"/>
      </w:pPr>
      <w:r>
        <w:rPr>
          <w:rFonts w:hint="default" w:ascii="Calibri" w:hAnsi="Calibri" w:cs="Calibri"/>
          <w:sz w:val="24"/>
          <w:szCs w:val="24"/>
        </w:rPr>
        <w:t xml:space="preserve">C --- </w:t>
      </w:r>
      <w:r>
        <w:rPr>
          <w:rFonts w:hint="eastAsia" w:ascii="宋体" w:hAnsi="宋体" w:eastAsia="宋体" w:cs="宋体"/>
          <w:sz w:val="24"/>
          <w:szCs w:val="24"/>
        </w:rPr>
        <w:t>七氟丙烷灭火</w:t>
      </w:r>
      <w:r>
        <w:rPr>
          <w:rFonts w:hint="default" w:ascii="Calibri" w:hAnsi="Calibri" w:cs="Calibri"/>
          <w:sz w:val="24"/>
          <w:szCs w:val="24"/>
        </w:rPr>
        <w:t>(</w:t>
      </w:r>
      <w:r>
        <w:rPr>
          <w:rFonts w:hint="eastAsia" w:ascii="宋体" w:hAnsi="宋体" w:eastAsia="宋体" w:cs="宋体"/>
          <w:sz w:val="24"/>
          <w:szCs w:val="24"/>
        </w:rPr>
        <w:t>或惰化</w:t>
      </w:r>
      <w:r>
        <w:rPr>
          <w:rFonts w:hint="default" w:ascii="Calibri" w:hAnsi="Calibri" w:cs="Calibri"/>
          <w:sz w:val="24"/>
          <w:szCs w:val="24"/>
        </w:rPr>
        <w:t>)</w:t>
      </w:r>
      <w:r>
        <w:rPr>
          <w:rFonts w:hint="eastAsia" w:ascii="宋体" w:hAnsi="宋体" w:eastAsia="宋体" w:cs="宋体"/>
          <w:sz w:val="24"/>
          <w:szCs w:val="24"/>
        </w:rPr>
        <w:t>设</w:t>
      </w:r>
      <w:r>
        <w:rPr>
          <w:rFonts w:hint="default" w:ascii="Calibri" w:hAnsi="Calibri" w:cs="Calibri"/>
          <w:sz w:val="24"/>
          <w:szCs w:val="24"/>
        </w:rPr>
        <w:t xml:space="preserve">   </w:t>
      </w:r>
      <w:r>
        <w:rPr>
          <w:rFonts w:hint="eastAsia" w:ascii="宋体" w:hAnsi="宋体" w:eastAsia="宋体" w:cs="宋体"/>
          <w:sz w:val="24"/>
          <w:szCs w:val="24"/>
        </w:rPr>
        <w:t>计浓度</w:t>
      </w:r>
      <w:r>
        <w:rPr>
          <w:rFonts w:hint="default" w:ascii="Calibri" w:hAnsi="Calibri" w:cs="Calibri"/>
          <w:sz w:val="24"/>
          <w:szCs w:val="24"/>
        </w:rPr>
        <w:t>(%)</w:t>
      </w:r>
      <w:r>
        <w:rPr>
          <w:rFonts w:hint="eastAsia" w:ascii="宋体" w:hAnsi="宋体" w:eastAsia="宋体" w:cs="宋体"/>
          <w:sz w:val="24"/>
          <w:szCs w:val="24"/>
        </w:rPr>
        <w:t>，根据气体灭火系统设</w:t>
      </w:r>
      <w:r>
        <w:rPr>
          <w:rFonts w:hint="default" w:ascii="Calibri" w:hAnsi="Calibri" w:cs="Calibri"/>
          <w:sz w:val="24"/>
          <w:szCs w:val="24"/>
        </w:rPr>
        <w:t xml:space="preserve">   </w:t>
      </w:r>
      <w:r>
        <w:rPr>
          <w:rFonts w:hint="eastAsia" w:ascii="宋体" w:hAnsi="宋体" w:eastAsia="宋体" w:cs="宋体"/>
          <w:sz w:val="24"/>
          <w:szCs w:val="24"/>
        </w:rPr>
        <w:t>计规范</w:t>
      </w:r>
      <w:r>
        <w:rPr>
          <w:rFonts w:hint="default" w:ascii="Calibri" w:hAnsi="Calibri" w:cs="Calibri"/>
          <w:sz w:val="24"/>
          <w:szCs w:val="24"/>
        </w:rPr>
        <w:t> GB 50370-2005</w:t>
      </w:r>
      <w:r>
        <w:rPr>
          <w:rFonts w:hint="eastAsia" w:ascii="宋体" w:hAnsi="宋体" w:eastAsia="宋体" w:cs="宋体"/>
          <w:sz w:val="24"/>
          <w:szCs w:val="24"/>
        </w:rPr>
        <w:t>规定，机房的气体灭火的设</w:t>
      </w:r>
      <w:r>
        <w:rPr>
          <w:rFonts w:hint="default" w:ascii="Calibri" w:hAnsi="Calibri" w:cs="Calibri"/>
          <w:sz w:val="24"/>
          <w:szCs w:val="24"/>
        </w:rPr>
        <w:t xml:space="preserve">   </w:t>
      </w:r>
      <w:r>
        <w:rPr>
          <w:rFonts w:hint="eastAsia" w:ascii="宋体" w:hAnsi="宋体" w:eastAsia="宋体" w:cs="宋体"/>
          <w:sz w:val="24"/>
          <w:szCs w:val="24"/>
        </w:rPr>
        <w:t>计浓度为</w:t>
      </w:r>
      <w:r>
        <w:rPr>
          <w:rFonts w:hint="default" w:ascii="Calibri" w:hAnsi="Calibri" w:cs="Calibri"/>
          <w:sz w:val="24"/>
          <w:szCs w:val="24"/>
        </w:rPr>
        <w:t>8%</w:t>
      </w:r>
    </w:p>
    <w:p>
      <w:pPr>
        <w:pStyle w:val="4"/>
        <w:keepNext w:val="0"/>
        <w:keepLines w:val="0"/>
        <w:widowControl/>
        <w:suppressLineNumbers w:val="0"/>
        <w:ind w:left="0" w:firstLine="480"/>
      </w:pPr>
      <w:r>
        <w:rPr>
          <w:rFonts w:hint="default" w:ascii="Calibri" w:hAnsi="Calibri" w:cs="Calibri"/>
          <w:sz w:val="24"/>
          <w:szCs w:val="24"/>
        </w:rPr>
        <w:t xml:space="preserve">S --- </w:t>
      </w:r>
      <w:r>
        <w:rPr>
          <w:rFonts w:hint="eastAsia" w:ascii="宋体" w:hAnsi="宋体" w:eastAsia="宋体" w:cs="宋体"/>
          <w:sz w:val="24"/>
          <w:szCs w:val="24"/>
        </w:rPr>
        <w:t>七氟丙烷过热蒸气在</w:t>
      </w:r>
      <w:r>
        <w:rPr>
          <w:rFonts w:hint="default" w:ascii="Calibri" w:hAnsi="Calibri" w:cs="Calibri"/>
          <w:sz w:val="24"/>
          <w:szCs w:val="24"/>
        </w:rPr>
        <w:t>101KPa</w:t>
      </w:r>
      <w:r>
        <w:rPr>
          <w:rFonts w:hint="eastAsia" w:ascii="宋体" w:hAnsi="宋体" w:eastAsia="宋体" w:cs="宋体"/>
          <w:sz w:val="24"/>
          <w:szCs w:val="24"/>
        </w:rPr>
        <w:t>和防护区最低环境温度下的比容</w:t>
      </w:r>
      <w:r>
        <w:rPr>
          <w:rFonts w:hint="default" w:ascii="Calibri" w:hAnsi="Calibri" w:cs="Calibri"/>
          <w:sz w:val="24"/>
          <w:szCs w:val="24"/>
        </w:rPr>
        <w:t>(m3/Kg)</w:t>
      </w:r>
    </w:p>
    <w:p>
      <w:pPr>
        <w:pStyle w:val="4"/>
        <w:keepNext w:val="0"/>
        <w:keepLines w:val="0"/>
        <w:widowControl/>
        <w:suppressLineNumbers w:val="0"/>
        <w:ind w:left="0" w:firstLine="480"/>
      </w:pPr>
      <w:r>
        <w:rPr>
          <w:rFonts w:hint="default" w:ascii="Calibri" w:hAnsi="Calibri" w:cs="Calibri"/>
          <w:sz w:val="24"/>
          <w:szCs w:val="24"/>
        </w:rPr>
        <w:t xml:space="preserve">V --- </w:t>
      </w:r>
      <w:r>
        <w:rPr>
          <w:rFonts w:hint="eastAsia" w:ascii="宋体" w:hAnsi="宋体" w:eastAsia="宋体" w:cs="宋体"/>
          <w:sz w:val="24"/>
          <w:szCs w:val="24"/>
        </w:rPr>
        <w:t>防护区的净容积</w:t>
      </w:r>
      <w:r>
        <w:rPr>
          <w:rFonts w:hint="default" w:ascii="Calibri" w:hAnsi="Calibri" w:cs="Calibri"/>
          <w:sz w:val="24"/>
          <w:szCs w:val="24"/>
        </w:rPr>
        <w:t>(m</w:t>
      </w:r>
      <w:r>
        <w:rPr>
          <w:rFonts w:hint="eastAsia" w:ascii="宋体" w:hAnsi="宋体" w:eastAsia="宋体" w:cs="宋体"/>
          <w:sz w:val="24"/>
          <w:szCs w:val="24"/>
        </w:rPr>
        <w:t>3</w:t>
      </w:r>
      <w:r>
        <w:rPr>
          <w:rFonts w:hint="default" w:ascii="Calibri" w:hAnsi="Calibri" w:cs="Calibri"/>
          <w:sz w:val="24"/>
          <w:szCs w:val="24"/>
        </w:rPr>
        <w:t>)</w:t>
      </w:r>
    </w:p>
    <w:p>
      <w:pPr>
        <w:pStyle w:val="4"/>
        <w:keepNext w:val="0"/>
        <w:keepLines w:val="0"/>
        <w:widowControl/>
        <w:suppressLineNumbers w:val="0"/>
        <w:ind w:left="0" w:firstLine="480"/>
      </w:pPr>
      <w:r>
        <w:rPr>
          <w:rFonts w:hint="default" w:ascii="Calibri" w:hAnsi="Calibri" w:cs="Calibri"/>
          <w:sz w:val="24"/>
          <w:szCs w:val="24"/>
        </w:rPr>
        <w:t xml:space="preserve">K --- </w:t>
      </w:r>
      <w:r>
        <w:rPr>
          <w:rFonts w:hint="eastAsia" w:ascii="宋体" w:hAnsi="宋体" w:eastAsia="宋体" w:cs="宋体"/>
          <w:sz w:val="24"/>
          <w:szCs w:val="24"/>
        </w:rPr>
        <w:t>海拔修正系数，按附录</w:t>
      </w:r>
      <w:r>
        <w:rPr>
          <w:rFonts w:hint="default" w:ascii="Calibri" w:hAnsi="Calibri" w:cs="Calibri"/>
          <w:sz w:val="24"/>
          <w:szCs w:val="24"/>
        </w:rPr>
        <w:t>B</w:t>
      </w:r>
      <w:r>
        <w:rPr>
          <w:rFonts w:hint="eastAsia" w:ascii="宋体" w:hAnsi="宋体" w:eastAsia="宋体" w:cs="宋体"/>
          <w:sz w:val="24"/>
          <w:szCs w:val="24"/>
        </w:rPr>
        <w:t>的规定采用，本项目中取</w:t>
      </w:r>
      <w:r>
        <w:rPr>
          <w:rFonts w:hint="default" w:ascii="Calibri" w:hAnsi="Calibri" w:cs="Calibri"/>
          <w:sz w:val="24"/>
          <w:szCs w:val="24"/>
        </w:rPr>
        <w:t>1</w:t>
      </w:r>
    </w:p>
    <w:p>
      <w:pPr>
        <w:pStyle w:val="4"/>
        <w:keepNext w:val="0"/>
        <w:keepLines w:val="0"/>
        <w:widowControl/>
        <w:suppressLineNumbers w:val="0"/>
        <w:ind w:left="0" w:firstLine="480"/>
      </w:pPr>
      <w:r>
        <w:rPr>
          <w:rFonts w:hint="eastAsia" w:ascii="宋体" w:hAnsi="宋体" w:eastAsia="宋体" w:cs="宋体"/>
          <w:sz w:val="24"/>
          <w:szCs w:val="24"/>
        </w:rPr>
        <w:t>七氟丙烷在不同温度下的过热蒸气比容，应按下式计算：</w:t>
      </w:r>
      <w:r>
        <w:rPr>
          <w:rFonts w:hint="default" w:ascii="Calibri" w:hAnsi="Calibri" w:cs="Calibri"/>
          <w:sz w:val="24"/>
          <w:szCs w:val="24"/>
        </w:rPr>
        <w:t> </w:t>
      </w:r>
    </w:p>
    <w:p>
      <w:pPr>
        <w:pStyle w:val="4"/>
        <w:keepNext w:val="0"/>
        <w:keepLines w:val="0"/>
        <w:widowControl/>
        <w:suppressLineNumbers w:val="0"/>
        <w:ind w:left="0" w:firstLine="480"/>
        <w:jc w:val="center"/>
      </w:pPr>
      <w:r>
        <w:rPr>
          <w:rStyle w:val="6"/>
          <w:rFonts w:hint="default" w:ascii="Calibri" w:hAnsi="Calibri" w:cs="Calibri"/>
          <w:b/>
        </w:rPr>
        <w:t>S=K1+K2</w:t>
      </w:r>
      <w:r>
        <w:rPr>
          <w:rFonts w:hint="eastAsia" w:ascii="宋体" w:hAnsi="宋体" w:eastAsia="宋体" w:cs="宋体"/>
          <w:sz w:val="19"/>
          <w:szCs w:val="19"/>
        </w:rPr>
        <w:t>×</w:t>
      </w:r>
      <w:r>
        <w:rPr>
          <w:rStyle w:val="6"/>
          <w:rFonts w:hint="default" w:ascii="Calibri" w:hAnsi="Calibri" w:cs="Calibri"/>
          <w:b/>
        </w:rPr>
        <w:t>T</w:t>
      </w:r>
    </w:p>
    <w:p>
      <w:pPr>
        <w:pStyle w:val="4"/>
        <w:keepNext w:val="0"/>
        <w:keepLines w:val="0"/>
        <w:widowControl/>
        <w:suppressLineNumbers w:val="0"/>
        <w:ind w:left="0" w:firstLine="480"/>
      </w:pPr>
      <w:r>
        <w:rPr>
          <w:rFonts w:hint="eastAsia" w:ascii="宋体" w:hAnsi="宋体" w:eastAsia="宋体" w:cs="宋体"/>
          <w:sz w:val="24"/>
          <w:szCs w:val="24"/>
        </w:rPr>
        <w:t>式中</w:t>
      </w:r>
      <w:r>
        <w:rPr>
          <w:rFonts w:hint="default" w:ascii="Calibri" w:hAnsi="Calibri" w:cs="Calibri"/>
          <w:sz w:val="24"/>
          <w:szCs w:val="24"/>
        </w:rPr>
        <w:t xml:space="preserve">T --- </w:t>
      </w:r>
      <w:r>
        <w:rPr>
          <w:rFonts w:hint="eastAsia" w:ascii="宋体" w:hAnsi="宋体" w:eastAsia="宋体" w:cs="宋体"/>
          <w:sz w:val="24"/>
          <w:szCs w:val="24"/>
        </w:rPr>
        <w:t>防护区最低环境温度</w:t>
      </w:r>
      <w:r>
        <w:rPr>
          <w:rFonts w:hint="default" w:ascii="Calibri" w:hAnsi="Calibri" w:cs="Calibri"/>
          <w:sz w:val="24"/>
          <w:szCs w:val="24"/>
        </w:rPr>
        <w:t>(</w:t>
      </w:r>
      <w:r>
        <w:rPr>
          <w:rFonts w:hint="eastAsia" w:ascii="宋体" w:hAnsi="宋体" w:eastAsia="宋体" w:cs="宋体"/>
          <w:sz w:val="24"/>
          <w:szCs w:val="24"/>
        </w:rPr>
        <w:t>℃），取</w:t>
      </w:r>
      <w:r>
        <w:rPr>
          <w:rFonts w:hint="default" w:ascii="Calibri" w:hAnsi="Calibri" w:cs="Calibri"/>
          <w:sz w:val="24"/>
          <w:szCs w:val="24"/>
        </w:rPr>
        <w:t>20</w:t>
      </w:r>
      <w:r>
        <w:rPr>
          <w:rFonts w:hint="eastAsia" w:ascii="宋体" w:hAnsi="宋体" w:eastAsia="宋体" w:cs="宋体"/>
          <w:sz w:val="24"/>
          <w:szCs w:val="24"/>
        </w:rPr>
        <w:t>℃。</w:t>
      </w:r>
    </w:p>
    <w:p>
      <w:pPr>
        <w:pStyle w:val="4"/>
        <w:keepNext w:val="0"/>
        <w:keepLines w:val="0"/>
        <w:widowControl/>
        <w:suppressLineNumbers w:val="0"/>
        <w:ind w:left="990" w:firstLine="480"/>
      </w:pPr>
      <w:r>
        <w:rPr>
          <w:rFonts w:hint="default" w:ascii="Calibri" w:hAnsi="Calibri" w:cs="Calibri"/>
          <w:sz w:val="24"/>
          <w:szCs w:val="24"/>
        </w:rPr>
        <w:t>K1 --- 0.1269</w:t>
      </w:r>
    </w:p>
    <w:p>
      <w:pPr>
        <w:pStyle w:val="4"/>
        <w:keepNext w:val="0"/>
        <w:keepLines w:val="0"/>
        <w:widowControl/>
        <w:suppressLineNumbers w:val="0"/>
        <w:ind w:left="990" w:firstLine="480"/>
      </w:pPr>
      <w:r>
        <w:rPr>
          <w:rFonts w:hint="default" w:ascii="Calibri" w:hAnsi="Calibri" w:cs="Calibri"/>
          <w:sz w:val="24"/>
          <w:szCs w:val="24"/>
        </w:rPr>
        <w:t>K2 --- 0.000513</w:t>
      </w:r>
    </w:p>
    <w:p>
      <w:pPr>
        <w:pStyle w:val="4"/>
        <w:keepNext w:val="0"/>
        <w:keepLines w:val="0"/>
        <w:widowControl/>
        <w:suppressLineNumbers w:val="0"/>
        <w:spacing w:after="240" w:afterAutospacing="0"/>
        <w:ind w:left="0" w:firstLine="480"/>
      </w:pPr>
      <w:r>
        <w:rPr>
          <w:rFonts w:hint="eastAsia" w:ascii="宋体" w:hAnsi="宋体" w:eastAsia="宋体" w:cs="宋体"/>
          <w:sz w:val="24"/>
          <w:szCs w:val="24"/>
        </w:rPr>
        <w:t>目前机房层高</w:t>
      </w:r>
      <w:r>
        <w:rPr>
          <w:rFonts w:hint="default" w:ascii="Calibri" w:hAnsi="Calibri" w:cs="Calibri"/>
          <w:sz w:val="24"/>
          <w:szCs w:val="24"/>
        </w:rPr>
        <w:t>3m</w:t>
      </w:r>
      <w:r>
        <w:rPr>
          <w:rFonts w:hint="eastAsia" w:ascii="宋体" w:hAnsi="宋体" w:eastAsia="宋体" w:cs="宋体"/>
          <w:sz w:val="24"/>
          <w:szCs w:val="24"/>
        </w:rPr>
        <w:t>，机房面积为</w:t>
      </w:r>
      <w:r>
        <w:rPr>
          <w:rFonts w:hint="default" w:ascii="Calibri" w:hAnsi="Calibri" w:cs="Calibri"/>
          <w:sz w:val="24"/>
          <w:szCs w:val="24"/>
        </w:rPr>
        <w:t>61</w:t>
      </w:r>
      <w:r>
        <w:rPr>
          <w:rFonts w:hint="eastAsia" w:ascii="宋体" w:hAnsi="宋体" w:eastAsia="宋体" w:cs="宋体"/>
          <w:sz w:val="24"/>
          <w:szCs w:val="24"/>
        </w:rPr>
        <w:t>㎡，，所以主机房的气体灭火系统的七氟丙烷的总需求量约为</w:t>
      </w:r>
      <w:r>
        <w:rPr>
          <w:rFonts w:hint="default" w:ascii="Calibri" w:hAnsi="Calibri" w:cs="Calibri"/>
          <w:sz w:val="24"/>
          <w:szCs w:val="24"/>
        </w:rPr>
        <w:t>116kg</w:t>
      </w:r>
      <w:r>
        <w:rPr>
          <w:rFonts w:hint="eastAsia" w:ascii="宋体" w:hAnsi="宋体" w:eastAsia="宋体" w:cs="宋体"/>
          <w:sz w:val="24"/>
          <w:szCs w:val="24"/>
        </w:rPr>
        <w:t>，配置一定冗余量后设 </w:t>
      </w:r>
      <w:r>
        <w:rPr>
          <w:rFonts w:hint="default" w:ascii="Calibri" w:hAnsi="Calibri" w:cs="Calibri"/>
          <w:sz w:val="24"/>
          <w:szCs w:val="24"/>
        </w:rPr>
        <w:t xml:space="preserve"> </w:t>
      </w:r>
      <w:r>
        <w:rPr>
          <w:rFonts w:hint="eastAsia" w:ascii="宋体" w:hAnsi="宋体" w:eastAsia="宋体" w:cs="宋体"/>
          <w:sz w:val="24"/>
          <w:szCs w:val="24"/>
        </w:rPr>
        <w:t>计</w:t>
      </w:r>
      <w:r>
        <w:rPr>
          <w:rFonts w:hint="default" w:ascii="Calibri" w:hAnsi="Calibri" w:cs="Calibri"/>
          <w:sz w:val="24"/>
          <w:szCs w:val="24"/>
        </w:rPr>
        <w:t>140kg</w:t>
      </w:r>
      <w:r>
        <w:rPr>
          <w:rFonts w:hint="eastAsia" w:ascii="宋体" w:hAnsi="宋体" w:eastAsia="宋体" w:cs="宋体"/>
          <w:sz w:val="24"/>
          <w:szCs w:val="24"/>
        </w:rPr>
        <w:t>。</w:t>
      </w:r>
    </w:p>
    <w:p>
      <w:pPr>
        <w:pStyle w:val="4"/>
        <w:keepNext w:val="0"/>
        <w:keepLines w:val="0"/>
        <w:widowControl/>
        <w:suppressLineNumbers w:val="0"/>
        <w:ind w:left="0"/>
      </w:pPr>
      <w:r>
        <w:rPr>
          <w:rFonts w:hint="default" w:ascii="Calibri" w:hAnsi="Calibri" w:cs="Calibri"/>
          <w:sz w:val="24"/>
          <w:szCs w:val="24"/>
        </w:rPr>
        <w:t>1.10.13.5</w:t>
      </w:r>
      <w:r>
        <w:rPr>
          <w:rFonts w:hint="default" w:ascii="Times New Roman" w:hAnsi="Times New Roman" w:cs="Times New Roman"/>
          <w:sz w:val="13"/>
          <w:szCs w:val="13"/>
        </w:rPr>
        <w:t xml:space="preserve">  </w:t>
      </w:r>
      <w:r>
        <w:rPr>
          <w:rFonts w:hint="eastAsia" w:ascii="宋体" w:hAnsi="宋体" w:eastAsia="宋体" w:cs="宋体"/>
          <w:sz w:val="24"/>
          <w:szCs w:val="24"/>
        </w:rPr>
        <w:t>系统部署方案</w:t>
      </w:r>
      <w:r>
        <w:rPr>
          <w:rFonts w:hint="eastAsia" w:ascii="宋体" w:hAnsi="宋体" w:eastAsia="宋体" w:cs="宋体"/>
          <w:sz w:val="24"/>
          <w:szCs w:val="24"/>
        </w:rPr>
        <w:br w:type="textWrapping"/>
      </w:r>
      <w:r>
        <w:rPr>
          <w:rFonts w:hint="eastAsia" w:ascii="宋体" w:hAnsi="宋体" w:eastAsia="宋体" w:cs="宋体"/>
          <w:sz w:val="24"/>
          <w:szCs w:val="24"/>
        </w:rPr>
        <w:drawing>
          <wp:inline distT="0" distB="0" distL="114300" distR="114300">
            <wp:extent cx="5753100" cy="4000500"/>
            <wp:effectExtent l="0" t="0" r="0" b="0"/>
            <wp:docPr id="24" name="图片 24" descr="15354219519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1535421951940.png"/>
                    <pic:cNvPicPr>
                      <a:picLocks noChangeAspect="1"/>
                    </pic:cNvPicPr>
                  </pic:nvPicPr>
                  <pic:blipFill>
                    <a:blip r:embed="rId27"/>
                    <a:stretch>
                      <a:fillRect/>
                    </a:stretch>
                  </pic:blipFill>
                  <pic:spPr>
                    <a:xfrm>
                      <a:off x="0" y="0"/>
                      <a:ext cx="5753100" cy="4000500"/>
                    </a:xfrm>
                    <a:prstGeom prst="rect">
                      <a:avLst/>
                    </a:prstGeom>
                    <a:noFill/>
                    <a:ln w="9525">
                      <a:noFill/>
                    </a:ln>
                  </pic:spPr>
                </pic:pic>
              </a:graphicData>
            </a:graphic>
          </wp:inline>
        </w:drawing>
      </w:r>
    </w:p>
    <w:p>
      <w:pPr>
        <w:pStyle w:val="4"/>
        <w:keepNext w:val="0"/>
        <w:keepLines w:val="0"/>
        <w:widowControl/>
        <w:suppressLineNumbers w:val="0"/>
        <w:ind w:left="0" w:firstLine="480"/>
        <w:jc w:val="center"/>
      </w:pPr>
    </w:p>
    <w:p>
      <w:pPr>
        <w:pStyle w:val="4"/>
        <w:keepNext w:val="0"/>
        <w:keepLines w:val="0"/>
        <w:widowControl/>
        <w:suppressLineNumbers w:val="0"/>
        <w:jc w:val="left"/>
      </w:pPr>
      <w:r>
        <w:br w:type="textWrapping"/>
      </w:r>
      <w:r>
        <w:br w:type="textWrapping"/>
      </w:r>
      <w:r>
        <w:rPr>
          <w:rFonts w:hint="default" w:ascii="Calibri" w:hAnsi="Calibri" w:cs="Calibri"/>
          <w:sz w:val="24"/>
          <w:szCs w:val="24"/>
        </w:rPr>
        <w:t> </w:t>
      </w:r>
      <w:r>
        <w:rPr>
          <w:rFonts w:hint="default" w:ascii="Calibri" w:hAnsi="Calibri" w:cs="Calibri"/>
          <w:sz w:val="24"/>
          <w:szCs w:val="24"/>
        </w:rPr>
        <w:drawing>
          <wp:inline distT="0" distB="0" distL="114300" distR="114300">
            <wp:extent cx="5720715" cy="6010910"/>
            <wp:effectExtent l="0" t="0" r="13335" b="8890"/>
            <wp:docPr id="25" name="图片 25" descr="15354220108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1535422010815.png"/>
                    <pic:cNvPicPr>
                      <a:picLocks noChangeAspect="1"/>
                    </pic:cNvPicPr>
                  </pic:nvPicPr>
                  <pic:blipFill>
                    <a:blip r:embed="rId28"/>
                    <a:stretch>
                      <a:fillRect/>
                    </a:stretch>
                  </pic:blipFill>
                  <pic:spPr>
                    <a:xfrm>
                      <a:off x="0" y="0"/>
                      <a:ext cx="5720715" cy="6010910"/>
                    </a:xfrm>
                    <a:prstGeom prst="rect">
                      <a:avLst/>
                    </a:prstGeom>
                    <a:noFill/>
                    <a:ln w="9525">
                      <a:noFill/>
                    </a:ln>
                  </pic:spPr>
                </pic:pic>
              </a:graphicData>
            </a:graphic>
          </wp:inline>
        </w:drawing>
      </w:r>
    </w:p>
    <w:p>
      <w:pPr>
        <w:pStyle w:val="4"/>
        <w:keepNext w:val="0"/>
        <w:keepLines w:val="0"/>
        <w:widowControl/>
        <w:suppressLineNumbers w:val="0"/>
        <w:ind w:left="0" w:firstLine="480"/>
        <w:jc w:val="center"/>
      </w:pPr>
    </w:p>
    <w:p>
      <w:pPr>
        <w:pStyle w:val="4"/>
        <w:keepNext w:val="0"/>
        <w:keepLines w:val="0"/>
        <w:widowControl/>
        <w:suppressLineNumbers w:val="0"/>
        <w:jc w:val="left"/>
      </w:pPr>
      <w:r>
        <w:drawing>
          <wp:inline distT="0" distB="0" distL="114300" distR="114300">
            <wp:extent cx="5819775" cy="3333750"/>
            <wp:effectExtent l="0" t="0" r="9525" b="0"/>
            <wp:docPr id="26" name="图片 26" descr="15354220474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1535422047476.png"/>
                    <pic:cNvPicPr>
                      <a:picLocks noChangeAspect="1"/>
                    </pic:cNvPicPr>
                  </pic:nvPicPr>
                  <pic:blipFill>
                    <a:blip r:embed="rId29"/>
                    <a:stretch>
                      <a:fillRect/>
                    </a:stretch>
                  </pic:blipFill>
                  <pic:spPr>
                    <a:xfrm>
                      <a:off x="0" y="0"/>
                      <a:ext cx="5819775" cy="3333750"/>
                    </a:xfrm>
                    <a:prstGeom prst="rect">
                      <a:avLst/>
                    </a:prstGeom>
                    <a:noFill/>
                    <a:ln w="9525">
                      <a:noFill/>
                    </a:ln>
                  </pic:spPr>
                </pic:pic>
              </a:graphicData>
            </a:graphic>
          </wp:inline>
        </w:drawing>
      </w:r>
      <w:r>
        <w:rPr>
          <w:rFonts w:hint="default" w:ascii="Calibri" w:hAnsi="Calibri" w:cs="Calibri"/>
          <w:sz w:val="24"/>
          <w:szCs w:val="24"/>
        </w:rPr>
        <w:t> </w:t>
      </w:r>
    </w:p>
    <w:p>
      <w:pPr>
        <w:pStyle w:val="4"/>
        <w:keepNext w:val="0"/>
        <w:keepLines w:val="0"/>
        <w:widowControl/>
        <w:suppressLineNumbers w:val="0"/>
        <w:ind w:left="0" w:firstLine="480"/>
        <w:jc w:val="center"/>
      </w:pPr>
    </w:p>
    <w:p>
      <w:pPr>
        <w:pStyle w:val="4"/>
        <w:keepNext w:val="0"/>
        <w:keepLines w:val="0"/>
        <w:widowControl/>
        <w:suppressLineNumbers w:val="0"/>
        <w:ind w:left="0" w:firstLine="0"/>
      </w:pPr>
      <w:r>
        <w:rPr>
          <w:rFonts w:hint="eastAsia" w:ascii="宋体" w:hAnsi="宋体" w:eastAsia="宋体" w:cs="宋体"/>
          <w:sz w:val="24"/>
          <w:szCs w:val="24"/>
        </w:rPr>
        <w:t>1.10.14</w:t>
      </w:r>
      <w:r>
        <w:rPr>
          <w:rFonts w:hint="default" w:ascii="Times New Roman" w:hAnsi="Times New Roman" w:cs="Times New Roman"/>
          <w:sz w:val="13"/>
          <w:szCs w:val="13"/>
        </w:rPr>
        <w:t xml:space="preserve">     </w:t>
      </w:r>
      <w:r>
        <w:rPr>
          <w:rFonts w:hint="eastAsia" w:ascii="宋体" w:hAnsi="宋体" w:eastAsia="宋体" w:cs="宋体"/>
          <w:sz w:val="24"/>
          <w:szCs w:val="24"/>
        </w:rPr>
        <w:t>机房环境监控系统</w:t>
      </w:r>
    </w:p>
    <w:p>
      <w:pPr>
        <w:pStyle w:val="4"/>
        <w:keepNext w:val="0"/>
        <w:keepLines w:val="0"/>
        <w:widowControl/>
        <w:suppressLineNumbers w:val="0"/>
      </w:pPr>
      <w:r>
        <w:rPr>
          <w:rFonts w:hint="default" w:ascii="Calibri" w:hAnsi="Calibri" w:cs="Calibri"/>
          <w:sz w:val="24"/>
          <w:szCs w:val="24"/>
        </w:rPr>
        <w:t>1.10.14.1</w:t>
      </w:r>
      <w:r>
        <w:rPr>
          <w:rFonts w:hint="default" w:ascii="Times New Roman" w:hAnsi="Times New Roman" w:cs="Times New Roman"/>
          <w:sz w:val="13"/>
          <w:szCs w:val="13"/>
        </w:rPr>
        <w:t xml:space="preserve">     </w:t>
      </w:r>
      <w:r>
        <w:rPr>
          <w:rFonts w:hint="eastAsia" w:ascii="宋体" w:hAnsi="宋体" w:eastAsia="宋体" w:cs="宋体"/>
          <w:sz w:val="24"/>
          <w:szCs w:val="24"/>
        </w:rPr>
        <w:t>系统功能设</w:t>
      </w:r>
      <w:r>
        <w:rPr>
          <w:rFonts w:hint="default" w:ascii="Calibri" w:hAnsi="Calibri" w:cs="Calibri"/>
          <w:sz w:val="24"/>
          <w:szCs w:val="24"/>
        </w:rPr>
        <w:t xml:space="preserve">  </w:t>
      </w:r>
      <w:r>
        <w:rPr>
          <w:rFonts w:hint="eastAsia" w:ascii="宋体" w:hAnsi="宋体" w:eastAsia="宋体" w:cs="宋体"/>
          <w:sz w:val="24"/>
          <w:szCs w:val="24"/>
        </w:rPr>
        <w:t>计</w:t>
      </w:r>
    </w:p>
    <w:p>
      <w:pPr>
        <w:pStyle w:val="4"/>
        <w:keepNext w:val="0"/>
        <w:keepLines w:val="0"/>
        <w:widowControl/>
        <w:suppressLineNumbers w:val="0"/>
        <w:ind w:left="0" w:firstLine="480"/>
      </w:pPr>
      <w:r>
        <w:rPr>
          <w:rFonts w:hint="eastAsia" w:ascii="宋体" w:hAnsi="宋体" w:eastAsia="宋体" w:cs="宋体"/>
          <w:sz w:val="24"/>
          <w:szCs w:val="24"/>
        </w:rPr>
        <w:t>监控系统可实现对配电、设备（UPS、空调等）、机房环境、机房安全、门禁系统的集中监控。系统设 计架构拓扑如下图：</w:t>
      </w:r>
    </w:p>
    <w:p>
      <w:pPr>
        <w:pStyle w:val="4"/>
        <w:keepNext w:val="0"/>
        <w:keepLines w:val="0"/>
        <w:widowControl/>
        <w:suppressLineNumbers w:val="0"/>
      </w:pPr>
      <w:r>
        <w:drawing>
          <wp:inline distT="0" distB="0" distL="114300" distR="114300">
            <wp:extent cx="5915025" cy="4162425"/>
            <wp:effectExtent l="0" t="0" r="9525" b="9525"/>
            <wp:docPr id="27" name="图片 27" descr="15354220650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1535422065080.png"/>
                    <pic:cNvPicPr>
                      <a:picLocks noChangeAspect="1"/>
                    </pic:cNvPicPr>
                  </pic:nvPicPr>
                  <pic:blipFill>
                    <a:blip r:embed="rId30"/>
                    <a:stretch>
                      <a:fillRect/>
                    </a:stretch>
                  </pic:blipFill>
                  <pic:spPr>
                    <a:xfrm>
                      <a:off x="0" y="0"/>
                      <a:ext cx="5915025" cy="4162425"/>
                    </a:xfrm>
                    <a:prstGeom prst="rect">
                      <a:avLst/>
                    </a:prstGeom>
                    <a:noFill/>
                    <a:ln w="9525">
                      <a:noFill/>
                    </a:ln>
                  </pic:spPr>
                </pic:pic>
              </a:graphicData>
            </a:graphic>
          </wp:inline>
        </w:drawing>
      </w:r>
      <w:r>
        <w:rPr>
          <w:rFonts w:hint="default" w:ascii="Calibri" w:hAnsi="Calibri" w:cs="Calibri"/>
          <w:sz w:val="24"/>
          <w:szCs w:val="24"/>
        </w:rPr>
        <w:t> </w:t>
      </w:r>
    </w:p>
    <w:p>
      <w:pPr>
        <w:pStyle w:val="4"/>
        <w:keepNext w:val="0"/>
        <w:keepLines w:val="0"/>
        <w:widowControl/>
        <w:suppressLineNumbers w:val="0"/>
        <w:jc w:val="center"/>
      </w:pPr>
    </w:p>
    <w:p>
      <w:pPr>
        <w:pStyle w:val="4"/>
        <w:keepNext w:val="0"/>
        <w:keepLines w:val="0"/>
        <w:widowControl/>
        <w:suppressLineNumbers w:val="0"/>
      </w:pPr>
      <w:r>
        <w:rPr>
          <w:rFonts w:hint="default" w:ascii="Calibri" w:hAnsi="Calibri" w:cs="Calibri"/>
          <w:sz w:val="24"/>
          <w:szCs w:val="24"/>
        </w:rPr>
        <w:t>1.10.14.2</w:t>
      </w:r>
      <w:r>
        <w:rPr>
          <w:rFonts w:hint="default" w:ascii="Times New Roman" w:hAnsi="Times New Roman" w:cs="Times New Roman"/>
          <w:sz w:val="13"/>
          <w:szCs w:val="13"/>
        </w:rPr>
        <w:t xml:space="preserve">     </w:t>
      </w:r>
      <w:r>
        <w:rPr>
          <w:rFonts w:hint="eastAsia" w:ascii="宋体" w:hAnsi="宋体" w:eastAsia="宋体" w:cs="宋体"/>
          <w:sz w:val="24"/>
          <w:szCs w:val="24"/>
        </w:rPr>
        <w:t>配电系统监控</w:t>
      </w:r>
    </w:p>
    <w:p>
      <w:pPr>
        <w:pStyle w:val="4"/>
        <w:keepNext w:val="0"/>
        <w:keepLines w:val="0"/>
        <w:widowControl/>
        <w:suppressLineNumbers w:val="0"/>
        <w:ind w:left="0" w:firstLine="480"/>
      </w:pPr>
      <w:r>
        <w:rPr>
          <w:rFonts w:hint="eastAsia" w:ascii="宋体" w:hAnsi="宋体" w:eastAsia="宋体" w:cs="宋体"/>
          <w:sz w:val="24"/>
          <w:szCs w:val="24"/>
        </w:rPr>
        <w:t>在机房配电柜中采用变配电系统接口模块，接入场地监控主机，对配电柜进线电源参数进行检测，达到事故预警作用。</w:t>
      </w:r>
    </w:p>
    <w:p>
      <w:pPr>
        <w:pStyle w:val="4"/>
        <w:keepNext w:val="0"/>
        <w:keepLines w:val="0"/>
        <w:widowControl/>
        <w:suppressLineNumbers w:val="0"/>
        <w:ind w:left="0" w:firstLine="480"/>
      </w:pPr>
      <w:r>
        <w:rPr>
          <w:rFonts w:hint="eastAsia" w:ascii="宋体" w:hAnsi="宋体" w:eastAsia="宋体" w:cs="宋体"/>
          <w:sz w:val="24"/>
          <w:szCs w:val="24"/>
        </w:rPr>
        <w:t>配电系统监控包括监测低压配电柜(箱)的主回路和各分回路的电压、电流、频率、有功功率、功率因素等参数，诊断供电系统的跳闸、接触不良、保险熔断、过压、缺相、低压等故障，并进行告警；监控配电柜配电负载各分回路开关的开关量状态，开关一旦关闭立刻告警通知管理人员；监控市电的中断情况及各部件的状态，如市电中断或异常及时告警。</w:t>
      </w:r>
    </w:p>
    <w:p>
      <w:pPr>
        <w:pStyle w:val="4"/>
        <w:keepNext w:val="0"/>
        <w:keepLines w:val="0"/>
        <w:widowControl/>
        <w:suppressLineNumbers w:val="0"/>
      </w:pPr>
      <w:r>
        <w:rPr>
          <w:rFonts w:hint="default" w:ascii="Calibri" w:hAnsi="Calibri" w:cs="Calibri"/>
          <w:sz w:val="24"/>
          <w:szCs w:val="24"/>
        </w:rPr>
        <w:t>1.10.14.3</w:t>
      </w:r>
      <w:r>
        <w:rPr>
          <w:rFonts w:hint="default" w:ascii="Times New Roman" w:hAnsi="Times New Roman" w:cs="Times New Roman"/>
          <w:sz w:val="13"/>
          <w:szCs w:val="13"/>
        </w:rPr>
        <w:t xml:space="preserve">     </w:t>
      </w:r>
      <w:r>
        <w:rPr>
          <w:rFonts w:hint="default" w:ascii="Calibri" w:hAnsi="Calibri" w:cs="Calibri"/>
          <w:sz w:val="24"/>
          <w:szCs w:val="24"/>
        </w:rPr>
        <w:t>UPS</w:t>
      </w:r>
      <w:r>
        <w:rPr>
          <w:rFonts w:hint="eastAsia" w:ascii="宋体" w:hAnsi="宋体" w:eastAsia="宋体" w:cs="宋体"/>
          <w:sz w:val="24"/>
          <w:szCs w:val="24"/>
        </w:rPr>
        <w:t>监控</w:t>
      </w:r>
    </w:p>
    <w:p>
      <w:pPr>
        <w:pStyle w:val="4"/>
        <w:keepNext w:val="0"/>
        <w:keepLines w:val="0"/>
        <w:widowControl/>
        <w:suppressLineNumbers w:val="0"/>
        <w:ind w:left="0" w:firstLine="480"/>
      </w:pPr>
      <w:r>
        <w:rPr>
          <w:rFonts w:hint="eastAsia" w:ascii="宋体" w:hAnsi="宋体" w:eastAsia="宋体" w:cs="宋体"/>
          <w:sz w:val="24"/>
          <w:szCs w:val="24"/>
        </w:rPr>
        <w:t>监控平台实时监视UPS整流器、逆变器、电池、旁路、负载等各部分的运行状态与参数。系统可全面诊断UPS运行状况，实时监视UPS的各种参数。一旦UPS报警，将自动切换到相应UPS监控子系统的运行画面。用户还可根据需要对重要的报警事件设置电话语音拨号的报警功能。对于重要的参数，可作曲线记录，系统可查询一年内相应参数的运行曲线，并可显示查询选定具体时间相应时间的参数值，当天（以天为单位）该参数的最大值，最小值，方便管理员全面了解UPS的运行状况，及时地发现并解决UPS运行中出现的各种问题。</w:t>
      </w:r>
    </w:p>
    <w:p>
      <w:pPr>
        <w:pStyle w:val="4"/>
        <w:keepNext w:val="0"/>
        <w:keepLines w:val="0"/>
        <w:widowControl/>
        <w:suppressLineNumbers w:val="0"/>
      </w:pPr>
      <w:r>
        <w:rPr>
          <w:rFonts w:hint="default" w:ascii="Calibri" w:hAnsi="Calibri" w:cs="Calibri"/>
          <w:sz w:val="24"/>
          <w:szCs w:val="24"/>
        </w:rPr>
        <w:t>1.10.14.4</w:t>
      </w:r>
      <w:r>
        <w:rPr>
          <w:rFonts w:hint="default" w:ascii="Times New Roman" w:hAnsi="Times New Roman" w:cs="Times New Roman"/>
          <w:sz w:val="13"/>
          <w:szCs w:val="13"/>
        </w:rPr>
        <w:t xml:space="preserve">     </w:t>
      </w:r>
      <w:r>
        <w:rPr>
          <w:rFonts w:hint="eastAsia" w:ascii="宋体" w:hAnsi="宋体" w:eastAsia="宋体" w:cs="宋体"/>
          <w:sz w:val="24"/>
          <w:szCs w:val="24"/>
        </w:rPr>
        <w:t>空调监控</w:t>
      </w:r>
    </w:p>
    <w:p>
      <w:pPr>
        <w:pStyle w:val="4"/>
        <w:keepNext w:val="0"/>
        <w:keepLines w:val="0"/>
        <w:widowControl/>
        <w:suppressLineNumbers w:val="0"/>
        <w:ind w:left="0" w:firstLine="480"/>
      </w:pPr>
      <w:r>
        <w:rPr>
          <w:rFonts w:hint="eastAsia" w:ascii="宋体" w:hAnsi="宋体" w:eastAsia="宋体" w:cs="宋体"/>
          <w:sz w:val="24"/>
          <w:szCs w:val="24"/>
        </w:rPr>
        <w:t>监控平台可实时、全面诊断空调运行状况，监控空调各部件（如压缩机、风机、加热器、加湿器、去湿器、滤网等） 的运行状态与参数，并可通过网络远程修改空调设置参数（温度、湿度等），实现空调的远程开关机。对重要参数，可作曲线记录，用户可通过曲线记录直观地看到空调机组的运行品质。空调机组即使有微小的故障，也可以通过系统检测出来，及时采取步骤防止空调机组进一步损坏。对严重的故障，可按用户要求加设电话语音报警。</w:t>
      </w:r>
    </w:p>
    <w:p>
      <w:pPr>
        <w:pStyle w:val="4"/>
        <w:keepNext w:val="0"/>
        <w:keepLines w:val="0"/>
        <w:widowControl/>
        <w:suppressLineNumbers w:val="0"/>
      </w:pPr>
      <w:r>
        <w:rPr>
          <w:rFonts w:hint="default" w:ascii="Calibri" w:hAnsi="Calibri" w:cs="Calibri"/>
          <w:sz w:val="24"/>
          <w:szCs w:val="24"/>
        </w:rPr>
        <w:t>1.10.14.5</w:t>
      </w:r>
      <w:r>
        <w:rPr>
          <w:rFonts w:hint="default" w:ascii="Times New Roman" w:hAnsi="Times New Roman" w:cs="Times New Roman"/>
          <w:sz w:val="13"/>
          <w:szCs w:val="13"/>
        </w:rPr>
        <w:t xml:space="preserve">     </w:t>
      </w:r>
      <w:r>
        <w:rPr>
          <w:rFonts w:hint="eastAsia" w:ascii="宋体" w:hAnsi="宋体" w:eastAsia="宋体" w:cs="宋体"/>
          <w:sz w:val="24"/>
          <w:szCs w:val="24"/>
        </w:rPr>
        <w:t>视频监控系统</w:t>
      </w:r>
    </w:p>
    <w:p>
      <w:pPr>
        <w:pStyle w:val="4"/>
        <w:keepNext w:val="0"/>
        <w:keepLines w:val="0"/>
        <w:widowControl/>
        <w:suppressLineNumbers w:val="0"/>
        <w:ind w:left="0" w:firstLine="480"/>
      </w:pPr>
      <w:r>
        <w:rPr>
          <w:rFonts w:hint="eastAsia" w:ascii="宋体" w:hAnsi="宋体" w:eastAsia="宋体" w:cs="宋体"/>
          <w:sz w:val="24"/>
          <w:szCs w:val="24"/>
        </w:rPr>
        <w:t>本监控系统的作用是对机房及主要通道的事态、人流进行宏观有效的监控和管理，并对防火、防盗所发现的异常情况进行图像取证。</w:t>
      </w:r>
    </w:p>
    <w:p>
      <w:pPr>
        <w:pStyle w:val="4"/>
        <w:keepNext w:val="0"/>
        <w:keepLines w:val="0"/>
        <w:widowControl/>
        <w:suppressLineNumbers w:val="0"/>
        <w:ind w:left="0" w:firstLine="480"/>
      </w:pPr>
      <w:r>
        <w:rPr>
          <w:rFonts w:hint="eastAsia" w:ascii="宋体" w:hAnsi="宋体" w:eastAsia="宋体" w:cs="宋体"/>
          <w:sz w:val="24"/>
          <w:szCs w:val="24"/>
        </w:rPr>
        <w:t>前端设备 选用半球形摄像机用于机房内监控，后端使用液晶显示器作为显示设备，使用硬盘录像机作为记录设备。</w:t>
      </w:r>
    </w:p>
    <w:p>
      <w:pPr>
        <w:pStyle w:val="4"/>
        <w:keepNext w:val="0"/>
        <w:keepLines w:val="0"/>
        <w:widowControl/>
        <w:suppressLineNumbers w:val="0"/>
      </w:pPr>
      <w:r>
        <w:rPr>
          <w:rFonts w:hint="default" w:ascii="Calibri" w:hAnsi="Calibri" w:cs="Calibri"/>
          <w:sz w:val="24"/>
          <w:szCs w:val="24"/>
        </w:rPr>
        <w:t>1.10.14.6</w:t>
      </w:r>
      <w:r>
        <w:rPr>
          <w:rFonts w:hint="default" w:ascii="Times New Roman" w:hAnsi="Times New Roman" w:cs="Times New Roman"/>
          <w:sz w:val="13"/>
          <w:szCs w:val="13"/>
        </w:rPr>
        <w:t xml:space="preserve">     </w:t>
      </w:r>
      <w:r>
        <w:rPr>
          <w:rFonts w:hint="eastAsia" w:ascii="宋体" w:hAnsi="宋体" w:eastAsia="宋体" w:cs="宋体"/>
          <w:sz w:val="24"/>
          <w:szCs w:val="24"/>
        </w:rPr>
        <w:t>机房温湿度环境监控</w:t>
      </w:r>
    </w:p>
    <w:p>
      <w:pPr>
        <w:pStyle w:val="4"/>
        <w:keepNext w:val="0"/>
        <w:keepLines w:val="0"/>
        <w:widowControl/>
        <w:suppressLineNumbers w:val="0"/>
        <w:ind w:left="0" w:firstLine="480"/>
      </w:pPr>
      <w:r>
        <w:rPr>
          <w:rFonts w:hint="eastAsia" w:ascii="宋体" w:hAnsi="宋体" w:eastAsia="宋体" w:cs="宋体"/>
          <w:sz w:val="24"/>
          <w:szCs w:val="24"/>
        </w:rPr>
        <w:t>环境监控包括温湿度检测、烟雾探测、红外探测等。</w:t>
      </w:r>
    </w:p>
    <w:p>
      <w:pPr>
        <w:pStyle w:val="4"/>
        <w:keepNext w:val="0"/>
        <w:keepLines w:val="0"/>
        <w:widowControl/>
        <w:suppressLineNumbers w:val="0"/>
      </w:pPr>
      <w:r>
        <w:rPr>
          <w:rFonts w:hint="default" w:ascii="Calibri" w:hAnsi="Calibri" w:cs="Calibri"/>
          <w:sz w:val="24"/>
          <w:szCs w:val="24"/>
        </w:rPr>
        <w:t>1.10.14.7</w:t>
      </w:r>
      <w:r>
        <w:rPr>
          <w:rFonts w:hint="default" w:ascii="Times New Roman" w:hAnsi="Times New Roman" w:cs="Times New Roman"/>
          <w:sz w:val="13"/>
          <w:szCs w:val="13"/>
        </w:rPr>
        <w:t xml:space="preserve">     </w:t>
      </w:r>
      <w:r>
        <w:rPr>
          <w:rFonts w:hint="eastAsia" w:ascii="宋体" w:hAnsi="宋体" w:eastAsia="宋体" w:cs="宋体"/>
          <w:sz w:val="24"/>
          <w:szCs w:val="24"/>
        </w:rPr>
        <w:t>机房漏水监控</w:t>
      </w:r>
    </w:p>
    <w:p>
      <w:pPr>
        <w:pStyle w:val="4"/>
        <w:keepNext w:val="0"/>
        <w:keepLines w:val="0"/>
        <w:widowControl/>
        <w:suppressLineNumbers w:val="0"/>
        <w:ind w:left="0" w:firstLine="480"/>
      </w:pPr>
      <w:r>
        <w:rPr>
          <w:rFonts w:hint="eastAsia" w:ascii="宋体" w:hAnsi="宋体" w:eastAsia="宋体" w:cs="宋体"/>
          <w:sz w:val="24"/>
          <w:szCs w:val="24"/>
        </w:rPr>
        <w:t>漏水检测系统由泄漏定位控制器、引出线、漏水感应线、跳接线、终止端等组成。其中漏水感应线具有耐酸碱、抗腐蚀、灵敏度极高，能在多种恶劣环境进行对液体泄漏和渗入进行检测和定位。</w:t>
      </w:r>
    </w:p>
    <w:p>
      <w:pPr>
        <w:pStyle w:val="4"/>
        <w:keepNext w:val="0"/>
        <w:keepLines w:val="0"/>
        <w:widowControl/>
        <w:suppressLineNumbers w:val="0"/>
        <w:ind w:left="0" w:firstLine="480"/>
      </w:pPr>
      <w:r>
        <w:rPr>
          <w:rFonts w:hint="eastAsia" w:ascii="宋体" w:hAnsi="宋体" w:eastAsia="宋体" w:cs="宋体"/>
          <w:sz w:val="24"/>
          <w:szCs w:val="24"/>
        </w:rPr>
        <w:t>在信息机房用漏水感应线将机房内可能出现泄漏的区域围起来，其他区域采用跳接线进行连接，通过测漏定位控制器连接到监测管理系统，若机房一旦发生泄漏，液体接触到感应线，测漏定位控制器即监测到泄漏，把感应到的信号进行分析与记录，或把分析的结果转换成数字信号传给场地监控主机，系统的画面即自动切换到泄漏监测画面上，画面上有泄漏的感应线段由正常状态变成报警状态，并在屏幕上相应位置提示报警，及时排除故障，系统同时发出多媒体语音报警。漏水感应绳应牢靠固定于楼板上，避免感应绳跷起而造成的漏报警情况。</w:t>
      </w:r>
    </w:p>
    <w:p>
      <w:pPr>
        <w:pStyle w:val="4"/>
        <w:keepNext w:val="0"/>
        <w:keepLines w:val="0"/>
        <w:widowControl/>
        <w:suppressLineNumbers w:val="0"/>
      </w:pPr>
      <w:r>
        <w:rPr>
          <w:rFonts w:hint="default" w:ascii="Calibri" w:hAnsi="Calibri" w:cs="Calibri"/>
          <w:sz w:val="24"/>
          <w:szCs w:val="24"/>
        </w:rPr>
        <w:t>1.10.14.8</w:t>
      </w:r>
      <w:r>
        <w:rPr>
          <w:rFonts w:hint="default" w:ascii="Times New Roman" w:hAnsi="Times New Roman" w:cs="Times New Roman"/>
          <w:sz w:val="13"/>
          <w:szCs w:val="13"/>
        </w:rPr>
        <w:t xml:space="preserve">     </w:t>
      </w:r>
      <w:r>
        <w:rPr>
          <w:rFonts w:hint="eastAsia" w:ascii="宋体" w:hAnsi="宋体" w:eastAsia="宋体" w:cs="宋体"/>
          <w:sz w:val="24"/>
          <w:szCs w:val="24"/>
        </w:rPr>
        <w:t>机房消防监控</w:t>
      </w:r>
    </w:p>
    <w:p>
      <w:pPr>
        <w:pStyle w:val="4"/>
        <w:keepNext w:val="0"/>
        <w:keepLines w:val="0"/>
        <w:widowControl/>
        <w:suppressLineNumbers w:val="0"/>
        <w:ind w:left="0" w:firstLine="480"/>
      </w:pPr>
      <w:r>
        <w:rPr>
          <w:rFonts w:hint="eastAsia" w:ascii="宋体" w:hAnsi="宋体" w:eastAsia="宋体" w:cs="宋体"/>
          <w:sz w:val="24"/>
          <w:szCs w:val="24"/>
        </w:rPr>
        <w:t>本设 计将消防报警主机通过消防系统接口模块接入场地监控系统，实现对机房内火灾发生情况的实时检测。消防报警主机接受由消防控制器或烟温感探测器提供的火警信号，通过数字开关量采集模块，连接到场地监控主机。当消防检测系统监测到消防报警或发生火警，画面自动切换到消防报警画面，并在相应的区域上显示预警或火警的标志，并发出多媒体报警，通知有关人员及时处理。</w:t>
      </w:r>
    </w:p>
    <w:p>
      <w:pPr>
        <w:pStyle w:val="4"/>
        <w:keepNext w:val="0"/>
        <w:keepLines w:val="0"/>
        <w:widowControl/>
        <w:suppressLineNumbers w:val="0"/>
        <w:spacing w:line="435" w:lineRule="atLeast"/>
        <w:ind w:left="0" w:firstLine="615"/>
      </w:pPr>
      <w:r>
        <w:rPr>
          <w:rFonts w:hint="default" w:ascii="Calibri" w:hAnsi="Calibri" w:cs="Calibri"/>
          <w:sz w:val="31"/>
          <w:szCs w:val="31"/>
        </w:rPr>
        <w:t> </w:t>
      </w:r>
      <w:r>
        <w:rPr>
          <w:rStyle w:val="6"/>
          <w:rFonts w:hint="eastAsia" w:ascii="宋体" w:hAnsi="宋体" w:eastAsia="宋体" w:cs="宋体"/>
          <w:b/>
          <w:sz w:val="28"/>
          <w:szCs w:val="28"/>
        </w:rPr>
        <w:t>专业技能培训服务</w:t>
      </w:r>
    </w:p>
    <w:p>
      <w:pPr>
        <w:pStyle w:val="4"/>
        <w:keepNext w:val="0"/>
        <w:keepLines w:val="0"/>
        <w:widowControl/>
        <w:suppressLineNumbers w:val="0"/>
        <w:spacing w:line="435" w:lineRule="atLeast"/>
        <w:ind w:left="0" w:firstLine="480"/>
      </w:pPr>
      <w:r>
        <w:rPr>
          <w:rFonts w:hint="eastAsia" w:ascii="宋体" w:hAnsi="宋体" w:eastAsia="宋体" w:cs="宋体"/>
          <w:sz w:val="24"/>
          <w:szCs w:val="24"/>
        </w:rPr>
        <w:t>为了确保整个系统在使用中稳定、高效率的工作，在对本工程项目工程中的系统技术特点、用户人员状况以及项目实施计划进行具体分析的基础上，针对系统的管理、维护、应用以及日常故障的处理，为不同人员提供一系列行之有效的培训实施方案。</w:t>
      </w:r>
    </w:p>
    <w:p>
      <w:pPr>
        <w:pStyle w:val="4"/>
        <w:keepNext w:val="0"/>
        <w:keepLines w:val="0"/>
        <w:widowControl/>
        <w:suppressLineNumbers w:val="0"/>
        <w:spacing w:line="435" w:lineRule="atLeast"/>
      </w:pPr>
      <w:r>
        <w:rPr>
          <w:rStyle w:val="6"/>
          <w:rFonts w:hint="eastAsia" w:ascii="宋体" w:hAnsi="宋体" w:eastAsia="宋体" w:cs="宋体"/>
          <w:b/>
          <w:sz w:val="24"/>
          <w:szCs w:val="24"/>
        </w:rPr>
        <w:t>培训目标</w:t>
      </w:r>
    </w:p>
    <w:p>
      <w:pPr>
        <w:pStyle w:val="4"/>
        <w:keepNext w:val="0"/>
        <w:keepLines w:val="0"/>
        <w:widowControl/>
        <w:suppressLineNumbers w:val="0"/>
        <w:spacing w:line="435" w:lineRule="atLeast"/>
        <w:ind w:left="0" w:firstLine="360"/>
      </w:pPr>
      <w:r>
        <w:rPr>
          <w:rFonts w:hint="eastAsia" w:ascii="宋体" w:hAnsi="宋体" w:eastAsia="宋体" w:cs="宋体"/>
          <w:sz w:val="24"/>
          <w:szCs w:val="24"/>
        </w:rPr>
        <w:t>从智能化行政服务大厅未来的使用及运行来看，项目培训需达到如下目的和目标：</w:t>
      </w:r>
    </w:p>
    <w:p>
      <w:pPr>
        <w:pStyle w:val="4"/>
        <w:keepNext w:val="0"/>
        <w:keepLines w:val="0"/>
        <w:widowControl/>
        <w:suppressLineNumbers w:val="0"/>
        <w:spacing w:line="435" w:lineRule="atLeast"/>
        <w:ind w:left="0" w:firstLine="240"/>
      </w:pPr>
      <w:r>
        <w:rPr>
          <w:rFonts w:hint="eastAsia" w:ascii="宋体" w:hAnsi="宋体" w:eastAsia="宋体" w:cs="宋体"/>
          <w:sz w:val="24"/>
          <w:szCs w:val="24"/>
        </w:rPr>
        <w:t>（1）完成知识的转移</w:t>
      </w:r>
    </w:p>
    <w:p>
      <w:pPr>
        <w:pStyle w:val="4"/>
        <w:keepNext w:val="0"/>
        <w:keepLines w:val="0"/>
        <w:widowControl/>
        <w:suppressLineNumbers w:val="0"/>
        <w:spacing w:line="435" w:lineRule="atLeast"/>
        <w:ind w:left="0" w:firstLine="360"/>
      </w:pPr>
      <w:r>
        <w:rPr>
          <w:rFonts w:hint="eastAsia" w:ascii="宋体" w:hAnsi="宋体" w:eastAsia="宋体" w:cs="宋体"/>
          <w:sz w:val="24"/>
          <w:szCs w:val="24"/>
        </w:rPr>
        <w:t>通过培训工作实现知识的转移，不仅包括系统的使用方法，同样还包括业务理念、系统运行维护方法、运营推广等满足未来业务拓展需要的各项技能与方法。</w:t>
      </w:r>
    </w:p>
    <w:p>
      <w:pPr>
        <w:pStyle w:val="4"/>
        <w:keepNext w:val="0"/>
        <w:keepLines w:val="0"/>
        <w:widowControl/>
        <w:suppressLineNumbers w:val="0"/>
        <w:spacing w:line="435" w:lineRule="atLeast"/>
        <w:ind w:left="0" w:firstLine="240"/>
      </w:pPr>
      <w:r>
        <w:rPr>
          <w:rFonts w:hint="eastAsia" w:ascii="宋体" w:hAnsi="宋体" w:eastAsia="宋体" w:cs="宋体"/>
          <w:sz w:val="24"/>
          <w:szCs w:val="24"/>
        </w:rPr>
        <w:t>（2）实现全面的应用</w:t>
      </w:r>
    </w:p>
    <w:p>
      <w:pPr>
        <w:pStyle w:val="4"/>
        <w:keepNext w:val="0"/>
        <w:keepLines w:val="0"/>
        <w:widowControl/>
        <w:suppressLineNumbers w:val="0"/>
        <w:spacing w:line="435" w:lineRule="atLeast"/>
        <w:ind w:left="0" w:firstLine="480"/>
      </w:pPr>
      <w:r>
        <w:rPr>
          <w:rFonts w:hint="eastAsia" w:ascii="宋体" w:hAnsi="宋体" w:eastAsia="宋体" w:cs="宋体"/>
          <w:sz w:val="24"/>
          <w:szCs w:val="24"/>
        </w:rPr>
        <w:t>使业务人员和福州市民均可以熟练使用相关服务，同时增强业务人员的知识储备，提高系统服务人员的整体素质。</w:t>
      </w:r>
    </w:p>
    <w:p>
      <w:pPr>
        <w:pStyle w:val="4"/>
        <w:keepNext w:val="0"/>
        <w:keepLines w:val="0"/>
        <w:widowControl/>
        <w:suppressLineNumbers w:val="0"/>
        <w:spacing w:line="435" w:lineRule="atLeast"/>
        <w:ind w:left="0" w:firstLine="240"/>
      </w:pPr>
      <w:r>
        <w:rPr>
          <w:rFonts w:hint="eastAsia" w:ascii="宋体" w:hAnsi="宋体" w:eastAsia="宋体" w:cs="宋体"/>
          <w:sz w:val="24"/>
          <w:szCs w:val="24"/>
        </w:rPr>
        <w:t>（3）支持系统的扩展</w:t>
      </w:r>
    </w:p>
    <w:p>
      <w:pPr>
        <w:pStyle w:val="4"/>
        <w:keepNext w:val="0"/>
        <w:keepLines w:val="0"/>
        <w:widowControl/>
        <w:suppressLineNumbers w:val="0"/>
        <w:spacing w:line="435" w:lineRule="atLeast"/>
        <w:ind w:left="0" w:firstLine="480"/>
      </w:pPr>
      <w:r>
        <w:rPr>
          <w:rFonts w:hint="eastAsia" w:ascii="宋体" w:hAnsi="宋体" w:eastAsia="宋体" w:cs="宋体"/>
          <w:sz w:val="24"/>
          <w:szCs w:val="24"/>
        </w:rPr>
        <w:t>通过对接入省市政务服务一体化平台进行二次开发能力的技术培训，以保证应对平台今后业务及功能的发展，使其可以在服务商不参与的情况下，独自完成部分功能的重新配置与开发。</w:t>
      </w:r>
    </w:p>
    <w:p>
      <w:pPr>
        <w:pStyle w:val="4"/>
        <w:keepNext w:val="0"/>
        <w:keepLines w:val="0"/>
        <w:widowControl/>
        <w:suppressLineNumbers w:val="0"/>
        <w:spacing w:line="435" w:lineRule="atLeast"/>
      </w:pPr>
      <w:r>
        <w:rPr>
          <w:rStyle w:val="6"/>
          <w:rFonts w:hint="eastAsia" w:ascii="宋体" w:hAnsi="宋体" w:eastAsia="宋体" w:cs="宋体"/>
          <w:b/>
          <w:sz w:val="24"/>
          <w:szCs w:val="24"/>
        </w:rPr>
        <w:t>培训对象</w:t>
      </w:r>
    </w:p>
    <w:p>
      <w:pPr>
        <w:pStyle w:val="4"/>
        <w:keepNext w:val="0"/>
        <w:keepLines w:val="0"/>
        <w:widowControl/>
        <w:suppressLineNumbers w:val="0"/>
        <w:spacing w:line="435" w:lineRule="atLeast"/>
        <w:ind w:left="0" w:firstLine="480"/>
      </w:pPr>
      <w:r>
        <w:rPr>
          <w:rFonts w:hint="eastAsia" w:ascii="宋体" w:hAnsi="宋体" w:eastAsia="宋体" w:cs="宋体"/>
          <w:sz w:val="24"/>
          <w:szCs w:val="24"/>
        </w:rPr>
        <w:t>培训面对行政服务中心不同层面的系统用户，保证使用者能独立地管理、维护和配置系统，以便整个系统能够正常、安全地运行，保证最终用户能够高效率地完成工作。</w:t>
      </w:r>
    </w:p>
    <w:p>
      <w:pPr>
        <w:pStyle w:val="4"/>
        <w:keepNext w:val="0"/>
        <w:keepLines w:val="0"/>
        <w:widowControl/>
        <w:suppressLineNumbers w:val="0"/>
        <w:spacing w:line="435" w:lineRule="atLeast"/>
        <w:ind w:left="0" w:firstLine="480"/>
      </w:pPr>
      <w:r>
        <w:rPr>
          <w:rFonts w:hint="eastAsia" w:ascii="宋体" w:hAnsi="宋体" w:eastAsia="宋体" w:cs="宋体"/>
          <w:sz w:val="24"/>
          <w:szCs w:val="24"/>
        </w:rPr>
        <w:t>（1）管理人员培训</w:t>
      </w:r>
    </w:p>
    <w:p>
      <w:pPr>
        <w:pStyle w:val="4"/>
        <w:keepNext w:val="0"/>
        <w:keepLines w:val="0"/>
        <w:widowControl/>
        <w:suppressLineNumbers w:val="0"/>
        <w:spacing w:line="435" w:lineRule="atLeast"/>
        <w:ind w:left="0" w:firstLine="480"/>
      </w:pPr>
      <w:r>
        <w:rPr>
          <w:rFonts w:hint="eastAsia" w:ascii="宋体" w:hAnsi="宋体" w:eastAsia="宋体" w:cs="宋体"/>
          <w:sz w:val="24"/>
          <w:szCs w:val="24"/>
        </w:rPr>
        <w:t>主要对管理层人员进行技术业务知识及职业道德、法规等方面的培训。</w:t>
      </w:r>
    </w:p>
    <w:p>
      <w:pPr>
        <w:pStyle w:val="4"/>
        <w:keepNext w:val="0"/>
        <w:keepLines w:val="0"/>
        <w:widowControl/>
        <w:suppressLineNumbers w:val="0"/>
        <w:spacing w:line="435" w:lineRule="atLeast"/>
        <w:ind w:left="0" w:firstLine="360"/>
      </w:pPr>
      <w:r>
        <w:rPr>
          <w:rFonts w:hint="eastAsia" w:ascii="宋体" w:hAnsi="宋体" w:eastAsia="宋体" w:cs="宋体"/>
          <w:sz w:val="24"/>
          <w:szCs w:val="24"/>
        </w:rPr>
        <w:t>（2）技术人员培训</w:t>
      </w:r>
    </w:p>
    <w:p>
      <w:pPr>
        <w:pStyle w:val="4"/>
        <w:keepNext w:val="0"/>
        <w:keepLines w:val="0"/>
        <w:widowControl/>
        <w:suppressLineNumbers w:val="0"/>
        <w:spacing w:line="435" w:lineRule="atLeast"/>
        <w:ind w:left="0" w:firstLine="480"/>
      </w:pPr>
      <w:r>
        <w:rPr>
          <w:rFonts w:hint="eastAsia" w:ascii="宋体" w:hAnsi="宋体" w:eastAsia="宋体" w:cs="宋体"/>
          <w:sz w:val="24"/>
          <w:szCs w:val="24"/>
        </w:rPr>
        <w:t>主要针对项目管理机构的技术人员进行如数据库管理、网管软件使用、安全策略配置及系统日常维护等工作的培训。通过各类培训教材，使其掌握系统的使用方法，并定期聘请领域专家不技术人员进行指导，并帮助解决具体操作等问题。</w:t>
      </w:r>
    </w:p>
    <w:p>
      <w:pPr>
        <w:pStyle w:val="4"/>
        <w:keepNext w:val="0"/>
        <w:keepLines w:val="0"/>
        <w:widowControl/>
        <w:suppressLineNumbers w:val="0"/>
        <w:spacing w:line="435" w:lineRule="atLeast"/>
        <w:ind w:left="0" w:firstLine="360"/>
      </w:pPr>
      <w:r>
        <w:rPr>
          <w:rFonts w:hint="eastAsia" w:ascii="宋体" w:hAnsi="宋体" w:eastAsia="宋体" w:cs="宋体"/>
          <w:sz w:val="24"/>
          <w:szCs w:val="24"/>
        </w:rPr>
        <w:t>（3）用户使用培训</w:t>
      </w:r>
    </w:p>
    <w:p>
      <w:pPr>
        <w:pStyle w:val="4"/>
        <w:keepNext w:val="0"/>
        <w:keepLines w:val="0"/>
        <w:widowControl/>
        <w:suppressLineNumbers w:val="0"/>
        <w:spacing w:line="435" w:lineRule="atLeast"/>
        <w:ind w:left="0" w:firstLine="480"/>
      </w:pPr>
      <w:r>
        <w:rPr>
          <w:rFonts w:hint="eastAsia" w:ascii="宋体" w:hAnsi="宋体" w:eastAsia="宋体" w:cs="宋体"/>
          <w:sz w:val="24"/>
          <w:szCs w:val="24"/>
        </w:rPr>
        <w:t>向业务操作人员提供系统使用培训，使得业务人员均可以熟练使用该系统，增强业务人员的知识储备，提高整个使用应用系统的业务人员的业务处理能力。</w:t>
      </w:r>
    </w:p>
    <w:p>
      <w:pPr>
        <w:pStyle w:val="4"/>
        <w:keepNext w:val="0"/>
        <w:keepLines w:val="0"/>
        <w:widowControl/>
        <w:suppressLineNumbers w:val="0"/>
        <w:spacing w:line="435" w:lineRule="atLeast"/>
      </w:pPr>
      <w:r>
        <w:rPr>
          <w:rStyle w:val="6"/>
          <w:rFonts w:hint="eastAsia" w:ascii="宋体" w:hAnsi="宋体" w:eastAsia="宋体" w:cs="宋体"/>
          <w:b/>
          <w:sz w:val="24"/>
          <w:szCs w:val="24"/>
        </w:rPr>
        <w:t>培训课程</w:t>
      </w:r>
    </w:p>
    <w:p>
      <w:pPr>
        <w:pStyle w:val="4"/>
        <w:keepNext w:val="0"/>
        <w:keepLines w:val="0"/>
        <w:widowControl/>
        <w:suppressLineNumbers w:val="0"/>
        <w:spacing w:line="435" w:lineRule="atLeast"/>
      </w:pPr>
      <w:r>
        <w:rPr>
          <w:rFonts w:hint="eastAsia" w:ascii="宋体" w:hAnsi="宋体" w:eastAsia="宋体" w:cs="宋体"/>
          <w:sz w:val="24"/>
          <w:szCs w:val="24"/>
        </w:rPr>
        <w:t>培训课程设 计是对本项目所涉及相关培训课程的大纲规划。</w:t>
      </w:r>
      <w:r>
        <w:rPr>
          <w:rStyle w:val="6"/>
          <w:rFonts w:hint="eastAsia" w:ascii="宋体" w:hAnsi="宋体" w:eastAsia="宋体" w:cs="宋体"/>
          <w:b/>
          <w:sz w:val="24"/>
          <w:szCs w:val="24"/>
        </w:rPr>
        <w:br w:type="textWrapping"/>
      </w:r>
      <w:r>
        <w:rPr>
          <w:rStyle w:val="6"/>
          <w:rFonts w:hint="eastAsia" w:ascii="宋体" w:hAnsi="宋体" w:eastAsia="宋体" w:cs="宋体"/>
          <w:b/>
          <w:sz w:val="24"/>
          <w:szCs w:val="24"/>
        </w:rPr>
        <w:t>培训课程总体规划</w:t>
      </w:r>
    </w:p>
    <w:tbl>
      <w:tblPr>
        <w:tblStyle w:val="9"/>
        <w:tblW w:w="9314" w:type="dxa"/>
        <w:tblCellSpacing w:w="15"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15" w:type="dxa"/>
          <w:left w:w="15" w:type="dxa"/>
          <w:bottom w:w="15" w:type="dxa"/>
          <w:right w:w="15" w:type="dxa"/>
        </w:tblCellMar>
      </w:tblPr>
      <w:tblGrid>
        <w:gridCol w:w="851"/>
        <w:gridCol w:w="1428"/>
        <w:gridCol w:w="2288"/>
        <w:gridCol w:w="4747"/>
      </w:tblGrid>
      <w:tr>
        <w:trPr>
          <w:tblCellSpacing w:w="15" w:type="dxa"/>
        </w:trPr>
        <w:tc>
          <w:tcPr>
            <w:tcW w:w="806"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top"/>
          </w:tcPr>
          <w:p>
            <w:pPr>
              <w:pStyle w:val="4"/>
              <w:keepNext w:val="0"/>
              <w:keepLines w:val="0"/>
              <w:widowControl/>
              <w:suppressLineNumbers w:val="0"/>
              <w:spacing w:line="435" w:lineRule="atLeast"/>
            </w:pPr>
            <w:r>
              <w:rPr>
                <w:rFonts w:hint="eastAsia" w:ascii="宋体" w:hAnsi="宋体" w:eastAsia="宋体" w:cs="宋体"/>
                <w:sz w:val="24"/>
                <w:szCs w:val="24"/>
              </w:rPr>
              <w:t>序号</w:t>
            </w:r>
          </w:p>
        </w:tc>
        <w:tc>
          <w:tcPr>
            <w:tcW w:w="3686" w:type="dxa"/>
            <w:gridSpan w:val="2"/>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top"/>
          </w:tcPr>
          <w:p>
            <w:pPr>
              <w:pStyle w:val="4"/>
              <w:keepNext w:val="0"/>
              <w:keepLines w:val="0"/>
              <w:widowControl/>
              <w:suppressLineNumbers w:val="0"/>
              <w:spacing w:line="435" w:lineRule="atLeast"/>
            </w:pPr>
            <w:r>
              <w:rPr>
                <w:rFonts w:hint="eastAsia" w:ascii="宋体" w:hAnsi="宋体" w:eastAsia="宋体" w:cs="宋体"/>
                <w:sz w:val="24"/>
                <w:szCs w:val="24"/>
              </w:rPr>
              <w:t>类别</w:t>
            </w:r>
          </w:p>
        </w:tc>
        <w:tc>
          <w:tcPr>
            <w:tcW w:w="4702"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top"/>
          </w:tcPr>
          <w:p>
            <w:pPr>
              <w:pStyle w:val="4"/>
              <w:keepNext w:val="0"/>
              <w:keepLines w:val="0"/>
              <w:widowControl/>
              <w:suppressLineNumbers w:val="0"/>
              <w:spacing w:line="435" w:lineRule="atLeast"/>
            </w:pPr>
            <w:r>
              <w:rPr>
                <w:rFonts w:hint="eastAsia" w:ascii="宋体" w:hAnsi="宋体" w:eastAsia="宋体" w:cs="宋体"/>
                <w:sz w:val="24"/>
                <w:szCs w:val="24"/>
              </w:rPr>
              <w:t>课程</w:t>
            </w:r>
          </w:p>
        </w:tc>
      </w:tr>
      <w:tr>
        <w:trPr>
          <w:tblCellSpacing w:w="15" w:type="dxa"/>
        </w:trPr>
        <w:tc>
          <w:tcPr>
            <w:tcW w:w="806" w:type="dxa"/>
            <w:vMerge w:val="restart"/>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top"/>
          </w:tcPr>
          <w:p>
            <w:pPr>
              <w:pStyle w:val="4"/>
              <w:keepNext w:val="0"/>
              <w:keepLines w:val="0"/>
              <w:widowControl/>
              <w:suppressLineNumbers w:val="0"/>
              <w:spacing w:line="435" w:lineRule="atLeast"/>
            </w:pPr>
            <w:r>
              <w:rPr>
                <w:rFonts w:hint="eastAsia" w:ascii="宋体" w:hAnsi="宋体" w:eastAsia="宋体" w:cs="宋体"/>
                <w:sz w:val="24"/>
                <w:szCs w:val="24"/>
              </w:rPr>
              <w:t>一</w:t>
            </w:r>
          </w:p>
        </w:tc>
        <w:tc>
          <w:tcPr>
            <w:tcW w:w="1398" w:type="dxa"/>
            <w:vMerge w:val="restar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widowControl/>
              <w:suppressLineNumbers w:val="0"/>
              <w:spacing w:line="435" w:lineRule="atLeast"/>
              <w:jc w:val="center"/>
            </w:pPr>
            <w:r>
              <w:rPr>
                <w:rFonts w:hint="eastAsia" w:ascii="宋体" w:hAnsi="宋体" w:eastAsia="宋体" w:cs="宋体"/>
                <w:sz w:val="24"/>
                <w:szCs w:val="24"/>
              </w:rPr>
              <w:t>总体培训</w:t>
            </w:r>
          </w:p>
        </w:tc>
        <w:tc>
          <w:tcPr>
            <w:tcW w:w="2258" w:type="dxa"/>
            <w:vMerge w:val="restar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widowControl/>
              <w:suppressLineNumbers w:val="0"/>
              <w:spacing w:line="435" w:lineRule="atLeast"/>
              <w:jc w:val="center"/>
            </w:pPr>
            <w:r>
              <w:rPr>
                <w:rFonts w:hint="eastAsia" w:ascii="宋体" w:hAnsi="宋体" w:eastAsia="宋体" w:cs="宋体"/>
                <w:sz w:val="24"/>
                <w:szCs w:val="24"/>
              </w:rPr>
              <w:t>服务方案培训</w:t>
            </w:r>
          </w:p>
        </w:tc>
        <w:tc>
          <w:tcPr>
            <w:tcW w:w="4702"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top"/>
          </w:tcPr>
          <w:p>
            <w:pPr>
              <w:pStyle w:val="4"/>
              <w:keepNext w:val="0"/>
              <w:keepLines w:val="0"/>
              <w:widowControl/>
              <w:suppressLineNumbers w:val="0"/>
              <w:spacing w:line="435" w:lineRule="atLeast"/>
            </w:pPr>
            <w:r>
              <w:rPr>
                <w:rFonts w:hint="eastAsia" w:ascii="宋体" w:hAnsi="宋体" w:eastAsia="宋体" w:cs="宋体"/>
                <w:sz w:val="24"/>
                <w:szCs w:val="24"/>
              </w:rPr>
              <w:t>总体服务方案培训</w:t>
            </w:r>
          </w:p>
        </w:tc>
      </w:tr>
      <w:tr>
        <w:trPr>
          <w:tblCellSpacing w:w="15" w:type="dxa"/>
        </w:trPr>
        <w:tc>
          <w:tcPr>
            <w:tcW w:w="806"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top"/>
          </w:tcPr>
          <w:p>
            <w:pPr>
              <w:rPr>
                <w:rFonts w:hint="eastAsia" w:ascii="宋体"/>
                <w:sz w:val="24"/>
                <w:szCs w:val="24"/>
              </w:rPr>
            </w:pPr>
          </w:p>
        </w:tc>
        <w:tc>
          <w:tcPr>
            <w:tcW w:w="1398"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2258"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4702"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top"/>
          </w:tcPr>
          <w:p>
            <w:pPr>
              <w:pStyle w:val="4"/>
              <w:keepNext w:val="0"/>
              <w:keepLines w:val="0"/>
              <w:widowControl/>
              <w:suppressLineNumbers w:val="0"/>
              <w:spacing w:line="435" w:lineRule="atLeast"/>
            </w:pPr>
            <w:r>
              <w:rPr>
                <w:rFonts w:hint="eastAsia" w:ascii="宋体" w:hAnsi="宋体" w:eastAsia="宋体" w:cs="宋体"/>
                <w:sz w:val="24"/>
                <w:szCs w:val="24"/>
              </w:rPr>
              <w:t>工作方案培训</w:t>
            </w:r>
          </w:p>
        </w:tc>
      </w:tr>
      <w:tr>
        <w:trPr>
          <w:tblCellSpacing w:w="15" w:type="dxa"/>
        </w:trPr>
        <w:tc>
          <w:tcPr>
            <w:tcW w:w="806"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top"/>
          </w:tcPr>
          <w:p>
            <w:pPr>
              <w:rPr>
                <w:rFonts w:hint="eastAsia" w:ascii="宋体"/>
                <w:sz w:val="24"/>
                <w:szCs w:val="24"/>
              </w:rPr>
            </w:pPr>
          </w:p>
        </w:tc>
        <w:tc>
          <w:tcPr>
            <w:tcW w:w="1398"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2258"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4702"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top"/>
          </w:tcPr>
          <w:p>
            <w:pPr>
              <w:pStyle w:val="4"/>
              <w:keepNext w:val="0"/>
              <w:keepLines w:val="0"/>
              <w:widowControl/>
              <w:suppressLineNumbers w:val="0"/>
              <w:spacing w:line="435" w:lineRule="atLeast"/>
            </w:pPr>
            <w:r>
              <w:rPr>
                <w:rFonts w:hint="eastAsia" w:ascii="宋体" w:hAnsi="宋体" w:eastAsia="宋体" w:cs="宋体"/>
                <w:sz w:val="24"/>
                <w:szCs w:val="24"/>
              </w:rPr>
              <w:t>服务内容培训</w:t>
            </w:r>
          </w:p>
        </w:tc>
      </w:tr>
      <w:tr>
        <w:trPr>
          <w:tblCellSpacing w:w="15" w:type="dxa"/>
        </w:trPr>
        <w:tc>
          <w:tcPr>
            <w:tcW w:w="806"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top"/>
          </w:tcPr>
          <w:p>
            <w:pPr>
              <w:rPr>
                <w:rFonts w:hint="eastAsia" w:ascii="宋体"/>
                <w:sz w:val="24"/>
                <w:szCs w:val="24"/>
              </w:rPr>
            </w:pPr>
          </w:p>
        </w:tc>
        <w:tc>
          <w:tcPr>
            <w:tcW w:w="1398"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2258" w:type="dxa"/>
            <w:vMerge w:val="restar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widowControl/>
              <w:suppressLineNumbers w:val="0"/>
              <w:spacing w:line="435" w:lineRule="atLeast"/>
              <w:jc w:val="center"/>
            </w:pPr>
            <w:r>
              <w:rPr>
                <w:rFonts w:hint="eastAsia" w:ascii="宋体" w:hAnsi="宋体" w:eastAsia="宋体" w:cs="宋体"/>
                <w:sz w:val="24"/>
                <w:szCs w:val="24"/>
              </w:rPr>
              <w:t>标准规范培训</w:t>
            </w:r>
          </w:p>
        </w:tc>
        <w:tc>
          <w:tcPr>
            <w:tcW w:w="4702"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top"/>
          </w:tcPr>
          <w:p>
            <w:pPr>
              <w:pStyle w:val="4"/>
              <w:keepNext w:val="0"/>
              <w:keepLines w:val="0"/>
              <w:widowControl/>
              <w:suppressLineNumbers w:val="0"/>
              <w:spacing w:line="435" w:lineRule="atLeast"/>
            </w:pPr>
            <w:r>
              <w:rPr>
                <w:rFonts w:hint="eastAsia" w:ascii="宋体" w:hAnsi="宋体" w:eastAsia="宋体" w:cs="宋体"/>
                <w:sz w:val="24"/>
                <w:szCs w:val="24"/>
              </w:rPr>
              <w:t>管理类标准规范培训</w:t>
            </w:r>
          </w:p>
        </w:tc>
      </w:tr>
      <w:tr>
        <w:trPr>
          <w:tblCellSpacing w:w="15" w:type="dxa"/>
        </w:trPr>
        <w:tc>
          <w:tcPr>
            <w:tcW w:w="806"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top"/>
          </w:tcPr>
          <w:p>
            <w:pPr>
              <w:rPr>
                <w:rFonts w:hint="eastAsia" w:ascii="宋体"/>
                <w:sz w:val="24"/>
                <w:szCs w:val="24"/>
              </w:rPr>
            </w:pPr>
          </w:p>
        </w:tc>
        <w:tc>
          <w:tcPr>
            <w:tcW w:w="1398"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2258"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4702"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top"/>
          </w:tcPr>
          <w:p>
            <w:pPr>
              <w:pStyle w:val="4"/>
              <w:keepNext w:val="0"/>
              <w:keepLines w:val="0"/>
              <w:widowControl/>
              <w:suppressLineNumbers w:val="0"/>
              <w:spacing w:line="435" w:lineRule="atLeast"/>
            </w:pPr>
            <w:r>
              <w:rPr>
                <w:rFonts w:hint="eastAsia" w:ascii="宋体" w:hAnsi="宋体" w:eastAsia="宋体" w:cs="宋体"/>
                <w:sz w:val="24"/>
                <w:szCs w:val="24"/>
              </w:rPr>
              <w:t>技术类标准规范培训</w:t>
            </w:r>
          </w:p>
        </w:tc>
      </w:tr>
      <w:tr>
        <w:trPr>
          <w:tblCellSpacing w:w="15" w:type="dxa"/>
        </w:trPr>
        <w:tc>
          <w:tcPr>
            <w:tcW w:w="806"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top"/>
          </w:tcPr>
          <w:p>
            <w:pPr>
              <w:rPr>
                <w:rFonts w:hint="eastAsia" w:ascii="宋体"/>
                <w:sz w:val="24"/>
                <w:szCs w:val="24"/>
              </w:rPr>
            </w:pPr>
          </w:p>
        </w:tc>
        <w:tc>
          <w:tcPr>
            <w:tcW w:w="1398"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2258"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4702"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top"/>
          </w:tcPr>
          <w:p>
            <w:pPr>
              <w:pStyle w:val="4"/>
              <w:keepNext w:val="0"/>
              <w:keepLines w:val="0"/>
              <w:widowControl/>
              <w:suppressLineNumbers w:val="0"/>
              <w:spacing w:line="435" w:lineRule="atLeast"/>
            </w:pPr>
            <w:r>
              <w:rPr>
                <w:rFonts w:hint="eastAsia" w:ascii="宋体" w:hAnsi="宋体" w:eastAsia="宋体" w:cs="宋体"/>
                <w:sz w:val="24"/>
                <w:szCs w:val="24"/>
              </w:rPr>
              <w:t>应用类标准规范培训</w:t>
            </w:r>
          </w:p>
        </w:tc>
      </w:tr>
      <w:tr>
        <w:trPr>
          <w:tblCellSpacing w:w="15" w:type="dxa"/>
        </w:trPr>
        <w:tc>
          <w:tcPr>
            <w:tcW w:w="806"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widowControl/>
              <w:suppressLineNumbers w:val="0"/>
              <w:spacing w:line="435" w:lineRule="atLeast"/>
              <w:jc w:val="center"/>
            </w:pPr>
            <w:r>
              <w:rPr>
                <w:rFonts w:hint="eastAsia" w:ascii="宋体" w:hAnsi="宋体" w:eastAsia="宋体" w:cs="宋体"/>
                <w:sz w:val="24"/>
                <w:szCs w:val="24"/>
              </w:rPr>
              <w:t>二</w:t>
            </w:r>
          </w:p>
        </w:tc>
        <w:tc>
          <w:tcPr>
            <w:tcW w:w="1398"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widowControl/>
              <w:suppressLineNumbers w:val="0"/>
              <w:spacing w:line="435" w:lineRule="atLeast"/>
              <w:jc w:val="center"/>
            </w:pPr>
            <w:r>
              <w:rPr>
                <w:rFonts w:hint="eastAsia" w:ascii="宋体" w:hAnsi="宋体" w:eastAsia="宋体" w:cs="宋体"/>
                <w:sz w:val="24"/>
                <w:szCs w:val="24"/>
              </w:rPr>
              <w:t>管理培训</w:t>
            </w:r>
          </w:p>
        </w:tc>
        <w:tc>
          <w:tcPr>
            <w:tcW w:w="2258"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widowControl/>
              <w:suppressLineNumbers w:val="0"/>
              <w:spacing w:line="435" w:lineRule="atLeast"/>
              <w:jc w:val="center"/>
            </w:pPr>
            <w:r>
              <w:rPr>
                <w:rFonts w:hint="eastAsia" w:ascii="宋体" w:hAnsi="宋体" w:eastAsia="宋体" w:cs="宋体"/>
                <w:sz w:val="24"/>
                <w:szCs w:val="24"/>
              </w:rPr>
              <w:t>管理办法培训</w:t>
            </w:r>
          </w:p>
        </w:tc>
        <w:tc>
          <w:tcPr>
            <w:tcW w:w="4702"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top"/>
          </w:tcPr>
          <w:p>
            <w:pPr>
              <w:pStyle w:val="4"/>
              <w:keepNext w:val="0"/>
              <w:keepLines w:val="0"/>
              <w:widowControl/>
              <w:suppressLineNumbers w:val="0"/>
              <w:spacing w:line="435" w:lineRule="atLeast"/>
            </w:pPr>
            <w:r>
              <w:rPr>
                <w:rFonts w:hint="eastAsia" w:ascii="宋体" w:hAnsi="宋体" w:eastAsia="宋体" w:cs="宋体"/>
                <w:sz w:val="24"/>
                <w:szCs w:val="24"/>
              </w:rPr>
              <w:t>智能化高新区行政服务大厅管理办法培训</w:t>
            </w:r>
          </w:p>
        </w:tc>
      </w:tr>
      <w:tr>
        <w:trPr>
          <w:tblCellSpacing w:w="15" w:type="dxa"/>
        </w:trPr>
        <w:tc>
          <w:tcPr>
            <w:tcW w:w="806" w:type="dxa"/>
            <w:vMerge w:val="restart"/>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widowControl/>
              <w:suppressLineNumbers w:val="0"/>
              <w:spacing w:line="435" w:lineRule="atLeast"/>
              <w:jc w:val="center"/>
            </w:pPr>
            <w:r>
              <w:rPr>
                <w:rFonts w:hint="eastAsia" w:ascii="宋体" w:hAnsi="宋体" w:eastAsia="宋体" w:cs="宋体"/>
                <w:sz w:val="24"/>
                <w:szCs w:val="24"/>
              </w:rPr>
              <w:t>三</w:t>
            </w:r>
          </w:p>
        </w:tc>
        <w:tc>
          <w:tcPr>
            <w:tcW w:w="1398" w:type="dxa"/>
            <w:vMerge w:val="restar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widowControl/>
              <w:suppressLineNumbers w:val="0"/>
              <w:spacing w:line="435" w:lineRule="atLeast"/>
              <w:jc w:val="center"/>
            </w:pPr>
            <w:r>
              <w:rPr>
                <w:rFonts w:hint="eastAsia" w:ascii="宋体" w:hAnsi="宋体" w:eastAsia="宋体" w:cs="宋体"/>
                <w:sz w:val="24"/>
                <w:szCs w:val="24"/>
              </w:rPr>
              <w:t>技术培训</w:t>
            </w:r>
          </w:p>
        </w:tc>
        <w:tc>
          <w:tcPr>
            <w:tcW w:w="2258"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widowControl/>
              <w:suppressLineNumbers w:val="0"/>
              <w:spacing w:line="435" w:lineRule="atLeast"/>
              <w:jc w:val="center"/>
            </w:pPr>
            <w:r>
              <w:rPr>
                <w:rFonts w:hint="eastAsia" w:ascii="宋体" w:hAnsi="宋体" w:eastAsia="宋体" w:cs="宋体"/>
                <w:sz w:val="24"/>
                <w:szCs w:val="24"/>
              </w:rPr>
              <w:t>平台培训</w:t>
            </w:r>
          </w:p>
        </w:tc>
        <w:tc>
          <w:tcPr>
            <w:tcW w:w="4702"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top"/>
          </w:tcPr>
          <w:p>
            <w:pPr>
              <w:pStyle w:val="4"/>
              <w:keepNext w:val="0"/>
              <w:keepLines w:val="0"/>
              <w:widowControl/>
              <w:suppressLineNumbers w:val="0"/>
              <w:spacing w:line="435" w:lineRule="atLeast"/>
            </w:pPr>
            <w:r>
              <w:rPr>
                <w:rFonts w:hint="eastAsia" w:ascii="宋体" w:hAnsi="宋体" w:eastAsia="宋体" w:cs="宋体"/>
                <w:sz w:val="24"/>
                <w:szCs w:val="24"/>
              </w:rPr>
              <w:t>智能化高新区行政服务大厅对接培训</w:t>
            </w:r>
          </w:p>
        </w:tc>
      </w:tr>
      <w:tr>
        <w:trPr>
          <w:tblCellSpacing w:w="15" w:type="dxa"/>
        </w:trPr>
        <w:tc>
          <w:tcPr>
            <w:tcW w:w="806"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1398"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2258"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widowControl/>
              <w:suppressLineNumbers w:val="0"/>
              <w:spacing w:line="435" w:lineRule="atLeast"/>
              <w:jc w:val="center"/>
            </w:pPr>
            <w:r>
              <w:rPr>
                <w:rFonts w:hint="eastAsia" w:ascii="宋体" w:hAnsi="宋体" w:eastAsia="宋体" w:cs="宋体"/>
                <w:sz w:val="24"/>
                <w:szCs w:val="24"/>
              </w:rPr>
              <w:t>运行维护培训</w:t>
            </w:r>
          </w:p>
        </w:tc>
        <w:tc>
          <w:tcPr>
            <w:tcW w:w="4702"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top"/>
          </w:tcPr>
          <w:p>
            <w:pPr>
              <w:pStyle w:val="4"/>
              <w:keepNext w:val="0"/>
              <w:keepLines w:val="0"/>
              <w:widowControl/>
              <w:suppressLineNumbers w:val="0"/>
              <w:spacing w:line="435" w:lineRule="atLeast"/>
            </w:pPr>
            <w:r>
              <w:rPr>
                <w:rFonts w:hint="eastAsia" w:ascii="宋体" w:hAnsi="宋体" w:eastAsia="宋体" w:cs="宋体"/>
                <w:sz w:val="24"/>
                <w:szCs w:val="24"/>
              </w:rPr>
              <w:t>智能化高新区行政服务大厅维护培训</w:t>
            </w:r>
          </w:p>
        </w:tc>
      </w:tr>
      <w:tr>
        <w:trPr>
          <w:tblCellSpacing w:w="15" w:type="dxa"/>
        </w:trPr>
        <w:tc>
          <w:tcPr>
            <w:tcW w:w="806"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1398"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2258"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widowControl/>
              <w:suppressLineNumbers w:val="0"/>
              <w:spacing w:line="435" w:lineRule="atLeast"/>
              <w:jc w:val="center"/>
            </w:pPr>
            <w:r>
              <w:rPr>
                <w:rFonts w:hint="eastAsia" w:ascii="宋体" w:hAnsi="宋体" w:eastAsia="宋体" w:cs="宋体"/>
                <w:sz w:val="24"/>
                <w:szCs w:val="24"/>
              </w:rPr>
              <w:t>安全保障培训</w:t>
            </w:r>
          </w:p>
        </w:tc>
        <w:tc>
          <w:tcPr>
            <w:tcW w:w="4702"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top"/>
          </w:tcPr>
          <w:p>
            <w:pPr>
              <w:pStyle w:val="4"/>
              <w:keepNext w:val="0"/>
              <w:keepLines w:val="0"/>
              <w:widowControl/>
              <w:suppressLineNumbers w:val="0"/>
              <w:spacing w:line="435" w:lineRule="atLeast"/>
            </w:pPr>
            <w:r>
              <w:rPr>
                <w:rFonts w:hint="eastAsia" w:ascii="宋体" w:hAnsi="宋体" w:eastAsia="宋体" w:cs="宋体"/>
                <w:sz w:val="24"/>
                <w:szCs w:val="24"/>
              </w:rPr>
              <w:t>智能化高新区行政服务大厅安全保障培训</w:t>
            </w:r>
          </w:p>
        </w:tc>
      </w:tr>
      <w:tr>
        <w:trPr>
          <w:tblCellSpacing w:w="15" w:type="dxa"/>
        </w:trPr>
        <w:tc>
          <w:tcPr>
            <w:tcW w:w="806" w:type="dxa"/>
            <w:vMerge w:val="restart"/>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widowControl/>
              <w:suppressLineNumbers w:val="0"/>
              <w:spacing w:line="435" w:lineRule="atLeast"/>
              <w:jc w:val="center"/>
            </w:pPr>
            <w:r>
              <w:rPr>
                <w:rFonts w:hint="eastAsia" w:ascii="宋体" w:hAnsi="宋体" w:eastAsia="宋体" w:cs="宋体"/>
                <w:sz w:val="24"/>
                <w:szCs w:val="24"/>
              </w:rPr>
              <w:t>四</w:t>
            </w:r>
          </w:p>
        </w:tc>
        <w:tc>
          <w:tcPr>
            <w:tcW w:w="1398" w:type="dxa"/>
            <w:vMerge w:val="restar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widowControl/>
              <w:suppressLineNumbers w:val="0"/>
              <w:spacing w:line="435" w:lineRule="atLeast"/>
              <w:jc w:val="center"/>
            </w:pPr>
            <w:r>
              <w:rPr>
                <w:rFonts w:hint="eastAsia" w:ascii="宋体" w:hAnsi="宋体" w:eastAsia="宋体" w:cs="宋体"/>
                <w:sz w:val="24"/>
                <w:szCs w:val="24"/>
              </w:rPr>
              <w:t>应用培训</w:t>
            </w:r>
          </w:p>
        </w:tc>
        <w:tc>
          <w:tcPr>
            <w:tcW w:w="2258"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widowControl/>
              <w:suppressLineNumbers w:val="0"/>
              <w:spacing w:line="435" w:lineRule="atLeast"/>
              <w:jc w:val="center"/>
            </w:pPr>
            <w:r>
              <w:rPr>
                <w:rFonts w:hint="eastAsia" w:ascii="宋体" w:hAnsi="宋体" w:eastAsia="宋体" w:cs="宋体"/>
                <w:sz w:val="24"/>
                <w:szCs w:val="24"/>
              </w:rPr>
              <w:t>服务端应用培训</w:t>
            </w:r>
          </w:p>
        </w:tc>
        <w:tc>
          <w:tcPr>
            <w:tcW w:w="4702"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top"/>
          </w:tcPr>
          <w:p>
            <w:pPr>
              <w:pStyle w:val="4"/>
              <w:keepNext w:val="0"/>
              <w:keepLines w:val="0"/>
              <w:widowControl/>
              <w:suppressLineNumbers w:val="0"/>
              <w:spacing w:line="435" w:lineRule="atLeast"/>
            </w:pPr>
            <w:r>
              <w:rPr>
                <w:rFonts w:hint="eastAsia" w:ascii="宋体" w:hAnsi="宋体" w:eastAsia="宋体" w:cs="宋体"/>
                <w:sz w:val="24"/>
                <w:szCs w:val="24"/>
              </w:rPr>
              <w:t>智能化高新区行政服务大厅服务端应用培训</w:t>
            </w:r>
          </w:p>
        </w:tc>
      </w:tr>
      <w:tr>
        <w:trPr>
          <w:tblCellSpacing w:w="15" w:type="dxa"/>
        </w:trPr>
        <w:tc>
          <w:tcPr>
            <w:tcW w:w="806"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1398"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2258"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widowControl/>
              <w:suppressLineNumbers w:val="0"/>
              <w:spacing w:line="435" w:lineRule="atLeast"/>
              <w:jc w:val="center"/>
            </w:pPr>
            <w:r>
              <w:rPr>
                <w:rFonts w:hint="eastAsia" w:ascii="宋体" w:hAnsi="宋体" w:eastAsia="宋体" w:cs="宋体"/>
                <w:sz w:val="24"/>
                <w:szCs w:val="24"/>
              </w:rPr>
              <w:t>应用端应用培训</w:t>
            </w:r>
          </w:p>
        </w:tc>
        <w:tc>
          <w:tcPr>
            <w:tcW w:w="4702"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top"/>
          </w:tcPr>
          <w:p>
            <w:pPr>
              <w:pStyle w:val="4"/>
              <w:keepNext w:val="0"/>
              <w:keepLines w:val="0"/>
              <w:widowControl/>
              <w:suppressLineNumbers w:val="0"/>
              <w:spacing w:line="435" w:lineRule="atLeast"/>
            </w:pPr>
            <w:r>
              <w:rPr>
                <w:rFonts w:hint="eastAsia" w:ascii="宋体" w:hAnsi="宋体" w:eastAsia="宋体" w:cs="宋体"/>
                <w:sz w:val="24"/>
                <w:szCs w:val="24"/>
              </w:rPr>
              <w:t>智能化高新区行政服务大厅应用培训</w:t>
            </w:r>
          </w:p>
        </w:tc>
      </w:tr>
      <w:tr>
        <w:trPr>
          <w:tblCellSpacing w:w="15" w:type="dxa"/>
        </w:trPr>
        <w:tc>
          <w:tcPr>
            <w:tcW w:w="806"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widowControl/>
              <w:suppressLineNumbers w:val="0"/>
              <w:spacing w:line="435" w:lineRule="atLeast"/>
              <w:jc w:val="center"/>
            </w:pPr>
            <w:r>
              <w:rPr>
                <w:rFonts w:hint="eastAsia" w:ascii="宋体" w:hAnsi="宋体" w:eastAsia="宋体" w:cs="宋体"/>
                <w:sz w:val="24"/>
                <w:szCs w:val="24"/>
              </w:rPr>
              <w:t>五</w:t>
            </w:r>
          </w:p>
        </w:tc>
        <w:tc>
          <w:tcPr>
            <w:tcW w:w="1398"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widowControl/>
              <w:suppressLineNumbers w:val="0"/>
              <w:spacing w:line="435" w:lineRule="atLeast"/>
              <w:jc w:val="center"/>
            </w:pPr>
            <w:r>
              <w:rPr>
                <w:rFonts w:hint="eastAsia" w:ascii="宋体" w:hAnsi="宋体" w:eastAsia="宋体" w:cs="宋体"/>
                <w:sz w:val="24"/>
                <w:szCs w:val="24"/>
              </w:rPr>
              <w:t>其他培训</w:t>
            </w:r>
          </w:p>
        </w:tc>
        <w:tc>
          <w:tcPr>
            <w:tcW w:w="2258"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widowControl/>
              <w:suppressLineNumbers w:val="0"/>
              <w:spacing w:line="435" w:lineRule="atLeast"/>
              <w:jc w:val="center"/>
            </w:pPr>
            <w:r>
              <w:rPr>
                <w:rFonts w:hint="eastAsia" w:ascii="宋体" w:hAnsi="宋体" w:eastAsia="宋体" w:cs="宋体"/>
                <w:sz w:val="24"/>
                <w:szCs w:val="24"/>
              </w:rPr>
              <w:t>运营推广培训</w:t>
            </w:r>
          </w:p>
        </w:tc>
        <w:tc>
          <w:tcPr>
            <w:tcW w:w="4702"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top"/>
          </w:tcPr>
          <w:p>
            <w:pPr>
              <w:pStyle w:val="4"/>
              <w:keepNext w:val="0"/>
              <w:keepLines w:val="0"/>
              <w:widowControl/>
              <w:suppressLineNumbers w:val="0"/>
              <w:spacing w:line="435" w:lineRule="atLeast"/>
            </w:pPr>
            <w:r>
              <w:rPr>
                <w:rFonts w:hint="eastAsia" w:ascii="宋体" w:hAnsi="宋体" w:eastAsia="宋体" w:cs="宋体"/>
                <w:sz w:val="24"/>
                <w:szCs w:val="24"/>
              </w:rPr>
              <w:t>智能化高新区行政服务大厅运营推广培训</w:t>
            </w:r>
          </w:p>
        </w:tc>
      </w:tr>
    </w:tbl>
    <w:p>
      <w:pPr>
        <w:pStyle w:val="4"/>
        <w:keepNext w:val="0"/>
        <w:keepLines w:val="0"/>
        <w:widowControl/>
        <w:suppressLineNumbers w:val="0"/>
        <w:spacing w:line="435" w:lineRule="atLeast"/>
      </w:pPr>
      <w:r>
        <w:rPr>
          <w:rStyle w:val="6"/>
          <w:rFonts w:hint="eastAsia" w:ascii="宋体" w:hAnsi="宋体" w:eastAsia="宋体" w:cs="宋体"/>
          <w:b/>
          <w:sz w:val="24"/>
          <w:szCs w:val="24"/>
        </w:rPr>
        <w:t>培训方式</w:t>
      </w:r>
    </w:p>
    <w:p>
      <w:pPr>
        <w:pStyle w:val="4"/>
        <w:keepNext w:val="0"/>
        <w:keepLines w:val="0"/>
        <w:widowControl/>
        <w:suppressLineNumbers w:val="0"/>
        <w:spacing w:line="435" w:lineRule="atLeast"/>
        <w:ind w:left="0" w:firstLine="480"/>
      </w:pPr>
      <w:r>
        <w:rPr>
          <w:rFonts w:hint="eastAsia" w:ascii="宋体" w:hAnsi="宋体" w:eastAsia="宋体" w:cs="宋体"/>
          <w:sz w:val="24"/>
          <w:szCs w:val="24"/>
        </w:rPr>
        <w:t>根据具体培训内容来选择培训场地</w:t>
      </w:r>
    </w:p>
    <w:p>
      <w:pPr>
        <w:pStyle w:val="4"/>
        <w:keepNext w:val="0"/>
        <w:keepLines w:val="0"/>
        <w:widowControl/>
        <w:suppressLineNumbers w:val="0"/>
        <w:spacing w:line="435" w:lineRule="atLeast"/>
        <w:ind w:left="0" w:firstLine="360"/>
      </w:pPr>
      <w:r>
        <w:rPr>
          <w:rFonts w:hint="eastAsia" w:ascii="宋体" w:hAnsi="宋体" w:eastAsia="宋体" w:cs="宋体"/>
          <w:sz w:val="24"/>
          <w:szCs w:val="24"/>
        </w:rPr>
        <w:t>（1）集中培训</w:t>
      </w:r>
    </w:p>
    <w:p>
      <w:pPr>
        <w:pStyle w:val="4"/>
        <w:keepNext w:val="0"/>
        <w:keepLines w:val="0"/>
        <w:widowControl/>
        <w:suppressLineNumbers w:val="0"/>
        <w:spacing w:line="435" w:lineRule="atLeast"/>
        <w:ind w:left="0" w:firstLine="480"/>
      </w:pPr>
      <w:r>
        <w:rPr>
          <w:rFonts w:hint="eastAsia" w:ascii="宋体" w:hAnsi="宋体" w:eastAsia="宋体" w:cs="宋体"/>
          <w:sz w:val="24"/>
          <w:szCs w:val="24"/>
        </w:rPr>
        <w:t>集中培训的范围包括业务人员、实际操作人员及一些关键岗位人员以及市民。在本项目实施中，在适当的时间对这些用户进行集中培训，讲解高新区智能化行政服务大厅应用操用、平台服务端使用、标准体系、开放平台开发规范、安全保障体系，以及配置管理、运行维护等方面内容，使用户熟练使用系统；集中培训会根据实际情况分批、分组组织。</w:t>
      </w:r>
    </w:p>
    <w:p>
      <w:pPr>
        <w:pStyle w:val="4"/>
        <w:keepNext w:val="0"/>
        <w:keepLines w:val="0"/>
        <w:widowControl/>
        <w:suppressLineNumbers w:val="0"/>
        <w:spacing w:line="435" w:lineRule="atLeast"/>
        <w:ind w:left="0" w:firstLine="480"/>
      </w:pPr>
      <w:r>
        <w:rPr>
          <w:rFonts w:hint="eastAsia" w:ascii="宋体" w:hAnsi="宋体" w:eastAsia="宋体" w:cs="宋体"/>
          <w:sz w:val="24"/>
          <w:szCs w:val="24"/>
        </w:rPr>
        <w:t>如果培训对象在规定的培训活动中未能通过完全掌握，将提供其再次培训的机会，直到能够达到培训要求。</w:t>
      </w:r>
    </w:p>
    <w:p>
      <w:pPr>
        <w:pStyle w:val="4"/>
        <w:keepNext w:val="0"/>
        <w:keepLines w:val="0"/>
        <w:widowControl/>
        <w:suppressLineNumbers w:val="0"/>
        <w:spacing w:line="435" w:lineRule="atLeast"/>
        <w:ind w:left="0" w:firstLine="360"/>
      </w:pPr>
      <w:r>
        <w:rPr>
          <w:rFonts w:hint="eastAsia" w:ascii="宋体" w:hAnsi="宋体" w:eastAsia="宋体" w:cs="宋体"/>
          <w:sz w:val="24"/>
          <w:szCs w:val="24"/>
        </w:rPr>
        <w:t>（2）远程培训</w:t>
      </w:r>
    </w:p>
    <w:p>
      <w:pPr>
        <w:pStyle w:val="4"/>
        <w:keepNext w:val="0"/>
        <w:keepLines w:val="0"/>
        <w:widowControl/>
        <w:suppressLineNumbers w:val="0"/>
        <w:spacing w:line="435" w:lineRule="atLeast"/>
        <w:ind w:left="0" w:firstLine="480"/>
      </w:pPr>
      <w:r>
        <w:rPr>
          <w:rFonts w:hint="eastAsia" w:ascii="宋体" w:hAnsi="宋体" w:eastAsia="宋体" w:cs="宋体"/>
          <w:sz w:val="24"/>
          <w:szCs w:val="24"/>
        </w:rPr>
        <w:t>作为集中培训的辅助方式，远程培训将通过视频会议形式行远程培训，定期发布培训课件文档和培训资料。</w:t>
      </w:r>
    </w:p>
    <w:p>
      <w:pPr>
        <w:pStyle w:val="4"/>
        <w:keepNext w:val="0"/>
        <w:keepLines w:val="0"/>
        <w:widowControl/>
        <w:suppressLineNumbers w:val="0"/>
        <w:spacing w:line="435" w:lineRule="atLeast"/>
        <w:ind w:left="0" w:firstLine="360"/>
      </w:pPr>
      <w:r>
        <w:rPr>
          <w:rFonts w:hint="eastAsia" w:ascii="宋体" w:hAnsi="宋体" w:eastAsia="宋体" w:cs="宋体"/>
          <w:sz w:val="24"/>
          <w:szCs w:val="24"/>
        </w:rPr>
        <w:t>（3）其他培训方式</w:t>
      </w:r>
    </w:p>
    <w:p>
      <w:pPr>
        <w:pStyle w:val="4"/>
        <w:keepNext w:val="0"/>
        <w:keepLines w:val="0"/>
        <w:widowControl/>
        <w:suppressLineNumbers w:val="0"/>
        <w:spacing w:line="435" w:lineRule="atLeast"/>
        <w:ind w:left="0" w:firstLine="600"/>
      </w:pPr>
      <w:r>
        <w:rPr>
          <w:rFonts w:hint="eastAsia" w:ascii="宋体" w:hAnsi="宋体" w:eastAsia="宋体" w:cs="宋体"/>
          <w:sz w:val="24"/>
          <w:szCs w:val="24"/>
        </w:rPr>
        <w:t>因为高新区智能化行政服务大厅的最大用户是高新区行政服务大厅的政府工作人员，除到现场参加集中培训的工作人员外，对于不方便参加集中培训的人员，可以远程视频，资料分发共享等多种方式，提供辅助培训。</w:t>
      </w:r>
    </w:p>
    <w:p>
      <w:pPr>
        <w:pStyle w:val="4"/>
        <w:keepNext w:val="0"/>
        <w:keepLines w:val="0"/>
        <w:widowControl/>
        <w:suppressLineNumbers w:val="0"/>
        <w:spacing w:line="435" w:lineRule="atLeast"/>
      </w:pPr>
      <w:r>
        <w:rPr>
          <w:rStyle w:val="6"/>
          <w:rFonts w:hint="eastAsia" w:ascii="宋体" w:hAnsi="宋体" w:eastAsia="宋体" w:cs="宋体"/>
          <w:b/>
          <w:sz w:val="24"/>
          <w:szCs w:val="24"/>
        </w:rPr>
        <w:t>培训课时</w:t>
      </w:r>
    </w:p>
    <w:p>
      <w:pPr>
        <w:pStyle w:val="4"/>
        <w:keepNext w:val="0"/>
        <w:keepLines w:val="0"/>
        <w:widowControl/>
        <w:suppressLineNumbers w:val="0"/>
        <w:spacing w:line="435" w:lineRule="atLeast"/>
        <w:ind w:left="0" w:firstLine="480"/>
      </w:pPr>
      <w:r>
        <w:rPr>
          <w:rFonts w:hint="eastAsia" w:ascii="宋体" w:hAnsi="宋体" w:eastAsia="宋体" w:cs="宋体"/>
          <w:sz w:val="24"/>
          <w:szCs w:val="24"/>
        </w:rPr>
        <w:t>根据培训内容和培训对象，培训时间贯穿于高新区智能行政服务大厅系统的整体服务过程中，进行分阶段、针对性的培训，具体培训时间根据建设单位的工作要求并结合实际情况，在整个项目实施过程中灵活安排，至少保证3次的集中培训和</w:t>
      </w:r>
      <w:r>
        <w:rPr>
          <w:rFonts w:hint="default" w:ascii="Calibri" w:hAnsi="Calibri" w:eastAsia="宋体" w:cs="Calibri"/>
          <w:sz w:val="24"/>
          <w:szCs w:val="24"/>
        </w:rPr>
        <w:t>10</w:t>
      </w:r>
      <w:r>
        <w:rPr>
          <w:rFonts w:hint="eastAsia" w:ascii="宋体" w:hAnsi="宋体" w:eastAsia="宋体" w:cs="宋体"/>
          <w:sz w:val="24"/>
          <w:szCs w:val="24"/>
        </w:rPr>
        <w:t>次的分散性培训。</w:t>
      </w:r>
    </w:p>
    <w:p>
      <w:pPr>
        <w:pStyle w:val="4"/>
        <w:keepNext w:val="0"/>
        <w:keepLines w:val="0"/>
        <w:widowControl/>
        <w:suppressLineNumbers w:val="0"/>
      </w:pPr>
    </w:p>
    <w:p>
      <w:pPr>
        <w:pStyle w:val="4"/>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三、商务条件</w:t>
      </w:r>
      <w:r>
        <w:rPr>
          <w:rStyle w:val="6"/>
          <w:rFonts w:hint="eastAsia" w:ascii="宋体" w:hAnsi="宋体" w:eastAsia="宋体" w:cs="宋体"/>
          <w:spacing w:val="0"/>
          <w:sz w:val="24"/>
          <w:szCs w:val="24"/>
        </w:rPr>
        <w:t>（以“★”标示的内容为不允许负偏离的实质性要求）</w:t>
      </w:r>
    </w:p>
    <w:p>
      <w:pPr>
        <w:pStyle w:val="4"/>
        <w:keepNext w:val="0"/>
        <w:keepLines w:val="0"/>
        <w:widowControl/>
        <w:suppressLineNumbers w:val="0"/>
        <w:spacing w:before="75" w:beforeAutospacing="0" w:after="75" w:afterAutospacing="0"/>
        <w:ind w:left="0" w:right="0" w:firstLine="0"/>
      </w:pPr>
      <w:r>
        <w:rPr>
          <w:rStyle w:val="6"/>
          <w:rFonts w:hint="eastAsia" w:ascii="宋体" w:hAnsi="宋体" w:eastAsia="宋体" w:cs="宋体"/>
          <w:spacing w:val="0"/>
          <w:sz w:val="24"/>
          <w:szCs w:val="24"/>
        </w:rPr>
        <w:t>包：1</w:t>
      </w:r>
      <w:r>
        <w:rPr>
          <w:rStyle w:val="6"/>
          <w:rFonts w:hint="eastAsia" w:ascii="宋体" w:hAnsi="宋体" w:eastAsia="宋体" w:cs="宋体"/>
          <w:spacing w:val="0"/>
          <w:sz w:val="24"/>
          <w:szCs w:val="24"/>
        </w:rPr>
        <w:br w:type="textWrapping"/>
      </w:r>
      <w:r>
        <w:rPr>
          <w:rStyle w:val="6"/>
          <w:rFonts w:hint="eastAsia" w:ascii="宋体" w:hAnsi="宋体" w:eastAsia="宋体" w:cs="宋体"/>
          <w:spacing w:val="0"/>
          <w:sz w:val="24"/>
          <w:szCs w:val="24"/>
        </w:rPr>
        <w:t xml:space="preserve">1、交付地点：福建省福州市闽侯县C区安置房 </w:t>
      </w:r>
      <w:r>
        <w:rPr>
          <w:rStyle w:val="6"/>
          <w:rFonts w:hint="eastAsia" w:ascii="宋体" w:hAnsi="宋体" w:eastAsia="宋体" w:cs="宋体"/>
          <w:spacing w:val="0"/>
          <w:sz w:val="24"/>
          <w:szCs w:val="24"/>
        </w:rPr>
        <w:br w:type="textWrapping"/>
      </w:r>
      <w:r>
        <w:rPr>
          <w:rStyle w:val="6"/>
          <w:rFonts w:hint="eastAsia" w:ascii="宋体" w:hAnsi="宋体" w:eastAsia="宋体" w:cs="宋体"/>
          <w:spacing w:val="0"/>
          <w:sz w:val="24"/>
          <w:szCs w:val="24"/>
        </w:rPr>
        <w:t>2、交付时间：合同签订后 (30 ) 天内交货</w:t>
      </w:r>
      <w:r>
        <w:rPr>
          <w:rStyle w:val="6"/>
          <w:rFonts w:hint="eastAsia" w:ascii="宋体" w:hAnsi="宋体" w:eastAsia="宋体" w:cs="宋体"/>
          <w:spacing w:val="0"/>
          <w:sz w:val="24"/>
          <w:szCs w:val="24"/>
        </w:rPr>
        <w:br w:type="textWrapping"/>
      </w:r>
      <w:r>
        <w:rPr>
          <w:rStyle w:val="6"/>
          <w:rFonts w:hint="eastAsia" w:ascii="宋体" w:hAnsi="宋体" w:eastAsia="宋体" w:cs="宋体"/>
          <w:spacing w:val="0"/>
          <w:sz w:val="24"/>
          <w:szCs w:val="24"/>
        </w:rPr>
        <w:t>3、交付条件：按标书要求</w:t>
      </w:r>
      <w:r>
        <w:rPr>
          <w:rStyle w:val="6"/>
          <w:rFonts w:hint="eastAsia" w:ascii="宋体" w:hAnsi="宋体" w:eastAsia="宋体" w:cs="宋体"/>
          <w:spacing w:val="0"/>
          <w:sz w:val="24"/>
          <w:szCs w:val="24"/>
        </w:rPr>
        <w:br w:type="textWrapping"/>
      </w:r>
      <w:r>
        <w:rPr>
          <w:rStyle w:val="6"/>
          <w:rFonts w:hint="eastAsia" w:ascii="宋体" w:hAnsi="宋体" w:eastAsia="宋体" w:cs="宋体"/>
          <w:spacing w:val="0"/>
          <w:sz w:val="24"/>
          <w:szCs w:val="24"/>
        </w:rPr>
        <w:t>4、是否收取履约保证金：否</w:t>
      </w:r>
      <w:r>
        <w:rPr>
          <w:rStyle w:val="6"/>
          <w:rFonts w:hint="eastAsia" w:ascii="宋体" w:hAnsi="宋体" w:eastAsia="宋体" w:cs="宋体"/>
          <w:spacing w:val="0"/>
          <w:sz w:val="24"/>
          <w:szCs w:val="24"/>
        </w:rPr>
        <w:br w:type="textWrapping"/>
      </w:r>
      <w:r>
        <w:rPr>
          <w:rStyle w:val="6"/>
          <w:rFonts w:hint="eastAsia" w:ascii="宋体" w:hAnsi="宋体" w:eastAsia="宋体" w:cs="宋体"/>
          <w:spacing w:val="0"/>
          <w:sz w:val="24"/>
          <w:szCs w:val="24"/>
        </w:rPr>
        <w:t>5、是否邀请投标人参与验收：否</w:t>
      </w:r>
      <w:r>
        <w:rPr>
          <w:rStyle w:val="6"/>
          <w:rFonts w:hint="eastAsia" w:ascii="宋体" w:hAnsi="宋体" w:eastAsia="宋体" w:cs="宋体"/>
          <w:spacing w:val="0"/>
          <w:sz w:val="24"/>
          <w:szCs w:val="24"/>
        </w:rPr>
        <w:br w:type="textWrapping"/>
      </w:r>
      <w:r>
        <w:rPr>
          <w:rStyle w:val="6"/>
          <w:rFonts w:hint="eastAsia" w:ascii="宋体" w:hAnsi="宋体" w:eastAsia="宋体" w:cs="宋体"/>
          <w:spacing w:val="0"/>
          <w:sz w:val="24"/>
          <w:szCs w:val="24"/>
        </w:rPr>
        <w:t xml:space="preserve">6、验收方式数据表格 </w:t>
      </w:r>
    </w:p>
    <w:tbl>
      <w:tblPr>
        <w:tblStyle w:val="9"/>
        <w:tblW w:w="8305" w:type="dxa"/>
        <w:tblCellSpacing w:w="0" w:type="dxa"/>
        <w:tblInd w:w="15"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
      <w:tblGrid>
        <w:gridCol w:w="1661"/>
        <w:gridCol w:w="6644"/>
      </w:tblGrid>
      <w:tr>
        <w:trPr>
          <w:tblHeader/>
          <w:tblCellSpacing w:w="0" w:type="dxa"/>
        </w:trPr>
        <w:tc>
          <w:tcPr>
            <w:tcW w:w="1661"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验收期次</w:t>
            </w:r>
          </w:p>
        </w:tc>
        <w:tc>
          <w:tcPr>
            <w:tcW w:w="6644"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验收期次说明</w:t>
            </w:r>
          </w:p>
        </w:tc>
      </w:tr>
      <w:tr>
        <w:trPr>
          <w:tblCellSpacing w:w="0" w:type="dxa"/>
        </w:trPr>
        <w:tc>
          <w:tcPr>
            <w:tcW w:w="1661"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1</w:t>
            </w:r>
          </w:p>
        </w:tc>
        <w:tc>
          <w:tcPr>
            <w:tcW w:w="6644"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按招标合同标准进行验收。初验，中验，终验。</w:t>
            </w:r>
          </w:p>
        </w:tc>
      </w:tr>
    </w:tbl>
    <w:p>
      <w:pPr>
        <w:keepNext w:val="0"/>
        <w:keepLines w:val="0"/>
        <w:widowControl/>
        <w:suppressLineNumbers w:val="0"/>
        <w:jc w:val="left"/>
      </w:pPr>
      <w:r>
        <w:rPr>
          <w:rStyle w:val="6"/>
          <w:rFonts w:ascii="宋体" w:hAnsi="宋体" w:eastAsia="宋体" w:cs="宋体"/>
          <w:kern w:val="0"/>
          <w:sz w:val="24"/>
          <w:szCs w:val="24"/>
          <w:lang w:val="en-US" w:eastAsia="zh-CN" w:bidi="ar"/>
        </w:rPr>
        <w:t xml:space="preserve">7、支付方式数据表格 </w:t>
      </w:r>
    </w:p>
    <w:tbl>
      <w:tblPr>
        <w:tblStyle w:val="9"/>
        <w:tblW w:w="8305" w:type="dxa"/>
        <w:tblCellSpacing w:w="0" w:type="dxa"/>
        <w:tblInd w:w="15"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
      <w:tblGrid>
        <w:gridCol w:w="1661"/>
        <w:gridCol w:w="1661"/>
        <w:gridCol w:w="4983"/>
      </w:tblGrid>
      <w:tr>
        <w:trPr>
          <w:tblHeader/>
          <w:tblCellSpacing w:w="0" w:type="dxa"/>
        </w:trPr>
        <w:tc>
          <w:tcPr>
            <w:tcW w:w="1661"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支付期次</w:t>
            </w:r>
          </w:p>
        </w:tc>
        <w:tc>
          <w:tcPr>
            <w:tcW w:w="1661"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支付比例(%)</w:t>
            </w:r>
          </w:p>
        </w:tc>
        <w:tc>
          <w:tcPr>
            <w:tcW w:w="4983"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支付期次说明</w:t>
            </w:r>
          </w:p>
        </w:tc>
      </w:tr>
      <w:tr>
        <w:trPr>
          <w:tblCellSpacing w:w="0" w:type="dxa"/>
        </w:trPr>
        <w:tc>
          <w:tcPr>
            <w:tcW w:w="1661"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1</w:t>
            </w:r>
          </w:p>
        </w:tc>
        <w:tc>
          <w:tcPr>
            <w:tcW w:w="1661"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40</w:t>
            </w:r>
          </w:p>
        </w:tc>
        <w:tc>
          <w:tcPr>
            <w:tcW w:w="4983"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设备进场后先支付40%</w:t>
            </w:r>
          </w:p>
        </w:tc>
      </w:tr>
      <w:tr>
        <w:trPr>
          <w:tblCellSpacing w:w="0" w:type="dxa"/>
        </w:trPr>
        <w:tc>
          <w:tcPr>
            <w:tcW w:w="1661"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2</w:t>
            </w:r>
          </w:p>
        </w:tc>
        <w:tc>
          <w:tcPr>
            <w:tcW w:w="1661"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30</w:t>
            </w:r>
          </w:p>
        </w:tc>
        <w:tc>
          <w:tcPr>
            <w:tcW w:w="4983"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设备进场安装调试完毕初验后支付30%</w:t>
            </w:r>
          </w:p>
        </w:tc>
      </w:tr>
      <w:tr>
        <w:trPr>
          <w:tblCellSpacing w:w="0" w:type="dxa"/>
        </w:trPr>
        <w:tc>
          <w:tcPr>
            <w:tcW w:w="1661"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3</w:t>
            </w:r>
          </w:p>
        </w:tc>
        <w:tc>
          <w:tcPr>
            <w:tcW w:w="1661"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25</w:t>
            </w:r>
          </w:p>
        </w:tc>
        <w:tc>
          <w:tcPr>
            <w:tcW w:w="4983"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中验后支付25%</w:t>
            </w:r>
          </w:p>
        </w:tc>
      </w:tr>
      <w:tr>
        <w:trPr>
          <w:tblCellSpacing w:w="0" w:type="dxa"/>
        </w:trPr>
        <w:tc>
          <w:tcPr>
            <w:tcW w:w="1661"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4</w:t>
            </w:r>
          </w:p>
        </w:tc>
        <w:tc>
          <w:tcPr>
            <w:tcW w:w="1661"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5</w:t>
            </w:r>
          </w:p>
        </w:tc>
        <w:tc>
          <w:tcPr>
            <w:tcW w:w="4983"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终验后一年付清5%</w:t>
            </w:r>
          </w:p>
        </w:tc>
      </w:tr>
    </w:tbl>
    <w:p>
      <w:pPr>
        <w:pStyle w:val="2"/>
        <w:keepNext w:val="0"/>
        <w:keepLines w:val="0"/>
        <w:widowControl/>
        <w:suppressLineNumbers w:val="0"/>
        <w:spacing w:before="105" w:beforeAutospacing="0" w:after="105" w:afterAutospacing="0"/>
        <w:ind w:left="0" w:right="0"/>
      </w:pPr>
      <w:r>
        <w:rPr>
          <w:rStyle w:val="6"/>
          <w:rFonts w:hint="eastAsia" w:ascii="宋体" w:hAnsi="宋体" w:eastAsia="宋体" w:cs="宋体"/>
          <w:b/>
          <w:sz w:val="27"/>
          <w:szCs w:val="27"/>
        </w:rPr>
        <w:t>演示要求</w:t>
      </w:r>
    </w:p>
    <w:p>
      <w:pPr>
        <w:pStyle w:val="4"/>
        <w:keepNext w:val="0"/>
        <w:keepLines w:val="0"/>
        <w:widowControl/>
        <w:suppressLineNumbers w:val="0"/>
        <w:spacing w:before="105" w:beforeAutospacing="0" w:after="105" w:afterAutospacing="0"/>
        <w:ind w:left="0" w:right="0" w:firstLine="420"/>
      </w:pPr>
      <w:r>
        <w:rPr>
          <w:rFonts w:hint="default" w:ascii="Calibri" w:hAnsi="Calibri" w:cs="Calibri"/>
          <w:sz w:val="24"/>
          <w:szCs w:val="24"/>
        </w:rPr>
        <w:t xml:space="preserve">1 </w:t>
      </w:r>
      <w:r>
        <w:rPr>
          <w:rFonts w:hint="eastAsia" w:ascii="宋体" w:hAnsi="宋体" w:eastAsia="宋体" w:cs="宋体"/>
          <w:sz w:val="24"/>
          <w:szCs w:val="24"/>
        </w:rPr>
        <w:t>在评审期间，投标人代表将按照监督人现场编号的顺序，依次进入评审现场进行演示，投标人授权代表须出席项目演示。演示时间从评委核对授权代表身份完成后起计，演示时间控制在20分钟以内。</w:t>
      </w:r>
    </w:p>
    <w:p>
      <w:pPr>
        <w:pStyle w:val="4"/>
        <w:keepNext w:val="0"/>
        <w:keepLines w:val="0"/>
        <w:widowControl/>
        <w:suppressLineNumbers w:val="0"/>
        <w:spacing w:before="105" w:beforeAutospacing="0" w:after="105" w:afterAutospacing="0"/>
        <w:ind w:left="0" w:right="0" w:firstLine="420"/>
      </w:pPr>
      <w:r>
        <w:rPr>
          <w:rFonts w:hint="default" w:ascii="Calibri" w:hAnsi="Calibri" w:cs="Calibri"/>
          <w:sz w:val="24"/>
          <w:szCs w:val="24"/>
        </w:rPr>
        <w:t>2</w:t>
      </w:r>
      <w:r>
        <w:rPr>
          <w:rFonts w:hint="eastAsia" w:ascii="宋体" w:hAnsi="宋体" w:eastAsia="宋体" w:cs="宋体"/>
          <w:sz w:val="24"/>
          <w:szCs w:val="24"/>
        </w:rPr>
        <w:t>关于演示设备调试要求</w:t>
      </w:r>
      <w:r>
        <w:rPr>
          <w:rFonts w:hint="default" w:ascii="Calibri" w:hAnsi="Calibri" w:cs="Calibri"/>
          <w:sz w:val="24"/>
          <w:szCs w:val="24"/>
        </w:rPr>
        <w:t>:</w:t>
      </w:r>
    </w:p>
    <w:p>
      <w:pPr>
        <w:pStyle w:val="4"/>
        <w:keepNext w:val="0"/>
        <w:keepLines w:val="0"/>
        <w:widowControl/>
        <w:suppressLineNumbers w:val="0"/>
        <w:spacing w:before="105" w:beforeAutospacing="0" w:after="105" w:afterAutospacing="0"/>
        <w:ind w:left="0" w:right="0" w:firstLine="420"/>
      </w:pPr>
      <w:r>
        <w:rPr>
          <w:rFonts w:hint="default" w:ascii="Calibri" w:hAnsi="Calibri" w:cs="Calibri"/>
          <w:sz w:val="24"/>
          <w:szCs w:val="24"/>
        </w:rPr>
        <w:t>2.1</w:t>
      </w:r>
      <w:r>
        <w:rPr>
          <w:rFonts w:hint="eastAsia" w:ascii="宋体" w:hAnsi="宋体" w:eastAsia="宋体" w:cs="宋体"/>
          <w:sz w:val="24"/>
          <w:szCs w:val="24"/>
        </w:rPr>
        <w:t>调试时间</w:t>
      </w:r>
      <w:r>
        <w:rPr>
          <w:rFonts w:hint="default" w:ascii="Calibri" w:hAnsi="Calibri" w:cs="Calibri"/>
          <w:sz w:val="24"/>
          <w:szCs w:val="24"/>
        </w:rPr>
        <w:t>:</w:t>
      </w:r>
      <w:r>
        <w:rPr>
          <w:rFonts w:hint="eastAsia" w:ascii="宋体" w:hAnsi="宋体" w:eastAsia="宋体" w:cs="宋体"/>
          <w:sz w:val="24"/>
          <w:szCs w:val="24"/>
        </w:rPr>
        <w:t>项目开标当天。</w:t>
      </w:r>
    </w:p>
    <w:p>
      <w:pPr>
        <w:pStyle w:val="4"/>
        <w:keepNext w:val="0"/>
        <w:keepLines w:val="0"/>
        <w:widowControl/>
        <w:suppressLineNumbers w:val="0"/>
        <w:spacing w:before="105" w:beforeAutospacing="0" w:after="105" w:afterAutospacing="0"/>
        <w:ind w:left="0" w:right="0" w:firstLine="420"/>
      </w:pPr>
      <w:r>
        <w:rPr>
          <w:rFonts w:hint="default" w:ascii="Calibri" w:hAnsi="Calibri" w:cs="Calibri"/>
          <w:sz w:val="24"/>
          <w:szCs w:val="24"/>
        </w:rPr>
        <w:t>2.2</w:t>
      </w:r>
      <w:r>
        <w:rPr>
          <w:rFonts w:hint="eastAsia" w:ascii="宋体" w:hAnsi="宋体" w:eastAsia="宋体" w:cs="宋体"/>
          <w:sz w:val="24"/>
          <w:szCs w:val="24"/>
        </w:rPr>
        <w:t>调试地点</w:t>
      </w:r>
      <w:r>
        <w:rPr>
          <w:rFonts w:hint="default" w:ascii="Calibri" w:hAnsi="Calibri" w:cs="Calibri"/>
          <w:sz w:val="24"/>
          <w:szCs w:val="24"/>
        </w:rPr>
        <w:t>:</w:t>
      </w:r>
      <w:r>
        <w:rPr>
          <w:rFonts w:hint="eastAsia" w:ascii="宋体" w:hAnsi="宋体" w:eastAsia="宋体" w:cs="宋体"/>
          <w:sz w:val="24"/>
          <w:szCs w:val="24"/>
        </w:rPr>
        <w:t>开标现场。</w:t>
      </w:r>
    </w:p>
    <w:p>
      <w:pPr>
        <w:pStyle w:val="4"/>
        <w:keepNext w:val="0"/>
        <w:keepLines w:val="0"/>
        <w:widowControl/>
        <w:suppressLineNumbers w:val="0"/>
        <w:spacing w:before="105" w:beforeAutospacing="0" w:after="105" w:afterAutospacing="0"/>
        <w:ind w:left="0" w:right="0" w:firstLine="420"/>
      </w:pPr>
      <w:r>
        <w:rPr>
          <w:rFonts w:hint="default" w:ascii="Calibri" w:hAnsi="Calibri" w:cs="Calibri"/>
          <w:sz w:val="24"/>
          <w:szCs w:val="24"/>
        </w:rPr>
        <w:t>2.3</w:t>
      </w:r>
      <w:r>
        <w:rPr>
          <w:rFonts w:hint="eastAsia" w:ascii="宋体" w:hAnsi="宋体" w:eastAsia="宋体" w:cs="宋体"/>
          <w:sz w:val="24"/>
          <w:szCs w:val="24"/>
        </w:rPr>
        <w:t>每家投标人的现场调试人员不得多于</w:t>
      </w:r>
      <w:r>
        <w:rPr>
          <w:rFonts w:hint="default" w:ascii="Calibri" w:hAnsi="Calibri" w:cs="Calibri"/>
          <w:sz w:val="24"/>
          <w:szCs w:val="24"/>
        </w:rPr>
        <w:t xml:space="preserve"> 3 </w:t>
      </w:r>
      <w:r>
        <w:rPr>
          <w:rFonts w:hint="eastAsia" w:ascii="宋体" w:hAnsi="宋体" w:eastAsia="宋体" w:cs="宋体"/>
          <w:sz w:val="24"/>
          <w:szCs w:val="24"/>
        </w:rPr>
        <w:t>人。</w:t>
      </w:r>
    </w:p>
    <w:p>
      <w:pPr>
        <w:pStyle w:val="4"/>
        <w:keepNext w:val="0"/>
        <w:keepLines w:val="0"/>
        <w:widowControl/>
        <w:suppressLineNumbers w:val="0"/>
        <w:spacing w:before="105" w:beforeAutospacing="0" w:after="105" w:afterAutospacing="0"/>
        <w:ind w:left="0" w:right="0" w:firstLine="420"/>
      </w:pPr>
      <w:r>
        <w:rPr>
          <w:rFonts w:hint="default" w:ascii="Calibri" w:hAnsi="Calibri" w:cs="Calibri"/>
          <w:sz w:val="24"/>
          <w:szCs w:val="24"/>
        </w:rPr>
        <w:t>2.4</w:t>
      </w:r>
      <w:r>
        <w:rPr>
          <w:rFonts w:hint="eastAsia" w:ascii="宋体" w:hAnsi="宋体" w:eastAsia="宋体" w:cs="宋体"/>
          <w:sz w:val="24"/>
          <w:szCs w:val="24"/>
        </w:rPr>
        <w:t>投标人安装调试期间须服从采购人与招标代 理工作人员的安排，和遵守现场管理规定。调试现场只提供</w:t>
      </w:r>
      <w:r>
        <w:rPr>
          <w:rFonts w:hint="default" w:ascii="Calibri" w:hAnsi="Calibri" w:cs="Calibri"/>
          <w:sz w:val="24"/>
          <w:szCs w:val="24"/>
        </w:rPr>
        <w:t xml:space="preserve"> 220V </w:t>
      </w:r>
      <w:r>
        <w:rPr>
          <w:rFonts w:hint="eastAsia" w:ascii="宋体" w:hAnsi="宋体" w:eastAsia="宋体" w:cs="宋体"/>
          <w:sz w:val="24"/>
          <w:szCs w:val="24"/>
        </w:rPr>
        <w:t>电源，调试时间截止后调试现场进行清场封闭，封闭时间至评委会到现场进行演示评审时方予解封。</w:t>
      </w:r>
    </w:p>
    <w:p>
      <w:pPr>
        <w:pStyle w:val="4"/>
        <w:keepNext w:val="0"/>
        <w:keepLines w:val="0"/>
        <w:widowControl/>
        <w:suppressLineNumbers w:val="0"/>
        <w:spacing w:before="105" w:beforeAutospacing="0" w:after="105" w:afterAutospacing="0"/>
        <w:ind w:left="0" w:right="0" w:firstLine="420"/>
      </w:pPr>
      <w:r>
        <w:rPr>
          <w:rFonts w:hint="default" w:ascii="Calibri" w:hAnsi="Calibri" w:cs="Calibri"/>
          <w:sz w:val="24"/>
          <w:szCs w:val="24"/>
        </w:rPr>
        <w:t>2.5</w:t>
      </w:r>
      <w:r>
        <w:rPr>
          <w:rFonts w:hint="eastAsia" w:ascii="宋体" w:hAnsi="宋体" w:eastAsia="宋体" w:cs="宋体"/>
          <w:sz w:val="24"/>
          <w:szCs w:val="24"/>
        </w:rPr>
        <w:t>评标结束后，各投标人自行安排设备拆卸及运输，福建闽鸿招标有限公司不提供保管场地。</w:t>
      </w:r>
    </w:p>
    <w:p>
      <w:pPr>
        <w:pStyle w:val="4"/>
        <w:keepNext w:val="0"/>
        <w:keepLines w:val="0"/>
        <w:widowControl/>
        <w:suppressLineNumbers w:val="0"/>
        <w:spacing w:before="105" w:beforeAutospacing="0" w:after="105" w:afterAutospacing="0"/>
        <w:ind w:left="0" w:right="0" w:firstLine="420"/>
      </w:pPr>
      <w:r>
        <w:rPr>
          <w:rFonts w:hint="default" w:ascii="Calibri" w:hAnsi="Calibri" w:cs="Calibri"/>
          <w:sz w:val="24"/>
          <w:szCs w:val="24"/>
        </w:rPr>
        <w:t xml:space="preserve">3 </w:t>
      </w:r>
      <w:r>
        <w:rPr>
          <w:rFonts w:hint="eastAsia" w:ascii="宋体" w:hAnsi="宋体" w:eastAsia="宋体" w:cs="宋体"/>
          <w:sz w:val="24"/>
          <w:szCs w:val="24"/>
        </w:rPr>
        <w:t>投标人提供产品原型演示，不接受</w:t>
      </w:r>
      <w:r>
        <w:rPr>
          <w:rFonts w:hint="default" w:ascii="Calibri" w:hAnsi="Calibri" w:cs="Calibri"/>
          <w:sz w:val="24"/>
          <w:szCs w:val="24"/>
        </w:rPr>
        <w:t xml:space="preserve"> PPT </w:t>
      </w:r>
      <w:r>
        <w:rPr>
          <w:rFonts w:hint="eastAsia" w:ascii="宋体" w:hAnsi="宋体" w:eastAsia="宋体" w:cs="宋体"/>
          <w:sz w:val="24"/>
          <w:szCs w:val="24"/>
        </w:rPr>
        <w:t>形式的演示，演示过程中不允许加入对本单位的情况介绍，评审现场只提供简单的电源及投影设备</w:t>
      </w:r>
      <w:r>
        <w:rPr>
          <w:rFonts w:hint="default" w:ascii="Calibri" w:hAnsi="Calibri" w:cs="Calibri"/>
          <w:sz w:val="24"/>
          <w:szCs w:val="24"/>
        </w:rPr>
        <w:t>(</w:t>
      </w:r>
      <w:r>
        <w:rPr>
          <w:rFonts w:hint="eastAsia" w:ascii="宋体" w:hAnsi="宋体" w:eastAsia="宋体" w:cs="宋体"/>
          <w:sz w:val="24"/>
          <w:szCs w:val="24"/>
        </w:rPr>
        <w:t>仅适用于</w:t>
      </w:r>
      <w:r>
        <w:rPr>
          <w:rFonts w:hint="default" w:ascii="Calibri" w:hAnsi="Calibri" w:cs="Calibri"/>
          <w:sz w:val="24"/>
          <w:szCs w:val="24"/>
        </w:rPr>
        <w:t xml:space="preserve"> VGA </w:t>
      </w:r>
      <w:r>
        <w:rPr>
          <w:rFonts w:hint="eastAsia" w:ascii="宋体" w:hAnsi="宋体" w:eastAsia="宋体" w:cs="宋体"/>
          <w:sz w:val="24"/>
          <w:szCs w:val="24"/>
        </w:rPr>
        <w:t>接线口</w:t>
      </w:r>
      <w:r>
        <w:rPr>
          <w:rFonts w:hint="default" w:ascii="Calibri" w:hAnsi="Calibri" w:cs="Calibri"/>
          <w:sz w:val="24"/>
          <w:szCs w:val="24"/>
        </w:rPr>
        <w:t>)</w:t>
      </w:r>
      <w:r>
        <w:rPr>
          <w:rFonts w:hint="eastAsia" w:ascii="宋体" w:hAnsi="宋体" w:eastAsia="宋体" w:cs="宋体"/>
          <w:sz w:val="24"/>
          <w:szCs w:val="24"/>
        </w:rPr>
        <w:t>，请各投标人自备演示所需的设备与网络环境。</w:t>
      </w:r>
    </w:p>
    <w:p>
      <w:pPr>
        <w:pStyle w:val="4"/>
        <w:keepNext w:val="0"/>
        <w:keepLines w:val="0"/>
        <w:widowControl/>
        <w:suppressLineNumbers w:val="0"/>
        <w:spacing w:before="105" w:beforeAutospacing="0" w:after="105" w:afterAutospacing="0"/>
        <w:ind w:left="0" w:right="0" w:firstLine="420"/>
      </w:pPr>
      <w:r>
        <w:rPr>
          <w:rFonts w:hint="default" w:ascii="Calibri" w:hAnsi="Calibri" w:cs="Calibri"/>
          <w:sz w:val="24"/>
          <w:szCs w:val="24"/>
        </w:rPr>
        <w:t xml:space="preserve">4 </w:t>
      </w:r>
      <w:r>
        <w:rPr>
          <w:rFonts w:hint="eastAsia" w:ascii="宋体" w:hAnsi="宋体" w:eastAsia="宋体" w:cs="宋体"/>
          <w:sz w:val="24"/>
          <w:szCs w:val="24"/>
        </w:rPr>
        <w:t>演示完毕后不设评委会问询环节。</w:t>
      </w:r>
      <w:r>
        <w:rPr>
          <w:rFonts w:hint="default" w:ascii="Calibri" w:hAnsi="Calibri" w:cs="Calibri"/>
          <w:sz w:val="24"/>
          <w:szCs w:val="24"/>
        </w:rPr>
        <w:t> </w:t>
      </w:r>
    </w:p>
    <w:p>
      <w:pPr>
        <w:pStyle w:val="4"/>
        <w:keepNext w:val="0"/>
        <w:keepLines w:val="0"/>
        <w:widowControl/>
        <w:suppressLineNumbers w:val="0"/>
        <w:spacing w:before="105" w:beforeAutospacing="0" w:after="105" w:afterAutospacing="0"/>
        <w:ind w:left="0" w:right="0" w:firstLine="420"/>
      </w:pPr>
      <w:r>
        <w:rPr>
          <w:rFonts w:hint="default" w:ascii="Calibri" w:hAnsi="Calibri" w:cs="Calibri"/>
          <w:sz w:val="24"/>
          <w:szCs w:val="24"/>
        </w:rPr>
        <w:t>4.1</w:t>
      </w:r>
      <w:r>
        <w:rPr>
          <w:rFonts w:hint="eastAsia" w:ascii="宋体" w:hAnsi="宋体" w:eastAsia="宋体" w:cs="宋体"/>
          <w:sz w:val="24"/>
          <w:szCs w:val="24"/>
        </w:rPr>
        <w:t>演示办事人在</w:t>
      </w:r>
      <w:r>
        <w:rPr>
          <w:rFonts w:hint="default" w:ascii="Calibri" w:hAnsi="Calibri" w:cs="Calibri"/>
          <w:sz w:val="24"/>
          <w:szCs w:val="24"/>
        </w:rPr>
        <w:t>APP</w:t>
      </w:r>
      <w:r>
        <w:rPr>
          <w:rFonts w:hint="eastAsia" w:ascii="宋体" w:hAnsi="宋体" w:eastAsia="宋体" w:cs="宋体"/>
          <w:sz w:val="24"/>
          <w:szCs w:val="24"/>
        </w:rPr>
        <w:t>客户端上实现在线预审：用户进行实名认证，认证通过后的账号才可进行政务事项办理，根据提示填写办事表单及上传材料，提交后台审批办理，同时填选取件方式（自取或快递送达），实现全程网办。同时演示办事人在</w:t>
      </w:r>
      <w:r>
        <w:rPr>
          <w:rFonts w:hint="default" w:ascii="Calibri" w:hAnsi="Calibri" w:cs="Calibri"/>
          <w:sz w:val="24"/>
          <w:szCs w:val="24"/>
        </w:rPr>
        <w:t>APP</w:t>
      </w:r>
      <w:r>
        <w:rPr>
          <w:rFonts w:hint="eastAsia" w:ascii="宋体" w:hAnsi="宋体" w:eastAsia="宋体" w:cs="宋体"/>
          <w:sz w:val="24"/>
          <w:szCs w:val="24"/>
        </w:rPr>
        <w:t>客户端上实现在线预约，可选择预约的大厅、选择业务类型、选择业务事项、选择预约时间段、填写个人信息，通过预约凭证可直接到大厅办理业务，在预约凭证中可进行取消预约的</w:t>
      </w:r>
      <w:r>
        <w:rPr>
          <w:rFonts w:hint="default" w:ascii="Calibri" w:hAnsi="Calibri" w:cs="Calibri"/>
          <w:sz w:val="24"/>
          <w:szCs w:val="24"/>
        </w:rPr>
        <w:t> </w:t>
      </w:r>
      <w:r>
        <w:rPr>
          <w:rFonts w:hint="eastAsia" w:ascii="宋体" w:hAnsi="宋体" w:eastAsia="宋体" w:cs="宋体"/>
          <w:sz w:val="24"/>
          <w:szCs w:val="24"/>
        </w:rPr>
        <w:t>操作。并实现与排队叫号系统无缝对接，可在预约后实现取号</w:t>
      </w:r>
      <w:r>
        <w:rPr>
          <w:rFonts w:hint="default" w:ascii="Calibri" w:hAnsi="Calibri" w:cs="Calibri"/>
          <w:sz w:val="24"/>
          <w:szCs w:val="24"/>
        </w:rPr>
        <w:t>(</w:t>
      </w:r>
      <w:r>
        <w:rPr>
          <w:rFonts w:hint="eastAsia" w:ascii="宋体" w:hAnsi="宋体" w:eastAsia="宋体" w:cs="宋体"/>
          <w:sz w:val="24"/>
          <w:szCs w:val="24"/>
        </w:rPr>
        <w:t>需结合触摸取号机终端演示排队取号功能，</w:t>
      </w:r>
      <w:r>
        <w:rPr>
          <w:rFonts w:hint="default" w:ascii="Calibri" w:hAnsi="Calibri" w:cs="Calibri"/>
          <w:sz w:val="24"/>
          <w:szCs w:val="24"/>
        </w:rPr>
        <w:t>APP</w:t>
      </w:r>
      <w:r>
        <w:rPr>
          <w:rFonts w:hint="eastAsia" w:ascii="宋体" w:hAnsi="宋体" w:eastAsia="宋体" w:cs="宋体"/>
          <w:sz w:val="24"/>
          <w:szCs w:val="24"/>
        </w:rPr>
        <w:t>自动推送排队信息、排队进展等</w:t>
      </w:r>
      <w:r>
        <w:rPr>
          <w:rFonts w:hint="default" w:ascii="Calibri" w:hAnsi="Calibri" w:cs="Calibri"/>
          <w:sz w:val="24"/>
          <w:szCs w:val="24"/>
        </w:rPr>
        <w:t>)</w:t>
      </w:r>
    </w:p>
    <w:p>
      <w:pPr>
        <w:pStyle w:val="4"/>
        <w:keepNext w:val="0"/>
        <w:keepLines w:val="0"/>
        <w:widowControl/>
        <w:suppressLineNumbers w:val="0"/>
        <w:spacing w:before="105" w:beforeAutospacing="0" w:after="105" w:afterAutospacing="0"/>
        <w:ind w:left="0" w:right="0" w:firstLine="420"/>
      </w:pPr>
      <w:r>
        <w:rPr>
          <w:rFonts w:hint="default" w:ascii="Calibri" w:hAnsi="Calibri" w:cs="Calibri"/>
          <w:sz w:val="24"/>
          <w:szCs w:val="24"/>
        </w:rPr>
        <w:t>4.2</w:t>
      </w:r>
      <w:r>
        <w:rPr>
          <w:rFonts w:hint="eastAsia" w:ascii="宋体" w:hAnsi="宋体" w:eastAsia="宋体" w:cs="宋体"/>
          <w:sz w:val="24"/>
          <w:szCs w:val="24"/>
        </w:rPr>
        <w:t>演示大厅触摸屏系统交互式触摸查询功能，不查询时自动切换为发布模式，并演示点击相应的某个业务窗口，即可快速地查到该业务具体位置和办事事项、办事指南和表单范本。</w:t>
      </w:r>
    </w:p>
    <w:p>
      <w:pPr>
        <w:pStyle w:val="4"/>
        <w:keepNext w:val="0"/>
        <w:keepLines w:val="0"/>
        <w:widowControl/>
        <w:suppressLineNumbers w:val="0"/>
        <w:spacing w:before="105" w:beforeAutospacing="0" w:after="105" w:afterAutospacing="0" w:line="480" w:lineRule="atLeast"/>
        <w:ind w:left="0" w:right="0" w:firstLine="480"/>
      </w:pPr>
      <w:r>
        <w:rPr>
          <w:rStyle w:val="6"/>
          <w:rFonts w:hint="eastAsia" w:ascii="宋体" w:hAnsi="宋体" w:eastAsia="宋体" w:cs="宋体"/>
          <w:b/>
          <w:sz w:val="27"/>
          <w:szCs w:val="27"/>
        </w:rPr>
        <w:t> </w:t>
      </w:r>
    </w:p>
    <w:p>
      <w:pPr>
        <w:pStyle w:val="4"/>
        <w:keepNext w:val="0"/>
        <w:keepLines w:val="0"/>
        <w:widowControl/>
        <w:suppressLineNumbers w:val="0"/>
        <w:spacing w:before="105" w:beforeAutospacing="0" w:after="105" w:afterAutospacing="0" w:line="480" w:lineRule="atLeast"/>
        <w:ind w:left="0" w:right="0" w:firstLine="480"/>
      </w:pPr>
      <w:r>
        <w:rPr>
          <w:rStyle w:val="6"/>
          <w:rFonts w:hint="eastAsia" w:ascii="宋体" w:hAnsi="宋体" w:eastAsia="宋体" w:cs="宋体"/>
          <w:b/>
          <w:sz w:val="27"/>
          <w:szCs w:val="27"/>
        </w:rPr>
        <w:t>投标人必须能提供本招标文件要求完成的全部内容。</w:t>
      </w:r>
    </w:p>
    <w:p>
      <w:pPr>
        <w:pStyle w:val="4"/>
        <w:keepNext w:val="0"/>
        <w:keepLines w:val="0"/>
        <w:widowControl/>
        <w:suppressLineNumbers w:val="0"/>
        <w:spacing w:before="105" w:beforeAutospacing="0" w:after="105" w:afterAutospacing="0" w:line="480" w:lineRule="atLeast"/>
        <w:ind w:left="0" w:right="0" w:firstLine="480"/>
      </w:pPr>
      <w:r>
        <w:rPr>
          <w:rFonts w:hint="eastAsia" w:ascii="宋体" w:hAnsi="宋体" w:eastAsia="宋体" w:cs="宋体"/>
          <w:sz w:val="24"/>
          <w:szCs w:val="24"/>
        </w:rPr>
        <w:t>1.2 投标人拟提供设备、管线等须为全新未使用的且经国家相关管理部门注册并检验合格的产品。设备及其辅助装置的铭牌、使用指示、警告指示应以中文或英文及易懂的通用符号来表示，应能够准确无误地表示设备的型号、规格、制造商等内容。</w:t>
      </w:r>
    </w:p>
    <w:p>
      <w:pPr>
        <w:pStyle w:val="4"/>
        <w:keepNext w:val="0"/>
        <w:keepLines w:val="0"/>
        <w:widowControl/>
        <w:suppressLineNumbers w:val="0"/>
        <w:spacing w:before="105" w:beforeAutospacing="0" w:after="105" w:afterAutospacing="0" w:line="480" w:lineRule="atLeast"/>
        <w:ind w:left="0" w:right="0" w:firstLine="480"/>
      </w:pPr>
      <w:r>
        <w:rPr>
          <w:rFonts w:hint="eastAsia" w:ascii="宋体" w:hAnsi="宋体" w:eastAsia="宋体" w:cs="宋体"/>
          <w:sz w:val="24"/>
          <w:szCs w:val="24"/>
        </w:rPr>
        <w:t>1.2.1备件</w:t>
      </w:r>
    </w:p>
    <w:p>
      <w:pPr>
        <w:pStyle w:val="4"/>
        <w:keepNext w:val="0"/>
        <w:keepLines w:val="0"/>
        <w:widowControl/>
        <w:suppressLineNumbers w:val="0"/>
        <w:spacing w:before="105" w:beforeAutospacing="0" w:after="105" w:afterAutospacing="0" w:line="480" w:lineRule="atLeast"/>
        <w:ind w:left="0" w:right="0" w:firstLine="480"/>
      </w:pPr>
      <w:r>
        <w:rPr>
          <w:rFonts w:hint="eastAsia" w:ascii="宋体" w:hAnsi="宋体" w:eastAsia="宋体" w:cs="宋体"/>
          <w:sz w:val="24"/>
          <w:szCs w:val="24"/>
        </w:rPr>
        <w:t>为保证设备正常运行，中标人应有必须的备件，并保证长期供应，投标时应提供备件报价清单。</w:t>
      </w:r>
    </w:p>
    <w:p>
      <w:pPr>
        <w:pStyle w:val="4"/>
        <w:keepNext w:val="0"/>
        <w:keepLines w:val="0"/>
        <w:widowControl/>
        <w:suppressLineNumbers w:val="0"/>
        <w:spacing w:before="105" w:beforeAutospacing="0" w:after="105" w:afterAutospacing="0" w:line="480" w:lineRule="atLeast"/>
        <w:ind w:left="0" w:right="0" w:firstLine="480"/>
      </w:pPr>
      <w:r>
        <w:rPr>
          <w:rFonts w:hint="eastAsia" w:ascii="宋体" w:hAnsi="宋体" w:eastAsia="宋体" w:cs="宋体"/>
          <w:sz w:val="24"/>
          <w:szCs w:val="24"/>
        </w:rPr>
        <w:t>1.2.2专用工具</w:t>
      </w:r>
    </w:p>
    <w:p>
      <w:pPr>
        <w:pStyle w:val="4"/>
        <w:keepNext w:val="0"/>
        <w:keepLines w:val="0"/>
        <w:widowControl/>
        <w:suppressLineNumbers w:val="0"/>
        <w:spacing w:before="105" w:beforeAutospacing="0" w:after="105" w:afterAutospacing="0" w:line="480" w:lineRule="atLeast"/>
        <w:ind w:left="0" w:right="0" w:firstLine="480"/>
      </w:pPr>
      <w:r>
        <w:rPr>
          <w:rFonts w:hint="eastAsia" w:ascii="宋体" w:hAnsi="宋体" w:eastAsia="宋体" w:cs="宋体"/>
          <w:sz w:val="24"/>
          <w:szCs w:val="24"/>
        </w:rPr>
        <w:t>中标人应向买方提供设备维护的专用工具。</w:t>
      </w:r>
    </w:p>
    <w:p>
      <w:pPr>
        <w:pStyle w:val="4"/>
        <w:keepNext w:val="0"/>
        <w:keepLines w:val="0"/>
        <w:widowControl/>
        <w:suppressLineNumbers w:val="0"/>
        <w:spacing w:before="105" w:beforeAutospacing="0" w:after="105" w:afterAutospacing="0" w:line="480" w:lineRule="atLeast"/>
        <w:ind w:left="0" w:right="0" w:firstLine="480"/>
      </w:pPr>
      <w:r>
        <w:rPr>
          <w:rFonts w:hint="eastAsia" w:ascii="宋体" w:hAnsi="宋体" w:eastAsia="宋体" w:cs="宋体"/>
          <w:sz w:val="24"/>
          <w:szCs w:val="24"/>
        </w:rPr>
        <w:t>1.3要求投标人提供的其它伴随服务（或义务）</w:t>
      </w:r>
    </w:p>
    <w:p>
      <w:pPr>
        <w:pStyle w:val="4"/>
        <w:keepNext w:val="0"/>
        <w:keepLines w:val="0"/>
        <w:widowControl/>
        <w:suppressLineNumbers w:val="0"/>
        <w:spacing w:before="105" w:beforeAutospacing="0" w:after="105" w:afterAutospacing="0" w:line="480" w:lineRule="atLeast"/>
        <w:ind w:left="0" w:right="0" w:firstLine="480"/>
      </w:pPr>
      <w:r>
        <w:rPr>
          <w:rFonts w:hint="eastAsia" w:ascii="宋体" w:hAnsi="宋体" w:eastAsia="宋体" w:cs="宋体"/>
          <w:sz w:val="24"/>
          <w:szCs w:val="24"/>
        </w:rPr>
        <w:t>1.3.1供货</w:t>
      </w:r>
    </w:p>
    <w:p>
      <w:pPr>
        <w:pStyle w:val="4"/>
        <w:keepNext w:val="0"/>
        <w:keepLines w:val="0"/>
        <w:widowControl/>
        <w:suppressLineNumbers w:val="0"/>
        <w:spacing w:before="105" w:beforeAutospacing="0" w:after="105" w:afterAutospacing="0" w:line="480" w:lineRule="atLeast"/>
        <w:ind w:left="0" w:right="0" w:firstLine="480"/>
      </w:pPr>
      <w:r>
        <w:rPr>
          <w:rFonts w:hint="eastAsia" w:ascii="宋体" w:hAnsi="宋体" w:eastAsia="宋体" w:cs="宋体"/>
          <w:sz w:val="24"/>
          <w:szCs w:val="24"/>
        </w:rPr>
        <w:t>投标人必须能按照合同的规定，准时提供系统设备、配件及工具，并负责所供设备、配件及工具的包装和运输、安装调试及维护的内容。</w:t>
      </w:r>
    </w:p>
    <w:p>
      <w:pPr>
        <w:pStyle w:val="4"/>
        <w:keepNext w:val="0"/>
        <w:keepLines w:val="0"/>
        <w:widowControl/>
        <w:suppressLineNumbers w:val="0"/>
        <w:spacing w:before="105" w:beforeAutospacing="0" w:after="105" w:afterAutospacing="0" w:line="480" w:lineRule="atLeast"/>
        <w:ind w:left="0" w:right="0" w:firstLine="480"/>
      </w:pPr>
      <w:r>
        <w:rPr>
          <w:rFonts w:hint="eastAsia" w:ascii="宋体" w:hAnsi="宋体" w:eastAsia="宋体" w:cs="宋体"/>
          <w:sz w:val="24"/>
          <w:szCs w:val="24"/>
        </w:rPr>
        <w:t>1.3.2 验收标准与方法</w:t>
      </w:r>
    </w:p>
    <w:p>
      <w:pPr>
        <w:pStyle w:val="4"/>
        <w:keepNext w:val="0"/>
        <w:keepLines w:val="0"/>
        <w:widowControl/>
        <w:suppressLineNumbers w:val="0"/>
        <w:spacing w:before="105" w:beforeAutospacing="0" w:after="105" w:afterAutospacing="0" w:line="480" w:lineRule="atLeast"/>
        <w:ind w:left="0" w:right="0" w:firstLine="480"/>
      </w:pPr>
      <w:r>
        <w:rPr>
          <w:rFonts w:hint="eastAsia" w:ascii="宋体" w:hAnsi="宋体" w:eastAsia="宋体" w:cs="宋体"/>
          <w:sz w:val="24"/>
          <w:szCs w:val="24"/>
        </w:rPr>
        <w:t>1.3.2.1验收标准：投标人须提供设备的验收标准、制造标准、安装标准及技术规范等有关资料，应符合设备制造厂商的设备出厂标准、产品验收标准、中华人民共和国国家标准以及采购文件规定的技术要求。中标人必须保证所供产品在噪音、废气排放等方面应符合国家有关环保标准。对采购文件中已规定的有关技术指标，按采购文件中规定的技术指标验收，对采购文件中未规定的指标按国家有关标准验收。</w:t>
      </w:r>
    </w:p>
    <w:p>
      <w:pPr>
        <w:pStyle w:val="4"/>
        <w:keepNext w:val="0"/>
        <w:keepLines w:val="0"/>
        <w:widowControl/>
        <w:suppressLineNumbers w:val="0"/>
        <w:spacing w:before="105" w:beforeAutospacing="0" w:after="105" w:afterAutospacing="0" w:line="435" w:lineRule="atLeast"/>
        <w:ind w:left="0" w:right="0" w:firstLine="465"/>
      </w:pPr>
      <w:r>
        <w:rPr>
          <w:rFonts w:hint="eastAsia" w:ascii="宋体" w:hAnsi="宋体" w:eastAsia="宋体" w:cs="宋体"/>
          <w:sz w:val="24"/>
          <w:szCs w:val="24"/>
        </w:rPr>
        <w:t>1.3.2.2、检查和返工</w:t>
      </w:r>
    </w:p>
    <w:p>
      <w:pPr>
        <w:pStyle w:val="4"/>
        <w:keepNext w:val="0"/>
        <w:keepLines w:val="0"/>
        <w:widowControl/>
        <w:suppressLineNumbers w:val="0"/>
        <w:spacing w:before="105" w:beforeAutospacing="0" w:after="105" w:afterAutospacing="0" w:line="435" w:lineRule="atLeast"/>
        <w:ind w:left="0" w:right="0"/>
      </w:pPr>
      <w:r>
        <w:rPr>
          <w:rFonts w:hint="eastAsia" w:ascii="宋体" w:hAnsi="宋体" w:eastAsia="宋体" w:cs="宋体"/>
          <w:sz w:val="24"/>
          <w:szCs w:val="24"/>
        </w:rPr>
        <w:t>    1.3.2.2.1中标人应认真按照标准、规范和要求施工，随时接受检查检验，为检查检验提供便利条件。</w:t>
      </w:r>
    </w:p>
    <w:p>
      <w:pPr>
        <w:pStyle w:val="4"/>
        <w:keepNext w:val="0"/>
        <w:keepLines w:val="0"/>
        <w:widowControl/>
        <w:suppressLineNumbers w:val="0"/>
        <w:spacing w:before="105" w:beforeAutospacing="0" w:after="105" w:afterAutospacing="0" w:line="435" w:lineRule="atLeast"/>
        <w:ind w:left="0" w:right="0"/>
      </w:pPr>
      <w:r>
        <w:rPr>
          <w:rFonts w:hint="eastAsia" w:ascii="宋体" w:hAnsi="宋体" w:eastAsia="宋体" w:cs="宋体"/>
          <w:sz w:val="24"/>
          <w:szCs w:val="24"/>
        </w:rPr>
        <w:t>    1.3.2.3、隐蔽工程和中间验收</w:t>
      </w:r>
    </w:p>
    <w:p>
      <w:pPr>
        <w:pStyle w:val="4"/>
        <w:keepNext w:val="0"/>
        <w:keepLines w:val="0"/>
        <w:widowControl/>
        <w:suppressLineNumbers w:val="0"/>
        <w:spacing w:before="105" w:beforeAutospacing="0" w:after="105" w:afterAutospacing="0" w:line="435" w:lineRule="atLeast"/>
        <w:ind w:left="0" w:right="0" w:firstLine="480"/>
      </w:pPr>
      <w:r>
        <w:rPr>
          <w:rFonts w:hint="eastAsia" w:ascii="宋体" w:hAnsi="宋体" w:eastAsia="宋体" w:cs="宋体"/>
          <w:sz w:val="24"/>
          <w:szCs w:val="24"/>
        </w:rPr>
        <w:t>1.3.2.3.1工程具备隐蔽条件或达到专用条款约定的中间验收部位，中标人进行自检，并在隐蔽或中间验收前48小时以书面形式通知采购人验收。通知包括隐蔽和中间验收的内容、验收时间和地点。中标人准备验收记录，验收合格，采购人在验收记录上签字后，中标人可进行隐蔽和继续施工。验收不合格，中标人在采购人限定的时间内修改后重新验收。</w:t>
      </w:r>
    </w:p>
    <w:p>
      <w:pPr>
        <w:pStyle w:val="4"/>
        <w:keepNext w:val="0"/>
        <w:keepLines w:val="0"/>
        <w:widowControl/>
        <w:suppressLineNumbers w:val="0"/>
        <w:spacing w:before="105" w:beforeAutospacing="0" w:after="105" w:afterAutospacing="0" w:line="435" w:lineRule="atLeast"/>
        <w:ind w:left="0" w:right="0" w:firstLine="480"/>
      </w:pPr>
      <w:r>
        <w:rPr>
          <w:rFonts w:hint="eastAsia" w:ascii="宋体" w:hAnsi="宋体" w:eastAsia="宋体" w:cs="宋体"/>
          <w:sz w:val="24"/>
          <w:szCs w:val="24"/>
        </w:rPr>
        <w:t>1.3.2.3.2采购人不能按时进行验收，应在验收前24小时以书面形式向中标人提出延期要求，延期不能超过48小时，未能按以上时间提出延期要求，不进行验收，中标人可自行组织验收，采购人应承认验收记录。</w:t>
      </w:r>
    </w:p>
    <w:p>
      <w:pPr>
        <w:pStyle w:val="4"/>
        <w:keepNext w:val="0"/>
        <w:keepLines w:val="0"/>
        <w:widowControl/>
        <w:suppressLineNumbers w:val="0"/>
        <w:spacing w:before="105" w:beforeAutospacing="0" w:after="105" w:afterAutospacing="0" w:line="435" w:lineRule="atLeast"/>
        <w:ind w:left="0" w:right="0" w:firstLine="480"/>
      </w:pPr>
      <w:r>
        <w:rPr>
          <w:rFonts w:hint="eastAsia" w:ascii="宋体" w:hAnsi="宋体" w:eastAsia="宋体" w:cs="宋体"/>
          <w:sz w:val="24"/>
          <w:szCs w:val="24"/>
        </w:rPr>
        <w:t>1.3.2.3.3 经采购人验收，项目质量符合标准、规范和设 计图纸等要求，验收24小时后，采购人不在验收记录上签字，视为已经认可验收记录，中标人可进行隐蔽或继续施工。</w:t>
      </w:r>
    </w:p>
    <w:p>
      <w:pPr>
        <w:pStyle w:val="4"/>
        <w:keepNext w:val="0"/>
        <w:keepLines w:val="0"/>
        <w:widowControl/>
        <w:suppressLineNumbers w:val="0"/>
        <w:spacing w:before="105" w:beforeAutospacing="0" w:after="105" w:afterAutospacing="0" w:line="435" w:lineRule="atLeast"/>
        <w:ind w:left="0" w:right="0" w:firstLine="480"/>
      </w:pPr>
      <w:r>
        <w:rPr>
          <w:rFonts w:hint="eastAsia" w:ascii="宋体" w:hAnsi="宋体" w:eastAsia="宋体" w:cs="宋体"/>
          <w:sz w:val="24"/>
          <w:szCs w:val="24"/>
        </w:rPr>
        <w:t>1.3.2.4 验收程序：货物验收分出厂检验、货到初步验收、安装调试正式验收三个阶段。</w:t>
      </w:r>
    </w:p>
    <w:p>
      <w:pPr>
        <w:pStyle w:val="4"/>
        <w:keepNext w:val="0"/>
        <w:keepLines w:val="0"/>
        <w:widowControl/>
        <w:suppressLineNumbers w:val="0"/>
        <w:spacing w:before="105" w:beforeAutospacing="0" w:after="105" w:afterAutospacing="0" w:line="480" w:lineRule="atLeast"/>
        <w:ind w:left="0" w:right="0" w:firstLine="480"/>
      </w:pPr>
      <w:r>
        <w:rPr>
          <w:rFonts w:hint="eastAsia" w:ascii="宋体" w:hAnsi="宋体" w:eastAsia="宋体" w:cs="宋体"/>
          <w:sz w:val="24"/>
          <w:szCs w:val="24"/>
        </w:rPr>
        <w:t>A．出厂检验：中标人应督促制造商在货物出厂前,应按产品技术标准规定的检验项目和试验方法进行全面检验。中标人应提供主要设备制造厂商的出厂检验报告、合格证书、生产产品所在地证书，并加盖中标人公章。质量证明文件不全者作退货处理。</w:t>
      </w:r>
    </w:p>
    <w:p>
      <w:pPr>
        <w:pStyle w:val="4"/>
        <w:keepNext w:val="0"/>
        <w:keepLines w:val="0"/>
        <w:widowControl/>
        <w:suppressLineNumbers w:val="0"/>
        <w:spacing w:before="105" w:beforeAutospacing="0" w:after="105" w:afterAutospacing="0" w:line="480" w:lineRule="atLeast"/>
        <w:ind w:left="0" w:right="0" w:firstLine="480"/>
      </w:pPr>
      <w:r>
        <w:rPr>
          <w:rFonts w:hint="eastAsia" w:ascii="宋体" w:hAnsi="宋体" w:eastAsia="宋体" w:cs="宋体"/>
          <w:sz w:val="24"/>
          <w:szCs w:val="24"/>
        </w:rPr>
        <w:t>B．货到初步验收：货物到达交货地点后,由采购人、中标人共同进行货物基本质量和数量的验收(但不作为最终合格的保证)。如果在本项目中使用假冒伪劣产品，用组装产品冒充原装产品，采购人认定中标人违约。货物经初步验收后仍由中标人保管至安装调试完毕。</w:t>
      </w:r>
    </w:p>
    <w:p>
      <w:pPr>
        <w:pStyle w:val="4"/>
        <w:keepNext w:val="0"/>
        <w:keepLines w:val="0"/>
        <w:widowControl/>
        <w:suppressLineNumbers w:val="0"/>
        <w:spacing w:before="105" w:beforeAutospacing="0" w:after="105" w:afterAutospacing="0" w:line="480" w:lineRule="atLeast"/>
        <w:ind w:left="0" w:right="0" w:firstLine="480"/>
      </w:pPr>
      <w:r>
        <w:rPr>
          <w:rFonts w:hint="eastAsia" w:ascii="宋体" w:hAnsi="宋体" w:eastAsia="宋体" w:cs="宋体"/>
          <w:sz w:val="24"/>
          <w:szCs w:val="24"/>
        </w:rPr>
        <w:t>C.安装调试正式验收：</w:t>
      </w:r>
    </w:p>
    <w:p>
      <w:pPr>
        <w:pStyle w:val="4"/>
        <w:keepNext w:val="0"/>
        <w:keepLines w:val="0"/>
        <w:widowControl/>
        <w:suppressLineNumbers w:val="0"/>
        <w:spacing w:before="105" w:beforeAutospacing="0" w:after="105" w:afterAutospacing="0" w:line="480" w:lineRule="atLeast"/>
        <w:ind w:left="0" w:right="0" w:firstLine="480"/>
      </w:pPr>
      <w:r>
        <w:rPr>
          <w:rFonts w:hint="eastAsia" w:ascii="宋体" w:hAnsi="宋体" w:eastAsia="宋体" w:cs="宋体"/>
          <w:sz w:val="24"/>
          <w:szCs w:val="24"/>
        </w:rPr>
        <w:t>安装调试检验：设备安装、调试过程，中标人应作详细检验记录。安装调试检验结果应符合制造厂产品标准和招标文件的规定。检验记录应真实并提供给采购人。</w:t>
      </w:r>
    </w:p>
    <w:p>
      <w:pPr>
        <w:pStyle w:val="4"/>
        <w:keepNext w:val="0"/>
        <w:keepLines w:val="0"/>
        <w:widowControl/>
        <w:suppressLineNumbers w:val="0"/>
        <w:spacing w:before="105" w:beforeAutospacing="0" w:after="105" w:afterAutospacing="0" w:line="480" w:lineRule="atLeast"/>
        <w:ind w:left="0" w:right="0" w:firstLine="480"/>
      </w:pPr>
      <w:r>
        <w:rPr>
          <w:rFonts w:hint="eastAsia" w:ascii="宋体" w:hAnsi="宋体" w:eastAsia="宋体" w:cs="宋体"/>
          <w:sz w:val="24"/>
          <w:szCs w:val="24"/>
        </w:rPr>
        <w:t>提出验收申请和验收时间：设备安装完成并经试运行30日后，中标人应提出正式验收申请。</w:t>
      </w:r>
    </w:p>
    <w:p>
      <w:pPr>
        <w:pStyle w:val="4"/>
        <w:keepNext w:val="0"/>
        <w:keepLines w:val="0"/>
        <w:widowControl/>
        <w:suppressLineNumbers w:val="0"/>
        <w:spacing w:before="105" w:beforeAutospacing="0" w:after="105" w:afterAutospacing="0" w:line="480" w:lineRule="atLeast"/>
        <w:ind w:left="0" w:right="0" w:firstLine="480"/>
      </w:pPr>
      <w:r>
        <w:rPr>
          <w:rFonts w:hint="eastAsia" w:ascii="宋体" w:hAnsi="宋体" w:eastAsia="宋体" w:cs="宋体"/>
          <w:sz w:val="24"/>
          <w:szCs w:val="24"/>
        </w:rPr>
        <w:t>安装调试正式验收：采购人接到正式验收申请后，三日内由采购人组织双方进行验收（最终验收具体程序和要求以合同为准）。正式验收合格后（以竣工验收报告书、竣工验收鉴定证书为准），中标人将采购项目完整的交付给采购单位。</w:t>
      </w:r>
    </w:p>
    <w:p>
      <w:pPr>
        <w:pStyle w:val="4"/>
        <w:keepNext w:val="0"/>
        <w:keepLines w:val="0"/>
        <w:widowControl/>
        <w:suppressLineNumbers w:val="0"/>
        <w:spacing w:before="105" w:beforeAutospacing="0" w:after="105" w:afterAutospacing="0" w:line="480" w:lineRule="atLeast"/>
        <w:ind w:left="0" w:right="0" w:firstLine="480"/>
      </w:pPr>
      <w:r>
        <w:rPr>
          <w:rFonts w:hint="eastAsia" w:ascii="宋体" w:hAnsi="宋体" w:eastAsia="宋体" w:cs="宋体"/>
          <w:sz w:val="24"/>
          <w:szCs w:val="24"/>
        </w:rPr>
        <w:t>1.3.3安装</w:t>
      </w:r>
    </w:p>
    <w:p>
      <w:pPr>
        <w:pStyle w:val="4"/>
        <w:keepNext w:val="0"/>
        <w:keepLines w:val="0"/>
        <w:widowControl/>
        <w:suppressLineNumbers w:val="0"/>
        <w:spacing w:before="105" w:beforeAutospacing="0" w:after="105" w:afterAutospacing="0" w:line="480" w:lineRule="atLeast"/>
        <w:ind w:left="0" w:right="0" w:firstLine="480"/>
      </w:pPr>
      <w:r>
        <w:rPr>
          <w:rFonts w:hint="eastAsia" w:ascii="宋体" w:hAnsi="宋体" w:eastAsia="宋体" w:cs="宋体"/>
          <w:sz w:val="24"/>
          <w:szCs w:val="24"/>
        </w:rPr>
        <w:t>中标人应派专业人员严格按照专业技术要求和采购单位确认并审查合格的由中标人做好设备的安装调试工作。</w:t>
      </w:r>
    </w:p>
    <w:p>
      <w:pPr>
        <w:pStyle w:val="4"/>
        <w:keepNext w:val="0"/>
        <w:keepLines w:val="0"/>
        <w:widowControl/>
        <w:suppressLineNumbers w:val="0"/>
        <w:spacing w:before="105" w:beforeAutospacing="0" w:after="105" w:afterAutospacing="0" w:line="480" w:lineRule="atLeast"/>
        <w:ind w:left="0" w:right="0" w:firstLine="480"/>
      </w:pPr>
      <w:r>
        <w:rPr>
          <w:rFonts w:hint="eastAsia" w:ascii="宋体" w:hAnsi="宋体" w:eastAsia="宋体" w:cs="宋体"/>
          <w:sz w:val="24"/>
          <w:szCs w:val="24"/>
        </w:rPr>
        <w:t>1.3.4培训</w:t>
      </w:r>
    </w:p>
    <w:p>
      <w:pPr>
        <w:pStyle w:val="4"/>
        <w:keepNext w:val="0"/>
        <w:keepLines w:val="0"/>
        <w:widowControl/>
        <w:suppressLineNumbers w:val="0"/>
        <w:spacing w:before="105" w:beforeAutospacing="0" w:after="105" w:afterAutospacing="0" w:line="480" w:lineRule="atLeast"/>
        <w:ind w:left="0" w:right="0" w:firstLine="480"/>
      </w:pPr>
      <w:r>
        <w:rPr>
          <w:rFonts w:hint="eastAsia" w:ascii="宋体" w:hAnsi="宋体" w:eastAsia="宋体" w:cs="宋体"/>
          <w:sz w:val="24"/>
          <w:szCs w:val="24"/>
        </w:rPr>
        <w:t>中标人应结合设备的安装、调试及试运行过程，有计划地对采购人派出的操作、维护人员进行设备的基本知识、使用、维护及保养技术的现场培训以保证设备的良好运行。</w:t>
      </w:r>
    </w:p>
    <w:p>
      <w:pPr>
        <w:pStyle w:val="4"/>
        <w:keepNext w:val="0"/>
        <w:keepLines w:val="0"/>
        <w:widowControl/>
        <w:suppressLineNumbers w:val="0"/>
        <w:spacing w:before="105" w:beforeAutospacing="0" w:after="105" w:afterAutospacing="0" w:line="480" w:lineRule="atLeast"/>
        <w:ind w:left="0" w:right="0" w:firstLine="480"/>
      </w:pPr>
      <w:r>
        <w:rPr>
          <w:rFonts w:hint="eastAsia" w:ascii="宋体" w:hAnsi="宋体" w:eastAsia="宋体" w:cs="宋体"/>
          <w:sz w:val="24"/>
          <w:szCs w:val="24"/>
        </w:rPr>
        <w:t>1.3.5设备文本资料</w:t>
      </w:r>
    </w:p>
    <w:p>
      <w:pPr>
        <w:pStyle w:val="4"/>
        <w:keepNext w:val="0"/>
        <w:keepLines w:val="0"/>
        <w:widowControl/>
        <w:suppressLineNumbers w:val="0"/>
        <w:spacing w:before="105" w:beforeAutospacing="0" w:after="105" w:afterAutospacing="0" w:line="480" w:lineRule="atLeast"/>
        <w:ind w:left="0" w:right="0" w:firstLine="480"/>
      </w:pPr>
      <w:r>
        <w:rPr>
          <w:rFonts w:hint="eastAsia" w:ascii="宋体" w:hAnsi="宋体" w:eastAsia="宋体" w:cs="宋体"/>
          <w:sz w:val="24"/>
          <w:szCs w:val="24"/>
        </w:rPr>
        <w:t>-----制造商提供的出厂检验报告和检验证书；</w:t>
      </w:r>
    </w:p>
    <w:p>
      <w:pPr>
        <w:pStyle w:val="4"/>
        <w:keepNext w:val="0"/>
        <w:keepLines w:val="0"/>
        <w:widowControl/>
        <w:suppressLineNumbers w:val="0"/>
        <w:spacing w:before="105" w:beforeAutospacing="0" w:after="105" w:afterAutospacing="0" w:line="480" w:lineRule="atLeast"/>
        <w:ind w:left="0" w:right="0" w:firstLine="480"/>
      </w:pPr>
      <w:r>
        <w:rPr>
          <w:rFonts w:hint="eastAsia" w:ascii="宋体" w:hAnsi="宋体" w:eastAsia="宋体" w:cs="宋体"/>
          <w:sz w:val="24"/>
          <w:szCs w:val="24"/>
        </w:rPr>
        <w:t>-----生产产品所在地证明；</w:t>
      </w:r>
    </w:p>
    <w:p>
      <w:pPr>
        <w:pStyle w:val="4"/>
        <w:keepNext w:val="0"/>
        <w:keepLines w:val="0"/>
        <w:widowControl/>
        <w:suppressLineNumbers w:val="0"/>
        <w:spacing w:before="105" w:beforeAutospacing="0" w:after="105" w:afterAutospacing="0" w:line="480" w:lineRule="atLeast"/>
        <w:ind w:left="0" w:right="0" w:firstLine="480"/>
      </w:pPr>
      <w:r>
        <w:rPr>
          <w:rFonts w:hint="eastAsia" w:ascii="宋体" w:hAnsi="宋体" w:eastAsia="宋体" w:cs="宋体"/>
          <w:sz w:val="24"/>
          <w:szCs w:val="24"/>
        </w:rPr>
        <w:t>-----设备详细的安装手册﹑检修手册和运行手册；</w:t>
      </w:r>
    </w:p>
    <w:p>
      <w:pPr>
        <w:pStyle w:val="4"/>
        <w:keepNext w:val="0"/>
        <w:keepLines w:val="0"/>
        <w:widowControl/>
        <w:suppressLineNumbers w:val="0"/>
        <w:spacing w:before="105" w:beforeAutospacing="0" w:after="105" w:afterAutospacing="0" w:line="480" w:lineRule="atLeast"/>
        <w:ind w:left="0" w:right="0" w:firstLine="480"/>
      </w:pPr>
      <w:r>
        <w:rPr>
          <w:rFonts w:hint="eastAsia" w:ascii="宋体" w:hAnsi="宋体" w:eastAsia="宋体" w:cs="宋体"/>
          <w:sz w:val="24"/>
          <w:szCs w:val="24"/>
        </w:rPr>
        <w:t>-----安装完毕后立即进行的验收试验程序说明；</w:t>
      </w:r>
    </w:p>
    <w:p>
      <w:pPr>
        <w:pStyle w:val="4"/>
        <w:keepNext w:val="0"/>
        <w:keepLines w:val="0"/>
        <w:widowControl/>
        <w:suppressLineNumbers w:val="0"/>
        <w:spacing w:before="105" w:beforeAutospacing="0" w:after="105" w:afterAutospacing="0" w:line="480" w:lineRule="atLeast"/>
        <w:ind w:left="0" w:right="0" w:firstLine="480"/>
      </w:pPr>
      <w:r>
        <w:rPr>
          <w:rFonts w:hint="eastAsia" w:ascii="宋体" w:hAnsi="宋体" w:eastAsia="宋体" w:cs="宋体"/>
          <w:sz w:val="24"/>
          <w:szCs w:val="24"/>
        </w:rPr>
        <w:t>-----系统项目货物清单；</w:t>
      </w:r>
    </w:p>
    <w:p>
      <w:pPr>
        <w:pStyle w:val="4"/>
        <w:keepNext w:val="0"/>
        <w:keepLines w:val="0"/>
        <w:widowControl/>
        <w:suppressLineNumbers w:val="0"/>
        <w:spacing w:before="105" w:beforeAutospacing="0" w:after="105" w:afterAutospacing="0" w:line="480" w:lineRule="atLeast"/>
        <w:ind w:left="0" w:right="0" w:firstLine="480"/>
      </w:pPr>
      <w:r>
        <w:rPr>
          <w:rFonts w:hint="eastAsia" w:ascii="宋体" w:hAnsi="宋体" w:eastAsia="宋体" w:cs="宋体"/>
          <w:sz w:val="24"/>
          <w:szCs w:val="24"/>
        </w:rPr>
        <w:t>-----其它需提供的通知或文本。</w:t>
      </w:r>
    </w:p>
    <w:p>
      <w:pPr>
        <w:pStyle w:val="4"/>
        <w:keepNext w:val="0"/>
        <w:keepLines w:val="0"/>
        <w:widowControl/>
        <w:suppressLineNumbers w:val="0"/>
        <w:spacing w:before="105" w:beforeAutospacing="0" w:after="105" w:afterAutospacing="0" w:line="480" w:lineRule="atLeast"/>
        <w:ind w:left="0" w:right="0" w:firstLine="480"/>
      </w:pPr>
      <w:r>
        <w:rPr>
          <w:rFonts w:hint="eastAsia" w:ascii="宋体" w:hAnsi="宋体" w:eastAsia="宋体" w:cs="宋体"/>
          <w:sz w:val="24"/>
          <w:szCs w:val="24"/>
        </w:rPr>
        <w:t>1.3.6采购项目竣工验收资料：工程具备竣工验收条件，中标人按国家验收有关规定，向采购人提供完整资料及验收报告。</w:t>
      </w:r>
    </w:p>
    <w:p>
      <w:pPr>
        <w:pStyle w:val="4"/>
        <w:keepNext w:val="0"/>
        <w:keepLines w:val="0"/>
        <w:widowControl/>
        <w:suppressLineNumbers w:val="0"/>
        <w:spacing w:before="105" w:beforeAutospacing="0" w:after="105" w:afterAutospacing="0" w:line="480" w:lineRule="atLeast"/>
        <w:ind w:left="0" w:right="0" w:firstLine="480"/>
      </w:pPr>
      <w:r>
        <w:rPr>
          <w:rStyle w:val="6"/>
          <w:rFonts w:hint="eastAsia" w:ascii="宋体" w:hAnsi="宋体" w:eastAsia="宋体" w:cs="宋体"/>
          <w:b/>
        </w:rPr>
        <w:t>技术资料要求</w:t>
      </w:r>
    </w:p>
    <w:p>
      <w:pPr>
        <w:pStyle w:val="4"/>
        <w:keepNext w:val="0"/>
        <w:keepLines w:val="0"/>
        <w:widowControl/>
        <w:suppressLineNumbers w:val="0"/>
        <w:spacing w:before="105" w:beforeAutospacing="0" w:after="105" w:afterAutospacing="0" w:line="435" w:lineRule="atLeast"/>
        <w:ind w:left="0" w:right="0" w:firstLine="480"/>
      </w:pPr>
      <w:r>
        <w:rPr>
          <w:rFonts w:hint="eastAsia" w:ascii="宋体" w:hAnsi="宋体" w:eastAsia="宋体" w:cs="宋体"/>
          <w:sz w:val="24"/>
          <w:szCs w:val="24"/>
        </w:rPr>
        <w:t>中标人应向采购人提供以下中文技术资料1套：</w:t>
      </w:r>
    </w:p>
    <w:p>
      <w:pPr>
        <w:pStyle w:val="4"/>
        <w:keepNext w:val="0"/>
        <w:keepLines w:val="0"/>
        <w:widowControl/>
        <w:suppressLineNumbers w:val="0"/>
        <w:spacing w:before="105" w:beforeAutospacing="0" w:after="105" w:afterAutospacing="0" w:line="435" w:lineRule="atLeast"/>
        <w:ind w:left="0" w:right="0" w:firstLine="480"/>
      </w:pPr>
      <w:r>
        <w:rPr>
          <w:rFonts w:hint="eastAsia" w:ascii="宋体" w:hAnsi="宋体" w:eastAsia="宋体" w:cs="宋体"/>
          <w:sz w:val="24"/>
          <w:szCs w:val="24"/>
        </w:rPr>
        <w:t>a. 产品验收标准</w:t>
      </w:r>
    </w:p>
    <w:p>
      <w:pPr>
        <w:pStyle w:val="4"/>
        <w:keepNext w:val="0"/>
        <w:keepLines w:val="0"/>
        <w:widowControl/>
        <w:suppressLineNumbers w:val="0"/>
        <w:spacing w:before="105" w:beforeAutospacing="0" w:after="105" w:afterAutospacing="0" w:line="435" w:lineRule="atLeast"/>
        <w:ind w:left="0" w:right="0" w:firstLine="480"/>
      </w:pPr>
      <w:r>
        <w:rPr>
          <w:rFonts w:hint="eastAsia" w:ascii="宋体" w:hAnsi="宋体" w:eastAsia="宋体" w:cs="宋体"/>
          <w:sz w:val="24"/>
          <w:szCs w:val="24"/>
        </w:rPr>
        <w:t>b. 技术说明书</w:t>
      </w:r>
    </w:p>
    <w:p>
      <w:pPr>
        <w:pStyle w:val="4"/>
        <w:keepNext w:val="0"/>
        <w:keepLines w:val="0"/>
        <w:widowControl/>
        <w:suppressLineNumbers w:val="0"/>
        <w:spacing w:before="105" w:beforeAutospacing="0" w:after="105" w:afterAutospacing="0" w:line="435" w:lineRule="atLeast"/>
        <w:ind w:left="0" w:right="0" w:firstLine="480"/>
      </w:pPr>
      <w:r>
        <w:rPr>
          <w:rFonts w:hint="eastAsia" w:ascii="宋体" w:hAnsi="宋体" w:eastAsia="宋体" w:cs="宋体"/>
          <w:sz w:val="24"/>
          <w:szCs w:val="24"/>
        </w:rPr>
        <w:t>c. 使用说明书</w:t>
      </w:r>
    </w:p>
    <w:p>
      <w:pPr>
        <w:pStyle w:val="4"/>
        <w:keepNext w:val="0"/>
        <w:keepLines w:val="0"/>
        <w:widowControl/>
        <w:suppressLineNumbers w:val="0"/>
        <w:spacing w:before="105" w:beforeAutospacing="0" w:after="105" w:afterAutospacing="0" w:line="435" w:lineRule="atLeast"/>
        <w:ind w:left="0" w:right="0" w:firstLine="480"/>
      </w:pPr>
      <w:r>
        <w:rPr>
          <w:rFonts w:hint="eastAsia" w:ascii="宋体" w:hAnsi="宋体" w:eastAsia="宋体" w:cs="宋体"/>
          <w:sz w:val="24"/>
          <w:szCs w:val="24"/>
        </w:rPr>
        <w:t>d. 零部件目录</w:t>
      </w:r>
    </w:p>
    <w:p>
      <w:pPr>
        <w:pStyle w:val="4"/>
        <w:keepNext w:val="0"/>
        <w:keepLines w:val="0"/>
        <w:widowControl/>
        <w:suppressLineNumbers w:val="0"/>
        <w:spacing w:before="105" w:beforeAutospacing="0" w:after="105" w:afterAutospacing="0" w:line="435" w:lineRule="atLeast"/>
        <w:ind w:left="0" w:right="0" w:firstLine="480"/>
      </w:pPr>
      <w:r>
        <w:rPr>
          <w:rFonts w:hint="eastAsia" w:ascii="宋体" w:hAnsi="宋体" w:eastAsia="宋体" w:cs="宋体"/>
          <w:sz w:val="24"/>
          <w:szCs w:val="24"/>
        </w:rPr>
        <w:t>e. 备品备件、易损件清单</w:t>
      </w:r>
    </w:p>
    <w:p>
      <w:pPr>
        <w:pStyle w:val="4"/>
        <w:keepNext w:val="0"/>
        <w:keepLines w:val="0"/>
        <w:widowControl/>
        <w:suppressLineNumbers w:val="0"/>
        <w:spacing w:before="105" w:beforeAutospacing="0" w:after="105" w:afterAutospacing="0" w:line="435" w:lineRule="atLeast"/>
        <w:ind w:left="0" w:right="0" w:firstLine="480"/>
      </w:pPr>
      <w:r>
        <w:rPr>
          <w:rFonts w:hint="eastAsia" w:ascii="宋体" w:hAnsi="宋体" w:eastAsia="宋体" w:cs="宋体"/>
          <w:sz w:val="24"/>
          <w:szCs w:val="24"/>
        </w:rPr>
        <w:t>f. 安装、维修及操作手册及公开维修密码</w:t>
      </w:r>
    </w:p>
    <w:p>
      <w:pPr>
        <w:pStyle w:val="4"/>
        <w:keepNext w:val="0"/>
        <w:keepLines w:val="0"/>
        <w:widowControl/>
        <w:suppressLineNumbers w:val="0"/>
        <w:spacing w:before="105" w:beforeAutospacing="0" w:after="105" w:afterAutospacing="0" w:line="435" w:lineRule="atLeast"/>
        <w:ind w:left="0" w:right="0" w:firstLine="480"/>
      </w:pPr>
      <w:r>
        <w:rPr>
          <w:rFonts w:hint="eastAsia" w:ascii="宋体" w:hAnsi="宋体" w:eastAsia="宋体" w:cs="宋体"/>
          <w:sz w:val="24"/>
          <w:szCs w:val="24"/>
        </w:rPr>
        <w:t>g. 合同中要求的其他文件资料 </w:t>
      </w:r>
    </w:p>
    <w:p>
      <w:pPr>
        <w:pStyle w:val="4"/>
        <w:keepNext w:val="0"/>
        <w:keepLines w:val="0"/>
        <w:widowControl/>
        <w:suppressLineNumbers w:val="0"/>
        <w:spacing w:before="105" w:beforeAutospacing="0" w:after="105" w:afterAutospacing="0" w:line="480" w:lineRule="atLeast"/>
        <w:ind w:left="0" w:right="0" w:firstLine="480"/>
      </w:pPr>
      <w:r>
        <w:rPr>
          <w:rFonts w:hint="eastAsia" w:ascii="宋体" w:hAnsi="宋体" w:eastAsia="宋体" w:cs="宋体"/>
          <w:sz w:val="24"/>
          <w:szCs w:val="24"/>
        </w:rPr>
        <w:t>1.3.7质量保修期及维修服务</w:t>
      </w:r>
    </w:p>
    <w:p>
      <w:pPr>
        <w:pStyle w:val="4"/>
        <w:keepNext w:val="0"/>
        <w:keepLines w:val="0"/>
        <w:widowControl/>
        <w:suppressLineNumbers w:val="0"/>
        <w:spacing w:before="105" w:beforeAutospacing="0" w:after="105" w:afterAutospacing="0" w:line="480" w:lineRule="atLeast"/>
        <w:ind w:left="0" w:right="0" w:firstLine="480"/>
      </w:pPr>
      <w:r>
        <w:rPr>
          <w:rFonts w:hint="eastAsia" w:ascii="宋体" w:hAnsi="宋体" w:eastAsia="宋体" w:cs="宋体"/>
          <w:sz w:val="24"/>
          <w:szCs w:val="24"/>
        </w:rPr>
        <w:t>正式验收合格后36个月。在此期间，凡因中标人采购的设备材料等发生质量问题，中标人应在3小时内到达现场免费进行维修，终身维护整个系统。</w:t>
      </w:r>
    </w:p>
    <w:p>
      <w:pPr>
        <w:pStyle w:val="4"/>
        <w:keepNext w:val="0"/>
        <w:keepLines w:val="0"/>
        <w:widowControl/>
        <w:suppressLineNumbers w:val="0"/>
        <w:spacing w:before="105" w:beforeAutospacing="0" w:after="105" w:afterAutospacing="0" w:line="480" w:lineRule="atLeast"/>
        <w:ind w:left="0" w:right="0" w:firstLine="480"/>
      </w:pPr>
      <w:r>
        <w:rPr>
          <w:rFonts w:hint="eastAsia" w:ascii="宋体" w:hAnsi="宋体" w:eastAsia="宋体" w:cs="宋体"/>
          <w:sz w:val="24"/>
          <w:szCs w:val="24"/>
        </w:rPr>
        <w:t>1.3.8设备质量标准及技术服务要求</w:t>
      </w:r>
    </w:p>
    <w:p>
      <w:pPr>
        <w:pStyle w:val="4"/>
        <w:keepNext w:val="0"/>
        <w:keepLines w:val="0"/>
        <w:widowControl/>
        <w:suppressLineNumbers w:val="0"/>
        <w:spacing w:before="105" w:beforeAutospacing="0" w:after="105" w:afterAutospacing="0" w:line="480" w:lineRule="atLeast"/>
        <w:ind w:left="0" w:right="0" w:firstLine="480"/>
      </w:pPr>
      <w:r>
        <w:rPr>
          <w:rFonts w:hint="eastAsia" w:ascii="宋体" w:hAnsi="宋体" w:eastAsia="宋体" w:cs="宋体"/>
          <w:sz w:val="24"/>
          <w:szCs w:val="24"/>
        </w:rPr>
        <w:t>1.3.8.1投标人提出的设备制造标准、安全标准及技术规范等有关资料必须符合中国相应有关标准、规范要求。</w:t>
      </w:r>
    </w:p>
    <w:p>
      <w:pPr>
        <w:pStyle w:val="4"/>
        <w:keepNext w:val="0"/>
        <w:keepLines w:val="0"/>
        <w:widowControl/>
        <w:suppressLineNumbers w:val="0"/>
        <w:spacing w:before="105" w:beforeAutospacing="0" w:after="105" w:afterAutospacing="0" w:line="480" w:lineRule="atLeast"/>
        <w:ind w:left="0" w:right="0" w:firstLine="480"/>
      </w:pPr>
      <w:r>
        <w:rPr>
          <w:rFonts w:hint="eastAsia" w:ascii="宋体" w:hAnsi="宋体" w:eastAsia="宋体" w:cs="宋体"/>
          <w:sz w:val="24"/>
          <w:szCs w:val="24"/>
        </w:rPr>
        <w:t>1.3.8.2投标人能够保证长期备品备件的优惠供应。</w:t>
      </w:r>
    </w:p>
    <w:p>
      <w:pPr>
        <w:pStyle w:val="4"/>
        <w:keepNext w:val="0"/>
        <w:keepLines w:val="0"/>
        <w:widowControl/>
        <w:suppressLineNumbers w:val="0"/>
        <w:spacing w:before="105" w:beforeAutospacing="0" w:after="105" w:afterAutospacing="0" w:line="480" w:lineRule="atLeast"/>
        <w:ind w:left="0" w:right="0" w:firstLine="480"/>
      </w:pPr>
      <w:r>
        <w:rPr>
          <w:rFonts w:hint="eastAsia" w:ascii="宋体" w:hAnsi="宋体" w:eastAsia="宋体" w:cs="宋体"/>
          <w:sz w:val="24"/>
          <w:szCs w:val="24"/>
        </w:rPr>
        <w:t>1.3.8.3投标人详细提供货物的质量保证及技术服务方案承诺（包括技术服务支持队伍、协调方式、现场响应时间、培训计划、保修期、维修费用等）。</w:t>
      </w:r>
    </w:p>
    <w:p>
      <w:pPr>
        <w:pStyle w:val="4"/>
        <w:keepNext w:val="0"/>
        <w:keepLines w:val="0"/>
        <w:widowControl/>
        <w:suppressLineNumbers w:val="0"/>
        <w:spacing w:before="105" w:beforeAutospacing="0" w:after="105" w:afterAutospacing="0" w:line="480" w:lineRule="atLeast"/>
        <w:ind w:left="0" w:right="0" w:firstLine="480"/>
      </w:pPr>
      <w:r>
        <w:rPr>
          <w:rFonts w:hint="eastAsia" w:ascii="宋体" w:hAnsi="宋体" w:eastAsia="宋体" w:cs="宋体"/>
          <w:sz w:val="24"/>
          <w:szCs w:val="24"/>
        </w:rPr>
        <w:t>1.3.8.4投标人应承诺中标之后提供货物制造厂商的出厂检验报告、合格证书、生产产品所在地证书。</w:t>
      </w:r>
    </w:p>
    <w:p>
      <w:pPr>
        <w:pStyle w:val="4"/>
        <w:keepNext w:val="0"/>
        <w:keepLines w:val="0"/>
        <w:widowControl/>
        <w:suppressLineNumbers w:val="0"/>
        <w:spacing w:before="105" w:beforeAutospacing="0" w:after="105" w:afterAutospacing="0" w:line="480" w:lineRule="atLeast"/>
        <w:ind w:left="0" w:right="0" w:firstLine="480"/>
      </w:pPr>
      <w:r>
        <w:rPr>
          <w:rFonts w:hint="eastAsia" w:ascii="宋体" w:hAnsi="宋体" w:eastAsia="宋体" w:cs="宋体"/>
          <w:sz w:val="24"/>
          <w:szCs w:val="24"/>
        </w:rPr>
        <w:t>1.3.8.5质量要求：</w:t>
      </w:r>
    </w:p>
    <w:p>
      <w:pPr>
        <w:pStyle w:val="4"/>
        <w:keepNext w:val="0"/>
        <w:keepLines w:val="0"/>
        <w:widowControl/>
        <w:suppressLineNumbers w:val="0"/>
        <w:spacing w:before="105" w:beforeAutospacing="0" w:after="105" w:afterAutospacing="0" w:line="480" w:lineRule="atLeast"/>
        <w:ind w:left="0" w:right="0" w:firstLine="480"/>
      </w:pPr>
      <w:r>
        <w:rPr>
          <w:rFonts w:hint="eastAsia" w:ascii="宋体" w:hAnsi="宋体" w:eastAsia="宋体" w:cs="宋体"/>
          <w:sz w:val="24"/>
          <w:szCs w:val="24"/>
        </w:rPr>
        <w:t>投标人必须保证提供原产、正规产品，不得用假冒及伪劣产品代替；如出现上述质量问题采购人有权退货；如造成损失的，采购人可要求中标人给予赔偿。</w:t>
      </w:r>
    </w:p>
    <w:p>
      <w:pPr>
        <w:pStyle w:val="4"/>
        <w:keepNext w:val="0"/>
        <w:keepLines w:val="0"/>
        <w:widowControl/>
        <w:suppressLineNumbers w:val="0"/>
        <w:spacing w:before="105" w:beforeAutospacing="0" w:after="105" w:afterAutospacing="0" w:line="480" w:lineRule="atLeast"/>
        <w:ind w:left="0" w:right="0" w:firstLine="480"/>
      </w:pPr>
      <w:r>
        <w:rPr>
          <w:rFonts w:hint="eastAsia" w:ascii="宋体" w:hAnsi="宋体" w:eastAsia="宋体" w:cs="宋体"/>
          <w:sz w:val="24"/>
          <w:szCs w:val="24"/>
        </w:rPr>
        <w:t>1.3.8.6保修期结束前，须由投标人工程师和采购人代表进行一次全面检查，任何缺陷必须由投标人负责修理或更换。在修复之后，投标人应将缺陷原因、修理内容、完成修理及恢复正常的时间和日期等报告采购人。</w:t>
      </w:r>
    </w:p>
    <w:p>
      <w:pPr>
        <w:pStyle w:val="4"/>
        <w:keepNext w:val="0"/>
        <w:keepLines w:val="0"/>
        <w:widowControl/>
        <w:suppressLineNumbers w:val="0"/>
        <w:spacing w:before="105" w:beforeAutospacing="0" w:after="105" w:afterAutospacing="0" w:line="480" w:lineRule="atLeast"/>
        <w:ind w:left="0" w:right="0" w:firstLine="480"/>
      </w:pPr>
      <w:r>
        <w:rPr>
          <w:rFonts w:hint="eastAsia" w:ascii="宋体" w:hAnsi="宋体" w:eastAsia="宋体" w:cs="宋体"/>
          <w:sz w:val="24"/>
          <w:szCs w:val="24"/>
        </w:rPr>
        <w:t>1.3.8.7投标人中标之后必须在当地设有常驻的维修机构，该维修机构须备有足够的维护技术人员和零备件，要求一般故障3小时以内、紧急故障1小时以内赶到现场，并立即着手解决。</w:t>
      </w:r>
    </w:p>
    <w:p>
      <w:pPr>
        <w:pStyle w:val="4"/>
        <w:keepNext w:val="0"/>
        <w:keepLines w:val="0"/>
        <w:widowControl/>
        <w:suppressLineNumbers w:val="0"/>
        <w:spacing w:before="105" w:beforeAutospacing="0" w:after="105" w:afterAutospacing="0" w:line="480" w:lineRule="atLeast"/>
        <w:ind w:left="0" w:right="0" w:firstLine="480"/>
      </w:pPr>
      <w:r>
        <w:rPr>
          <w:rFonts w:hint="eastAsia" w:ascii="宋体" w:hAnsi="宋体" w:eastAsia="宋体" w:cs="宋体"/>
          <w:sz w:val="24"/>
          <w:szCs w:val="24"/>
        </w:rPr>
        <w:t>1.3.8.8保修期内保养包括对整个系统作定期检查、调校和清洁，并提供详细的保养程序表和保养工作内容给采购人。</w:t>
      </w:r>
    </w:p>
    <w:p>
      <w:pPr>
        <w:pStyle w:val="4"/>
        <w:keepNext w:val="0"/>
        <w:keepLines w:val="0"/>
        <w:widowControl/>
        <w:suppressLineNumbers w:val="0"/>
        <w:spacing w:before="105" w:beforeAutospacing="0" w:after="105" w:afterAutospacing="0" w:line="480" w:lineRule="atLeast"/>
        <w:ind w:left="0" w:right="0" w:firstLine="480"/>
      </w:pPr>
      <w:r>
        <w:rPr>
          <w:rStyle w:val="6"/>
          <w:rFonts w:hint="eastAsia" w:ascii="宋体" w:hAnsi="宋体" w:eastAsia="宋体" w:cs="宋体"/>
          <w:b/>
        </w:rPr>
        <w:t>技术质量服务要求</w:t>
      </w:r>
    </w:p>
    <w:p>
      <w:pPr>
        <w:pStyle w:val="4"/>
        <w:keepNext w:val="0"/>
        <w:keepLines w:val="0"/>
        <w:widowControl/>
        <w:suppressLineNumbers w:val="0"/>
        <w:spacing w:before="105" w:beforeAutospacing="0" w:after="105" w:afterAutospacing="0" w:line="435" w:lineRule="atLeast"/>
        <w:ind w:left="0" w:right="0" w:firstLine="480"/>
      </w:pPr>
      <w:r>
        <w:rPr>
          <w:rFonts w:hint="eastAsia" w:ascii="宋体" w:hAnsi="宋体" w:eastAsia="宋体" w:cs="宋体"/>
          <w:sz w:val="24"/>
          <w:szCs w:val="24"/>
        </w:rPr>
        <w:t>1、设备质量</w:t>
      </w:r>
    </w:p>
    <w:p>
      <w:pPr>
        <w:pStyle w:val="4"/>
        <w:keepNext w:val="0"/>
        <w:keepLines w:val="0"/>
        <w:widowControl/>
        <w:suppressLineNumbers w:val="0"/>
        <w:spacing w:before="105" w:beforeAutospacing="0" w:after="105" w:afterAutospacing="0" w:line="435" w:lineRule="atLeast"/>
        <w:ind w:left="0" w:right="0" w:firstLine="480"/>
      </w:pPr>
      <w:r>
        <w:rPr>
          <w:rFonts w:hint="eastAsia" w:ascii="宋体" w:hAnsi="宋体" w:eastAsia="宋体" w:cs="宋体"/>
          <w:sz w:val="24"/>
          <w:szCs w:val="24"/>
        </w:rPr>
        <w:t>1.1中标人保证本合同项下提供的设备是优质、全新、未用、配套齐全、无损的，而且设备的主要技术参数符合要求并提供相关证书。</w:t>
      </w:r>
    </w:p>
    <w:p>
      <w:pPr>
        <w:pStyle w:val="4"/>
        <w:keepNext w:val="0"/>
        <w:keepLines w:val="0"/>
        <w:widowControl/>
        <w:suppressLineNumbers w:val="0"/>
        <w:spacing w:before="105" w:beforeAutospacing="0" w:after="105" w:afterAutospacing="0" w:line="435" w:lineRule="atLeast"/>
        <w:ind w:left="0" w:right="0" w:firstLine="480"/>
      </w:pPr>
      <w:r>
        <w:rPr>
          <w:rFonts w:hint="eastAsia" w:ascii="宋体" w:hAnsi="宋体" w:eastAsia="宋体" w:cs="宋体"/>
          <w:sz w:val="24"/>
          <w:szCs w:val="24"/>
        </w:rPr>
        <w:t>1.2中标人按合同所提供的设备应提供技术支持和保证；</w:t>
      </w:r>
    </w:p>
    <w:p>
      <w:pPr>
        <w:pStyle w:val="4"/>
        <w:keepNext w:val="0"/>
        <w:keepLines w:val="0"/>
        <w:widowControl/>
        <w:suppressLineNumbers w:val="0"/>
      </w:pPr>
    </w:p>
    <w:p>
      <w:pPr>
        <w:keepNext w:val="0"/>
        <w:keepLines w:val="0"/>
        <w:widowControl/>
        <w:suppressLineNumbers w:val="0"/>
        <w:jc w:val="left"/>
      </w:pPr>
      <w:r>
        <w:rPr>
          <w:rFonts w:ascii="宋体" w:hAnsi="宋体" w:eastAsia="宋体" w:cs="宋体"/>
          <w:spacing w:val="0"/>
          <w:kern w:val="0"/>
          <w:sz w:val="24"/>
          <w:szCs w:val="24"/>
          <w:lang w:val="en-US" w:eastAsia="zh-CN" w:bidi="ar"/>
        </w:rPr>
        <w:t> </w:t>
      </w:r>
    </w:p>
    <w:p>
      <w:pPr>
        <w:pStyle w:val="4"/>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四、其他事项</w:t>
      </w:r>
    </w:p>
    <w:p>
      <w:pPr>
        <w:pStyle w:val="4"/>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1、除招标文件另有规定外，若出现有关法律、法规和规章有强制性规定但招标文件未列明的情形，则投标人应按照有关法律、法规和规章强制性规定执行。</w:t>
      </w:r>
    </w:p>
    <w:p>
      <w:pPr>
        <w:pStyle w:val="4"/>
        <w:keepNext w:val="0"/>
        <w:keepLines w:val="0"/>
        <w:widowControl/>
        <w:suppressLineNumbers w:val="0"/>
        <w:spacing w:before="75" w:beforeAutospacing="0" w:after="75" w:afterAutospacing="0"/>
        <w:ind w:left="0" w:right="0" w:firstLine="0"/>
      </w:pPr>
      <w:r>
        <w:rPr>
          <w:spacing w:val="0"/>
          <w:sz w:val="24"/>
          <w:szCs w:val="24"/>
        </w:rPr>
        <w:t>2、其他：</w:t>
      </w:r>
    </w:p>
    <w:p>
      <w:pPr>
        <w:pStyle w:val="4"/>
        <w:keepNext w:val="0"/>
        <w:keepLines w:val="0"/>
        <w:widowControl/>
        <w:suppressLineNumbers w:val="0"/>
        <w:spacing w:before="75" w:beforeAutospacing="0" w:after="75" w:afterAutospacing="0"/>
        <w:ind w:left="0" w:right="0" w:firstLine="0"/>
      </w:pPr>
      <w:r>
        <w:rPr>
          <w:spacing w:val="0"/>
          <w:sz w:val="24"/>
          <w:szCs w:val="24"/>
        </w:rPr>
        <w:t> </w:t>
      </w:r>
    </w:p>
    <w:p>
      <w:pPr>
        <w:pStyle w:val="4"/>
        <w:keepNext w:val="0"/>
        <w:keepLines w:val="0"/>
        <w:widowControl/>
        <w:suppressLineNumbers w:val="0"/>
        <w:spacing w:before="75" w:beforeAutospacing="0" w:after="75" w:afterAutospacing="0"/>
        <w:ind w:left="0" w:right="0" w:firstLine="0"/>
        <w:jc w:val="center"/>
      </w:pPr>
      <w:r>
        <w:rPr>
          <w:rStyle w:val="6"/>
          <w:rFonts w:hint="eastAsia" w:ascii="宋体" w:hAnsi="宋体" w:eastAsia="宋体" w:cs="宋体"/>
          <w:spacing w:val="0"/>
          <w:sz w:val="31"/>
          <w:szCs w:val="31"/>
        </w:rPr>
        <w:t>第六章   政府采购合同（参考文本）</w:t>
      </w:r>
    </w:p>
    <w:p>
      <w:pPr>
        <w:pStyle w:val="4"/>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 </w:t>
      </w:r>
    </w:p>
    <w:p>
      <w:pPr>
        <w:pStyle w:val="4"/>
        <w:keepNext w:val="0"/>
        <w:keepLines w:val="0"/>
        <w:widowControl/>
        <w:suppressLineNumbers w:val="0"/>
        <w:spacing w:before="75" w:beforeAutospacing="0" w:after="75" w:afterAutospacing="0"/>
        <w:ind w:left="0" w:right="0" w:firstLine="0"/>
        <w:jc w:val="center"/>
      </w:pPr>
      <w:r>
        <w:rPr>
          <w:rStyle w:val="6"/>
          <w:rFonts w:hint="eastAsia" w:ascii="宋体" w:hAnsi="宋体" w:eastAsia="宋体" w:cs="宋体"/>
          <w:spacing w:val="0"/>
          <w:sz w:val="24"/>
          <w:szCs w:val="24"/>
        </w:rPr>
        <w:t>编制说明</w:t>
      </w:r>
    </w:p>
    <w:p>
      <w:pPr>
        <w:pStyle w:val="4"/>
        <w:keepNext w:val="0"/>
        <w:keepLines w:val="0"/>
        <w:widowControl/>
        <w:suppressLineNumbers w:val="0"/>
        <w:spacing w:before="75" w:beforeAutospacing="0" w:after="75" w:afterAutospacing="0"/>
        <w:ind w:left="0" w:right="0" w:firstLine="0"/>
      </w:pPr>
      <w:r>
        <w:rPr>
          <w:rStyle w:val="6"/>
          <w:rFonts w:hint="eastAsia" w:ascii="宋体" w:hAnsi="宋体" w:eastAsia="宋体" w:cs="宋体"/>
          <w:spacing w:val="0"/>
          <w:sz w:val="24"/>
          <w:szCs w:val="24"/>
        </w:rPr>
        <w:t>1、签订合同应遵守政府采购法、合同法。</w:t>
      </w:r>
    </w:p>
    <w:p>
      <w:pPr>
        <w:pStyle w:val="4"/>
        <w:keepNext w:val="0"/>
        <w:keepLines w:val="0"/>
        <w:widowControl/>
        <w:suppressLineNumbers w:val="0"/>
        <w:spacing w:before="75" w:beforeAutospacing="0" w:after="75" w:afterAutospacing="0"/>
        <w:ind w:left="0" w:right="0" w:firstLine="0"/>
      </w:pPr>
      <w:r>
        <w:rPr>
          <w:rStyle w:val="6"/>
          <w:rFonts w:hint="eastAsia" w:ascii="宋体" w:hAnsi="宋体" w:eastAsia="宋体" w:cs="宋体"/>
          <w:spacing w:val="0"/>
          <w:sz w:val="24"/>
          <w:szCs w:val="24"/>
        </w:rPr>
        <w:t>2、签订合同时，采购人与中标人应结合招标文件第五章规定填列相应内容。招标文件第五章已有规定的，双方均不得变更或调整；招标文件第五章未作规定的，双方可通过友好协商进行约定。</w:t>
      </w:r>
    </w:p>
    <w:p>
      <w:pPr>
        <w:pStyle w:val="4"/>
        <w:keepNext w:val="0"/>
        <w:keepLines w:val="0"/>
        <w:widowControl/>
        <w:suppressLineNumbers w:val="0"/>
        <w:spacing w:before="75" w:beforeAutospacing="0" w:after="75" w:afterAutospacing="0"/>
        <w:ind w:left="0" w:right="0" w:firstLine="0"/>
      </w:pPr>
      <w:r>
        <w:rPr>
          <w:rStyle w:val="6"/>
          <w:rFonts w:hint="eastAsia" w:ascii="宋体" w:hAnsi="宋体" w:eastAsia="宋体" w:cs="宋体"/>
          <w:spacing w:val="0"/>
          <w:sz w:val="24"/>
          <w:szCs w:val="24"/>
        </w:rPr>
        <w:t>3、国家有关部门对若干合同有规范文本的，可使用相应合同文本。</w:t>
      </w:r>
    </w:p>
    <w:p>
      <w:pPr>
        <w:pStyle w:val="4"/>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u w:val="single"/>
        </w:rPr>
        <w:t> </w:t>
      </w:r>
    </w:p>
    <w:p>
      <w:pPr>
        <w:pStyle w:val="4"/>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甲方：</w:t>
      </w:r>
      <w:r>
        <w:rPr>
          <w:rFonts w:hint="eastAsia" w:ascii="宋体" w:hAnsi="宋体" w:eastAsia="宋体" w:cs="宋体"/>
          <w:spacing w:val="0"/>
          <w:sz w:val="24"/>
          <w:szCs w:val="24"/>
          <w:u w:val="single"/>
        </w:rPr>
        <w:t>（采购人全称）</w:t>
      </w:r>
    </w:p>
    <w:p>
      <w:pPr>
        <w:pStyle w:val="4"/>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乙方：</w:t>
      </w:r>
      <w:r>
        <w:rPr>
          <w:rFonts w:hint="eastAsia" w:ascii="宋体" w:hAnsi="宋体" w:eastAsia="宋体" w:cs="宋体"/>
          <w:spacing w:val="0"/>
          <w:sz w:val="24"/>
          <w:szCs w:val="24"/>
          <w:u w:val="single"/>
        </w:rPr>
        <w:t>（中标人全称）</w:t>
      </w:r>
    </w:p>
    <w:p>
      <w:pPr>
        <w:pStyle w:val="4"/>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 </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根据招标编号为</w:t>
      </w:r>
      <w:r>
        <w:rPr>
          <w:rFonts w:hint="eastAsia" w:ascii="宋体" w:hAnsi="宋体" w:eastAsia="宋体" w:cs="宋体"/>
          <w:spacing w:val="0"/>
          <w:sz w:val="24"/>
          <w:szCs w:val="24"/>
          <w:u w:val="single"/>
        </w:rPr>
        <w:t>            </w:t>
      </w:r>
      <w:r>
        <w:rPr>
          <w:rFonts w:hint="eastAsia" w:ascii="宋体" w:hAnsi="宋体" w:eastAsia="宋体" w:cs="宋体"/>
          <w:spacing w:val="0"/>
          <w:sz w:val="24"/>
          <w:szCs w:val="24"/>
        </w:rPr>
        <w:t>的</w:t>
      </w:r>
      <w:r>
        <w:rPr>
          <w:rFonts w:hint="eastAsia" w:ascii="宋体" w:hAnsi="宋体" w:eastAsia="宋体" w:cs="宋体"/>
          <w:spacing w:val="0"/>
          <w:sz w:val="24"/>
          <w:szCs w:val="24"/>
          <w:u w:val="single"/>
        </w:rPr>
        <w:t>（填写“项目名称”）</w:t>
      </w:r>
      <w:r>
        <w:rPr>
          <w:rFonts w:hint="eastAsia" w:ascii="宋体" w:hAnsi="宋体" w:eastAsia="宋体" w:cs="宋体"/>
          <w:spacing w:val="0"/>
          <w:sz w:val="24"/>
          <w:szCs w:val="24"/>
        </w:rPr>
        <w:t>项目（以下简称：“本项目”）的招标结果，乙方为中标人。现经甲乙双方友好协商，就以下事项达成一致并签订本合同：</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1、下列合同文件是构成本合同不可分割的部分：</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1.1合同条款；</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1.2招标文件、乙方的投标文件；</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1.3其他文件或材料：□无。□</w:t>
      </w:r>
      <w:r>
        <w:rPr>
          <w:rFonts w:hint="eastAsia" w:ascii="宋体" w:hAnsi="宋体" w:eastAsia="宋体" w:cs="宋体"/>
          <w:spacing w:val="0"/>
          <w:sz w:val="24"/>
          <w:szCs w:val="24"/>
          <w:u w:val="single"/>
        </w:rPr>
        <w:t>（按照实际情况编制填写需要增加的内容）</w:t>
      </w:r>
      <w:r>
        <w:rPr>
          <w:rFonts w:hint="eastAsia" w:ascii="宋体" w:hAnsi="宋体" w:eastAsia="宋体" w:cs="宋体"/>
          <w:spacing w:val="0"/>
          <w:sz w:val="24"/>
          <w:szCs w:val="24"/>
        </w:rPr>
        <w:t>。</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2、合同标的</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u w:val="single"/>
        </w:rPr>
        <w:t>（按照实际情况编制填写，可以是表格或文字描述）</w:t>
      </w:r>
      <w:r>
        <w:rPr>
          <w:rFonts w:hint="eastAsia" w:ascii="宋体" w:hAnsi="宋体" w:eastAsia="宋体" w:cs="宋体"/>
          <w:spacing w:val="0"/>
          <w:sz w:val="24"/>
          <w:szCs w:val="24"/>
        </w:rPr>
        <w:t>。</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3、合同总金额</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3.1合同总金额为人民币大写：</w:t>
      </w:r>
      <w:r>
        <w:rPr>
          <w:rFonts w:hint="eastAsia" w:ascii="宋体" w:hAnsi="宋体" w:eastAsia="宋体" w:cs="宋体"/>
          <w:spacing w:val="0"/>
          <w:sz w:val="24"/>
          <w:szCs w:val="24"/>
          <w:u w:val="single"/>
        </w:rPr>
        <w:t>              </w:t>
      </w:r>
      <w:r>
        <w:rPr>
          <w:rFonts w:hint="eastAsia" w:ascii="宋体" w:hAnsi="宋体" w:eastAsia="宋体" w:cs="宋体"/>
          <w:spacing w:val="0"/>
          <w:sz w:val="24"/>
          <w:szCs w:val="24"/>
        </w:rPr>
        <w:t>元（￥</w:t>
      </w:r>
      <w:r>
        <w:rPr>
          <w:rFonts w:hint="eastAsia" w:ascii="宋体" w:hAnsi="宋体" w:eastAsia="宋体" w:cs="宋体"/>
          <w:spacing w:val="0"/>
          <w:sz w:val="24"/>
          <w:szCs w:val="24"/>
          <w:u w:val="single"/>
        </w:rPr>
        <w:t>              </w:t>
      </w:r>
      <w:r>
        <w:rPr>
          <w:rFonts w:hint="eastAsia" w:ascii="宋体" w:hAnsi="宋体" w:eastAsia="宋体" w:cs="宋体"/>
          <w:spacing w:val="0"/>
          <w:sz w:val="24"/>
          <w:szCs w:val="24"/>
        </w:rPr>
        <w:t>）。</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4、合同标的交付时间、地点和条件</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4.1交付时间：</w:t>
      </w:r>
      <w:r>
        <w:rPr>
          <w:rFonts w:hint="eastAsia" w:ascii="宋体" w:hAnsi="宋体" w:eastAsia="宋体" w:cs="宋体"/>
          <w:spacing w:val="0"/>
          <w:sz w:val="24"/>
          <w:szCs w:val="24"/>
          <w:u w:val="single"/>
        </w:rPr>
        <w:t>                     </w:t>
      </w:r>
      <w:r>
        <w:rPr>
          <w:rFonts w:hint="eastAsia" w:ascii="宋体" w:hAnsi="宋体" w:eastAsia="宋体" w:cs="宋体"/>
          <w:spacing w:val="0"/>
          <w:sz w:val="24"/>
          <w:szCs w:val="24"/>
        </w:rPr>
        <w:t>；</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4.2交付地点：</w:t>
      </w:r>
      <w:r>
        <w:rPr>
          <w:rFonts w:hint="eastAsia" w:ascii="宋体" w:hAnsi="宋体" w:eastAsia="宋体" w:cs="宋体"/>
          <w:spacing w:val="0"/>
          <w:sz w:val="24"/>
          <w:szCs w:val="24"/>
          <w:u w:val="single"/>
        </w:rPr>
        <w:t>                     </w:t>
      </w:r>
      <w:r>
        <w:rPr>
          <w:rFonts w:hint="eastAsia" w:ascii="宋体" w:hAnsi="宋体" w:eastAsia="宋体" w:cs="宋体"/>
          <w:spacing w:val="0"/>
          <w:sz w:val="24"/>
          <w:szCs w:val="24"/>
        </w:rPr>
        <w:t>；</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4.3交付条件：</w:t>
      </w:r>
      <w:r>
        <w:rPr>
          <w:rFonts w:hint="eastAsia" w:ascii="宋体" w:hAnsi="宋体" w:eastAsia="宋体" w:cs="宋体"/>
          <w:spacing w:val="0"/>
          <w:sz w:val="24"/>
          <w:szCs w:val="24"/>
          <w:u w:val="single"/>
        </w:rPr>
        <w:t>                     </w:t>
      </w:r>
      <w:r>
        <w:rPr>
          <w:rFonts w:hint="eastAsia" w:ascii="宋体" w:hAnsi="宋体" w:eastAsia="宋体" w:cs="宋体"/>
          <w:spacing w:val="0"/>
          <w:sz w:val="24"/>
          <w:szCs w:val="24"/>
        </w:rPr>
        <w:t>。</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5、合同标的应符合招标文件、乙方投标文件的规定或约定，具体如下：</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u w:val="single"/>
        </w:rPr>
        <w:t>（按照实际情况编制填写，可以是表格或文字描述）</w:t>
      </w:r>
      <w:r>
        <w:rPr>
          <w:rFonts w:hint="eastAsia" w:ascii="宋体" w:hAnsi="宋体" w:eastAsia="宋体" w:cs="宋体"/>
          <w:spacing w:val="0"/>
          <w:sz w:val="24"/>
          <w:szCs w:val="24"/>
        </w:rPr>
        <w:t>。</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6、验收</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6.1验收应按照招标文件、乙方投标文件的规定或约定进行，具体如下：</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u w:val="single"/>
        </w:rPr>
        <w:t>（按照实际情况编制填写，可以是表格或文字描述）</w:t>
      </w:r>
      <w:r>
        <w:rPr>
          <w:rFonts w:hint="eastAsia" w:ascii="宋体" w:hAnsi="宋体" w:eastAsia="宋体" w:cs="宋体"/>
          <w:spacing w:val="0"/>
          <w:sz w:val="24"/>
          <w:szCs w:val="24"/>
        </w:rPr>
        <w:t>。</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6.2本项目是否邀请其他投标人参与验收：</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□不邀请。□邀请，具体如下：</w:t>
      </w:r>
      <w:r>
        <w:rPr>
          <w:rFonts w:hint="eastAsia" w:ascii="宋体" w:hAnsi="宋体" w:eastAsia="宋体" w:cs="宋体"/>
          <w:spacing w:val="0"/>
          <w:sz w:val="24"/>
          <w:szCs w:val="24"/>
          <w:u w:val="single"/>
        </w:rPr>
        <w:t>（按照招标文件规定填写）</w:t>
      </w:r>
      <w:r>
        <w:rPr>
          <w:rFonts w:hint="eastAsia" w:ascii="宋体" w:hAnsi="宋体" w:eastAsia="宋体" w:cs="宋体"/>
          <w:spacing w:val="0"/>
          <w:sz w:val="24"/>
          <w:szCs w:val="24"/>
        </w:rPr>
        <w:t>。</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7、合同款项的支付应按照招标文件的规定进行，具体如下：</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u w:val="single"/>
        </w:rPr>
        <w:t>（按照实际情况编制填写，可以是表格或文字描述，包括一次性支付或分期支付等）</w:t>
      </w:r>
      <w:r>
        <w:rPr>
          <w:rFonts w:hint="eastAsia" w:ascii="宋体" w:hAnsi="宋体" w:eastAsia="宋体" w:cs="宋体"/>
          <w:spacing w:val="0"/>
          <w:sz w:val="24"/>
          <w:szCs w:val="24"/>
        </w:rPr>
        <w:t>。</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8、履约保证金</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□无。□有，具体如下：</w:t>
      </w:r>
      <w:r>
        <w:rPr>
          <w:rFonts w:hint="eastAsia" w:ascii="宋体" w:hAnsi="宋体" w:eastAsia="宋体" w:cs="宋体"/>
          <w:spacing w:val="0"/>
          <w:sz w:val="24"/>
          <w:szCs w:val="24"/>
          <w:u w:val="single"/>
        </w:rPr>
        <w:t>（按照招标文件规定填写）</w:t>
      </w:r>
      <w:r>
        <w:rPr>
          <w:rFonts w:hint="eastAsia" w:ascii="宋体" w:hAnsi="宋体" w:eastAsia="宋体" w:cs="宋体"/>
          <w:spacing w:val="0"/>
          <w:sz w:val="24"/>
          <w:szCs w:val="24"/>
        </w:rPr>
        <w:t>。</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9、合同有效期</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u w:val="single"/>
        </w:rPr>
        <w:t>（按照实际情况编制填写，可以是表格或文字描述）</w:t>
      </w:r>
      <w:r>
        <w:rPr>
          <w:rFonts w:hint="eastAsia" w:ascii="宋体" w:hAnsi="宋体" w:eastAsia="宋体" w:cs="宋体"/>
          <w:spacing w:val="0"/>
          <w:sz w:val="24"/>
          <w:szCs w:val="24"/>
        </w:rPr>
        <w:t>。</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10、违约责任</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u w:val="single"/>
        </w:rPr>
        <w:t>（按照实际情况编制填写，可以是表格或文字描述）</w:t>
      </w:r>
      <w:r>
        <w:rPr>
          <w:rFonts w:hint="eastAsia" w:ascii="宋体" w:hAnsi="宋体" w:eastAsia="宋体" w:cs="宋体"/>
          <w:spacing w:val="0"/>
          <w:sz w:val="24"/>
          <w:szCs w:val="24"/>
        </w:rPr>
        <w:t>。</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11、知识产权</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11.1乙方提供的采购标的应符合国家知识产权法律、法规的规定且非假冒伪劣品；乙方还应保证甲方不受到第三方关于侵犯知识产权及专利权、商标权或工业设计权等知识产权方面的指控，若任何第三方提出此方面指控均与甲方无关，乙方应与第三方交涉，并承担可能发生的一切法律责任、费用和后果；若甲方因此而遭致损失，则乙方应赔偿该损失。</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11.2若乙方提供的采购标的不符合国家知识产权法律、法规的规定或被有关主管机关认定为假冒伪劣品，则乙方中标资格将被取消；甲方还将按照有关法律、法规和规章的规定进行处理，具体如下：</w:t>
      </w:r>
      <w:r>
        <w:rPr>
          <w:rFonts w:hint="eastAsia" w:ascii="宋体" w:hAnsi="宋体" w:eastAsia="宋体" w:cs="宋体"/>
          <w:spacing w:val="0"/>
          <w:sz w:val="24"/>
          <w:szCs w:val="24"/>
          <w:u w:val="single"/>
        </w:rPr>
        <w:t>（按照实际情况编制填写）</w:t>
      </w:r>
      <w:r>
        <w:rPr>
          <w:rFonts w:hint="eastAsia" w:ascii="宋体" w:hAnsi="宋体" w:eastAsia="宋体" w:cs="宋体"/>
          <w:spacing w:val="0"/>
          <w:sz w:val="24"/>
          <w:szCs w:val="24"/>
        </w:rPr>
        <w:t>。</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12、解决争议的方法</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12.1甲、乙双方协商解决。</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12.2若协商解决不成，则通过下列途径之一解决：</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□提交仲裁委员会仲裁，具体如下：</w:t>
      </w:r>
      <w:r>
        <w:rPr>
          <w:rFonts w:hint="eastAsia" w:ascii="宋体" w:hAnsi="宋体" w:eastAsia="宋体" w:cs="宋体"/>
          <w:spacing w:val="0"/>
          <w:sz w:val="24"/>
          <w:szCs w:val="24"/>
          <w:u w:val="single"/>
        </w:rPr>
        <w:t>（按照实际情况编制填写）</w:t>
      </w:r>
      <w:r>
        <w:rPr>
          <w:rFonts w:hint="eastAsia" w:ascii="宋体" w:hAnsi="宋体" w:eastAsia="宋体" w:cs="宋体"/>
          <w:spacing w:val="0"/>
          <w:sz w:val="24"/>
          <w:szCs w:val="24"/>
        </w:rPr>
        <w:t>。</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□向人民法院提起诉讼，具体如下：</w:t>
      </w:r>
      <w:r>
        <w:rPr>
          <w:rFonts w:hint="eastAsia" w:ascii="宋体" w:hAnsi="宋体" w:eastAsia="宋体" w:cs="宋体"/>
          <w:spacing w:val="0"/>
          <w:sz w:val="24"/>
          <w:szCs w:val="24"/>
          <w:u w:val="single"/>
        </w:rPr>
        <w:t>（按照实际情况编制填写）</w:t>
      </w:r>
      <w:r>
        <w:rPr>
          <w:rFonts w:hint="eastAsia" w:ascii="宋体" w:hAnsi="宋体" w:eastAsia="宋体" w:cs="宋体"/>
          <w:spacing w:val="0"/>
          <w:sz w:val="24"/>
          <w:szCs w:val="24"/>
        </w:rPr>
        <w:t>。</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13、不可抗力</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13.1因不可抗力造成违约的，遭受不可抗力一方应及时向对方通报不能履行或不能完全履行的理由，并在随后取得有关主管机关证明后的</w:t>
      </w:r>
      <w:r>
        <w:rPr>
          <w:rFonts w:hint="default" w:ascii="Calibri" w:hAnsi="Calibri" w:cs="Calibri"/>
          <w:spacing w:val="0"/>
          <w:sz w:val="24"/>
          <w:szCs w:val="24"/>
        </w:rPr>
        <w:t>15</w:t>
      </w:r>
      <w:r>
        <w:rPr>
          <w:rFonts w:hint="eastAsia" w:ascii="宋体" w:hAnsi="宋体" w:eastAsia="宋体" w:cs="宋体"/>
          <w:spacing w:val="0"/>
          <w:sz w:val="24"/>
          <w:szCs w:val="24"/>
        </w:rPr>
        <w:t>日内向另一方提供不可抗力发生及持续期间的充分证据。基于以上行为，允许遭受不可抗力一方延期履行、部分履行或不履行合同，并根据情况可部分或全部免于承担违约责任。</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13.2本合同中的不可抗力指不能预见、不能避免、不能克服的客观情况，包括但不限于：自然灾害如地震、台风、洪水、火灾及政府行为、法律规定或其适用的变化或其他任何无法预见、避免或控制的事件。</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14、合同条款</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u w:val="single"/>
        </w:rPr>
        <w:t>（按照实际情况编制填写。招标文件第五章已有规定的，双方均不得变更或调整；招标文件第五章未作规定的，双方可通过友好协商进行约定）</w:t>
      </w:r>
      <w:r>
        <w:rPr>
          <w:rFonts w:hint="eastAsia" w:ascii="宋体" w:hAnsi="宋体" w:eastAsia="宋体" w:cs="宋体"/>
          <w:spacing w:val="0"/>
          <w:sz w:val="24"/>
          <w:szCs w:val="24"/>
        </w:rPr>
        <w:t>。</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15、其他约定</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15.1合同文件与本合同具有同等法律效力。</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15.2本合同未尽事宜，双方可另行补充。</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15.3合同生效：自签订之日起生效；通过福建省政府采购网上公开信息系统采用电子形式签订合同的，签订之日以系统记载的双方使用各自</w:t>
      </w:r>
      <w:r>
        <w:rPr>
          <w:rFonts w:hint="default" w:ascii="Calibri" w:hAnsi="Calibri" w:cs="Calibri"/>
          <w:spacing w:val="0"/>
          <w:sz w:val="24"/>
          <w:szCs w:val="24"/>
        </w:rPr>
        <w:t>CA</w:t>
      </w:r>
      <w:r>
        <w:rPr>
          <w:rFonts w:hint="eastAsia" w:ascii="宋体" w:hAnsi="宋体" w:eastAsia="宋体" w:cs="宋体"/>
          <w:spacing w:val="0"/>
          <w:sz w:val="24"/>
          <w:szCs w:val="24"/>
        </w:rPr>
        <w:t>证书在合同上加盖单位公章或合同章的日期中的最晚时间为准。</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15.4本合同一式</w:t>
      </w:r>
      <w:r>
        <w:rPr>
          <w:rFonts w:hint="eastAsia" w:ascii="宋体" w:hAnsi="宋体" w:eastAsia="宋体" w:cs="宋体"/>
          <w:spacing w:val="0"/>
          <w:sz w:val="24"/>
          <w:szCs w:val="24"/>
          <w:u w:val="single"/>
        </w:rPr>
        <w:t>（填写具体份数）</w:t>
      </w:r>
      <w:r>
        <w:rPr>
          <w:rFonts w:hint="eastAsia" w:ascii="宋体" w:hAnsi="宋体" w:eastAsia="宋体" w:cs="宋体"/>
          <w:spacing w:val="0"/>
          <w:sz w:val="24"/>
          <w:szCs w:val="24"/>
        </w:rPr>
        <w:t>份，经双方授权代表签字并盖章后生效。甲方、乙方各执</w:t>
      </w:r>
      <w:r>
        <w:rPr>
          <w:rFonts w:hint="eastAsia" w:ascii="宋体" w:hAnsi="宋体" w:eastAsia="宋体" w:cs="宋体"/>
          <w:spacing w:val="0"/>
          <w:sz w:val="24"/>
          <w:szCs w:val="24"/>
          <w:u w:val="single"/>
        </w:rPr>
        <w:t>（填写具体份数）</w:t>
      </w:r>
      <w:r>
        <w:rPr>
          <w:rFonts w:hint="eastAsia" w:ascii="宋体" w:hAnsi="宋体" w:eastAsia="宋体" w:cs="宋体"/>
          <w:spacing w:val="0"/>
          <w:sz w:val="24"/>
          <w:szCs w:val="24"/>
        </w:rPr>
        <w:t>份，送</w:t>
      </w:r>
      <w:r>
        <w:rPr>
          <w:rFonts w:hint="eastAsia" w:ascii="宋体" w:hAnsi="宋体" w:eastAsia="宋体" w:cs="宋体"/>
          <w:spacing w:val="0"/>
          <w:sz w:val="24"/>
          <w:szCs w:val="24"/>
          <w:u w:val="single"/>
        </w:rPr>
        <w:t>（填写需要备案的监管部门的全称）</w:t>
      </w:r>
      <w:r>
        <w:rPr>
          <w:rFonts w:hint="eastAsia" w:ascii="宋体" w:hAnsi="宋体" w:eastAsia="宋体" w:cs="宋体"/>
          <w:spacing w:val="0"/>
          <w:sz w:val="24"/>
          <w:szCs w:val="24"/>
        </w:rPr>
        <w:t>备案</w:t>
      </w:r>
      <w:r>
        <w:rPr>
          <w:rFonts w:hint="eastAsia" w:ascii="宋体" w:hAnsi="宋体" w:eastAsia="宋体" w:cs="宋体"/>
          <w:spacing w:val="0"/>
          <w:sz w:val="24"/>
          <w:szCs w:val="24"/>
          <w:u w:val="single"/>
        </w:rPr>
        <w:t>（填写具体份数）</w:t>
      </w:r>
      <w:r>
        <w:rPr>
          <w:rFonts w:hint="eastAsia" w:ascii="宋体" w:hAnsi="宋体" w:eastAsia="宋体" w:cs="宋体"/>
          <w:spacing w:val="0"/>
          <w:sz w:val="24"/>
          <w:szCs w:val="24"/>
        </w:rPr>
        <w:t>份，具有同等效力。</w:t>
      </w:r>
    </w:p>
    <w:p>
      <w:pPr>
        <w:pStyle w:val="4"/>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15.5其他：□无。□</w:t>
      </w:r>
      <w:r>
        <w:rPr>
          <w:rFonts w:hint="eastAsia" w:ascii="宋体" w:hAnsi="宋体" w:eastAsia="宋体" w:cs="宋体"/>
          <w:spacing w:val="0"/>
          <w:sz w:val="24"/>
          <w:szCs w:val="24"/>
          <w:u w:val="single"/>
        </w:rPr>
        <w:t>（按照实际情况编制填写需要增加的内容）</w:t>
      </w:r>
      <w:r>
        <w:rPr>
          <w:rFonts w:hint="eastAsia" w:ascii="宋体" w:hAnsi="宋体" w:eastAsia="宋体" w:cs="宋体"/>
          <w:spacing w:val="0"/>
          <w:sz w:val="24"/>
          <w:szCs w:val="24"/>
        </w:rPr>
        <w:t>。</w:t>
      </w:r>
    </w:p>
    <w:p>
      <w:pPr>
        <w:pStyle w:val="4"/>
        <w:keepNext w:val="0"/>
        <w:keepLines w:val="0"/>
        <w:widowControl/>
        <w:suppressLineNumbers w:val="0"/>
        <w:spacing w:before="75" w:beforeAutospacing="0" w:after="75" w:afterAutospacing="0"/>
        <w:ind w:left="0" w:right="0" w:firstLine="0"/>
        <w:jc w:val="center"/>
      </w:pPr>
      <w:r>
        <w:rPr>
          <w:rFonts w:hint="eastAsia" w:ascii="宋体" w:hAnsi="宋体" w:eastAsia="宋体" w:cs="宋体"/>
          <w:spacing w:val="0"/>
          <w:sz w:val="24"/>
          <w:szCs w:val="24"/>
        </w:rPr>
        <w:t>（以下无正文）</w:t>
      </w:r>
    </w:p>
    <w:p>
      <w:pPr>
        <w:pStyle w:val="4"/>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 </w:t>
      </w:r>
    </w:p>
    <w:p>
      <w:pPr>
        <w:pStyle w:val="4"/>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 </w:t>
      </w:r>
    </w:p>
    <w:p>
      <w:pPr>
        <w:pStyle w:val="4"/>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甲方：                                  乙方：</w:t>
      </w:r>
    </w:p>
    <w:p>
      <w:pPr>
        <w:pStyle w:val="4"/>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住所：                                  住所：</w:t>
      </w:r>
    </w:p>
    <w:p>
      <w:pPr>
        <w:pStyle w:val="4"/>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单位负责人：                            单位负责人：</w:t>
      </w:r>
    </w:p>
    <w:p>
      <w:pPr>
        <w:pStyle w:val="4"/>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 </w:t>
      </w:r>
    </w:p>
    <w:p>
      <w:pPr>
        <w:pStyle w:val="4"/>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委托代理人：                            委托代理人：</w:t>
      </w:r>
    </w:p>
    <w:p>
      <w:pPr>
        <w:pStyle w:val="4"/>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 </w:t>
      </w:r>
    </w:p>
    <w:p>
      <w:pPr>
        <w:pStyle w:val="4"/>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联系方法：                              联系方法：</w:t>
      </w:r>
    </w:p>
    <w:p>
      <w:pPr>
        <w:pStyle w:val="4"/>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开户银行：                              开户银行：</w:t>
      </w:r>
    </w:p>
    <w:p>
      <w:pPr>
        <w:pStyle w:val="4"/>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账号：                                  账号：</w:t>
      </w:r>
    </w:p>
    <w:p>
      <w:pPr>
        <w:pStyle w:val="4"/>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 </w:t>
      </w:r>
    </w:p>
    <w:p>
      <w:pPr>
        <w:pStyle w:val="4"/>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 </w:t>
      </w:r>
    </w:p>
    <w:p>
      <w:pPr>
        <w:pStyle w:val="4"/>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签订地点：</w:t>
      </w:r>
      <w:r>
        <w:rPr>
          <w:rFonts w:hint="eastAsia" w:ascii="宋体" w:hAnsi="宋体" w:eastAsia="宋体" w:cs="宋体"/>
          <w:spacing w:val="0"/>
          <w:sz w:val="24"/>
          <w:szCs w:val="24"/>
          <w:u w:val="single"/>
        </w:rPr>
        <w:t>                </w:t>
      </w:r>
    </w:p>
    <w:p>
      <w:pPr>
        <w:pStyle w:val="4"/>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签订日期：</w:t>
      </w:r>
      <w:r>
        <w:rPr>
          <w:rFonts w:hint="eastAsia" w:ascii="宋体" w:hAnsi="宋体" w:eastAsia="宋体" w:cs="宋体"/>
          <w:spacing w:val="0"/>
          <w:sz w:val="24"/>
          <w:szCs w:val="24"/>
          <w:u w:val="single"/>
        </w:rPr>
        <w:t>    </w:t>
      </w:r>
      <w:r>
        <w:rPr>
          <w:rFonts w:hint="eastAsia" w:ascii="宋体" w:hAnsi="宋体" w:eastAsia="宋体" w:cs="宋体"/>
          <w:spacing w:val="0"/>
          <w:sz w:val="24"/>
          <w:szCs w:val="24"/>
        </w:rPr>
        <w:t>年</w:t>
      </w:r>
      <w:r>
        <w:rPr>
          <w:rFonts w:hint="eastAsia" w:ascii="宋体" w:hAnsi="宋体" w:eastAsia="宋体" w:cs="宋体"/>
          <w:spacing w:val="0"/>
          <w:sz w:val="24"/>
          <w:szCs w:val="24"/>
          <w:u w:val="single"/>
        </w:rPr>
        <w:t>   </w:t>
      </w:r>
      <w:r>
        <w:rPr>
          <w:rFonts w:hint="eastAsia" w:ascii="宋体" w:hAnsi="宋体" w:eastAsia="宋体" w:cs="宋体"/>
          <w:spacing w:val="0"/>
          <w:sz w:val="24"/>
          <w:szCs w:val="24"/>
        </w:rPr>
        <w:t>月</w:t>
      </w:r>
      <w:r>
        <w:rPr>
          <w:rFonts w:hint="eastAsia" w:ascii="宋体" w:hAnsi="宋体" w:eastAsia="宋体" w:cs="宋体"/>
          <w:spacing w:val="0"/>
          <w:sz w:val="24"/>
          <w:szCs w:val="24"/>
          <w:u w:val="single"/>
        </w:rPr>
        <w:t>   </w:t>
      </w:r>
      <w:r>
        <w:rPr>
          <w:rFonts w:hint="eastAsia" w:ascii="宋体" w:hAnsi="宋体" w:eastAsia="宋体" w:cs="宋体"/>
          <w:spacing w:val="0"/>
          <w:sz w:val="24"/>
          <w:szCs w:val="24"/>
        </w:rPr>
        <w:t>日</w:t>
      </w:r>
    </w:p>
    <w:p>
      <w:pPr>
        <w:pStyle w:val="4"/>
        <w:keepNext w:val="0"/>
        <w:keepLines w:val="0"/>
        <w:widowControl/>
        <w:suppressLineNumbers w:val="0"/>
        <w:spacing w:before="75" w:beforeAutospacing="0" w:after="75" w:afterAutospacing="0"/>
        <w:ind w:left="0" w:right="0" w:firstLine="0"/>
        <w:jc w:val="center"/>
      </w:pPr>
      <w:r>
        <w:rPr>
          <w:spacing w:val="0"/>
          <w:sz w:val="24"/>
          <w:szCs w:val="24"/>
        </w:rPr>
        <w:t> </w:t>
      </w:r>
    </w:p>
    <w:p>
      <w:pPr>
        <w:pStyle w:val="4"/>
        <w:keepNext w:val="0"/>
        <w:keepLines w:val="0"/>
        <w:widowControl/>
        <w:suppressLineNumbers w:val="0"/>
        <w:spacing w:before="75" w:beforeAutospacing="0" w:after="240" w:afterAutospacing="0"/>
        <w:ind w:left="0" w:right="0" w:firstLine="0"/>
      </w:pPr>
      <w:r>
        <w:rPr>
          <w:spacing w:val="0"/>
          <w:sz w:val="24"/>
          <w:szCs w:val="24"/>
        </w:rPr>
        <w:t> </w:t>
      </w:r>
    </w:p>
    <w:p>
      <w:pPr>
        <w:pStyle w:val="4"/>
        <w:keepNext w:val="0"/>
        <w:keepLines w:val="0"/>
        <w:widowControl/>
        <w:suppressLineNumbers w:val="0"/>
        <w:spacing w:before="75" w:beforeAutospacing="0" w:after="75" w:afterAutospacing="0"/>
        <w:ind w:left="0" w:right="0" w:firstLine="0"/>
      </w:pPr>
      <w:r>
        <w:rPr>
          <w:rFonts w:hint="default" w:ascii="Calibri" w:hAnsi="Calibri" w:cs="Calibri"/>
          <w:spacing w:val="0"/>
          <w:sz w:val="21"/>
          <w:szCs w:val="21"/>
        </w:rPr>
        <w:t>                                                                                  </w:t>
      </w:r>
    </w:p>
    <w:p>
      <w:pPr>
        <w:pStyle w:val="4"/>
        <w:keepNext w:val="0"/>
        <w:keepLines w:val="0"/>
        <w:widowControl/>
        <w:suppressLineNumbers w:val="0"/>
        <w:spacing w:before="75" w:beforeAutospacing="0" w:after="75" w:afterAutospacing="0"/>
        <w:ind w:left="0" w:right="0" w:firstLine="0"/>
        <w:jc w:val="center"/>
      </w:pPr>
      <w:r>
        <w:rPr>
          <w:rStyle w:val="6"/>
          <w:rFonts w:hint="eastAsia" w:ascii="宋体" w:hAnsi="宋体" w:eastAsia="宋体" w:cs="宋体"/>
          <w:spacing w:val="0"/>
          <w:sz w:val="31"/>
          <w:szCs w:val="31"/>
        </w:rPr>
        <w:t>第七章   投标文件格式</w:t>
      </w:r>
    </w:p>
    <w:p>
      <w:pPr>
        <w:pStyle w:val="4"/>
        <w:keepNext w:val="0"/>
        <w:keepLines w:val="0"/>
        <w:widowControl/>
        <w:suppressLineNumbers w:val="0"/>
        <w:jc w:val="center"/>
      </w:pPr>
      <w:r>
        <w:rPr>
          <w:rStyle w:val="6"/>
          <w:rFonts w:hint="eastAsia" w:ascii="宋体" w:hAnsi="宋体" w:eastAsia="宋体" w:cs="宋体"/>
          <w:sz w:val="24"/>
          <w:szCs w:val="24"/>
        </w:rPr>
        <w:t>编制说明</w:t>
      </w:r>
    </w:p>
    <w:p>
      <w:pPr>
        <w:pStyle w:val="4"/>
        <w:keepNext w:val="0"/>
        <w:keepLines w:val="0"/>
        <w:widowControl/>
        <w:suppressLineNumbers w:val="0"/>
      </w:pPr>
      <w:r>
        <w:rPr>
          <w:rFonts w:hint="eastAsia" w:ascii="宋体" w:hAnsi="宋体" w:eastAsia="宋体" w:cs="宋体"/>
          <w:sz w:val="24"/>
          <w:szCs w:val="24"/>
        </w:rPr>
        <w:t> </w:t>
      </w:r>
    </w:p>
    <w:p>
      <w:pPr>
        <w:pStyle w:val="4"/>
        <w:keepNext w:val="0"/>
        <w:keepLines w:val="0"/>
        <w:widowControl/>
        <w:suppressLineNumbers w:val="0"/>
        <w:ind w:left="0" w:firstLine="480"/>
      </w:pPr>
      <w:r>
        <w:rPr>
          <w:rFonts w:hint="eastAsia" w:ascii="宋体" w:hAnsi="宋体" w:eastAsia="宋体" w:cs="宋体"/>
          <w:sz w:val="24"/>
          <w:szCs w:val="24"/>
        </w:rPr>
        <w:t>1、除招标文件另有规定外，本章中：</w:t>
      </w:r>
    </w:p>
    <w:p>
      <w:pPr>
        <w:pStyle w:val="4"/>
        <w:keepNext w:val="0"/>
        <w:keepLines w:val="0"/>
        <w:widowControl/>
        <w:suppressLineNumbers w:val="0"/>
        <w:ind w:left="0" w:firstLine="480"/>
      </w:pPr>
      <w:r>
        <w:rPr>
          <w:rFonts w:hint="eastAsia" w:ascii="宋体" w:hAnsi="宋体" w:eastAsia="宋体" w:cs="宋体"/>
          <w:sz w:val="24"/>
          <w:szCs w:val="24"/>
        </w:rPr>
        <w:t>1.1涉及投标人的</w:t>
      </w:r>
      <w:r>
        <w:rPr>
          <w:rStyle w:val="6"/>
          <w:rFonts w:hint="eastAsia" w:ascii="宋体" w:hAnsi="宋体" w:eastAsia="宋体" w:cs="宋体"/>
          <w:sz w:val="24"/>
          <w:szCs w:val="24"/>
        </w:rPr>
        <w:t>“全称”</w:t>
      </w:r>
      <w:r>
        <w:rPr>
          <w:rFonts w:hint="eastAsia" w:ascii="宋体" w:hAnsi="宋体" w:eastAsia="宋体" w:cs="宋体"/>
          <w:sz w:val="24"/>
          <w:szCs w:val="24"/>
        </w:rPr>
        <w:t>：</w:t>
      </w:r>
    </w:p>
    <w:p>
      <w:pPr>
        <w:pStyle w:val="4"/>
        <w:keepNext w:val="0"/>
        <w:keepLines w:val="0"/>
        <w:widowControl/>
        <w:suppressLineNumbers w:val="0"/>
        <w:ind w:left="0" w:firstLine="480"/>
      </w:pPr>
      <w:r>
        <w:rPr>
          <w:rFonts w:hint="eastAsia" w:ascii="宋体" w:hAnsi="宋体" w:eastAsia="宋体" w:cs="宋体"/>
          <w:sz w:val="24"/>
          <w:szCs w:val="24"/>
        </w:rPr>
        <w:t>（1）不接受联合体投标的，指</w:t>
      </w:r>
      <w:r>
        <w:rPr>
          <w:rStyle w:val="6"/>
          <w:rFonts w:hint="eastAsia" w:ascii="宋体" w:hAnsi="宋体" w:eastAsia="宋体" w:cs="宋体"/>
          <w:sz w:val="24"/>
          <w:szCs w:val="24"/>
        </w:rPr>
        <w:t>投标人的全称</w:t>
      </w:r>
      <w:r>
        <w:rPr>
          <w:rFonts w:hint="eastAsia" w:ascii="宋体" w:hAnsi="宋体" w:eastAsia="宋体" w:cs="宋体"/>
          <w:sz w:val="24"/>
          <w:szCs w:val="24"/>
        </w:rPr>
        <w:t>。</w:t>
      </w:r>
    </w:p>
    <w:p>
      <w:pPr>
        <w:pStyle w:val="4"/>
        <w:keepNext w:val="0"/>
        <w:keepLines w:val="0"/>
        <w:widowControl/>
        <w:suppressLineNumbers w:val="0"/>
        <w:ind w:left="0" w:firstLine="480"/>
      </w:pPr>
      <w:r>
        <w:rPr>
          <w:rFonts w:hint="eastAsia" w:ascii="宋体" w:hAnsi="宋体" w:eastAsia="宋体" w:cs="宋体"/>
          <w:sz w:val="24"/>
          <w:szCs w:val="24"/>
        </w:rPr>
        <w:t>（2）接受联合体投标且投标人为联合体的，指</w:t>
      </w:r>
      <w:r>
        <w:rPr>
          <w:rStyle w:val="6"/>
          <w:rFonts w:hint="eastAsia" w:ascii="宋体" w:hAnsi="宋体" w:eastAsia="宋体" w:cs="宋体"/>
          <w:sz w:val="24"/>
          <w:szCs w:val="24"/>
        </w:rPr>
        <w:t>牵头方的全称</w:t>
      </w:r>
      <w:r>
        <w:rPr>
          <w:rFonts w:hint="eastAsia" w:ascii="宋体" w:hAnsi="宋体" w:eastAsia="宋体" w:cs="宋体"/>
          <w:sz w:val="24"/>
          <w:szCs w:val="24"/>
        </w:rPr>
        <w:t>并加注</w:t>
      </w:r>
      <w:r>
        <w:rPr>
          <w:rStyle w:val="6"/>
          <w:rFonts w:hint="eastAsia" w:ascii="宋体" w:hAnsi="宋体" w:eastAsia="宋体" w:cs="宋体"/>
          <w:sz w:val="24"/>
          <w:szCs w:val="24"/>
        </w:rPr>
        <w:t>（联合体牵头方）</w:t>
      </w:r>
      <w:r>
        <w:rPr>
          <w:rFonts w:hint="eastAsia" w:ascii="宋体" w:hAnsi="宋体" w:eastAsia="宋体" w:cs="宋体"/>
          <w:sz w:val="24"/>
          <w:szCs w:val="24"/>
        </w:rPr>
        <w:t>，即应表述为：</w:t>
      </w:r>
      <w:r>
        <w:rPr>
          <w:rStyle w:val="6"/>
          <w:rFonts w:hint="eastAsia" w:ascii="宋体" w:hAnsi="宋体" w:eastAsia="宋体" w:cs="宋体"/>
          <w:sz w:val="24"/>
          <w:szCs w:val="24"/>
        </w:rPr>
        <w:t>“牵头方的全称（联合体牵头方）”</w:t>
      </w:r>
      <w:r>
        <w:rPr>
          <w:rFonts w:hint="eastAsia" w:ascii="宋体" w:hAnsi="宋体" w:eastAsia="宋体" w:cs="宋体"/>
          <w:sz w:val="24"/>
          <w:szCs w:val="24"/>
        </w:rPr>
        <w:t>。</w:t>
      </w:r>
    </w:p>
    <w:p>
      <w:pPr>
        <w:pStyle w:val="4"/>
        <w:keepNext w:val="0"/>
        <w:keepLines w:val="0"/>
        <w:widowControl/>
        <w:suppressLineNumbers w:val="0"/>
        <w:ind w:left="0" w:firstLine="480"/>
      </w:pPr>
      <w:r>
        <w:rPr>
          <w:rFonts w:hint="eastAsia" w:ascii="宋体" w:hAnsi="宋体" w:eastAsia="宋体" w:cs="宋体"/>
          <w:sz w:val="24"/>
          <w:szCs w:val="24"/>
        </w:rPr>
        <w:t>1.2涉及投标人</w:t>
      </w:r>
      <w:r>
        <w:rPr>
          <w:rStyle w:val="6"/>
          <w:rFonts w:hint="eastAsia" w:ascii="宋体" w:hAnsi="宋体" w:eastAsia="宋体" w:cs="宋体"/>
          <w:sz w:val="24"/>
          <w:szCs w:val="24"/>
        </w:rPr>
        <w:t>“加盖单位公章”</w:t>
      </w:r>
      <w:r>
        <w:rPr>
          <w:rFonts w:hint="eastAsia" w:ascii="宋体" w:hAnsi="宋体" w:eastAsia="宋体" w:cs="宋体"/>
          <w:sz w:val="24"/>
          <w:szCs w:val="24"/>
        </w:rPr>
        <w:t>：</w:t>
      </w:r>
    </w:p>
    <w:p>
      <w:pPr>
        <w:pStyle w:val="4"/>
        <w:keepNext w:val="0"/>
        <w:keepLines w:val="0"/>
        <w:widowControl/>
        <w:suppressLineNumbers w:val="0"/>
        <w:ind w:left="0" w:firstLine="480"/>
      </w:pPr>
      <w:r>
        <w:rPr>
          <w:rFonts w:hint="eastAsia" w:ascii="宋体" w:hAnsi="宋体" w:eastAsia="宋体" w:cs="宋体"/>
          <w:sz w:val="24"/>
          <w:szCs w:val="24"/>
        </w:rPr>
        <w:t>（1）不接受联合体投标的，指</w:t>
      </w:r>
      <w:r>
        <w:rPr>
          <w:rStyle w:val="6"/>
          <w:rFonts w:hint="eastAsia" w:ascii="宋体" w:hAnsi="宋体" w:eastAsia="宋体" w:cs="宋体"/>
          <w:sz w:val="24"/>
          <w:szCs w:val="24"/>
        </w:rPr>
        <w:t>加盖投标人的单位公章</w:t>
      </w:r>
      <w:r>
        <w:rPr>
          <w:rFonts w:hint="eastAsia" w:ascii="宋体" w:hAnsi="宋体" w:eastAsia="宋体" w:cs="宋体"/>
          <w:sz w:val="24"/>
          <w:szCs w:val="24"/>
        </w:rPr>
        <w:t>。</w:t>
      </w:r>
    </w:p>
    <w:p>
      <w:pPr>
        <w:pStyle w:val="4"/>
        <w:keepNext w:val="0"/>
        <w:keepLines w:val="0"/>
        <w:widowControl/>
        <w:suppressLineNumbers w:val="0"/>
        <w:ind w:left="0" w:firstLine="480"/>
      </w:pPr>
      <w:r>
        <w:rPr>
          <w:rFonts w:hint="eastAsia" w:ascii="宋体" w:hAnsi="宋体" w:eastAsia="宋体" w:cs="宋体"/>
          <w:sz w:val="24"/>
          <w:szCs w:val="24"/>
        </w:rPr>
        <w:t>（2）接受联合体投标且投标人为联合体的，指</w:t>
      </w:r>
      <w:r>
        <w:rPr>
          <w:rStyle w:val="6"/>
          <w:rFonts w:hint="eastAsia" w:ascii="宋体" w:hAnsi="宋体" w:eastAsia="宋体" w:cs="宋体"/>
          <w:sz w:val="24"/>
          <w:szCs w:val="24"/>
        </w:rPr>
        <w:t>加盖联合体牵头方的单位公章</w:t>
      </w:r>
      <w:r>
        <w:rPr>
          <w:rFonts w:hint="eastAsia" w:ascii="宋体" w:hAnsi="宋体" w:eastAsia="宋体" w:cs="宋体"/>
          <w:sz w:val="24"/>
          <w:szCs w:val="24"/>
        </w:rPr>
        <w:t>。</w:t>
      </w:r>
    </w:p>
    <w:p>
      <w:pPr>
        <w:pStyle w:val="4"/>
        <w:keepNext w:val="0"/>
        <w:keepLines w:val="0"/>
        <w:widowControl/>
        <w:suppressLineNumbers w:val="0"/>
        <w:ind w:left="0" w:firstLine="480"/>
      </w:pPr>
      <w:r>
        <w:rPr>
          <w:rFonts w:hint="eastAsia" w:ascii="宋体" w:hAnsi="宋体" w:eastAsia="宋体" w:cs="宋体"/>
          <w:sz w:val="24"/>
          <w:szCs w:val="24"/>
        </w:rPr>
        <w:t>1.3涉及</w:t>
      </w:r>
      <w:r>
        <w:rPr>
          <w:rStyle w:val="6"/>
          <w:rFonts w:hint="eastAsia" w:ascii="宋体" w:hAnsi="宋体" w:eastAsia="宋体" w:cs="宋体"/>
          <w:sz w:val="24"/>
          <w:szCs w:val="24"/>
        </w:rPr>
        <w:t>“投标人代表签字”</w:t>
      </w:r>
      <w:r>
        <w:rPr>
          <w:rFonts w:hint="eastAsia" w:ascii="宋体" w:hAnsi="宋体" w:eastAsia="宋体" w:cs="宋体"/>
          <w:sz w:val="24"/>
          <w:szCs w:val="24"/>
        </w:rPr>
        <w:t>：</w:t>
      </w:r>
    </w:p>
    <w:p>
      <w:pPr>
        <w:pStyle w:val="4"/>
        <w:keepNext w:val="0"/>
        <w:keepLines w:val="0"/>
        <w:widowControl/>
        <w:suppressLineNumbers w:val="0"/>
        <w:ind w:left="0" w:firstLine="480"/>
      </w:pPr>
      <w:r>
        <w:rPr>
          <w:rFonts w:hint="eastAsia" w:ascii="宋体" w:hAnsi="宋体" w:eastAsia="宋体" w:cs="宋体"/>
          <w:sz w:val="24"/>
          <w:szCs w:val="24"/>
        </w:rPr>
        <w:t>（1）不接受联合体投标的，指由</w:t>
      </w:r>
      <w:r>
        <w:rPr>
          <w:rStyle w:val="6"/>
          <w:rFonts w:hint="eastAsia" w:ascii="宋体" w:hAnsi="宋体" w:eastAsia="宋体" w:cs="宋体"/>
          <w:sz w:val="24"/>
          <w:szCs w:val="24"/>
        </w:rPr>
        <w:t>投标人的单位负责人或其授权的委托代理人签字</w:t>
      </w:r>
      <w:r>
        <w:rPr>
          <w:rFonts w:hint="eastAsia" w:ascii="宋体" w:hAnsi="宋体" w:eastAsia="宋体" w:cs="宋体"/>
          <w:sz w:val="24"/>
          <w:szCs w:val="24"/>
        </w:rPr>
        <w:t>，由委托代理人签字的，应提供“单位负责人授权书”。</w:t>
      </w:r>
    </w:p>
    <w:p>
      <w:pPr>
        <w:pStyle w:val="4"/>
        <w:keepNext w:val="0"/>
        <w:keepLines w:val="0"/>
        <w:widowControl/>
        <w:suppressLineNumbers w:val="0"/>
        <w:ind w:left="0" w:firstLine="480"/>
      </w:pPr>
      <w:r>
        <w:rPr>
          <w:rFonts w:hint="eastAsia" w:ascii="宋体" w:hAnsi="宋体" w:eastAsia="宋体" w:cs="宋体"/>
          <w:sz w:val="24"/>
          <w:szCs w:val="24"/>
        </w:rPr>
        <w:t>（2）接受联合体投标且投标人为联合体的，指由</w:t>
      </w:r>
      <w:r>
        <w:rPr>
          <w:rStyle w:val="6"/>
          <w:rFonts w:hint="eastAsia" w:ascii="宋体" w:hAnsi="宋体" w:eastAsia="宋体" w:cs="宋体"/>
          <w:sz w:val="24"/>
          <w:szCs w:val="24"/>
        </w:rPr>
        <w:t>联合体牵头方的单位负责人或其授权的委托代理人签字</w:t>
      </w:r>
      <w:r>
        <w:rPr>
          <w:rFonts w:hint="eastAsia" w:ascii="宋体" w:hAnsi="宋体" w:eastAsia="宋体" w:cs="宋体"/>
          <w:sz w:val="24"/>
          <w:szCs w:val="24"/>
        </w:rPr>
        <w:t>，由委托代理人签字的，应提供“单位负责人授权书”。</w:t>
      </w:r>
    </w:p>
    <w:p>
      <w:pPr>
        <w:pStyle w:val="4"/>
        <w:keepNext w:val="0"/>
        <w:keepLines w:val="0"/>
        <w:widowControl/>
        <w:suppressLineNumbers w:val="0"/>
        <w:ind w:left="0" w:firstLine="480"/>
      </w:pPr>
      <w:r>
        <w:rPr>
          <w:rFonts w:hint="eastAsia" w:ascii="宋体" w:hAnsi="宋体" w:eastAsia="宋体" w:cs="宋体"/>
          <w:sz w:val="24"/>
          <w:szCs w:val="24"/>
        </w:rPr>
        <w:t>1.4</w:t>
      </w:r>
      <w:r>
        <w:rPr>
          <w:rStyle w:val="6"/>
          <w:rFonts w:hint="eastAsia" w:ascii="宋体" w:hAnsi="宋体" w:eastAsia="宋体" w:cs="宋体"/>
          <w:sz w:val="24"/>
          <w:szCs w:val="24"/>
        </w:rPr>
        <w:t>“其他组织”</w:t>
      </w:r>
      <w:r>
        <w:rPr>
          <w:rFonts w:hint="eastAsia" w:ascii="宋体" w:hAnsi="宋体" w:eastAsia="宋体" w:cs="宋体"/>
          <w:sz w:val="24"/>
          <w:szCs w:val="24"/>
        </w:rPr>
        <w:t>指合伙企业、非企业专业服务机构、个体工商户、农村承包经营户等。</w:t>
      </w:r>
    </w:p>
    <w:p>
      <w:pPr>
        <w:pStyle w:val="4"/>
        <w:keepNext w:val="0"/>
        <w:keepLines w:val="0"/>
        <w:widowControl/>
        <w:suppressLineNumbers w:val="0"/>
        <w:ind w:left="0" w:firstLine="480"/>
      </w:pPr>
      <w:r>
        <w:rPr>
          <w:rFonts w:hint="eastAsia" w:ascii="宋体" w:hAnsi="宋体" w:eastAsia="宋体" w:cs="宋体"/>
          <w:sz w:val="24"/>
          <w:szCs w:val="24"/>
        </w:rPr>
        <w:t>1.5</w:t>
      </w:r>
      <w:r>
        <w:rPr>
          <w:rStyle w:val="6"/>
          <w:rFonts w:hint="eastAsia" w:ascii="宋体" w:hAnsi="宋体" w:eastAsia="宋体" w:cs="宋体"/>
          <w:sz w:val="24"/>
          <w:szCs w:val="24"/>
        </w:rPr>
        <w:t>“自然人”</w:t>
      </w:r>
      <w:r>
        <w:rPr>
          <w:rFonts w:hint="eastAsia" w:ascii="宋体" w:hAnsi="宋体" w:eastAsia="宋体" w:cs="宋体"/>
          <w:sz w:val="24"/>
          <w:szCs w:val="24"/>
        </w:rPr>
        <w:t>指具有完全民事行为能力、能够承担民事责任和义务的中国公民。</w:t>
      </w:r>
    </w:p>
    <w:p>
      <w:pPr>
        <w:pStyle w:val="4"/>
        <w:keepNext w:val="0"/>
        <w:keepLines w:val="0"/>
        <w:widowControl/>
        <w:suppressLineNumbers w:val="0"/>
        <w:ind w:left="0" w:firstLine="480"/>
      </w:pPr>
      <w:r>
        <w:rPr>
          <w:rFonts w:hint="eastAsia" w:ascii="宋体" w:hAnsi="宋体" w:eastAsia="宋体" w:cs="宋体"/>
          <w:sz w:val="24"/>
          <w:szCs w:val="24"/>
        </w:rPr>
        <w:t>2、除招标文件另有规定外，本章中</w:t>
      </w:r>
      <w:r>
        <w:rPr>
          <w:rStyle w:val="6"/>
          <w:rFonts w:hint="eastAsia" w:ascii="宋体" w:hAnsi="宋体" w:eastAsia="宋体" w:cs="宋体"/>
          <w:sz w:val="24"/>
          <w:szCs w:val="24"/>
        </w:rPr>
        <w:t>“投标人的资格及资信证明文件”</w:t>
      </w:r>
      <w:r>
        <w:rPr>
          <w:rFonts w:hint="eastAsia" w:ascii="宋体" w:hAnsi="宋体" w:eastAsia="宋体" w:cs="宋体"/>
          <w:sz w:val="24"/>
          <w:szCs w:val="24"/>
        </w:rPr>
        <w:t>：</w:t>
      </w:r>
    </w:p>
    <w:p>
      <w:pPr>
        <w:pStyle w:val="4"/>
        <w:keepNext w:val="0"/>
        <w:keepLines w:val="0"/>
        <w:widowControl/>
        <w:suppressLineNumbers w:val="0"/>
        <w:ind w:left="0" w:firstLine="480"/>
      </w:pPr>
      <w:r>
        <w:rPr>
          <w:rFonts w:hint="eastAsia" w:ascii="宋体" w:hAnsi="宋体" w:eastAsia="宋体" w:cs="宋体"/>
          <w:sz w:val="24"/>
          <w:szCs w:val="24"/>
        </w:rPr>
        <w:t>2.1投标人应按照招标文件第四章第</w:t>
      </w:r>
      <w:r>
        <w:rPr>
          <w:rFonts w:hint="default" w:ascii="Calibri" w:hAnsi="Calibri" w:eastAsia="宋体" w:cs="Calibri"/>
          <w:sz w:val="24"/>
          <w:szCs w:val="24"/>
        </w:rPr>
        <w:t>1.3</w:t>
      </w:r>
      <w:r>
        <w:rPr>
          <w:rFonts w:hint="eastAsia" w:ascii="宋体" w:hAnsi="宋体" w:eastAsia="宋体" w:cs="宋体"/>
          <w:sz w:val="24"/>
          <w:szCs w:val="24"/>
        </w:rPr>
        <w:t>条第（</w:t>
      </w:r>
      <w:r>
        <w:rPr>
          <w:rFonts w:hint="default" w:ascii="Calibri" w:hAnsi="Calibri" w:eastAsia="宋体" w:cs="Calibri"/>
          <w:sz w:val="24"/>
          <w:szCs w:val="24"/>
        </w:rPr>
        <w:t>2</w:t>
      </w:r>
      <w:r>
        <w:rPr>
          <w:rFonts w:hint="eastAsia" w:ascii="宋体" w:hAnsi="宋体" w:eastAsia="宋体" w:cs="宋体"/>
          <w:sz w:val="24"/>
          <w:szCs w:val="24"/>
        </w:rPr>
        <w:t>）款规定及本章规定进行编制，如有必要，可增加附页，附页作为资格及资信文件的组成部分。</w:t>
      </w:r>
    </w:p>
    <w:p>
      <w:pPr>
        <w:pStyle w:val="4"/>
        <w:keepNext w:val="0"/>
        <w:keepLines w:val="0"/>
        <w:widowControl/>
        <w:suppressLineNumbers w:val="0"/>
        <w:ind w:left="0" w:firstLine="480"/>
      </w:pPr>
      <w:r>
        <w:rPr>
          <w:rFonts w:hint="eastAsia" w:ascii="宋体" w:hAnsi="宋体" w:eastAsia="宋体" w:cs="宋体"/>
          <w:sz w:val="24"/>
          <w:szCs w:val="24"/>
        </w:rPr>
        <w:t>2.2接受联合体投标且投标人为联合体的，联合体中的各方均应按照本章第</w:t>
      </w:r>
      <w:r>
        <w:rPr>
          <w:rFonts w:hint="default" w:ascii="Calibri" w:hAnsi="Calibri" w:eastAsia="宋体" w:cs="Calibri"/>
          <w:sz w:val="24"/>
          <w:szCs w:val="24"/>
        </w:rPr>
        <w:t>2.1</w:t>
      </w:r>
      <w:r>
        <w:rPr>
          <w:rFonts w:hint="eastAsia" w:ascii="宋体" w:hAnsi="宋体" w:eastAsia="宋体" w:cs="宋体"/>
          <w:sz w:val="24"/>
          <w:szCs w:val="24"/>
        </w:rPr>
        <w:t>条规定提交相应的全部资料。</w:t>
      </w:r>
    </w:p>
    <w:p>
      <w:pPr>
        <w:pStyle w:val="4"/>
        <w:keepNext w:val="0"/>
        <w:keepLines w:val="0"/>
        <w:widowControl/>
        <w:suppressLineNumbers w:val="0"/>
        <w:ind w:left="0" w:firstLine="480"/>
      </w:pPr>
      <w:r>
        <w:rPr>
          <w:rFonts w:hint="eastAsia" w:ascii="宋体" w:hAnsi="宋体" w:eastAsia="宋体" w:cs="宋体"/>
          <w:sz w:val="24"/>
          <w:szCs w:val="24"/>
        </w:rPr>
        <w:t>3、投标人对投标文件的索引应编制页码。</w:t>
      </w:r>
    </w:p>
    <w:p>
      <w:pPr>
        <w:pStyle w:val="4"/>
        <w:keepNext w:val="0"/>
        <w:keepLines w:val="0"/>
        <w:widowControl/>
        <w:suppressLineNumbers w:val="0"/>
        <w:ind w:left="0" w:firstLine="480"/>
      </w:pPr>
      <w:r>
        <w:rPr>
          <w:rFonts w:hint="eastAsia" w:ascii="宋体" w:hAnsi="宋体" w:eastAsia="宋体" w:cs="宋体"/>
          <w:sz w:val="24"/>
          <w:szCs w:val="24"/>
        </w:rPr>
        <w:t>4、除招标文件另有规定外，本章中：</w:t>
      </w:r>
    </w:p>
    <w:p>
      <w:pPr>
        <w:pStyle w:val="4"/>
        <w:keepNext w:val="0"/>
        <w:keepLines w:val="0"/>
        <w:widowControl/>
        <w:suppressLineNumbers w:val="0"/>
        <w:ind w:left="0" w:firstLine="480"/>
      </w:pPr>
      <w:r>
        <w:rPr>
          <w:rFonts w:hint="eastAsia" w:ascii="宋体" w:hAnsi="宋体" w:eastAsia="宋体" w:cs="宋体"/>
          <w:sz w:val="24"/>
          <w:szCs w:val="24"/>
        </w:rPr>
        <w:t>4.1除《检察机关行贿犯罪档案查询结果告知函》外，招标文件要求原件的，投标人在纸质投标文件正本中应提供原件；招标文件要求复印件的，投标人在纸质投标文件中提供原件、复印件（含扫描件）皆可；招标文件对原件、复印件未作要求的，投标人在纸质投标文件中提供原件、复印件（含扫描件）皆可。</w:t>
      </w:r>
    </w:p>
    <w:p>
      <w:pPr>
        <w:pStyle w:val="4"/>
        <w:keepNext w:val="0"/>
        <w:keepLines w:val="0"/>
        <w:widowControl/>
        <w:suppressLineNumbers w:val="0"/>
        <w:ind w:left="0" w:firstLine="480"/>
      </w:pPr>
      <w:r>
        <w:rPr>
          <w:rFonts w:hint="eastAsia" w:ascii="宋体" w:hAnsi="宋体" w:eastAsia="宋体" w:cs="宋体"/>
          <w:sz w:val="24"/>
          <w:szCs w:val="24"/>
        </w:rPr>
        <w:t>4.2除《检察机关行贿犯罪档案查询结果告知函》外，若投标人提供注明“复印件无效”的证明材料或资料，其纸质投标文件正本中应提供原件。</w:t>
      </w:r>
    </w:p>
    <w:p>
      <w:pPr>
        <w:pStyle w:val="4"/>
        <w:keepNext w:val="0"/>
        <w:keepLines w:val="0"/>
        <w:widowControl/>
        <w:suppressLineNumbers w:val="0"/>
        <w:ind w:left="0" w:firstLine="480"/>
      </w:pPr>
      <w:r>
        <w:rPr>
          <w:rFonts w:hint="eastAsia" w:ascii="宋体" w:hAnsi="宋体" w:eastAsia="宋体" w:cs="宋体"/>
          <w:sz w:val="24"/>
          <w:szCs w:val="24"/>
        </w:rPr>
        <w:t>4.3《检察机关行贿犯罪档案查询结果告知函》：投标人在纸质投标文件正本中提供原件、复印件（含扫描件）、符合本章规定的打印件（或截图）皆可。</w:t>
      </w:r>
    </w:p>
    <w:p>
      <w:pPr>
        <w:pStyle w:val="4"/>
        <w:keepNext w:val="0"/>
        <w:keepLines w:val="0"/>
        <w:widowControl/>
        <w:suppressLineNumbers w:val="0"/>
      </w:pPr>
    </w:p>
    <w:p>
      <w:pPr>
        <w:pStyle w:val="4"/>
        <w:keepNext w:val="0"/>
        <w:keepLines w:val="0"/>
        <w:widowControl/>
        <w:suppressLineNumbers w:val="0"/>
      </w:pPr>
      <w:r>
        <w:rPr>
          <w:rFonts w:hint="eastAsia" w:ascii="宋体" w:hAnsi="宋体" w:eastAsia="宋体" w:cs="宋体"/>
          <w:sz w:val="21"/>
          <w:szCs w:val="21"/>
        </w:rPr>
        <w:t> </w:t>
      </w:r>
    </w:p>
    <w:p>
      <w:pPr>
        <w:pStyle w:val="4"/>
        <w:keepNext w:val="0"/>
        <w:keepLines w:val="0"/>
        <w:widowControl/>
        <w:suppressLineNumbers w:val="0"/>
      </w:pPr>
      <w:r>
        <w:rPr>
          <w:rFonts w:hint="eastAsia" w:ascii="宋体" w:hAnsi="宋体" w:eastAsia="宋体" w:cs="宋体"/>
          <w:sz w:val="21"/>
          <w:szCs w:val="21"/>
        </w:rPr>
        <w:t> </w:t>
      </w:r>
    </w:p>
    <w:p>
      <w:pPr>
        <w:pStyle w:val="4"/>
        <w:keepNext w:val="0"/>
        <w:keepLines w:val="0"/>
        <w:widowControl/>
        <w:suppressLineNumbers w:val="0"/>
        <w:jc w:val="center"/>
      </w:pPr>
      <w:r>
        <w:rPr>
          <w:rStyle w:val="6"/>
          <w:rFonts w:hint="eastAsia" w:ascii="宋体" w:hAnsi="宋体" w:eastAsia="宋体" w:cs="宋体"/>
          <w:sz w:val="28"/>
          <w:szCs w:val="28"/>
        </w:rPr>
        <w:t>封面格式</w:t>
      </w:r>
    </w:p>
    <w:p>
      <w:pPr>
        <w:pStyle w:val="4"/>
        <w:keepNext w:val="0"/>
        <w:keepLines w:val="0"/>
        <w:widowControl/>
        <w:suppressLineNumbers w:val="0"/>
      </w:pPr>
      <w:r>
        <w:rPr>
          <w:rFonts w:hint="eastAsia" w:ascii="宋体" w:hAnsi="宋体" w:eastAsia="宋体" w:cs="宋体"/>
          <w:sz w:val="36"/>
          <w:szCs w:val="36"/>
        </w:rPr>
        <w:t> </w:t>
      </w:r>
    </w:p>
    <w:p>
      <w:pPr>
        <w:pStyle w:val="4"/>
        <w:keepNext w:val="0"/>
        <w:keepLines w:val="0"/>
        <w:widowControl/>
        <w:suppressLineNumbers w:val="0"/>
      </w:pPr>
      <w:r>
        <w:rPr>
          <w:rFonts w:hint="eastAsia" w:ascii="宋体" w:hAnsi="宋体" w:eastAsia="宋体" w:cs="宋体"/>
          <w:sz w:val="36"/>
          <w:szCs w:val="36"/>
        </w:rPr>
        <w:t> </w:t>
      </w:r>
    </w:p>
    <w:p>
      <w:pPr>
        <w:pStyle w:val="4"/>
        <w:keepNext w:val="0"/>
        <w:keepLines w:val="0"/>
        <w:widowControl/>
        <w:suppressLineNumbers w:val="0"/>
      </w:pPr>
      <w:r>
        <w:rPr>
          <w:rFonts w:hint="eastAsia" w:ascii="宋体" w:hAnsi="宋体" w:eastAsia="宋体" w:cs="宋体"/>
          <w:sz w:val="36"/>
          <w:szCs w:val="36"/>
        </w:rPr>
        <w:t> </w:t>
      </w:r>
    </w:p>
    <w:p>
      <w:pPr>
        <w:pStyle w:val="4"/>
        <w:keepNext w:val="0"/>
        <w:keepLines w:val="0"/>
        <w:widowControl/>
        <w:suppressLineNumbers w:val="0"/>
        <w:jc w:val="center"/>
      </w:pPr>
      <w:r>
        <w:rPr>
          <w:rStyle w:val="6"/>
          <w:rFonts w:hint="eastAsia" w:ascii="宋体" w:hAnsi="宋体" w:eastAsia="宋体" w:cs="宋体"/>
          <w:sz w:val="48"/>
          <w:szCs w:val="48"/>
        </w:rPr>
        <w:t>福建省政府采购投标文件</w:t>
      </w:r>
    </w:p>
    <w:p>
      <w:pPr>
        <w:pStyle w:val="4"/>
        <w:keepNext w:val="0"/>
        <w:keepLines w:val="0"/>
        <w:widowControl/>
        <w:suppressLineNumbers w:val="0"/>
        <w:jc w:val="center"/>
      </w:pPr>
      <w:r>
        <w:rPr>
          <w:rStyle w:val="6"/>
          <w:rFonts w:hint="eastAsia" w:ascii="宋体" w:hAnsi="宋体" w:eastAsia="宋体" w:cs="宋体"/>
          <w:sz w:val="48"/>
          <w:szCs w:val="48"/>
        </w:rPr>
        <w:t>（资格及资信证明部分）</w:t>
      </w:r>
    </w:p>
    <w:p>
      <w:pPr>
        <w:pStyle w:val="4"/>
        <w:keepNext w:val="0"/>
        <w:keepLines w:val="0"/>
        <w:widowControl/>
        <w:suppressLineNumbers w:val="0"/>
      </w:pPr>
      <w:r>
        <w:rPr>
          <w:rFonts w:hint="eastAsia" w:ascii="宋体" w:hAnsi="宋体" w:eastAsia="宋体" w:cs="宋体"/>
          <w:sz w:val="36"/>
          <w:szCs w:val="36"/>
        </w:rPr>
        <w:t> </w:t>
      </w:r>
    </w:p>
    <w:p>
      <w:pPr>
        <w:pStyle w:val="4"/>
        <w:keepNext w:val="0"/>
        <w:keepLines w:val="0"/>
        <w:widowControl/>
        <w:suppressLineNumbers w:val="0"/>
        <w:jc w:val="center"/>
      </w:pPr>
      <w:r>
        <w:rPr>
          <w:rStyle w:val="6"/>
          <w:rFonts w:hint="eastAsia" w:ascii="宋体" w:hAnsi="宋体" w:eastAsia="宋体" w:cs="宋体"/>
          <w:sz w:val="36"/>
          <w:szCs w:val="36"/>
          <w:u w:val="single"/>
        </w:rPr>
        <w:t>（填写正本或副本）</w:t>
      </w:r>
    </w:p>
    <w:p>
      <w:pPr>
        <w:pStyle w:val="4"/>
        <w:keepNext w:val="0"/>
        <w:keepLines w:val="0"/>
        <w:widowControl/>
        <w:suppressLineNumbers w:val="0"/>
      </w:pPr>
      <w:r>
        <w:rPr>
          <w:rFonts w:hint="eastAsia" w:ascii="宋体" w:hAnsi="宋体" w:eastAsia="宋体" w:cs="宋体"/>
          <w:sz w:val="36"/>
          <w:szCs w:val="36"/>
        </w:rPr>
        <w:t> </w:t>
      </w:r>
    </w:p>
    <w:p>
      <w:pPr>
        <w:pStyle w:val="4"/>
        <w:keepNext w:val="0"/>
        <w:keepLines w:val="0"/>
        <w:widowControl/>
        <w:suppressLineNumbers w:val="0"/>
        <w:ind w:left="0" w:firstLine="1920"/>
      </w:pPr>
      <w:r>
        <w:rPr>
          <w:rStyle w:val="6"/>
          <w:rFonts w:hint="eastAsia" w:ascii="宋体" w:hAnsi="宋体" w:eastAsia="宋体" w:cs="宋体"/>
          <w:sz w:val="31"/>
          <w:szCs w:val="31"/>
        </w:rPr>
        <w:t>项目名称：</w:t>
      </w:r>
      <w:r>
        <w:rPr>
          <w:rStyle w:val="6"/>
          <w:rFonts w:hint="eastAsia" w:ascii="宋体" w:hAnsi="宋体" w:eastAsia="宋体" w:cs="宋体"/>
          <w:sz w:val="31"/>
          <w:szCs w:val="31"/>
          <w:u w:val="single"/>
        </w:rPr>
        <w:t>（由投标人填写）</w:t>
      </w:r>
    </w:p>
    <w:p>
      <w:pPr>
        <w:pStyle w:val="4"/>
        <w:keepNext w:val="0"/>
        <w:keepLines w:val="0"/>
        <w:widowControl/>
        <w:suppressLineNumbers w:val="0"/>
        <w:ind w:left="0" w:firstLine="1920"/>
      </w:pPr>
      <w:r>
        <w:rPr>
          <w:rStyle w:val="6"/>
          <w:rFonts w:hint="eastAsia" w:ascii="宋体" w:hAnsi="宋体" w:eastAsia="宋体" w:cs="宋体"/>
          <w:sz w:val="31"/>
          <w:szCs w:val="31"/>
        </w:rPr>
        <w:t>备案编号：</w:t>
      </w:r>
      <w:r>
        <w:rPr>
          <w:rStyle w:val="6"/>
          <w:rFonts w:hint="eastAsia" w:ascii="宋体" w:hAnsi="宋体" w:eastAsia="宋体" w:cs="宋体"/>
          <w:sz w:val="31"/>
          <w:szCs w:val="31"/>
          <w:u w:val="single"/>
        </w:rPr>
        <w:t>（由投标人填写）</w:t>
      </w:r>
    </w:p>
    <w:p>
      <w:pPr>
        <w:pStyle w:val="4"/>
        <w:keepNext w:val="0"/>
        <w:keepLines w:val="0"/>
        <w:widowControl/>
        <w:suppressLineNumbers w:val="0"/>
        <w:ind w:left="0" w:firstLine="1920"/>
      </w:pPr>
      <w:r>
        <w:rPr>
          <w:rStyle w:val="6"/>
          <w:rFonts w:hint="eastAsia" w:ascii="宋体" w:hAnsi="宋体" w:eastAsia="宋体" w:cs="宋体"/>
          <w:sz w:val="31"/>
          <w:szCs w:val="31"/>
        </w:rPr>
        <w:t>招标编号：</w:t>
      </w:r>
      <w:r>
        <w:rPr>
          <w:rStyle w:val="6"/>
          <w:rFonts w:hint="eastAsia" w:ascii="宋体" w:hAnsi="宋体" w:eastAsia="宋体" w:cs="宋体"/>
          <w:sz w:val="31"/>
          <w:szCs w:val="31"/>
          <w:u w:val="single"/>
        </w:rPr>
        <w:t>（由投标人填写）</w:t>
      </w:r>
    </w:p>
    <w:p>
      <w:pPr>
        <w:pStyle w:val="4"/>
        <w:keepNext w:val="0"/>
        <w:keepLines w:val="0"/>
        <w:widowControl/>
        <w:suppressLineNumbers w:val="0"/>
        <w:ind w:left="0" w:firstLine="1920"/>
      </w:pPr>
      <w:r>
        <w:rPr>
          <w:rStyle w:val="6"/>
          <w:rFonts w:hint="eastAsia" w:ascii="宋体" w:hAnsi="宋体" w:eastAsia="宋体" w:cs="宋体"/>
          <w:sz w:val="31"/>
          <w:szCs w:val="31"/>
        </w:rPr>
        <w:t>所投合同包：</w:t>
      </w:r>
      <w:r>
        <w:rPr>
          <w:rStyle w:val="6"/>
          <w:rFonts w:hint="eastAsia" w:ascii="宋体" w:hAnsi="宋体" w:eastAsia="宋体" w:cs="宋体"/>
          <w:sz w:val="31"/>
          <w:szCs w:val="31"/>
          <w:u w:val="single"/>
        </w:rPr>
        <w:t>（由投标人填写）</w:t>
      </w:r>
    </w:p>
    <w:p>
      <w:pPr>
        <w:pStyle w:val="4"/>
        <w:keepNext w:val="0"/>
        <w:keepLines w:val="0"/>
        <w:widowControl/>
        <w:suppressLineNumbers w:val="0"/>
      </w:pPr>
      <w:r>
        <w:rPr>
          <w:rFonts w:hint="eastAsia" w:ascii="宋体" w:hAnsi="宋体" w:eastAsia="宋体" w:cs="宋体"/>
          <w:sz w:val="36"/>
          <w:szCs w:val="36"/>
        </w:rPr>
        <w:t> </w:t>
      </w:r>
    </w:p>
    <w:p>
      <w:pPr>
        <w:pStyle w:val="4"/>
        <w:keepNext w:val="0"/>
        <w:keepLines w:val="0"/>
        <w:widowControl/>
        <w:suppressLineNumbers w:val="0"/>
      </w:pPr>
      <w:r>
        <w:rPr>
          <w:rFonts w:hint="eastAsia" w:ascii="宋体" w:hAnsi="宋体" w:eastAsia="宋体" w:cs="宋体"/>
          <w:sz w:val="36"/>
          <w:szCs w:val="36"/>
        </w:rPr>
        <w:t> </w:t>
      </w:r>
    </w:p>
    <w:p>
      <w:pPr>
        <w:pStyle w:val="4"/>
        <w:keepNext w:val="0"/>
        <w:keepLines w:val="0"/>
        <w:widowControl/>
        <w:suppressLineNumbers w:val="0"/>
      </w:pPr>
      <w:r>
        <w:rPr>
          <w:rFonts w:hint="eastAsia" w:ascii="宋体" w:hAnsi="宋体" w:eastAsia="宋体" w:cs="宋体"/>
          <w:sz w:val="36"/>
          <w:szCs w:val="36"/>
        </w:rPr>
        <w:t> </w:t>
      </w:r>
    </w:p>
    <w:p>
      <w:pPr>
        <w:pStyle w:val="4"/>
        <w:keepNext w:val="0"/>
        <w:keepLines w:val="0"/>
        <w:widowControl/>
        <w:suppressLineNumbers w:val="0"/>
      </w:pPr>
      <w:r>
        <w:rPr>
          <w:rFonts w:hint="eastAsia" w:ascii="宋体" w:hAnsi="宋体" w:eastAsia="宋体" w:cs="宋体"/>
          <w:sz w:val="36"/>
          <w:szCs w:val="36"/>
        </w:rPr>
        <w:t> </w:t>
      </w:r>
    </w:p>
    <w:p>
      <w:pPr>
        <w:pStyle w:val="4"/>
        <w:keepNext w:val="0"/>
        <w:keepLines w:val="0"/>
        <w:widowControl/>
        <w:suppressLineNumbers w:val="0"/>
        <w:jc w:val="center"/>
      </w:pPr>
      <w:r>
        <w:rPr>
          <w:rStyle w:val="6"/>
          <w:rFonts w:hint="eastAsia" w:ascii="宋体" w:hAnsi="宋体" w:eastAsia="宋体" w:cs="宋体"/>
          <w:sz w:val="31"/>
          <w:szCs w:val="31"/>
        </w:rPr>
        <w:t>投标人：</w:t>
      </w:r>
      <w:r>
        <w:rPr>
          <w:rStyle w:val="6"/>
          <w:rFonts w:hint="eastAsia" w:ascii="宋体" w:hAnsi="宋体" w:eastAsia="宋体" w:cs="宋体"/>
          <w:sz w:val="31"/>
          <w:szCs w:val="31"/>
          <w:u w:val="single"/>
        </w:rPr>
        <w:t>（填写“全称”）</w:t>
      </w:r>
    </w:p>
    <w:p>
      <w:pPr>
        <w:pStyle w:val="4"/>
        <w:keepNext w:val="0"/>
        <w:keepLines w:val="0"/>
        <w:widowControl/>
        <w:suppressLineNumbers w:val="0"/>
        <w:jc w:val="center"/>
      </w:pPr>
      <w:r>
        <w:rPr>
          <w:rStyle w:val="6"/>
          <w:rFonts w:hint="eastAsia" w:ascii="宋体" w:hAnsi="宋体" w:eastAsia="宋体" w:cs="宋体"/>
          <w:sz w:val="31"/>
          <w:szCs w:val="31"/>
          <w:u w:val="single"/>
        </w:rPr>
        <w:t>（由投标人填写）</w:t>
      </w:r>
      <w:r>
        <w:rPr>
          <w:rStyle w:val="6"/>
          <w:rFonts w:hint="eastAsia" w:ascii="宋体" w:hAnsi="宋体" w:eastAsia="宋体" w:cs="宋体"/>
          <w:sz w:val="31"/>
          <w:szCs w:val="31"/>
        </w:rPr>
        <w:t>年</w:t>
      </w:r>
      <w:r>
        <w:rPr>
          <w:rStyle w:val="6"/>
          <w:rFonts w:hint="eastAsia" w:ascii="宋体" w:hAnsi="宋体" w:eastAsia="宋体" w:cs="宋体"/>
          <w:sz w:val="31"/>
          <w:szCs w:val="31"/>
          <w:u w:val="single"/>
        </w:rPr>
        <w:t>（由投标人填写）</w:t>
      </w:r>
      <w:r>
        <w:rPr>
          <w:rStyle w:val="6"/>
          <w:rFonts w:hint="eastAsia" w:ascii="宋体" w:hAnsi="宋体" w:eastAsia="宋体" w:cs="宋体"/>
          <w:sz w:val="31"/>
          <w:szCs w:val="31"/>
        </w:rPr>
        <w:t>月</w:t>
      </w:r>
    </w:p>
    <w:p>
      <w:pPr>
        <w:pStyle w:val="4"/>
        <w:keepNext w:val="0"/>
        <w:keepLines w:val="0"/>
        <w:widowControl/>
        <w:suppressLineNumbers w:val="0"/>
      </w:pPr>
      <w:r>
        <w:rPr>
          <w:rFonts w:hint="eastAsia" w:ascii="宋体" w:hAnsi="宋体" w:eastAsia="宋体" w:cs="宋体"/>
          <w:sz w:val="21"/>
          <w:szCs w:val="21"/>
        </w:rPr>
        <w:t> </w:t>
      </w:r>
    </w:p>
    <w:p>
      <w:pPr>
        <w:pStyle w:val="4"/>
        <w:keepNext w:val="0"/>
        <w:keepLines w:val="0"/>
        <w:widowControl/>
        <w:suppressLineNumbers w:val="0"/>
      </w:pPr>
      <w:r>
        <w:rPr>
          <w:rFonts w:hint="eastAsia" w:ascii="宋体" w:hAnsi="宋体" w:eastAsia="宋体" w:cs="宋体"/>
          <w:sz w:val="21"/>
          <w:szCs w:val="21"/>
        </w:rPr>
        <w:t> </w:t>
      </w:r>
    </w:p>
    <w:p>
      <w:pPr>
        <w:pStyle w:val="4"/>
        <w:keepNext w:val="0"/>
        <w:keepLines w:val="0"/>
        <w:widowControl/>
        <w:suppressLineNumbers w:val="0"/>
        <w:jc w:val="center"/>
      </w:pPr>
      <w:r>
        <w:rPr>
          <w:rFonts w:hint="default" w:ascii="Calibri" w:hAnsi="Calibri" w:cs="Calibri"/>
          <w:sz w:val="21"/>
          <w:szCs w:val="21"/>
        </w:rPr>
        <w:br w:type="textWrapping"/>
      </w:r>
      <w:r>
        <w:rPr>
          <w:rStyle w:val="6"/>
          <w:rFonts w:hint="eastAsia" w:ascii="宋体" w:hAnsi="宋体" w:eastAsia="宋体" w:cs="宋体"/>
          <w:sz w:val="28"/>
          <w:szCs w:val="28"/>
        </w:rPr>
        <w:t>索引</w:t>
      </w:r>
    </w:p>
    <w:p>
      <w:pPr>
        <w:pStyle w:val="4"/>
        <w:keepNext w:val="0"/>
        <w:keepLines w:val="0"/>
        <w:widowControl/>
        <w:suppressLineNumbers w:val="0"/>
      </w:pPr>
      <w:r>
        <w:rPr>
          <w:rFonts w:hint="eastAsia" w:ascii="宋体" w:hAnsi="宋体" w:eastAsia="宋体" w:cs="宋体"/>
          <w:sz w:val="28"/>
          <w:szCs w:val="28"/>
        </w:rPr>
        <w:t>一、投标函</w:t>
      </w:r>
    </w:p>
    <w:p>
      <w:pPr>
        <w:pStyle w:val="4"/>
        <w:keepNext w:val="0"/>
        <w:keepLines w:val="0"/>
        <w:widowControl/>
        <w:suppressLineNumbers w:val="0"/>
      </w:pPr>
      <w:r>
        <w:rPr>
          <w:rFonts w:hint="eastAsia" w:ascii="宋体" w:hAnsi="宋体" w:eastAsia="宋体" w:cs="宋体"/>
          <w:sz w:val="28"/>
          <w:szCs w:val="28"/>
        </w:rPr>
        <w:t>二、投标人的资格及资信证明文件</w:t>
      </w:r>
    </w:p>
    <w:p>
      <w:pPr>
        <w:pStyle w:val="4"/>
        <w:keepNext w:val="0"/>
        <w:keepLines w:val="0"/>
        <w:widowControl/>
        <w:suppressLineNumbers w:val="0"/>
      </w:pPr>
      <w:r>
        <w:rPr>
          <w:rFonts w:hint="eastAsia" w:ascii="宋体" w:hAnsi="宋体" w:eastAsia="宋体" w:cs="宋体"/>
          <w:sz w:val="28"/>
          <w:szCs w:val="28"/>
        </w:rPr>
        <w:t>三、投标保证金</w:t>
      </w:r>
    </w:p>
    <w:p>
      <w:pPr>
        <w:pStyle w:val="4"/>
        <w:keepNext w:val="0"/>
        <w:keepLines w:val="0"/>
        <w:widowControl/>
        <w:suppressLineNumbers w:val="0"/>
      </w:pPr>
      <w:r>
        <w:rPr>
          <w:rFonts w:hint="eastAsia" w:ascii="宋体" w:hAnsi="宋体" w:eastAsia="宋体" w:cs="宋体"/>
          <w:sz w:val="21"/>
          <w:szCs w:val="21"/>
        </w:rPr>
        <w:t> </w:t>
      </w:r>
    </w:p>
    <w:p>
      <w:pPr>
        <w:pStyle w:val="4"/>
        <w:keepNext w:val="0"/>
        <w:keepLines w:val="0"/>
        <w:widowControl/>
        <w:suppressLineNumbers w:val="0"/>
      </w:pPr>
      <w:r>
        <w:rPr>
          <w:rFonts w:hint="eastAsia" w:ascii="宋体" w:hAnsi="宋体" w:eastAsia="宋体" w:cs="宋体"/>
          <w:sz w:val="21"/>
          <w:szCs w:val="21"/>
        </w:rPr>
        <w:t> </w:t>
      </w:r>
    </w:p>
    <w:p>
      <w:pPr>
        <w:pStyle w:val="4"/>
        <w:keepNext w:val="0"/>
        <w:keepLines w:val="0"/>
        <w:widowControl/>
        <w:suppressLineNumbers w:val="0"/>
      </w:pPr>
      <w:r>
        <w:rPr>
          <w:rFonts w:hint="eastAsia" w:ascii="宋体" w:hAnsi="宋体" w:eastAsia="宋体" w:cs="宋体"/>
          <w:sz w:val="21"/>
          <w:szCs w:val="21"/>
        </w:rPr>
        <w:t> </w:t>
      </w:r>
    </w:p>
    <w:p>
      <w:pPr>
        <w:pStyle w:val="4"/>
        <w:keepNext w:val="0"/>
        <w:keepLines w:val="0"/>
        <w:widowControl/>
        <w:suppressLineNumbers w:val="0"/>
        <w:jc w:val="center"/>
      </w:pPr>
      <w:r>
        <w:rPr>
          <w:rFonts w:hint="eastAsia" w:ascii="宋体" w:hAnsi="宋体" w:eastAsia="宋体" w:cs="宋体"/>
          <w:sz w:val="21"/>
          <w:szCs w:val="21"/>
        </w:rPr>
        <w:t>★注意</w:t>
      </w:r>
    </w:p>
    <w:p>
      <w:pPr>
        <w:pStyle w:val="4"/>
        <w:keepNext w:val="0"/>
        <w:keepLines w:val="0"/>
        <w:widowControl/>
        <w:suppressLineNumbers w:val="0"/>
        <w:ind w:left="0" w:firstLine="420"/>
      </w:pPr>
      <w:r>
        <w:rPr>
          <w:rFonts w:hint="eastAsia" w:ascii="宋体" w:hAnsi="宋体" w:eastAsia="宋体" w:cs="宋体"/>
          <w:sz w:val="21"/>
          <w:szCs w:val="21"/>
        </w:rPr>
        <w:t>资格及资信证明部分中不得出现报价部分的全部或部分的投标报价信息（或组成资料），否则</w:t>
      </w:r>
      <w:r>
        <w:rPr>
          <w:rStyle w:val="6"/>
          <w:rFonts w:hint="eastAsia" w:ascii="宋体" w:hAnsi="宋体" w:eastAsia="宋体" w:cs="宋体"/>
          <w:sz w:val="21"/>
          <w:szCs w:val="21"/>
        </w:rPr>
        <w:t>资格审查不合格</w:t>
      </w:r>
      <w:r>
        <w:rPr>
          <w:rFonts w:hint="eastAsia" w:ascii="宋体" w:hAnsi="宋体" w:eastAsia="宋体" w:cs="宋体"/>
          <w:sz w:val="21"/>
          <w:szCs w:val="21"/>
        </w:rPr>
        <w:t>。</w:t>
      </w:r>
    </w:p>
    <w:p>
      <w:pPr>
        <w:pStyle w:val="4"/>
        <w:keepNext w:val="0"/>
        <w:keepLines w:val="0"/>
        <w:widowControl/>
        <w:suppressLineNumbers w:val="0"/>
      </w:pPr>
    </w:p>
    <w:p>
      <w:pPr>
        <w:pStyle w:val="4"/>
        <w:keepNext w:val="0"/>
        <w:keepLines w:val="0"/>
        <w:widowControl/>
        <w:suppressLineNumbers w:val="0"/>
        <w:jc w:val="center"/>
      </w:pPr>
      <w:r>
        <w:rPr>
          <w:rFonts w:hint="default" w:ascii="Calibri" w:hAnsi="Calibri" w:cs="Calibri"/>
          <w:sz w:val="21"/>
          <w:szCs w:val="21"/>
        </w:rPr>
        <w:br w:type="textWrapping"/>
      </w:r>
      <w:r>
        <w:rPr>
          <w:rStyle w:val="6"/>
          <w:rFonts w:hint="eastAsia" w:ascii="宋体" w:hAnsi="宋体" w:eastAsia="宋体" w:cs="宋体"/>
          <w:sz w:val="21"/>
          <w:szCs w:val="21"/>
        </w:rPr>
        <w:t>一、投标函</w:t>
      </w:r>
    </w:p>
    <w:p>
      <w:pPr>
        <w:pStyle w:val="4"/>
        <w:keepNext w:val="0"/>
        <w:keepLines w:val="0"/>
        <w:widowControl/>
        <w:suppressLineNumbers w:val="0"/>
      </w:pPr>
      <w:r>
        <w:rPr>
          <w:rFonts w:hint="eastAsia" w:ascii="宋体" w:hAnsi="宋体" w:eastAsia="宋体" w:cs="宋体"/>
          <w:sz w:val="21"/>
          <w:szCs w:val="21"/>
        </w:rPr>
        <w:t>致：</w:t>
      </w:r>
      <w:r>
        <w:rPr>
          <w:rFonts w:hint="eastAsia" w:ascii="宋体" w:hAnsi="宋体" w:eastAsia="宋体" w:cs="宋体"/>
          <w:sz w:val="21"/>
          <w:szCs w:val="21"/>
          <w:u w:val="single"/>
        </w:rPr>
        <w:t>                     </w:t>
      </w:r>
    </w:p>
    <w:p>
      <w:pPr>
        <w:pStyle w:val="4"/>
        <w:keepNext w:val="0"/>
        <w:keepLines w:val="0"/>
        <w:widowControl/>
        <w:suppressLineNumbers w:val="0"/>
        <w:ind w:left="0" w:firstLine="420"/>
      </w:pPr>
      <w:r>
        <w:rPr>
          <w:rFonts w:hint="eastAsia" w:ascii="宋体" w:hAnsi="宋体" w:eastAsia="宋体" w:cs="宋体"/>
          <w:sz w:val="21"/>
          <w:szCs w:val="21"/>
        </w:rPr>
        <w:t>兹收到贵单位关于</w:t>
      </w:r>
      <w:r>
        <w:rPr>
          <w:rFonts w:hint="eastAsia" w:ascii="宋体" w:hAnsi="宋体" w:eastAsia="宋体" w:cs="宋体"/>
          <w:sz w:val="21"/>
          <w:szCs w:val="21"/>
          <w:u w:val="single"/>
        </w:rPr>
        <w:t>（填写“项目名称”）</w:t>
      </w:r>
      <w:r>
        <w:rPr>
          <w:rFonts w:hint="eastAsia" w:ascii="宋体" w:hAnsi="宋体" w:eastAsia="宋体" w:cs="宋体"/>
          <w:sz w:val="21"/>
          <w:szCs w:val="21"/>
        </w:rPr>
        <w:t>项目（招标编号：</w:t>
      </w:r>
      <w:r>
        <w:rPr>
          <w:rFonts w:hint="eastAsia" w:ascii="宋体" w:hAnsi="宋体" w:eastAsia="宋体" w:cs="宋体"/>
          <w:sz w:val="21"/>
          <w:szCs w:val="21"/>
          <w:u w:val="single"/>
        </w:rPr>
        <w:t>     </w:t>
      </w:r>
      <w:r>
        <w:rPr>
          <w:rFonts w:hint="eastAsia" w:ascii="宋体" w:hAnsi="宋体" w:eastAsia="宋体" w:cs="宋体"/>
          <w:sz w:val="21"/>
          <w:szCs w:val="21"/>
        </w:rPr>
        <w:t>）的投标邀请，本投标人代表</w:t>
      </w:r>
      <w:r>
        <w:rPr>
          <w:rFonts w:hint="eastAsia" w:ascii="宋体" w:hAnsi="宋体" w:eastAsia="宋体" w:cs="宋体"/>
          <w:sz w:val="21"/>
          <w:szCs w:val="21"/>
          <w:u w:val="single"/>
        </w:rPr>
        <w:t>（填写“全名”）</w:t>
      </w:r>
      <w:r>
        <w:rPr>
          <w:rFonts w:hint="eastAsia" w:ascii="宋体" w:hAnsi="宋体" w:eastAsia="宋体" w:cs="宋体"/>
          <w:sz w:val="21"/>
          <w:szCs w:val="21"/>
        </w:rPr>
        <w:t>已获得我方正式授权并代表投标人</w:t>
      </w:r>
      <w:r>
        <w:rPr>
          <w:rFonts w:hint="eastAsia" w:ascii="宋体" w:hAnsi="宋体" w:eastAsia="宋体" w:cs="宋体"/>
          <w:sz w:val="21"/>
          <w:szCs w:val="21"/>
          <w:u w:val="single"/>
        </w:rPr>
        <w:t>（填写“全称”）</w:t>
      </w:r>
      <w:r>
        <w:rPr>
          <w:rFonts w:hint="eastAsia" w:ascii="宋体" w:hAnsi="宋体" w:eastAsia="宋体" w:cs="宋体"/>
          <w:sz w:val="21"/>
          <w:szCs w:val="21"/>
        </w:rPr>
        <w:t>参加投标，并提交招标文件规定份数的投标文件正本和副本。我方提交的全部投标文件均由下述部分组成：</w:t>
      </w:r>
    </w:p>
    <w:p>
      <w:pPr>
        <w:pStyle w:val="4"/>
        <w:keepNext w:val="0"/>
        <w:keepLines w:val="0"/>
        <w:widowControl/>
        <w:suppressLineNumbers w:val="0"/>
        <w:ind w:left="0" w:firstLine="420"/>
      </w:pPr>
      <w:r>
        <w:rPr>
          <w:rFonts w:hint="eastAsia" w:ascii="宋体" w:hAnsi="宋体" w:eastAsia="宋体" w:cs="宋体"/>
          <w:sz w:val="21"/>
          <w:szCs w:val="21"/>
        </w:rPr>
        <w:t>（1）资格及资信证明部分</w:t>
      </w:r>
    </w:p>
    <w:p>
      <w:pPr>
        <w:pStyle w:val="4"/>
        <w:keepNext w:val="0"/>
        <w:keepLines w:val="0"/>
        <w:widowControl/>
        <w:suppressLineNumbers w:val="0"/>
        <w:ind w:left="0" w:firstLine="420"/>
      </w:pPr>
      <w:r>
        <w:rPr>
          <w:rFonts w:hint="eastAsia" w:ascii="宋体" w:hAnsi="宋体" w:eastAsia="宋体" w:cs="宋体"/>
          <w:sz w:val="21"/>
          <w:szCs w:val="21"/>
        </w:rPr>
        <w:t>①投标函</w:t>
      </w:r>
    </w:p>
    <w:p>
      <w:pPr>
        <w:pStyle w:val="4"/>
        <w:keepNext w:val="0"/>
        <w:keepLines w:val="0"/>
        <w:widowControl/>
        <w:suppressLineNumbers w:val="0"/>
        <w:ind w:left="0" w:firstLine="420"/>
      </w:pPr>
      <w:r>
        <w:rPr>
          <w:rFonts w:hint="eastAsia" w:ascii="宋体" w:hAnsi="宋体" w:eastAsia="宋体" w:cs="宋体"/>
          <w:sz w:val="21"/>
          <w:szCs w:val="21"/>
        </w:rPr>
        <w:t>②投标人的资格及资信证明文件</w:t>
      </w:r>
    </w:p>
    <w:p>
      <w:pPr>
        <w:pStyle w:val="4"/>
        <w:keepNext w:val="0"/>
        <w:keepLines w:val="0"/>
        <w:widowControl/>
        <w:suppressLineNumbers w:val="0"/>
        <w:ind w:left="0" w:firstLine="420"/>
      </w:pPr>
      <w:r>
        <w:rPr>
          <w:rFonts w:hint="eastAsia" w:ascii="宋体" w:hAnsi="宋体" w:eastAsia="宋体" w:cs="宋体"/>
          <w:sz w:val="21"/>
          <w:szCs w:val="21"/>
        </w:rPr>
        <w:t>③投标保证金</w:t>
      </w:r>
    </w:p>
    <w:p>
      <w:pPr>
        <w:pStyle w:val="4"/>
        <w:keepNext w:val="0"/>
        <w:keepLines w:val="0"/>
        <w:widowControl/>
        <w:suppressLineNumbers w:val="0"/>
        <w:ind w:left="0" w:firstLine="420"/>
      </w:pPr>
      <w:r>
        <w:rPr>
          <w:rFonts w:hint="eastAsia" w:ascii="宋体" w:hAnsi="宋体" w:eastAsia="宋体" w:cs="宋体"/>
          <w:sz w:val="21"/>
          <w:szCs w:val="21"/>
        </w:rPr>
        <w:t>（2）报价部分</w:t>
      </w:r>
    </w:p>
    <w:p>
      <w:pPr>
        <w:pStyle w:val="4"/>
        <w:keepNext w:val="0"/>
        <w:keepLines w:val="0"/>
        <w:widowControl/>
        <w:suppressLineNumbers w:val="0"/>
        <w:ind w:left="0" w:firstLine="420"/>
      </w:pPr>
      <w:r>
        <w:rPr>
          <w:rFonts w:hint="eastAsia" w:ascii="宋体" w:hAnsi="宋体" w:eastAsia="宋体" w:cs="宋体"/>
          <w:sz w:val="21"/>
          <w:szCs w:val="21"/>
        </w:rPr>
        <w:t>①开标一览表</w:t>
      </w:r>
    </w:p>
    <w:p>
      <w:pPr>
        <w:pStyle w:val="4"/>
        <w:keepNext w:val="0"/>
        <w:keepLines w:val="0"/>
        <w:widowControl/>
        <w:suppressLineNumbers w:val="0"/>
        <w:ind w:left="0" w:firstLine="420"/>
      </w:pPr>
      <w:r>
        <w:rPr>
          <w:rFonts w:hint="eastAsia" w:ascii="宋体" w:hAnsi="宋体" w:eastAsia="宋体" w:cs="宋体"/>
          <w:sz w:val="21"/>
          <w:szCs w:val="21"/>
        </w:rPr>
        <w:t>②投标分项报价表</w:t>
      </w:r>
    </w:p>
    <w:p>
      <w:pPr>
        <w:pStyle w:val="4"/>
        <w:keepNext w:val="0"/>
        <w:keepLines w:val="0"/>
        <w:widowControl/>
        <w:suppressLineNumbers w:val="0"/>
        <w:ind w:left="0" w:firstLine="420"/>
      </w:pPr>
      <w:r>
        <w:rPr>
          <w:rFonts w:hint="eastAsia" w:ascii="宋体" w:hAnsi="宋体" w:eastAsia="宋体" w:cs="宋体"/>
          <w:sz w:val="21"/>
          <w:szCs w:val="21"/>
        </w:rPr>
        <w:t>③招标文件规定的价格扣除证明材料（若有）</w:t>
      </w:r>
    </w:p>
    <w:p>
      <w:pPr>
        <w:pStyle w:val="4"/>
        <w:keepNext w:val="0"/>
        <w:keepLines w:val="0"/>
        <w:widowControl/>
        <w:suppressLineNumbers w:val="0"/>
        <w:ind w:left="0" w:firstLine="420"/>
      </w:pPr>
      <w:r>
        <w:rPr>
          <w:rFonts w:hint="eastAsia" w:ascii="宋体" w:hAnsi="宋体" w:eastAsia="宋体" w:cs="宋体"/>
          <w:sz w:val="21"/>
          <w:szCs w:val="21"/>
        </w:rPr>
        <w:t>④招标文件规定的加分证明材料（若有）</w:t>
      </w:r>
    </w:p>
    <w:p>
      <w:pPr>
        <w:pStyle w:val="4"/>
        <w:keepNext w:val="0"/>
        <w:keepLines w:val="0"/>
        <w:widowControl/>
        <w:suppressLineNumbers w:val="0"/>
        <w:ind w:left="0" w:firstLine="420"/>
      </w:pPr>
      <w:r>
        <w:rPr>
          <w:rFonts w:hint="eastAsia" w:ascii="宋体" w:hAnsi="宋体" w:eastAsia="宋体" w:cs="宋体"/>
          <w:sz w:val="21"/>
          <w:szCs w:val="21"/>
        </w:rPr>
        <w:t>（3）技术商务部分</w:t>
      </w:r>
    </w:p>
    <w:p>
      <w:pPr>
        <w:pStyle w:val="4"/>
        <w:keepNext w:val="0"/>
        <w:keepLines w:val="0"/>
        <w:widowControl/>
        <w:suppressLineNumbers w:val="0"/>
        <w:ind w:left="0" w:firstLine="420"/>
      </w:pPr>
      <w:r>
        <w:rPr>
          <w:rFonts w:hint="eastAsia" w:ascii="宋体" w:hAnsi="宋体" w:eastAsia="宋体" w:cs="宋体"/>
          <w:sz w:val="21"/>
          <w:szCs w:val="21"/>
        </w:rPr>
        <w:t>①标的说明一览表</w:t>
      </w:r>
    </w:p>
    <w:p>
      <w:pPr>
        <w:pStyle w:val="4"/>
        <w:keepNext w:val="0"/>
        <w:keepLines w:val="0"/>
        <w:widowControl/>
        <w:suppressLineNumbers w:val="0"/>
        <w:ind w:left="0" w:firstLine="420"/>
      </w:pPr>
      <w:r>
        <w:rPr>
          <w:rFonts w:hint="eastAsia" w:ascii="宋体" w:hAnsi="宋体" w:eastAsia="宋体" w:cs="宋体"/>
          <w:sz w:val="21"/>
          <w:szCs w:val="21"/>
        </w:rPr>
        <w:t>②技术和服务要求响应表</w:t>
      </w:r>
    </w:p>
    <w:p>
      <w:pPr>
        <w:pStyle w:val="4"/>
        <w:keepNext w:val="0"/>
        <w:keepLines w:val="0"/>
        <w:widowControl/>
        <w:suppressLineNumbers w:val="0"/>
        <w:ind w:left="0" w:firstLine="420"/>
      </w:pPr>
      <w:r>
        <w:rPr>
          <w:rFonts w:hint="eastAsia" w:ascii="宋体" w:hAnsi="宋体" w:eastAsia="宋体" w:cs="宋体"/>
          <w:sz w:val="21"/>
          <w:szCs w:val="21"/>
        </w:rPr>
        <w:t>③商务条件响应表</w:t>
      </w:r>
    </w:p>
    <w:p>
      <w:pPr>
        <w:pStyle w:val="4"/>
        <w:keepNext w:val="0"/>
        <w:keepLines w:val="0"/>
        <w:widowControl/>
        <w:suppressLineNumbers w:val="0"/>
        <w:ind w:left="0" w:firstLine="420"/>
      </w:pPr>
      <w:r>
        <w:rPr>
          <w:rFonts w:hint="eastAsia" w:ascii="宋体" w:hAnsi="宋体" w:eastAsia="宋体" w:cs="宋体"/>
          <w:sz w:val="21"/>
          <w:szCs w:val="21"/>
        </w:rPr>
        <w:t>④投标人提交的其他资料（若有）</w:t>
      </w:r>
    </w:p>
    <w:p>
      <w:pPr>
        <w:pStyle w:val="4"/>
        <w:keepNext w:val="0"/>
        <w:keepLines w:val="0"/>
        <w:widowControl/>
        <w:suppressLineNumbers w:val="0"/>
        <w:ind w:left="0" w:firstLine="420"/>
      </w:pPr>
      <w:r>
        <w:rPr>
          <w:rFonts w:hint="eastAsia" w:ascii="宋体" w:hAnsi="宋体" w:eastAsia="宋体" w:cs="宋体"/>
          <w:sz w:val="21"/>
          <w:szCs w:val="21"/>
        </w:rPr>
        <w:t>根据本函，本投标人代表宣布我方保证遵守招标文件的全部规定，同时：</w:t>
      </w:r>
    </w:p>
    <w:p>
      <w:pPr>
        <w:pStyle w:val="4"/>
        <w:keepNext w:val="0"/>
        <w:keepLines w:val="0"/>
        <w:widowControl/>
        <w:suppressLineNumbers w:val="0"/>
        <w:ind w:left="0" w:firstLine="420"/>
      </w:pPr>
      <w:r>
        <w:rPr>
          <w:rFonts w:hint="eastAsia" w:ascii="宋体" w:hAnsi="宋体" w:eastAsia="宋体" w:cs="宋体"/>
          <w:sz w:val="21"/>
          <w:szCs w:val="21"/>
        </w:rPr>
        <w:t>1、</w:t>
      </w:r>
      <w:r>
        <w:rPr>
          <w:rStyle w:val="6"/>
          <w:rFonts w:hint="eastAsia" w:ascii="宋体" w:hAnsi="宋体" w:eastAsia="宋体" w:cs="宋体"/>
          <w:sz w:val="21"/>
          <w:szCs w:val="21"/>
        </w:rPr>
        <w:t>确认：</w:t>
      </w:r>
    </w:p>
    <w:p>
      <w:pPr>
        <w:pStyle w:val="4"/>
        <w:keepNext w:val="0"/>
        <w:keepLines w:val="0"/>
        <w:widowControl/>
        <w:suppressLineNumbers w:val="0"/>
        <w:ind w:left="0" w:firstLine="420"/>
      </w:pPr>
      <w:r>
        <w:rPr>
          <w:rFonts w:hint="eastAsia" w:ascii="宋体" w:hAnsi="宋体" w:eastAsia="宋体" w:cs="宋体"/>
          <w:sz w:val="21"/>
          <w:szCs w:val="21"/>
        </w:rPr>
        <w:t>1.1所投合同包的投标报价详见“开标一览表”及“投标分项报价表”。</w:t>
      </w:r>
    </w:p>
    <w:p>
      <w:pPr>
        <w:pStyle w:val="4"/>
        <w:keepNext w:val="0"/>
        <w:keepLines w:val="0"/>
        <w:widowControl/>
        <w:suppressLineNumbers w:val="0"/>
        <w:ind w:left="0" w:firstLine="420"/>
      </w:pPr>
      <w:r>
        <w:rPr>
          <w:rFonts w:hint="eastAsia" w:ascii="宋体" w:hAnsi="宋体" w:eastAsia="宋体" w:cs="宋体"/>
          <w:sz w:val="21"/>
          <w:szCs w:val="21"/>
        </w:rPr>
        <w:t>1.2我方已详细审查全部招标文件</w:t>
      </w:r>
      <w:r>
        <w:rPr>
          <w:rFonts w:hint="default" w:ascii="Calibri" w:hAnsi="Calibri" w:eastAsia="宋体" w:cs="Calibri"/>
          <w:sz w:val="21"/>
          <w:szCs w:val="21"/>
        </w:rPr>
        <w:t>[</w:t>
      </w:r>
      <w:r>
        <w:rPr>
          <w:rFonts w:hint="eastAsia" w:ascii="宋体" w:hAnsi="宋体" w:eastAsia="宋体" w:cs="宋体"/>
          <w:sz w:val="21"/>
          <w:szCs w:val="21"/>
        </w:rPr>
        <w:t>包括但不限于：有关附件（若有）、澄清或修改（若有）等</w:t>
      </w:r>
      <w:r>
        <w:rPr>
          <w:rFonts w:hint="default" w:ascii="Calibri" w:hAnsi="Calibri" w:eastAsia="宋体" w:cs="Calibri"/>
          <w:sz w:val="21"/>
          <w:szCs w:val="21"/>
        </w:rPr>
        <w:t>]</w:t>
      </w:r>
      <w:r>
        <w:rPr>
          <w:rFonts w:hint="eastAsia" w:ascii="宋体" w:hAnsi="宋体" w:eastAsia="宋体" w:cs="宋体"/>
          <w:sz w:val="21"/>
          <w:szCs w:val="21"/>
        </w:rPr>
        <w:t>，并自行承担因对全部招标文件理解不正确或误解而产生的相应后果和责任。</w:t>
      </w:r>
    </w:p>
    <w:p>
      <w:pPr>
        <w:pStyle w:val="4"/>
        <w:keepNext w:val="0"/>
        <w:keepLines w:val="0"/>
        <w:widowControl/>
        <w:suppressLineNumbers w:val="0"/>
        <w:ind w:left="0" w:firstLine="420"/>
      </w:pPr>
      <w:r>
        <w:rPr>
          <w:rFonts w:hint="eastAsia" w:ascii="宋体" w:hAnsi="宋体" w:eastAsia="宋体" w:cs="宋体"/>
          <w:sz w:val="21"/>
          <w:szCs w:val="21"/>
        </w:rPr>
        <w:t>2、</w:t>
      </w:r>
      <w:r>
        <w:rPr>
          <w:rStyle w:val="6"/>
          <w:rFonts w:hint="eastAsia" w:ascii="宋体" w:hAnsi="宋体" w:eastAsia="宋体" w:cs="宋体"/>
          <w:sz w:val="21"/>
          <w:szCs w:val="21"/>
        </w:rPr>
        <w:t>承诺及声明：</w:t>
      </w:r>
    </w:p>
    <w:p>
      <w:pPr>
        <w:pStyle w:val="4"/>
        <w:keepNext w:val="0"/>
        <w:keepLines w:val="0"/>
        <w:widowControl/>
        <w:suppressLineNumbers w:val="0"/>
        <w:ind w:left="0" w:firstLine="420"/>
      </w:pPr>
      <w:r>
        <w:rPr>
          <w:rFonts w:hint="eastAsia" w:ascii="宋体" w:hAnsi="宋体" w:eastAsia="宋体" w:cs="宋体"/>
          <w:sz w:val="21"/>
          <w:szCs w:val="21"/>
        </w:rPr>
        <w:t>2.1我方具备招标文件第一章载明的“投标人的资格要求”且符合招标文件第三章载明的“二、投标人”之规定，否则</w:t>
      </w:r>
      <w:r>
        <w:rPr>
          <w:rStyle w:val="6"/>
          <w:rFonts w:hint="eastAsia" w:ascii="宋体" w:hAnsi="宋体" w:eastAsia="宋体" w:cs="宋体"/>
          <w:sz w:val="21"/>
          <w:szCs w:val="21"/>
        </w:rPr>
        <w:t>投标无效。</w:t>
      </w:r>
    </w:p>
    <w:p>
      <w:pPr>
        <w:pStyle w:val="4"/>
        <w:keepNext w:val="0"/>
        <w:keepLines w:val="0"/>
        <w:widowControl/>
        <w:suppressLineNumbers w:val="0"/>
        <w:ind w:left="0" w:firstLine="420"/>
      </w:pPr>
      <w:r>
        <w:rPr>
          <w:rFonts w:hint="eastAsia" w:ascii="宋体" w:hAnsi="宋体" w:eastAsia="宋体" w:cs="宋体"/>
          <w:sz w:val="21"/>
          <w:szCs w:val="21"/>
        </w:rPr>
        <w:t>2.2我方提交的投标文件各组成部分的全部内容及资料是不可割离且真实、有效、准确、完整和不具有任何误导性的，否则产生不利后果由我方承担责任。</w:t>
      </w:r>
    </w:p>
    <w:p>
      <w:pPr>
        <w:pStyle w:val="4"/>
        <w:keepNext w:val="0"/>
        <w:keepLines w:val="0"/>
        <w:widowControl/>
        <w:suppressLineNumbers w:val="0"/>
        <w:ind w:left="0" w:firstLine="420"/>
      </w:pPr>
      <w:r>
        <w:rPr>
          <w:rFonts w:hint="eastAsia" w:ascii="宋体" w:hAnsi="宋体" w:eastAsia="宋体" w:cs="宋体"/>
          <w:sz w:val="21"/>
          <w:szCs w:val="21"/>
        </w:rPr>
        <w:t>2.3我方提供的标的价格不高于同期市场价格，否则产生不利后果由我方承担责任。</w:t>
      </w:r>
    </w:p>
    <w:p>
      <w:pPr>
        <w:pStyle w:val="4"/>
        <w:keepNext w:val="0"/>
        <w:keepLines w:val="0"/>
        <w:widowControl/>
        <w:suppressLineNumbers w:val="0"/>
        <w:ind w:left="0" w:firstLine="420"/>
      </w:pPr>
      <w:r>
        <w:rPr>
          <w:rFonts w:hint="eastAsia" w:ascii="宋体" w:hAnsi="宋体" w:eastAsia="宋体" w:cs="宋体"/>
          <w:sz w:val="21"/>
          <w:szCs w:val="21"/>
        </w:rPr>
        <w:t>2.4投标保证金：若出现招标文件第三章规定的不予退还情形，同意贵单位不予退还。</w:t>
      </w:r>
    </w:p>
    <w:p>
      <w:pPr>
        <w:pStyle w:val="4"/>
        <w:keepNext w:val="0"/>
        <w:keepLines w:val="0"/>
        <w:widowControl/>
        <w:suppressLineNumbers w:val="0"/>
        <w:ind w:left="0" w:firstLine="420"/>
      </w:pPr>
      <w:r>
        <w:rPr>
          <w:rFonts w:hint="eastAsia" w:ascii="宋体" w:hAnsi="宋体" w:eastAsia="宋体" w:cs="宋体"/>
          <w:sz w:val="21"/>
          <w:szCs w:val="21"/>
        </w:rPr>
        <w:t>2.5投标有效期：按照招标文件第三章规定执行，并在招标文件第二章载明的期限内保持有效。</w:t>
      </w:r>
    </w:p>
    <w:p>
      <w:pPr>
        <w:pStyle w:val="4"/>
        <w:keepNext w:val="0"/>
        <w:keepLines w:val="0"/>
        <w:widowControl/>
        <w:suppressLineNumbers w:val="0"/>
        <w:ind w:left="0" w:firstLine="420"/>
      </w:pPr>
      <w:r>
        <w:rPr>
          <w:rFonts w:hint="eastAsia" w:ascii="宋体" w:hAnsi="宋体" w:eastAsia="宋体" w:cs="宋体"/>
          <w:sz w:val="21"/>
          <w:szCs w:val="21"/>
        </w:rPr>
        <w:t>2.6若中标，将按照招标文件、我方投标文件及政府采购合同履行责任和义务。</w:t>
      </w:r>
    </w:p>
    <w:p>
      <w:pPr>
        <w:pStyle w:val="4"/>
        <w:keepNext w:val="0"/>
        <w:keepLines w:val="0"/>
        <w:widowControl/>
        <w:suppressLineNumbers w:val="0"/>
        <w:ind w:left="0" w:firstLine="420"/>
      </w:pPr>
      <w:r>
        <w:rPr>
          <w:rFonts w:hint="eastAsia" w:ascii="宋体" w:hAnsi="宋体" w:eastAsia="宋体" w:cs="宋体"/>
          <w:sz w:val="21"/>
          <w:szCs w:val="21"/>
        </w:rPr>
        <w:t>2.7若贵单位要求，我方同意提供与本项目投标有关的一切资料、数据或文件，并完全理解贵单位不一定要接受最低的投标报价或收到的任何投标。</w:t>
      </w:r>
    </w:p>
    <w:p>
      <w:pPr>
        <w:pStyle w:val="4"/>
        <w:keepNext w:val="0"/>
        <w:keepLines w:val="0"/>
        <w:widowControl/>
        <w:suppressLineNumbers w:val="0"/>
        <w:ind w:left="0" w:firstLine="420"/>
      </w:pPr>
      <w:r>
        <w:rPr>
          <w:rFonts w:hint="eastAsia" w:ascii="宋体" w:hAnsi="宋体" w:eastAsia="宋体" w:cs="宋体"/>
          <w:sz w:val="21"/>
          <w:szCs w:val="21"/>
        </w:rPr>
        <w:t>2.8除招标文件另有规定外，对于贵单位按照下述联络方式发出的任何信息或通知，均视为我方已收悉前述信息或通知的全部内容：</w:t>
      </w:r>
    </w:p>
    <w:p>
      <w:pPr>
        <w:pStyle w:val="4"/>
        <w:keepNext w:val="0"/>
        <w:keepLines w:val="0"/>
        <w:widowControl/>
        <w:suppressLineNumbers w:val="0"/>
        <w:ind w:left="0" w:firstLine="420"/>
      </w:pPr>
      <w:r>
        <w:rPr>
          <w:rFonts w:hint="eastAsia" w:ascii="宋体" w:hAnsi="宋体" w:eastAsia="宋体" w:cs="宋体"/>
          <w:sz w:val="21"/>
          <w:szCs w:val="21"/>
        </w:rPr>
        <w:t>通信地址：</w:t>
      </w:r>
      <w:r>
        <w:rPr>
          <w:rFonts w:hint="eastAsia" w:ascii="宋体" w:hAnsi="宋体" w:eastAsia="宋体" w:cs="宋体"/>
          <w:sz w:val="21"/>
          <w:szCs w:val="21"/>
          <w:u w:val="single"/>
        </w:rPr>
        <w:t>                                        </w:t>
      </w:r>
      <w:r>
        <w:rPr>
          <w:rFonts w:hint="eastAsia" w:ascii="宋体" w:hAnsi="宋体" w:eastAsia="宋体" w:cs="宋体"/>
          <w:sz w:val="21"/>
          <w:szCs w:val="21"/>
        </w:rPr>
        <w:t>邮编：</w:t>
      </w:r>
      <w:r>
        <w:rPr>
          <w:rFonts w:hint="eastAsia" w:ascii="宋体" w:hAnsi="宋体" w:eastAsia="宋体" w:cs="宋体"/>
          <w:sz w:val="21"/>
          <w:szCs w:val="21"/>
          <w:u w:val="single"/>
        </w:rPr>
        <w:t>                 </w:t>
      </w:r>
    </w:p>
    <w:p>
      <w:pPr>
        <w:pStyle w:val="4"/>
        <w:keepNext w:val="0"/>
        <w:keepLines w:val="0"/>
        <w:widowControl/>
        <w:suppressLineNumbers w:val="0"/>
        <w:ind w:left="0" w:firstLine="420"/>
      </w:pPr>
      <w:r>
        <w:rPr>
          <w:rFonts w:hint="eastAsia" w:ascii="宋体" w:hAnsi="宋体" w:eastAsia="宋体" w:cs="宋体"/>
          <w:sz w:val="21"/>
          <w:szCs w:val="21"/>
        </w:rPr>
        <w:t>联系方法：</w:t>
      </w:r>
      <w:r>
        <w:rPr>
          <w:rFonts w:hint="eastAsia" w:ascii="宋体" w:hAnsi="宋体" w:eastAsia="宋体" w:cs="宋体"/>
          <w:sz w:val="21"/>
          <w:szCs w:val="21"/>
          <w:u w:val="single"/>
        </w:rPr>
        <w:t>（包括但不限于：联系人、联系电话、手机、传真、电子邮箱等）</w:t>
      </w:r>
    </w:p>
    <w:p>
      <w:pPr>
        <w:pStyle w:val="4"/>
        <w:keepNext w:val="0"/>
        <w:keepLines w:val="0"/>
        <w:widowControl/>
        <w:suppressLineNumbers w:val="0"/>
        <w:ind w:left="0" w:firstLine="420"/>
      </w:pPr>
      <w:r>
        <w:rPr>
          <w:rFonts w:hint="eastAsia" w:ascii="宋体" w:hAnsi="宋体" w:eastAsia="宋体" w:cs="宋体"/>
          <w:sz w:val="21"/>
          <w:szCs w:val="21"/>
        </w:rPr>
        <w:t> </w:t>
      </w:r>
    </w:p>
    <w:p>
      <w:pPr>
        <w:pStyle w:val="4"/>
        <w:keepNext w:val="0"/>
        <w:keepLines w:val="0"/>
        <w:widowControl/>
        <w:suppressLineNumbers w:val="0"/>
        <w:ind w:left="0" w:firstLine="420"/>
      </w:pPr>
      <w:r>
        <w:rPr>
          <w:rFonts w:hint="eastAsia" w:ascii="宋体" w:hAnsi="宋体" w:eastAsia="宋体" w:cs="宋体"/>
          <w:sz w:val="21"/>
          <w:szCs w:val="21"/>
        </w:rPr>
        <w:t>投标人：</w:t>
      </w:r>
      <w:r>
        <w:rPr>
          <w:rFonts w:hint="eastAsia" w:ascii="宋体" w:hAnsi="宋体" w:eastAsia="宋体" w:cs="宋体"/>
          <w:sz w:val="21"/>
          <w:szCs w:val="21"/>
          <w:u w:val="single"/>
        </w:rPr>
        <w:t>（全称并加盖单位公章）</w:t>
      </w:r>
    </w:p>
    <w:p>
      <w:pPr>
        <w:pStyle w:val="4"/>
        <w:keepNext w:val="0"/>
        <w:keepLines w:val="0"/>
        <w:widowControl/>
        <w:suppressLineNumbers w:val="0"/>
        <w:ind w:left="0" w:firstLine="420"/>
      </w:pPr>
      <w:r>
        <w:rPr>
          <w:rFonts w:hint="eastAsia" w:ascii="宋体" w:hAnsi="宋体" w:eastAsia="宋体" w:cs="宋体"/>
          <w:sz w:val="21"/>
          <w:szCs w:val="21"/>
        </w:rPr>
        <w:t>投标人代表签字：</w:t>
      </w:r>
      <w:r>
        <w:rPr>
          <w:rFonts w:hint="eastAsia" w:ascii="宋体" w:hAnsi="宋体" w:eastAsia="宋体" w:cs="宋体"/>
          <w:sz w:val="21"/>
          <w:szCs w:val="21"/>
          <w:u w:val="single"/>
        </w:rPr>
        <w:t>                   </w:t>
      </w:r>
    </w:p>
    <w:p>
      <w:pPr>
        <w:pStyle w:val="4"/>
        <w:keepNext w:val="0"/>
        <w:keepLines w:val="0"/>
        <w:widowControl/>
        <w:suppressLineNumbers w:val="0"/>
        <w:ind w:left="0" w:firstLine="420"/>
      </w:pPr>
      <w:r>
        <w:rPr>
          <w:rFonts w:hint="eastAsia" w:ascii="宋体" w:hAnsi="宋体" w:eastAsia="宋体" w:cs="宋体"/>
          <w:sz w:val="21"/>
          <w:szCs w:val="21"/>
        </w:rPr>
        <w:t>日期：</w:t>
      </w:r>
      <w:r>
        <w:rPr>
          <w:rFonts w:hint="eastAsia" w:ascii="宋体" w:hAnsi="宋体" w:eastAsia="宋体" w:cs="宋体"/>
          <w:sz w:val="21"/>
          <w:szCs w:val="21"/>
          <w:u w:val="single"/>
        </w:rPr>
        <w:t>    </w:t>
      </w:r>
      <w:r>
        <w:rPr>
          <w:rFonts w:hint="eastAsia" w:ascii="宋体" w:hAnsi="宋体" w:eastAsia="宋体" w:cs="宋体"/>
          <w:sz w:val="21"/>
          <w:szCs w:val="21"/>
        </w:rPr>
        <w:t>年</w:t>
      </w:r>
      <w:r>
        <w:rPr>
          <w:rFonts w:hint="eastAsia" w:ascii="宋体" w:hAnsi="宋体" w:eastAsia="宋体" w:cs="宋体"/>
          <w:sz w:val="21"/>
          <w:szCs w:val="21"/>
          <w:u w:val="single"/>
        </w:rPr>
        <w:t>   </w:t>
      </w:r>
      <w:r>
        <w:rPr>
          <w:rFonts w:hint="eastAsia" w:ascii="宋体" w:hAnsi="宋体" w:eastAsia="宋体" w:cs="宋体"/>
          <w:sz w:val="21"/>
          <w:szCs w:val="21"/>
        </w:rPr>
        <w:t>月</w:t>
      </w:r>
      <w:r>
        <w:rPr>
          <w:rFonts w:hint="eastAsia" w:ascii="宋体" w:hAnsi="宋体" w:eastAsia="宋体" w:cs="宋体"/>
          <w:sz w:val="21"/>
          <w:szCs w:val="21"/>
          <w:u w:val="single"/>
        </w:rPr>
        <w:t>   </w:t>
      </w:r>
      <w:r>
        <w:rPr>
          <w:rFonts w:hint="eastAsia" w:ascii="宋体" w:hAnsi="宋体" w:eastAsia="宋体" w:cs="宋体"/>
          <w:sz w:val="21"/>
          <w:szCs w:val="21"/>
        </w:rPr>
        <w:t>日</w:t>
      </w:r>
    </w:p>
    <w:p>
      <w:pPr>
        <w:pStyle w:val="4"/>
        <w:keepNext w:val="0"/>
        <w:keepLines w:val="0"/>
        <w:widowControl/>
        <w:suppressLineNumbers w:val="0"/>
        <w:jc w:val="center"/>
      </w:pPr>
      <w:r>
        <w:rPr>
          <w:rFonts w:hint="default" w:ascii="Calibri" w:hAnsi="Calibri" w:cs="Calibri"/>
          <w:sz w:val="21"/>
          <w:szCs w:val="21"/>
        </w:rPr>
        <w:br w:type="textWrapping"/>
      </w:r>
      <w:r>
        <w:rPr>
          <w:rStyle w:val="6"/>
          <w:rFonts w:hint="eastAsia" w:ascii="宋体" w:hAnsi="宋体" w:eastAsia="宋体" w:cs="宋体"/>
          <w:sz w:val="21"/>
          <w:szCs w:val="21"/>
        </w:rPr>
        <w:t>二、投标人的资格及资信证明文件</w:t>
      </w:r>
    </w:p>
    <w:p>
      <w:pPr>
        <w:pStyle w:val="4"/>
        <w:keepNext w:val="0"/>
        <w:keepLines w:val="0"/>
        <w:widowControl/>
        <w:suppressLineNumbers w:val="0"/>
      </w:pPr>
      <w:r>
        <w:rPr>
          <w:rFonts w:hint="eastAsia" w:ascii="宋体" w:hAnsi="宋体" w:eastAsia="宋体" w:cs="宋体"/>
          <w:sz w:val="21"/>
          <w:szCs w:val="21"/>
        </w:rPr>
        <w:t> </w:t>
      </w:r>
    </w:p>
    <w:p>
      <w:pPr>
        <w:pStyle w:val="4"/>
        <w:keepNext w:val="0"/>
        <w:keepLines w:val="0"/>
        <w:widowControl/>
        <w:suppressLineNumbers w:val="0"/>
        <w:jc w:val="center"/>
      </w:pPr>
      <w:r>
        <w:rPr>
          <w:rStyle w:val="6"/>
          <w:rFonts w:hint="eastAsia" w:ascii="宋体" w:hAnsi="宋体" w:eastAsia="宋体" w:cs="宋体"/>
          <w:sz w:val="21"/>
          <w:szCs w:val="21"/>
        </w:rPr>
        <w:t>二-1单位负责人授权书（若有）</w:t>
      </w:r>
    </w:p>
    <w:p>
      <w:pPr>
        <w:pStyle w:val="4"/>
        <w:keepNext w:val="0"/>
        <w:keepLines w:val="0"/>
        <w:widowControl/>
        <w:suppressLineNumbers w:val="0"/>
      </w:pPr>
      <w:r>
        <w:rPr>
          <w:rFonts w:hint="eastAsia" w:ascii="宋体" w:hAnsi="宋体" w:eastAsia="宋体" w:cs="宋体"/>
          <w:sz w:val="21"/>
          <w:szCs w:val="21"/>
        </w:rPr>
        <w:t> </w:t>
      </w:r>
    </w:p>
    <w:p>
      <w:pPr>
        <w:pStyle w:val="4"/>
        <w:keepNext w:val="0"/>
        <w:keepLines w:val="0"/>
        <w:widowControl/>
        <w:suppressLineNumbers w:val="0"/>
      </w:pPr>
      <w:r>
        <w:rPr>
          <w:rFonts w:hint="eastAsia" w:ascii="宋体" w:hAnsi="宋体" w:eastAsia="宋体" w:cs="宋体"/>
          <w:sz w:val="21"/>
          <w:szCs w:val="21"/>
        </w:rPr>
        <w:t>致：</w:t>
      </w:r>
      <w:r>
        <w:rPr>
          <w:rFonts w:hint="eastAsia" w:ascii="宋体" w:hAnsi="宋体" w:eastAsia="宋体" w:cs="宋体"/>
          <w:sz w:val="21"/>
          <w:szCs w:val="21"/>
          <w:u w:val="single"/>
        </w:rPr>
        <w:t>                     </w:t>
      </w:r>
    </w:p>
    <w:p>
      <w:pPr>
        <w:pStyle w:val="4"/>
        <w:keepNext w:val="0"/>
        <w:keepLines w:val="0"/>
        <w:widowControl/>
        <w:suppressLineNumbers w:val="0"/>
        <w:ind w:left="0" w:firstLine="420"/>
      </w:pPr>
      <w:r>
        <w:rPr>
          <w:rFonts w:hint="eastAsia" w:ascii="宋体" w:hAnsi="宋体" w:eastAsia="宋体" w:cs="宋体"/>
          <w:sz w:val="21"/>
          <w:szCs w:val="21"/>
        </w:rPr>
        <w:t>我方的单位负责人</w:t>
      </w:r>
      <w:r>
        <w:rPr>
          <w:rFonts w:hint="eastAsia" w:ascii="宋体" w:hAnsi="宋体" w:eastAsia="宋体" w:cs="宋体"/>
          <w:sz w:val="21"/>
          <w:szCs w:val="21"/>
          <w:u w:val="single"/>
        </w:rPr>
        <w:t>（填写“单位负责人全名”）</w:t>
      </w:r>
      <w:r>
        <w:rPr>
          <w:rFonts w:hint="eastAsia" w:ascii="宋体" w:hAnsi="宋体" w:eastAsia="宋体" w:cs="宋体"/>
          <w:sz w:val="21"/>
          <w:szCs w:val="21"/>
        </w:rPr>
        <w:t>授权</w:t>
      </w:r>
      <w:r>
        <w:rPr>
          <w:rFonts w:hint="eastAsia" w:ascii="宋体" w:hAnsi="宋体" w:eastAsia="宋体" w:cs="宋体"/>
          <w:sz w:val="21"/>
          <w:szCs w:val="21"/>
          <w:u w:val="single"/>
        </w:rPr>
        <w:t>（填写“投标人代表全名”）</w:t>
      </w:r>
      <w:r>
        <w:rPr>
          <w:rFonts w:hint="eastAsia" w:ascii="宋体" w:hAnsi="宋体" w:eastAsia="宋体" w:cs="宋体"/>
          <w:sz w:val="21"/>
          <w:szCs w:val="21"/>
        </w:rPr>
        <w:t>为投标人代表，代表我方参加</w:t>
      </w:r>
      <w:r>
        <w:rPr>
          <w:rFonts w:hint="eastAsia" w:ascii="宋体" w:hAnsi="宋体" w:eastAsia="宋体" w:cs="宋体"/>
          <w:sz w:val="21"/>
          <w:szCs w:val="21"/>
          <w:u w:val="single"/>
        </w:rPr>
        <w:t>（填写“项目名称”）</w:t>
      </w:r>
      <w:r>
        <w:rPr>
          <w:rFonts w:hint="eastAsia" w:ascii="宋体" w:hAnsi="宋体" w:eastAsia="宋体" w:cs="宋体"/>
          <w:sz w:val="21"/>
          <w:szCs w:val="21"/>
        </w:rPr>
        <w:t>项目（招标编号：</w:t>
      </w:r>
      <w:r>
        <w:rPr>
          <w:rFonts w:hint="eastAsia" w:ascii="宋体" w:hAnsi="宋体" w:eastAsia="宋体" w:cs="宋体"/>
          <w:sz w:val="21"/>
          <w:szCs w:val="21"/>
          <w:u w:val="single"/>
        </w:rPr>
        <w:t>         </w:t>
      </w:r>
      <w:r>
        <w:rPr>
          <w:rFonts w:hint="eastAsia" w:ascii="宋体" w:hAnsi="宋体" w:eastAsia="宋体" w:cs="宋体"/>
          <w:sz w:val="21"/>
          <w:szCs w:val="21"/>
        </w:rPr>
        <w:t>）的投标，全权代表我方处理投标过程的一切事宜，包括但不限于：投标、参加开标、谈判、澄清、签约等。投标人代表在投标过程中所签署的一切文件和处理与之有关的一切事务，我方均予以认可并对此承担责任。</w:t>
      </w:r>
    </w:p>
    <w:p>
      <w:pPr>
        <w:pStyle w:val="4"/>
        <w:keepNext w:val="0"/>
        <w:keepLines w:val="0"/>
        <w:widowControl/>
        <w:suppressLineNumbers w:val="0"/>
        <w:ind w:left="0" w:firstLine="420"/>
      </w:pPr>
      <w:r>
        <w:rPr>
          <w:rFonts w:hint="eastAsia" w:ascii="宋体" w:hAnsi="宋体" w:eastAsia="宋体" w:cs="宋体"/>
          <w:sz w:val="21"/>
          <w:szCs w:val="21"/>
        </w:rPr>
        <w:t>投标人代表无转委权。特此授权。</w:t>
      </w:r>
    </w:p>
    <w:p>
      <w:pPr>
        <w:pStyle w:val="4"/>
        <w:keepNext w:val="0"/>
        <w:keepLines w:val="0"/>
        <w:widowControl/>
        <w:suppressLineNumbers w:val="0"/>
        <w:jc w:val="center"/>
      </w:pPr>
      <w:r>
        <w:rPr>
          <w:rFonts w:hint="eastAsia" w:ascii="宋体" w:hAnsi="宋体" w:eastAsia="宋体" w:cs="宋体"/>
          <w:sz w:val="21"/>
          <w:szCs w:val="21"/>
        </w:rPr>
        <w:t>（以下无正文）</w:t>
      </w:r>
    </w:p>
    <w:p>
      <w:pPr>
        <w:pStyle w:val="4"/>
        <w:keepNext w:val="0"/>
        <w:keepLines w:val="0"/>
        <w:widowControl/>
        <w:suppressLineNumbers w:val="0"/>
      </w:pPr>
      <w:r>
        <w:rPr>
          <w:rFonts w:hint="eastAsia" w:ascii="宋体" w:hAnsi="宋体" w:eastAsia="宋体" w:cs="宋体"/>
          <w:sz w:val="21"/>
          <w:szCs w:val="21"/>
        </w:rPr>
        <w:t> </w:t>
      </w:r>
    </w:p>
    <w:p>
      <w:pPr>
        <w:pStyle w:val="4"/>
        <w:keepNext w:val="0"/>
        <w:keepLines w:val="0"/>
        <w:widowControl/>
        <w:suppressLineNumbers w:val="0"/>
      </w:pPr>
      <w:r>
        <w:rPr>
          <w:rFonts w:hint="eastAsia" w:ascii="宋体" w:hAnsi="宋体" w:eastAsia="宋体" w:cs="宋体"/>
          <w:sz w:val="21"/>
          <w:szCs w:val="21"/>
        </w:rPr>
        <w:t>单位负责人：</w:t>
      </w:r>
      <w:r>
        <w:rPr>
          <w:rFonts w:hint="eastAsia" w:ascii="宋体" w:hAnsi="宋体" w:eastAsia="宋体" w:cs="宋体"/>
          <w:sz w:val="21"/>
          <w:szCs w:val="21"/>
          <w:u w:val="single"/>
        </w:rPr>
        <w:t>             </w:t>
      </w:r>
      <w:r>
        <w:rPr>
          <w:rFonts w:hint="eastAsia" w:ascii="宋体" w:hAnsi="宋体" w:eastAsia="宋体" w:cs="宋体"/>
          <w:sz w:val="21"/>
          <w:szCs w:val="21"/>
        </w:rPr>
        <w:t>身份证号：</w:t>
      </w:r>
      <w:r>
        <w:rPr>
          <w:rFonts w:hint="eastAsia" w:ascii="宋体" w:hAnsi="宋体" w:eastAsia="宋体" w:cs="宋体"/>
          <w:sz w:val="21"/>
          <w:szCs w:val="21"/>
          <w:u w:val="single"/>
        </w:rPr>
        <w:t>                        </w:t>
      </w:r>
      <w:r>
        <w:rPr>
          <w:rFonts w:hint="eastAsia" w:ascii="宋体" w:hAnsi="宋体" w:eastAsia="宋体" w:cs="宋体"/>
          <w:sz w:val="21"/>
          <w:szCs w:val="21"/>
        </w:rPr>
        <w:t>手机：</w:t>
      </w:r>
      <w:r>
        <w:rPr>
          <w:rFonts w:hint="eastAsia" w:ascii="宋体" w:hAnsi="宋体" w:eastAsia="宋体" w:cs="宋体"/>
          <w:sz w:val="21"/>
          <w:szCs w:val="21"/>
          <w:u w:val="single"/>
        </w:rPr>
        <w:t>              </w:t>
      </w:r>
    </w:p>
    <w:p>
      <w:pPr>
        <w:pStyle w:val="4"/>
        <w:keepNext w:val="0"/>
        <w:keepLines w:val="0"/>
        <w:widowControl/>
        <w:suppressLineNumbers w:val="0"/>
      </w:pPr>
      <w:r>
        <w:rPr>
          <w:rFonts w:hint="eastAsia" w:ascii="宋体" w:hAnsi="宋体" w:eastAsia="宋体" w:cs="宋体"/>
          <w:sz w:val="21"/>
          <w:szCs w:val="21"/>
        </w:rPr>
        <w:t>投标人代表：</w:t>
      </w:r>
      <w:r>
        <w:rPr>
          <w:rFonts w:hint="eastAsia" w:ascii="宋体" w:hAnsi="宋体" w:eastAsia="宋体" w:cs="宋体"/>
          <w:sz w:val="21"/>
          <w:szCs w:val="21"/>
          <w:u w:val="single"/>
        </w:rPr>
        <w:t>             </w:t>
      </w:r>
      <w:r>
        <w:rPr>
          <w:rFonts w:hint="eastAsia" w:ascii="宋体" w:hAnsi="宋体" w:eastAsia="宋体" w:cs="宋体"/>
          <w:sz w:val="21"/>
          <w:szCs w:val="21"/>
        </w:rPr>
        <w:t>身份证号：</w:t>
      </w:r>
      <w:r>
        <w:rPr>
          <w:rFonts w:hint="eastAsia" w:ascii="宋体" w:hAnsi="宋体" w:eastAsia="宋体" w:cs="宋体"/>
          <w:sz w:val="21"/>
          <w:szCs w:val="21"/>
          <w:u w:val="single"/>
        </w:rPr>
        <w:t>                        </w:t>
      </w:r>
      <w:r>
        <w:rPr>
          <w:rFonts w:hint="eastAsia" w:ascii="宋体" w:hAnsi="宋体" w:eastAsia="宋体" w:cs="宋体"/>
          <w:sz w:val="21"/>
          <w:szCs w:val="21"/>
        </w:rPr>
        <w:t>手机：</w:t>
      </w:r>
      <w:r>
        <w:rPr>
          <w:rFonts w:hint="eastAsia" w:ascii="宋体" w:hAnsi="宋体" w:eastAsia="宋体" w:cs="宋体"/>
          <w:sz w:val="21"/>
          <w:szCs w:val="21"/>
          <w:u w:val="single"/>
        </w:rPr>
        <w:t>              </w:t>
      </w:r>
    </w:p>
    <w:p>
      <w:pPr>
        <w:pStyle w:val="4"/>
        <w:keepNext w:val="0"/>
        <w:keepLines w:val="0"/>
        <w:widowControl/>
        <w:suppressLineNumbers w:val="0"/>
      </w:pPr>
      <w:r>
        <w:rPr>
          <w:rFonts w:hint="default" w:ascii="Calibri" w:hAnsi="Calibri" w:cs="Calibri"/>
          <w:sz w:val="21"/>
          <w:szCs w:val="21"/>
        </w:rPr>
        <w:t> </w:t>
      </w:r>
    </w:p>
    <w:p>
      <w:pPr>
        <w:pStyle w:val="4"/>
        <w:keepNext w:val="0"/>
        <w:keepLines w:val="0"/>
        <w:widowControl/>
        <w:suppressLineNumbers w:val="0"/>
      </w:pPr>
      <w:r>
        <w:rPr>
          <w:rFonts w:hint="eastAsia" w:ascii="宋体" w:hAnsi="宋体" w:eastAsia="宋体" w:cs="宋体"/>
          <w:sz w:val="21"/>
          <w:szCs w:val="21"/>
        </w:rPr>
        <w:t>授权方</w:t>
      </w:r>
    </w:p>
    <w:p>
      <w:pPr>
        <w:pStyle w:val="4"/>
        <w:keepNext w:val="0"/>
        <w:keepLines w:val="0"/>
        <w:widowControl/>
        <w:suppressLineNumbers w:val="0"/>
      </w:pPr>
      <w:r>
        <w:rPr>
          <w:rFonts w:hint="eastAsia" w:ascii="宋体" w:hAnsi="宋体" w:eastAsia="宋体" w:cs="宋体"/>
          <w:sz w:val="21"/>
          <w:szCs w:val="21"/>
        </w:rPr>
        <w:t>投标人：</w:t>
      </w:r>
      <w:r>
        <w:rPr>
          <w:rFonts w:hint="eastAsia" w:ascii="宋体" w:hAnsi="宋体" w:eastAsia="宋体" w:cs="宋体"/>
          <w:sz w:val="21"/>
          <w:szCs w:val="21"/>
          <w:u w:val="single"/>
        </w:rPr>
        <w:t>（全称并加盖单位公章）</w:t>
      </w:r>
    </w:p>
    <w:p>
      <w:pPr>
        <w:pStyle w:val="4"/>
        <w:keepNext w:val="0"/>
        <w:keepLines w:val="0"/>
        <w:widowControl/>
        <w:suppressLineNumbers w:val="0"/>
      </w:pPr>
      <w:r>
        <w:rPr>
          <w:rFonts w:hint="eastAsia" w:ascii="宋体" w:hAnsi="宋体" w:eastAsia="宋体" w:cs="宋体"/>
          <w:sz w:val="21"/>
          <w:szCs w:val="21"/>
        </w:rPr>
        <w:t>单位负责人签字或盖章：</w:t>
      </w:r>
      <w:r>
        <w:rPr>
          <w:rFonts w:hint="eastAsia" w:ascii="宋体" w:hAnsi="宋体" w:eastAsia="宋体" w:cs="宋体"/>
          <w:sz w:val="21"/>
          <w:szCs w:val="21"/>
          <w:u w:val="single"/>
        </w:rPr>
        <w:t>                   </w:t>
      </w:r>
    </w:p>
    <w:p>
      <w:pPr>
        <w:pStyle w:val="4"/>
        <w:keepNext w:val="0"/>
        <w:keepLines w:val="0"/>
        <w:widowControl/>
        <w:suppressLineNumbers w:val="0"/>
      </w:pPr>
      <w:r>
        <w:rPr>
          <w:rFonts w:hint="default" w:ascii="Calibri" w:hAnsi="Calibri" w:cs="Calibri"/>
          <w:sz w:val="21"/>
          <w:szCs w:val="21"/>
        </w:rPr>
        <w:t> </w:t>
      </w:r>
    </w:p>
    <w:p>
      <w:pPr>
        <w:pStyle w:val="4"/>
        <w:keepNext w:val="0"/>
        <w:keepLines w:val="0"/>
        <w:widowControl/>
        <w:suppressLineNumbers w:val="0"/>
      </w:pPr>
      <w:r>
        <w:rPr>
          <w:rFonts w:hint="eastAsia" w:ascii="宋体" w:hAnsi="宋体" w:eastAsia="宋体" w:cs="宋体"/>
          <w:sz w:val="21"/>
          <w:szCs w:val="21"/>
        </w:rPr>
        <w:t>接受授权方</w:t>
      </w:r>
    </w:p>
    <w:p>
      <w:pPr>
        <w:pStyle w:val="4"/>
        <w:keepNext w:val="0"/>
        <w:keepLines w:val="0"/>
        <w:widowControl/>
        <w:suppressLineNumbers w:val="0"/>
      </w:pPr>
      <w:r>
        <w:rPr>
          <w:rFonts w:hint="eastAsia" w:ascii="宋体" w:hAnsi="宋体" w:eastAsia="宋体" w:cs="宋体"/>
          <w:sz w:val="21"/>
          <w:szCs w:val="21"/>
        </w:rPr>
        <w:t>投标人代表签字：</w:t>
      </w:r>
      <w:r>
        <w:rPr>
          <w:rFonts w:hint="eastAsia" w:ascii="宋体" w:hAnsi="宋体" w:eastAsia="宋体" w:cs="宋体"/>
          <w:sz w:val="21"/>
          <w:szCs w:val="21"/>
          <w:u w:val="single"/>
        </w:rPr>
        <w:t>                   </w:t>
      </w:r>
    </w:p>
    <w:p>
      <w:pPr>
        <w:pStyle w:val="4"/>
        <w:keepNext w:val="0"/>
        <w:keepLines w:val="0"/>
        <w:widowControl/>
        <w:suppressLineNumbers w:val="0"/>
      </w:pPr>
      <w:r>
        <w:rPr>
          <w:rFonts w:hint="eastAsia" w:ascii="宋体" w:hAnsi="宋体" w:eastAsia="宋体" w:cs="宋体"/>
          <w:sz w:val="21"/>
          <w:szCs w:val="21"/>
        </w:rPr>
        <w:t> </w:t>
      </w:r>
    </w:p>
    <w:p>
      <w:pPr>
        <w:pStyle w:val="4"/>
        <w:keepNext w:val="0"/>
        <w:keepLines w:val="0"/>
        <w:widowControl/>
        <w:suppressLineNumbers w:val="0"/>
        <w:jc w:val="right"/>
      </w:pPr>
      <w:r>
        <w:rPr>
          <w:rFonts w:hint="eastAsia" w:ascii="宋体" w:hAnsi="宋体" w:eastAsia="宋体" w:cs="宋体"/>
          <w:sz w:val="21"/>
          <w:szCs w:val="21"/>
        </w:rPr>
        <w:t>签署日期：</w:t>
      </w:r>
      <w:r>
        <w:rPr>
          <w:rFonts w:hint="eastAsia" w:ascii="宋体" w:hAnsi="宋体" w:eastAsia="宋体" w:cs="宋体"/>
          <w:sz w:val="21"/>
          <w:szCs w:val="21"/>
          <w:u w:val="single"/>
        </w:rPr>
        <w:t>    </w:t>
      </w:r>
      <w:r>
        <w:rPr>
          <w:rFonts w:hint="eastAsia" w:ascii="宋体" w:hAnsi="宋体" w:eastAsia="宋体" w:cs="宋体"/>
          <w:sz w:val="21"/>
          <w:szCs w:val="21"/>
        </w:rPr>
        <w:t>年</w:t>
      </w:r>
      <w:r>
        <w:rPr>
          <w:rFonts w:hint="eastAsia" w:ascii="宋体" w:hAnsi="宋体" w:eastAsia="宋体" w:cs="宋体"/>
          <w:sz w:val="21"/>
          <w:szCs w:val="21"/>
          <w:u w:val="single"/>
        </w:rPr>
        <w:t>   </w:t>
      </w:r>
      <w:r>
        <w:rPr>
          <w:rFonts w:hint="eastAsia" w:ascii="宋体" w:hAnsi="宋体" w:eastAsia="宋体" w:cs="宋体"/>
          <w:sz w:val="21"/>
          <w:szCs w:val="21"/>
        </w:rPr>
        <w:t>月</w:t>
      </w:r>
      <w:r>
        <w:rPr>
          <w:rFonts w:hint="eastAsia" w:ascii="宋体" w:hAnsi="宋体" w:eastAsia="宋体" w:cs="宋体"/>
          <w:sz w:val="21"/>
          <w:szCs w:val="21"/>
          <w:u w:val="single"/>
        </w:rPr>
        <w:t>   </w:t>
      </w:r>
      <w:r>
        <w:rPr>
          <w:rFonts w:hint="eastAsia" w:ascii="宋体" w:hAnsi="宋体" w:eastAsia="宋体" w:cs="宋体"/>
          <w:sz w:val="21"/>
          <w:szCs w:val="21"/>
        </w:rPr>
        <w:t>日</w:t>
      </w:r>
    </w:p>
    <w:p>
      <w:pPr>
        <w:pStyle w:val="4"/>
        <w:keepNext w:val="0"/>
        <w:keepLines w:val="0"/>
        <w:widowControl/>
        <w:suppressLineNumbers w:val="0"/>
      </w:pPr>
      <w:r>
        <w:rPr>
          <w:rFonts w:hint="default" w:ascii="Calibri" w:hAnsi="Calibri" w:cs="Calibri"/>
          <w:sz w:val="21"/>
          <w:szCs w:val="21"/>
        </w:rPr>
        <w:t> </w:t>
      </w:r>
    </w:p>
    <w:p>
      <w:pPr>
        <w:pStyle w:val="4"/>
        <w:keepNext w:val="0"/>
        <w:keepLines w:val="0"/>
        <w:widowControl/>
        <w:suppressLineNumbers w:val="0"/>
      </w:pPr>
      <w:r>
        <w:rPr>
          <w:rFonts w:hint="eastAsia" w:ascii="宋体" w:hAnsi="宋体" w:eastAsia="宋体" w:cs="宋体"/>
          <w:sz w:val="21"/>
          <w:szCs w:val="21"/>
        </w:rPr>
        <w:t>附：单位负责人、投标人代表的身份证正反面复印件</w:t>
      </w:r>
    </w:p>
    <w:tbl>
      <w:tblPr>
        <w:tblStyle w:val="9"/>
        <w:tblW w:w="8520" w:type="dxa"/>
        <w:tblCellSpacing w:w="15" w:type="dxa"/>
        <w:tblInd w:w="-15"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15" w:type="dxa"/>
          <w:left w:w="15" w:type="dxa"/>
          <w:bottom w:w="15" w:type="dxa"/>
          <w:right w:w="15" w:type="dxa"/>
        </w:tblCellMar>
      </w:tblPr>
      <w:tblGrid>
        <w:gridCol w:w="8520"/>
      </w:tblGrid>
      <w:tr>
        <w:trPr>
          <w:tblCellSpacing w:w="15" w:type="dxa"/>
        </w:trPr>
        <w:tc>
          <w:tcPr>
            <w:tcW w:w="8460" w:type="dxa"/>
            <w:tcBorders>
              <w:top w:val="nil"/>
              <w:left w:val="nil"/>
              <w:bottom w:val="nil"/>
              <w:right w:val="nil"/>
            </w:tcBorders>
            <w:shd w:val="clear" w:color="auto" w:fill="auto"/>
            <w:tcMar>
              <w:top w:w="0" w:type="dxa"/>
              <w:left w:w="105" w:type="dxa"/>
              <w:bottom w:w="0" w:type="dxa"/>
              <w:right w:w="105" w:type="dxa"/>
            </w:tcMar>
            <w:vAlign w:val="center"/>
          </w:tcPr>
          <w:p>
            <w:pPr>
              <w:pStyle w:val="4"/>
              <w:keepNext w:val="0"/>
              <w:keepLines w:val="0"/>
              <w:widowControl/>
              <w:suppressLineNumbers w:val="0"/>
              <w:jc w:val="center"/>
            </w:pPr>
            <w:r>
              <w:rPr>
                <w:rStyle w:val="6"/>
                <w:rFonts w:hint="eastAsia" w:ascii="宋体" w:hAnsi="宋体" w:eastAsia="宋体" w:cs="宋体"/>
                <w:sz w:val="21"/>
                <w:szCs w:val="21"/>
              </w:rPr>
              <w:t> </w:t>
            </w:r>
          </w:p>
          <w:p>
            <w:pPr>
              <w:pStyle w:val="4"/>
              <w:keepNext w:val="0"/>
              <w:keepLines w:val="0"/>
              <w:widowControl/>
              <w:suppressLineNumbers w:val="0"/>
              <w:jc w:val="center"/>
            </w:pPr>
            <w:r>
              <w:rPr>
                <w:rStyle w:val="6"/>
                <w:rFonts w:hint="eastAsia" w:ascii="宋体" w:hAnsi="宋体" w:eastAsia="宋体" w:cs="宋体"/>
                <w:sz w:val="21"/>
                <w:szCs w:val="21"/>
              </w:rPr>
              <w:t>要求：真实有效且内容完整、清晰、整洁。</w:t>
            </w:r>
          </w:p>
          <w:p>
            <w:pPr>
              <w:pStyle w:val="4"/>
              <w:keepNext w:val="0"/>
              <w:keepLines w:val="0"/>
              <w:widowControl/>
              <w:suppressLineNumbers w:val="0"/>
              <w:jc w:val="center"/>
            </w:pPr>
            <w:r>
              <w:rPr>
                <w:rStyle w:val="6"/>
                <w:rFonts w:hint="eastAsia" w:ascii="宋体" w:hAnsi="宋体" w:eastAsia="宋体" w:cs="宋体"/>
                <w:sz w:val="21"/>
                <w:szCs w:val="21"/>
              </w:rPr>
              <w:t> </w:t>
            </w:r>
          </w:p>
        </w:tc>
      </w:tr>
    </w:tbl>
    <w:p>
      <w:pPr>
        <w:pStyle w:val="4"/>
        <w:keepNext w:val="0"/>
        <w:keepLines w:val="0"/>
        <w:widowControl/>
        <w:suppressLineNumbers w:val="0"/>
      </w:pPr>
      <w:r>
        <w:rPr>
          <w:rFonts w:hint="eastAsia" w:ascii="宋体" w:hAnsi="宋体" w:eastAsia="宋体" w:cs="宋体"/>
          <w:sz w:val="21"/>
          <w:szCs w:val="21"/>
        </w:rPr>
        <w:t> </w:t>
      </w:r>
    </w:p>
    <w:p>
      <w:pPr>
        <w:pStyle w:val="4"/>
        <w:keepNext w:val="0"/>
        <w:keepLines w:val="0"/>
        <w:widowControl/>
        <w:suppressLineNumbers w:val="0"/>
      </w:pPr>
      <w:r>
        <w:rPr>
          <w:rFonts w:hint="eastAsia" w:ascii="宋体" w:hAnsi="宋体" w:eastAsia="宋体" w:cs="宋体"/>
          <w:sz w:val="21"/>
          <w:szCs w:val="21"/>
        </w:rPr>
        <w:t>★注意：</w:t>
      </w:r>
    </w:p>
    <w:p>
      <w:pPr>
        <w:pStyle w:val="4"/>
        <w:keepNext w:val="0"/>
        <w:keepLines w:val="0"/>
        <w:widowControl/>
        <w:suppressLineNumbers w:val="0"/>
      </w:pPr>
      <w:r>
        <w:rPr>
          <w:rFonts w:hint="eastAsia" w:ascii="宋体" w:hAnsi="宋体" w:eastAsia="宋体" w:cs="宋体"/>
          <w:sz w:val="21"/>
          <w:szCs w:val="21"/>
        </w:rPr>
        <w:t>1、企业（银行、保险、石油石化、电力、电信等行业除外）、事业单位和社会团体法人的“单位负责人”指</w:t>
      </w:r>
      <w:r>
        <w:rPr>
          <w:rStyle w:val="6"/>
          <w:rFonts w:hint="eastAsia" w:ascii="宋体" w:hAnsi="宋体" w:eastAsia="宋体" w:cs="宋体"/>
          <w:sz w:val="21"/>
          <w:szCs w:val="21"/>
        </w:rPr>
        <w:t>法定代表人</w:t>
      </w:r>
      <w:r>
        <w:rPr>
          <w:rFonts w:hint="eastAsia" w:ascii="宋体" w:hAnsi="宋体" w:eastAsia="宋体" w:cs="宋体"/>
          <w:sz w:val="21"/>
          <w:szCs w:val="21"/>
        </w:rPr>
        <w:t>，即与实际提交的“营业执照等证明文件”载明的一致。</w:t>
      </w:r>
    </w:p>
    <w:p>
      <w:pPr>
        <w:pStyle w:val="4"/>
        <w:keepNext w:val="0"/>
        <w:keepLines w:val="0"/>
        <w:widowControl/>
        <w:suppressLineNumbers w:val="0"/>
      </w:pPr>
      <w:r>
        <w:rPr>
          <w:rFonts w:hint="eastAsia" w:ascii="宋体" w:hAnsi="宋体" w:eastAsia="宋体" w:cs="宋体"/>
          <w:sz w:val="21"/>
          <w:szCs w:val="21"/>
        </w:rPr>
        <w:t>2、银行、保险、石油石化、电力、电信等行业：以法人身份参加投标的，“单位负责人”指法定代表人，即与实际提交的“营业执照等证明文件”载明的一致；以非法人身份参加投标的，“单位负责人”指代表单位行使职权的主要负责人，即与实际提交的“营业执照等证明文件”载明的一致。</w:t>
      </w:r>
    </w:p>
    <w:p>
      <w:pPr>
        <w:pStyle w:val="4"/>
        <w:keepNext w:val="0"/>
        <w:keepLines w:val="0"/>
        <w:widowControl/>
        <w:suppressLineNumbers w:val="0"/>
      </w:pPr>
      <w:r>
        <w:rPr>
          <w:rFonts w:hint="eastAsia" w:ascii="宋体" w:hAnsi="宋体" w:eastAsia="宋体" w:cs="宋体"/>
          <w:sz w:val="21"/>
          <w:szCs w:val="21"/>
        </w:rPr>
        <w:t>3、投标人（自然人除外）：若投标人代表为单位负责人授权的委托代理人，应提供本授权书；若投标人代表为单位负责人，应在此项下提交其身份证正反面复印件，可不提供本授权书。</w:t>
      </w:r>
      <w:r>
        <w:rPr>
          <w:rFonts w:hint="eastAsia" w:ascii="宋体" w:hAnsi="宋体" w:eastAsia="宋体" w:cs="宋体"/>
          <w:sz w:val="21"/>
          <w:szCs w:val="21"/>
        </w:rPr>
        <w:br w:type="textWrapping"/>
      </w:r>
      <w:r>
        <w:rPr>
          <w:rFonts w:hint="eastAsia" w:ascii="宋体" w:hAnsi="宋体" w:eastAsia="宋体" w:cs="宋体"/>
          <w:sz w:val="21"/>
          <w:szCs w:val="21"/>
        </w:rPr>
        <w:t>4、投标人为自然人的，可不填写本授权书。</w:t>
      </w:r>
      <w:r>
        <w:rPr>
          <w:rFonts w:hint="eastAsia" w:ascii="宋体" w:hAnsi="宋体" w:eastAsia="宋体" w:cs="宋体"/>
          <w:sz w:val="21"/>
          <w:szCs w:val="21"/>
        </w:rPr>
        <w:br w:type="textWrapping"/>
      </w:r>
      <w:r>
        <w:rPr>
          <w:rFonts w:hint="eastAsia" w:ascii="宋体" w:hAnsi="宋体" w:eastAsia="宋体" w:cs="宋体"/>
          <w:sz w:val="21"/>
          <w:szCs w:val="21"/>
        </w:rPr>
        <w:t xml:space="preserve">5、纸质投标文件正本中的本授权书（若有）应为原件。 </w:t>
      </w:r>
    </w:p>
    <w:p>
      <w:pPr>
        <w:pStyle w:val="4"/>
        <w:keepNext w:val="0"/>
        <w:keepLines w:val="0"/>
        <w:widowControl/>
        <w:suppressLineNumbers w:val="0"/>
      </w:pPr>
    </w:p>
    <w:p>
      <w:pPr>
        <w:pStyle w:val="4"/>
        <w:keepNext w:val="0"/>
        <w:keepLines w:val="0"/>
        <w:widowControl/>
        <w:suppressLineNumbers w:val="0"/>
      </w:pPr>
      <w:r>
        <w:rPr>
          <w:rFonts w:hint="eastAsia" w:ascii="宋体" w:hAnsi="宋体" w:eastAsia="宋体" w:cs="宋体"/>
          <w:sz w:val="21"/>
          <w:szCs w:val="21"/>
        </w:rPr>
        <w:t> </w:t>
      </w:r>
    </w:p>
    <w:p>
      <w:pPr>
        <w:pStyle w:val="4"/>
        <w:keepNext w:val="0"/>
        <w:keepLines w:val="0"/>
        <w:widowControl/>
        <w:suppressLineNumbers w:val="0"/>
      </w:pPr>
      <w:r>
        <w:rPr>
          <w:rFonts w:hint="eastAsia" w:ascii="宋体" w:hAnsi="宋体" w:eastAsia="宋体" w:cs="宋体"/>
          <w:sz w:val="21"/>
          <w:szCs w:val="21"/>
        </w:rPr>
        <w:t> </w:t>
      </w:r>
    </w:p>
    <w:p>
      <w:pPr>
        <w:pStyle w:val="4"/>
        <w:keepNext w:val="0"/>
        <w:keepLines w:val="0"/>
        <w:widowControl/>
        <w:suppressLineNumbers w:val="0"/>
        <w:jc w:val="center"/>
      </w:pPr>
      <w:r>
        <w:rPr>
          <w:rFonts w:hint="default" w:ascii="Calibri" w:hAnsi="Calibri" w:cs="Calibri"/>
          <w:sz w:val="21"/>
          <w:szCs w:val="21"/>
        </w:rPr>
        <w:br w:type="textWrapping"/>
      </w:r>
      <w:r>
        <w:rPr>
          <w:rStyle w:val="6"/>
          <w:rFonts w:hint="eastAsia" w:ascii="宋体" w:hAnsi="宋体" w:eastAsia="宋体" w:cs="宋体"/>
          <w:sz w:val="21"/>
          <w:szCs w:val="21"/>
        </w:rPr>
        <w:t>二-2营业执照等证明文件</w:t>
      </w:r>
    </w:p>
    <w:p>
      <w:pPr>
        <w:pStyle w:val="4"/>
        <w:keepNext w:val="0"/>
        <w:keepLines w:val="0"/>
        <w:widowControl/>
        <w:suppressLineNumbers w:val="0"/>
      </w:pPr>
      <w:r>
        <w:rPr>
          <w:rFonts w:hint="default" w:ascii="Calibri" w:hAnsi="Calibri" w:cs="Calibri"/>
          <w:sz w:val="21"/>
          <w:szCs w:val="21"/>
        </w:rPr>
        <w:t> </w:t>
      </w:r>
    </w:p>
    <w:p>
      <w:pPr>
        <w:pStyle w:val="4"/>
        <w:keepNext w:val="0"/>
        <w:keepLines w:val="0"/>
        <w:widowControl/>
        <w:suppressLineNumbers w:val="0"/>
      </w:pPr>
      <w:r>
        <w:rPr>
          <w:rFonts w:hint="eastAsia" w:ascii="宋体" w:hAnsi="宋体" w:eastAsia="宋体" w:cs="宋体"/>
          <w:sz w:val="21"/>
          <w:szCs w:val="21"/>
        </w:rPr>
        <w:t>致：</w:t>
      </w:r>
      <w:r>
        <w:rPr>
          <w:rFonts w:hint="eastAsia" w:ascii="宋体" w:hAnsi="宋体" w:eastAsia="宋体" w:cs="宋体"/>
          <w:sz w:val="21"/>
          <w:szCs w:val="21"/>
          <w:u w:val="single"/>
        </w:rPr>
        <w:t>                     </w:t>
      </w:r>
    </w:p>
    <w:p>
      <w:pPr>
        <w:pStyle w:val="4"/>
        <w:keepNext w:val="0"/>
        <w:keepLines w:val="0"/>
        <w:widowControl/>
        <w:suppressLineNumbers w:val="0"/>
        <w:ind w:left="0" w:firstLine="420"/>
      </w:pPr>
      <w:r>
        <w:rPr>
          <w:rFonts w:hint="eastAsia" w:ascii="宋体" w:hAnsi="宋体" w:eastAsia="宋体" w:cs="宋体"/>
          <w:sz w:val="21"/>
          <w:szCs w:val="21"/>
        </w:rPr>
        <w:t>（ ）投标人为法人（包括企业、事业单位和社会团体）的</w:t>
      </w:r>
    </w:p>
    <w:p>
      <w:pPr>
        <w:pStyle w:val="4"/>
        <w:keepNext w:val="0"/>
        <w:keepLines w:val="0"/>
        <w:widowControl/>
        <w:suppressLineNumbers w:val="0"/>
        <w:ind w:left="0" w:firstLine="420"/>
      </w:pPr>
      <w:r>
        <w:rPr>
          <w:rFonts w:hint="eastAsia" w:ascii="宋体" w:hAnsi="宋体" w:eastAsia="宋体" w:cs="宋体"/>
          <w:sz w:val="21"/>
          <w:szCs w:val="21"/>
        </w:rPr>
        <w:t>现附上由</w:t>
      </w:r>
      <w:r>
        <w:rPr>
          <w:rFonts w:hint="eastAsia" w:ascii="宋体" w:hAnsi="宋体" w:eastAsia="宋体" w:cs="宋体"/>
          <w:sz w:val="21"/>
          <w:szCs w:val="21"/>
          <w:u w:val="single"/>
        </w:rPr>
        <w:t>（填写“签发机关全称”）</w:t>
      </w:r>
      <w:r>
        <w:rPr>
          <w:rFonts w:hint="eastAsia" w:ascii="宋体" w:hAnsi="宋体" w:eastAsia="宋体" w:cs="宋体"/>
          <w:sz w:val="21"/>
          <w:szCs w:val="21"/>
        </w:rPr>
        <w:t>签发的我方统一社会信用代码</w:t>
      </w:r>
      <w:r>
        <w:rPr>
          <w:rFonts w:hint="eastAsia" w:ascii="宋体" w:hAnsi="宋体" w:eastAsia="宋体" w:cs="宋体"/>
          <w:sz w:val="21"/>
          <w:szCs w:val="21"/>
          <w:u w:val="single"/>
        </w:rPr>
        <w:t>（请填写法人的具体证照名称）</w:t>
      </w:r>
      <w:r>
        <w:rPr>
          <w:rFonts w:hint="eastAsia" w:ascii="宋体" w:hAnsi="宋体" w:eastAsia="宋体" w:cs="宋体"/>
          <w:sz w:val="21"/>
          <w:szCs w:val="21"/>
        </w:rPr>
        <w:t>复印件，该证明材料真实有效，否则我方负全部责任。</w:t>
      </w:r>
    </w:p>
    <w:p>
      <w:pPr>
        <w:pStyle w:val="4"/>
        <w:keepNext w:val="0"/>
        <w:keepLines w:val="0"/>
        <w:widowControl/>
        <w:suppressLineNumbers w:val="0"/>
        <w:ind w:left="0" w:firstLine="420"/>
      </w:pPr>
      <w:r>
        <w:rPr>
          <w:rFonts w:hint="eastAsia" w:ascii="宋体" w:hAnsi="宋体" w:eastAsia="宋体" w:cs="宋体"/>
          <w:sz w:val="21"/>
          <w:szCs w:val="21"/>
        </w:rPr>
        <w:t>（ ）投标人为非法人（包括其他组织、自然人）的</w:t>
      </w:r>
    </w:p>
    <w:p>
      <w:pPr>
        <w:pStyle w:val="4"/>
        <w:keepNext w:val="0"/>
        <w:keepLines w:val="0"/>
        <w:widowControl/>
        <w:suppressLineNumbers w:val="0"/>
        <w:ind w:left="0" w:firstLine="420"/>
      </w:pPr>
      <w:r>
        <w:rPr>
          <w:rFonts w:hint="eastAsia" w:ascii="宋体" w:hAnsi="宋体" w:eastAsia="宋体" w:cs="宋体"/>
          <w:sz w:val="21"/>
          <w:szCs w:val="21"/>
        </w:rPr>
        <w:t>□现附上由</w:t>
      </w:r>
      <w:r>
        <w:rPr>
          <w:rFonts w:hint="eastAsia" w:ascii="宋体" w:hAnsi="宋体" w:eastAsia="宋体" w:cs="宋体"/>
          <w:sz w:val="21"/>
          <w:szCs w:val="21"/>
          <w:u w:val="single"/>
        </w:rPr>
        <w:t>（填写“签发机关全称”）</w:t>
      </w:r>
      <w:r>
        <w:rPr>
          <w:rFonts w:hint="eastAsia" w:ascii="宋体" w:hAnsi="宋体" w:eastAsia="宋体" w:cs="宋体"/>
          <w:sz w:val="21"/>
          <w:szCs w:val="21"/>
        </w:rPr>
        <w:t>签发的我方</w:t>
      </w:r>
      <w:r>
        <w:rPr>
          <w:rFonts w:hint="eastAsia" w:ascii="宋体" w:hAnsi="宋体" w:eastAsia="宋体" w:cs="宋体"/>
          <w:sz w:val="21"/>
          <w:szCs w:val="21"/>
          <w:u w:val="single"/>
        </w:rPr>
        <w:t>（请填写非自然人的非法人的具体证照名称）</w:t>
      </w:r>
      <w:r>
        <w:rPr>
          <w:rFonts w:hint="eastAsia" w:ascii="宋体" w:hAnsi="宋体" w:eastAsia="宋体" w:cs="宋体"/>
          <w:sz w:val="21"/>
          <w:szCs w:val="21"/>
        </w:rPr>
        <w:t>复印件，该证明材料真实有效，否则我方负全部责任。</w:t>
      </w:r>
    </w:p>
    <w:p>
      <w:pPr>
        <w:pStyle w:val="4"/>
        <w:keepNext w:val="0"/>
        <w:keepLines w:val="0"/>
        <w:widowControl/>
        <w:suppressLineNumbers w:val="0"/>
        <w:ind w:left="0" w:firstLine="420"/>
      </w:pPr>
      <w:r>
        <w:rPr>
          <w:rFonts w:hint="eastAsia" w:ascii="宋体" w:hAnsi="宋体" w:eastAsia="宋体" w:cs="宋体"/>
          <w:sz w:val="21"/>
          <w:szCs w:val="21"/>
        </w:rPr>
        <w:t>□现附上由</w:t>
      </w:r>
      <w:r>
        <w:rPr>
          <w:rFonts w:hint="eastAsia" w:ascii="宋体" w:hAnsi="宋体" w:eastAsia="宋体" w:cs="宋体"/>
          <w:sz w:val="21"/>
          <w:szCs w:val="21"/>
          <w:u w:val="single"/>
        </w:rPr>
        <w:t>（填写“签发机关全称”）</w:t>
      </w:r>
      <w:r>
        <w:rPr>
          <w:rFonts w:hint="eastAsia" w:ascii="宋体" w:hAnsi="宋体" w:eastAsia="宋体" w:cs="宋体"/>
          <w:sz w:val="21"/>
          <w:szCs w:val="21"/>
        </w:rPr>
        <w:t>签发的我方</w:t>
      </w:r>
      <w:r>
        <w:rPr>
          <w:rFonts w:hint="eastAsia" w:ascii="宋体" w:hAnsi="宋体" w:eastAsia="宋体" w:cs="宋体"/>
          <w:sz w:val="21"/>
          <w:szCs w:val="21"/>
          <w:u w:val="single"/>
        </w:rPr>
        <w:t>（请填写自然人的身份证件名称）</w:t>
      </w:r>
      <w:r>
        <w:rPr>
          <w:rFonts w:hint="eastAsia" w:ascii="宋体" w:hAnsi="宋体" w:eastAsia="宋体" w:cs="宋体"/>
          <w:sz w:val="21"/>
          <w:szCs w:val="21"/>
        </w:rPr>
        <w:t>复印件，该证明材料真实有效，否则我方负全部责任。</w:t>
      </w:r>
    </w:p>
    <w:p>
      <w:pPr>
        <w:pStyle w:val="4"/>
        <w:keepNext w:val="0"/>
        <w:keepLines w:val="0"/>
        <w:widowControl/>
        <w:suppressLineNumbers w:val="0"/>
      </w:pPr>
      <w:r>
        <w:rPr>
          <w:rFonts w:hint="default" w:ascii="Calibri" w:hAnsi="Calibri" w:cs="Calibri"/>
          <w:sz w:val="21"/>
          <w:szCs w:val="21"/>
        </w:rPr>
        <w:t> </w:t>
      </w:r>
    </w:p>
    <w:p>
      <w:pPr>
        <w:pStyle w:val="4"/>
        <w:keepNext w:val="0"/>
        <w:keepLines w:val="0"/>
        <w:widowControl/>
        <w:suppressLineNumbers w:val="0"/>
      </w:pPr>
      <w:r>
        <w:rPr>
          <w:rFonts w:hint="eastAsia" w:ascii="宋体" w:hAnsi="宋体" w:eastAsia="宋体" w:cs="宋体"/>
          <w:sz w:val="21"/>
          <w:szCs w:val="21"/>
        </w:rPr>
        <w:t>★注意：</w:t>
      </w:r>
    </w:p>
    <w:p>
      <w:pPr>
        <w:pStyle w:val="4"/>
        <w:keepNext w:val="0"/>
        <w:keepLines w:val="0"/>
        <w:widowControl/>
        <w:suppressLineNumbers w:val="0"/>
      </w:pPr>
      <w:r>
        <w:rPr>
          <w:rFonts w:hint="eastAsia" w:ascii="宋体" w:hAnsi="宋体" w:eastAsia="宋体" w:cs="宋体"/>
          <w:sz w:val="21"/>
          <w:szCs w:val="21"/>
        </w:rPr>
        <w:t>1、请投标人按照实际情况编制填写，在相应的（）中打“√”并选择相应的“□”（若有）后，再按照本格式的要求提供相应证明材料的复印件。</w:t>
      </w:r>
    </w:p>
    <w:p>
      <w:pPr>
        <w:pStyle w:val="4"/>
        <w:keepNext w:val="0"/>
        <w:keepLines w:val="0"/>
        <w:widowControl/>
        <w:suppressLineNumbers w:val="0"/>
      </w:pPr>
      <w:r>
        <w:rPr>
          <w:rFonts w:hint="eastAsia" w:ascii="宋体" w:hAnsi="宋体" w:eastAsia="宋体" w:cs="宋体"/>
          <w:sz w:val="21"/>
          <w:szCs w:val="21"/>
        </w:rPr>
        <w:t>2、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p>
      <w:pPr>
        <w:pStyle w:val="4"/>
        <w:keepNext w:val="0"/>
        <w:keepLines w:val="0"/>
        <w:widowControl/>
        <w:suppressLineNumbers w:val="0"/>
      </w:pPr>
      <w:r>
        <w:rPr>
          <w:rFonts w:hint="eastAsia" w:ascii="宋体" w:hAnsi="宋体" w:eastAsia="宋体" w:cs="宋体"/>
          <w:sz w:val="21"/>
          <w:szCs w:val="21"/>
        </w:rPr>
        <w:t>3、投标人提供的相应证明材料复印件均应符合：内容完整、清晰、整洁，并由投标人加盖其单位公章。</w:t>
      </w:r>
    </w:p>
    <w:p>
      <w:pPr>
        <w:pStyle w:val="4"/>
        <w:keepNext w:val="0"/>
        <w:keepLines w:val="0"/>
        <w:widowControl/>
        <w:suppressLineNumbers w:val="0"/>
      </w:pPr>
      <w:r>
        <w:rPr>
          <w:rFonts w:hint="default" w:ascii="Calibri" w:hAnsi="Calibri" w:cs="Calibri"/>
          <w:sz w:val="21"/>
          <w:szCs w:val="21"/>
        </w:rPr>
        <w:t> </w:t>
      </w:r>
    </w:p>
    <w:p>
      <w:pPr>
        <w:pStyle w:val="4"/>
        <w:keepNext w:val="0"/>
        <w:keepLines w:val="0"/>
        <w:widowControl/>
        <w:suppressLineNumbers w:val="0"/>
      </w:pPr>
      <w:r>
        <w:rPr>
          <w:rFonts w:hint="default" w:ascii="Calibri" w:hAnsi="Calibri" w:cs="Calibri"/>
          <w:sz w:val="21"/>
          <w:szCs w:val="21"/>
        </w:rPr>
        <w:t> </w:t>
      </w:r>
    </w:p>
    <w:p>
      <w:pPr>
        <w:pStyle w:val="4"/>
        <w:keepNext w:val="0"/>
        <w:keepLines w:val="0"/>
        <w:widowControl/>
        <w:suppressLineNumbers w:val="0"/>
      </w:pPr>
      <w:r>
        <w:rPr>
          <w:rFonts w:hint="eastAsia" w:ascii="宋体" w:hAnsi="宋体" w:eastAsia="宋体" w:cs="宋体"/>
          <w:sz w:val="21"/>
          <w:szCs w:val="21"/>
        </w:rPr>
        <w:t>投标人：</w:t>
      </w:r>
      <w:r>
        <w:rPr>
          <w:rFonts w:hint="eastAsia" w:ascii="宋体" w:hAnsi="宋体" w:eastAsia="宋体" w:cs="宋体"/>
          <w:sz w:val="21"/>
          <w:szCs w:val="21"/>
          <w:u w:val="single"/>
        </w:rPr>
        <w:t>（全称并加盖单位公章）</w:t>
      </w:r>
    </w:p>
    <w:p>
      <w:pPr>
        <w:pStyle w:val="4"/>
        <w:keepNext w:val="0"/>
        <w:keepLines w:val="0"/>
        <w:widowControl/>
        <w:suppressLineNumbers w:val="0"/>
      </w:pPr>
      <w:r>
        <w:rPr>
          <w:rFonts w:hint="eastAsia" w:ascii="宋体" w:hAnsi="宋体" w:eastAsia="宋体" w:cs="宋体"/>
          <w:sz w:val="21"/>
          <w:szCs w:val="21"/>
        </w:rPr>
        <w:t>投标人代表签字：</w:t>
      </w:r>
      <w:r>
        <w:rPr>
          <w:rFonts w:hint="eastAsia" w:ascii="宋体" w:hAnsi="宋体" w:eastAsia="宋体" w:cs="宋体"/>
          <w:sz w:val="21"/>
          <w:szCs w:val="21"/>
          <w:u w:val="single"/>
        </w:rPr>
        <w:t>                   </w:t>
      </w:r>
    </w:p>
    <w:p>
      <w:pPr>
        <w:pStyle w:val="4"/>
        <w:keepNext w:val="0"/>
        <w:keepLines w:val="0"/>
        <w:widowControl/>
        <w:suppressLineNumbers w:val="0"/>
      </w:pPr>
      <w:r>
        <w:rPr>
          <w:rFonts w:hint="eastAsia" w:ascii="宋体" w:hAnsi="宋体" w:eastAsia="宋体" w:cs="宋体"/>
          <w:sz w:val="21"/>
          <w:szCs w:val="21"/>
        </w:rPr>
        <w:t>日期：</w:t>
      </w:r>
      <w:r>
        <w:rPr>
          <w:rFonts w:hint="eastAsia" w:ascii="宋体" w:hAnsi="宋体" w:eastAsia="宋体" w:cs="宋体"/>
          <w:sz w:val="21"/>
          <w:szCs w:val="21"/>
          <w:u w:val="single"/>
        </w:rPr>
        <w:t>    </w:t>
      </w:r>
      <w:r>
        <w:rPr>
          <w:rFonts w:hint="eastAsia" w:ascii="宋体" w:hAnsi="宋体" w:eastAsia="宋体" w:cs="宋体"/>
          <w:sz w:val="21"/>
          <w:szCs w:val="21"/>
        </w:rPr>
        <w:t>年</w:t>
      </w:r>
      <w:r>
        <w:rPr>
          <w:rFonts w:hint="eastAsia" w:ascii="宋体" w:hAnsi="宋体" w:eastAsia="宋体" w:cs="宋体"/>
          <w:sz w:val="21"/>
          <w:szCs w:val="21"/>
          <w:u w:val="single"/>
        </w:rPr>
        <w:t>   </w:t>
      </w:r>
      <w:r>
        <w:rPr>
          <w:rFonts w:hint="eastAsia" w:ascii="宋体" w:hAnsi="宋体" w:eastAsia="宋体" w:cs="宋体"/>
          <w:sz w:val="21"/>
          <w:szCs w:val="21"/>
        </w:rPr>
        <w:t>月</w:t>
      </w:r>
      <w:r>
        <w:rPr>
          <w:rFonts w:hint="eastAsia" w:ascii="宋体" w:hAnsi="宋体" w:eastAsia="宋体" w:cs="宋体"/>
          <w:sz w:val="21"/>
          <w:szCs w:val="21"/>
          <w:u w:val="single"/>
        </w:rPr>
        <w:t>   </w:t>
      </w:r>
      <w:r>
        <w:rPr>
          <w:rFonts w:hint="eastAsia" w:ascii="宋体" w:hAnsi="宋体" w:eastAsia="宋体" w:cs="宋体"/>
          <w:sz w:val="21"/>
          <w:szCs w:val="21"/>
        </w:rPr>
        <w:t>日</w:t>
      </w:r>
    </w:p>
    <w:p>
      <w:pPr>
        <w:pStyle w:val="4"/>
        <w:keepNext w:val="0"/>
        <w:keepLines w:val="0"/>
        <w:widowControl/>
        <w:suppressLineNumbers w:val="0"/>
      </w:pPr>
      <w:r>
        <w:rPr>
          <w:rFonts w:hint="eastAsia" w:ascii="宋体" w:hAnsi="宋体" w:eastAsia="宋体" w:cs="宋体"/>
          <w:sz w:val="21"/>
          <w:szCs w:val="21"/>
        </w:rPr>
        <w:t> </w:t>
      </w:r>
    </w:p>
    <w:p>
      <w:pPr>
        <w:pStyle w:val="4"/>
        <w:keepNext w:val="0"/>
        <w:keepLines w:val="0"/>
        <w:widowControl/>
        <w:suppressLineNumbers w:val="0"/>
      </w:pPr>
      <w:r>
        <w:rPr>
          <w:rFonts w:hint="eastAsia" w:ascii="宋体" w:hAnsi="宋体" w:eastAsia="宋体" w:cs="宋体"/>
          <w:sz w:val="21"/>
          <w:szCs w:val="21"/>
        </w:rPr>
        <w:t> </w:t>
      </w:r>
    </w:p>
    <w:p>
      <w:pPr>
        <w:pStyle w:val="4"/>
        <w:keepNext w:val="0"/>
        <w:keepLines w:val="0"/>
        <w:widowControl/>
        <w:suppressLineNumbers w:val="0"/>
        <w:jc w:val="center"/>
      </w:pPr>
      <w:r>
        <w:rPr>
          <w:rFonts w:hint="default" w:ascii="Calibri" w:hAnsi="Calibri" w:cs="Calibri"/>
          <w:sz w:val="21"/>
          <w:szCs w:val="21"/>
        </w:rPr>
        <w:br w:type="textWrapping"/>
      </w:r>
      <w:r>
        <w:rPr>
          <w:rStyle w:val="6"/>
          <w:rFonts w:hint="eastAsia" w:ascii="宋体" w:hAnsi="宋体" w:eastAsia="宋体" w:cs="宋体"/>
          <w:sz w:val="21"/>
          <w:szCs w:val="21"/>
        </w:rPr>
        <w:t>二-3财务状况报告（财务报告、或资信证明、或投标担保函）</w:t>
      </w:r>
    </w:p>
    <w:p>
      <w:pPr>
        <w:pStyle w:val="4"/>
        <w:keepNext w:val="0"/>
        <w:keepLines w:val="0"/>
        <w:widowControl/>
        <w:suppressLineNumbers w:val="0"/>
      </w:pPr>
      <w:r>
        <w:rPr>
          <w:rFonts w:hint="eastAsia" w:ascii="宋体" w:hAnsi="宋体" w:eastAsia="宋体" w:cs="宋体"/>
          <w:sz w:val="21"/>
          <w:szCs w:val="21"/>
        </w:rPr>
        <w:t> </w:t>
      </w:r>
    </w:p>
    <w:p>
      <w:pPr>
        <w:pStyle w:val="4"/>
        <w:keepNext w:val="0"/>
        <w:keepLines w:val="0"/>
        <w:widowControl/>
        <w:suppressLineNumbers w:val="0"/>
      </w:pPr>
      <w:r>
        <w:rPr>
          <w:rFonts w:hint="eastAsia" w:ascii="宋体" w:hAnsi="宋体" w:eastAsia="宋体" w:cs="宋体"/>
          <w:sz w:val="21"/>
          <w:szCs w:val="21"/>
        </w:rPr>
        <w:t>致：</w:t>
      </w:r>
      <w:r>
        <w:rPr>
          <w:rFonts w:hint="eastAsia" w:ascii="宋体" w:hAnsi="宋体" w:eastAsia="宋体" w:cs="宋体"/>
          <w:sz w:val="21"/>
          <w:szCs w:val="21"/>
          <w:u w:val="single"/>
        </w:rPr>
        <w:t>                     </w:t>
      </w:r>
    </w:p>
    <w:p>
      <w:pPr>
        <w:pStyle w:val="4"/>
        <w:keepNext w:val="0"/>
        <w:keepLines w:val="0"/>
        <w:widowControl/>
        <w:suppressLineNumbers w:val="0"/>
        <w:ind w:left="0" w:firstLine="420"/>
      </w:pPr>
      <w:r>
        <w:rPr>
          <w:rFonts w:hint="eastAsia" w:ascii="宋体" w:hAnsi="宋体" w:eastAsia="宋体" w:cs="宋体"/>
          <w:sz w:val="21"/>
          <w:szCs w:val="21"/>
        </w:rPr>
        <w:t>（ ）投标人提供财务报告的</w:t>
      </w:r>
    </w:p>
    <w:p>
      <w:pPr>
        <w:pStyle w:val="4"/>
        <w:keepNext w:val="0"/>
        <w:keepLines w:val="0"/>
        <w:widowControl/>
        <w:suppressLineNumbers w:val="0"/>
        <w:ind w:left="0" w:firstLine="420"/>
      </w:pPr>
      <w:r>
        <w:rPr>
          <w:rFonts w:hint="eastAsia" w:ascii="宋体" w:hAnsi="宋体" w:eastAsia="宋体" w:cs="宋体"/>
          <w:sz w:val="21"/>
          <w:szCs w:val="21"/>
        </w:rPr>
        <w:t>□企业适用：现附上我方</w:t>
      </w:r>
      <w:r>
        <w:rPr>
          <w:rFonts w:hint="eastAsia" w:ascii="宋体" w:hAnsi="宋体" w:eastAsia="宋体" w:cs="宋体"/>
          <w:sz w:val="21"/>
          <w:szCs w:val="21"/>
          <w:u w:val="single"/>
        </w:rPr>
        <w:t>（填写“具体的年度、或半年度、或季度”）</w:t>
      </w:r>
      <w:r>
        <w:rPr>
          <w:rFonts w:hint="eastAsia" w:ascii="宋体" w:hAnsi="宋体" w:eastAsia="宋体" w:cs="宋体"/>
          <w:sz w:val="21"/>
          <w:szCs w:val="21"/>
        </w:rPr>
        <w:t>财务报告复印件，包括资产负债表、利润表、现金流量表、所有者权益变动表（若有）及其附注（若有），上述证明材料真实有效，否则我方负全部责任。</w:t>
      </w:r>
    </w:p>
    <w:p>
      <w:pPr>
        <w:pStyle w:val="4"/>
        <w:keepNext w:val="0"/>
        <w:keepLines w:val="0"/>
        <w:widowControl/>
        <w:suppressLineNumbers w:val="0"/>
        <w:ind w:left="0" w:firstLine="420"/>
      </w:pPr>
      <w:r>
        <w:rPr>
          <w:rFonts w:hint="eastAsia" w:ascii="宋体" w:hAnsi="宋体" w:eastAsia="宋体" w:cs="宋体"/>
          <w:sz w:val="21"/>
          <w:szCs w:val="21"/>
        </w:rPr>
        <w:t>□事业单位适用：现附上我方</w:t>
      </w:r>
      <w:r>
        <w:rPr>
          <w:rFonts w:hint="eastAsia" w:ascii="宋体" w:hAnsi="宋体" w:eastAsia="宋体" w:cs="宋体"/>
          <w:sz w:val="21"/>
          <w:szCs w:val="21"/>
          <w:u w:val="single"/>
        </w:rPr>
        <w:t>（填写“具体的年度、或半年度、或季度”）</w:t>
      </w:r>
      <w:r>
        <w:rPr>
          <w:rFonts w:hint="eastAsia" w:ascii="宋体" w:hAnsi="宋体" w:eastAsia="宋体" w:cs="宋体"/>
          <w:sz w:val="21"/>
          <w:szCs w:val="21"/>
        </w:rPr>
        <w:t>财务报告复印件，包括资产负债表、收入支出表（或收入费用表）、财政补助收入支出表（若有），上述证明材料真实有效，否则我方负全部责任。</w:t>
      </w:r>
    </w:p>
    <w:p>
      <w:pPr>
        <w:pStyle w:val="4"/>
        <w:keepNext w:val="0"/>
        <w:keepLines w:val="0"/>
        <w:widowControl/>
        <w:suppressLineNumbers w:val="0"/>
        <w:ind w:left="0" w:firstLine="420"/>
      </w:pPr>
      <w:r>
        <w:rPr>
          <w:rFonts w:hint="eastAsia" w:ascii="宋体" w:hAnsi="宋体" w:eastAsia="宋体" w:cs="宋体"/>
          <w:sz w:val="21"/>
          <w:szCs w:val="21"/>
        </w:rPr>
        <w:t>□社会团体适用：现附上我方</w:t>
      </w:r>
      <w:r>
        <w:rPr>
          <w:rFonts w:hint="eastAsia" w:ascii="宋体" w:hAnsi="宋体" w:eastAsia="宋体" w:cs="宋体"/>
          <w:sz w:val="21"/>
          <w:szCs w:val="21"/>
          <w:u w:val="single"/>
        </w:rPr>
        <w:t>（填写“具体的年度、或半年度、或季度”）</w:t>
      </w:r>
      <w:r>
        <w:rPr>
          <w:rFonts w:hint="eastAsia" w:ascii="宋体" w:hAnsi="宋体" w:eastAsia="宋体" w:cs="宋体"/>
          <w:sz w:val="21"/>
          <w:szCs w:val="21"/>
        </w:rPr>
        <w:t>财务报告复印件，包括资产负债表、业务活动表、现金流量表，上述证明材料真实有效，否则我方负全部责任。</w:t>
      </w:r>
    </w:p>
    <w:p>
      <w:pPr>
        <w:pStyle w:val="4"/>
        <w:keepNext w:val="0"/>
        <w:keepLines w:val="0"/>
        <w:widowControl/>
        <w:suppressLineNumbers w:val="0"/>
        <w:ind w:left="0" w:firstLine="420"/>
      </w:pPr>
      <w:r>
        <w:rPr>
          <w:rFonts w:hint="eastAsia" w:ascii="宋体" w:hAnsi="宋体" w:eastAsia="宋体" w:cs="宋体"/>
          <w:sz w:val="21"/>
          <w:szCs w:val="21"/>
        </w:rPr>
        <w:t>（ ）投标人提供资信证明的</w:t>
      </w:r>
    </w:p>
    <w:p>
      <w:pPr>
        <w:pStyle w:val="4"/>
        <w:keepNext w:val="0"/>
        <w:keepLines w:val="0"/>
        <w:widowControl/>
        <w:suppressLineNumbers w:val="0"/>
        <w:ind w:left="0" w:firstLine="420"/>
      </w:pPr>
      <w:r>
        <w:rPr>
          <w:rFonts w:hint="eastAsia" w:ascii="宋体" w:hAnsi="宋体" w:eastAsia="宋体" w:cs="宋体"/>
          <w:sz w:val="21"/>
          <w:szCs w:val="21"/>
        </w:rPr>
        <w:t>□非自然人适用（包括企业、事业单位、社会团体和其他组织）：现附上我方开户（基本存款账户）许可证复印件及我方银行：（填写“基本存款账户的开户银行全称”）出具的资信证明复印件，上述证明材料真实有效，否则我方负全部责任。</w:t>
      </w:r>
    </w:p>
    <w:p>
      <w:pPr>
        <w:pStyle w:val="4"/>
        <w:keepNext w:val="0"/>
        <w:keepLines w:val="0"/>
        <w:widowControl/>
        <w:suppressLineNumbers w:val="0"/>
        <w:ind w:left="0" w:firstLine="420"/>
      </w:pPr>
      <w:r>
        <w:rPr>
          <w:rFonts w:hint="eastAsia" w:ascii="宋体" w:hAnsi="宋体" w:eastAsia="宋体" w:cs="宋体"/>
          <w:sz w:val="21"/>
          <w:szCs w:val="21"/>
        </w:rPr>
        <w:t>□自然人适用：现附上我方银行：</w:t>
      </w:r>
      <w:r>
        <w:rPr>
          <w:rFonts w:hint="eastAsia" w:ascii="宋体" w:hAnsi="宋体" w:eastAsia="宋体" w:cs="宋体"/>
          <w:sz w:val="21"/>
          <w:szCs w:val="21"/>
          <w:u w:val="single"/>
        </w:rPr>
        <w:t>（填写自然人的“个人账户的开户银行全称”）</w:t>
      </w:r>
      <w:r>
        <w:rPr>
          <w:rFonts w:hint="eastAsia" w:ascii="宋体" w:hAnsi="宋体" w:eastAsia="宋体" w:cs="宋体"/>
          <w:sz w:val="21"/>
          <w:szCs w:val="21"/>
        </w:rPr>
        <w:t>出具的资信证明复印件，上述证明材料真实有效，否则我方负全部责任。</w:t>
      </w:r>
    </w:p>
    <w:p>
      <w:pPr>
        <w:pStyle w:val="4"/>
        <w:keepNext w:val="0"/>
        <w:keepLines w:val="0"/>
        <w:widowControl/>
        <w:suppressLineNumbers w:val="0"/>
        <w:ind w:left="0" w:firstLine="420"/>
      </w:pPr>
      <w:r>
        <w:rPr>
          <w:rFonts w:hint="eastAsia" w:ascii="宋体" w:hAnsi="宋体" w:eastAsia="宋体" w:cs="宋体"/>
          <w:sz w:val="21"/>
          <w:szCs w:val="21"/>
        </w:rPr>
        <w:t>（ ）投标人提供投标担保函的</w:t>
      </w:r>
    </w:p>
    <w:p>
      <w:pPr>
        <w:pStyle w:val="4"/>
        <w:keepNext w:val="0"/>
        <w:keepLines w:val="0"/>
        <w:widowControl/>
        <w:suppressLineNumbers w:val="0"/>
        <w:ind w:left="0" w:firstLine="420"/>
      </w:pPr>
      <w:r>
        <w:rPr>
          <w:rFonts w:hint="eastAsia" w:ascii="宋体" w:hAnsi="宋体" w:eastAsia="宋体" w:cs="宋体"/>
          <w:sz w:val="21"/>
          <w:szCs w:val="21"/>
        </w:rPr>
        <w:t>现附上由财政部门认可的政府采购专业担保机构：</w:t>
      </w:r>
      <w:r>
        <w:rPr>
          <w:rFonts w:hint="eastAsia" w:ascii="宋体" w:hAnsi="宋体" w:eastAsia="宋体" w:cs="宋体"/>
          <w:sz w:val="21"/>
          <w:szCs w:val="21"/>
          <w:u w:val="single"/>
        </w:rPr>
        <w:t>（填写“担保机构全称”）</w:t>
      </w:r>
      <w:r>
        <w:rPr>
          <w:rFonts w:hint="eastAsia" w:ascii="宋体" w:hAnsi="宋体" w:eastAsia="宋体" w:cs="宋体"/>
          <w:sz w:val="21"/>
          <w:szCs w:val="21"/>
        </w:rPr>
        <w:t>出具的投标担保函复印件，上述证明材料真实有效，否则我方负全部责任。</w:t>
      </w:r>
    </w:p>
    <w:p>
      <w:pPr>
        <w:pStyle w:val="4"/>
        <w:keepNext w:val="0"/>
        <w:keepLines w:val="0"/>
        <w:widowControl/>
        <w:suppressLineNumbers w:val="0"/>
      </w:pPr>
      <w:r>
        <w:rPr>
          <w:rFonts w:hint="default" w:ascii="Calibri" w:hAnsi="Calibri" w:cs="Calibri"/>
          <w:sz w:val="21"/>
          <w:szCs w:val="21"/>
        </w:rPr>
        <w:t> </w:t>
      </w:r>
    </w:p>
    <w:p>
      <w:pPr>
        <w:pStyle w:val="4"/>
        <w:keepNext w:val="0"/>
        <w:keepLines w:val="0"/>
        <w:widowControl/>
        <w:suppressLineNumbers w:val="0"/>
      </w:pPr>
      <w:r>
        <w:rPr>
          <w:rFonts w:hint="eastAsia" w:ascii="宋体" w:hAnsi="宋体" w:eastAsia="宋体" w:cs="宋体"/>
          <w:sz w:val="21"/>
          <w:szCs w:val="21"/>
        </w:rPr>
        <w:t>★注意：</w:t>
      </w:r>
    </w:p>
    <w:p>
      <w:pPr>
        <w:pStyle w:val="4"/>
        <w:keepNext w:val="0"/>
        <w:keepLines w:val="0"/>
        <w:widowControl/>
        <w:suppressLineNumbers w:val="0"/>
      </w:pPr>
      <w:r>
        <w:rPr>
          <w:rFonts w:hint="eastAsia" w:ascii="宋体" w:hAnsi="宋体" w:eastAsia="宋体" w:cs="宋体"/>
          <w:sz w:val="21"/>
          <w:szCs w:val="21"/>
        </w:rPr>
        <w:t>1、请投标人按照实际情况编制填写，在相应的（）中打“√”并选择相应的“□”（若有）后，再按照本格式的要求提供相应证明材料的复印件。</w:t>
      </w:r>
    </w:p>
    <w:p>
      <w:pPr>
        <w:pStyle w:val="4"/>
        <w:keepNext w:val="0"/>
        <w:keepLines w:val="0"/>
        <w:widowControl/>
        <w:suppressLineNumbers w:val="0"/>
      </w:pPr>
      <w:r>
        <w:rPr>
          <w:rFonts w:hint="eastAsia" w:ascii="宋体" w:hAnsi="宋体" w:eastAsia="宋体" w:cs="宋体"/>
          <w:sz w:val="21"/>
          <w:szCs w:val="21"/>
        </w:rPr>
        <w:t>2、投标人提供的财务报告复印件（成立年限按照投标截止时间推算）应符合下列规定：</w:t>
      </w:r>
    </w:p>
    <w:p>
      <w:pPr>
        <w:pStyle w:val="4"/>
        <w:keepNext w:val="0"/>
        <w:keepLines w:val="0"/>
        <w:widowControl/>
        <w:suppressLineNumbers w:val="0"/>
      </w:pPr>
      <w:r>
        <w:rPr>
          <w:rFonts w:hint="eastAsia" w:ascii="宋体" w:hAnsi="宋体" w:eastAsia="宋体" w:cs="宋体"/>
          <w:sz w:val="21"/>
          <w:szCs w:val="21"/>
        </w:rPr>
        <w:t>2.1成立年限满</w:t>
      </w:r>
      <w:r>
        <w:rPr>
          <w:rFonts w:hint="default" w:ascii="Calibri" w:hAnsi="Calibri" w:eastAsia="宋体" w:cs="Calibri"/>
          <w:sz w:val="21"/>
          <w:szCs w:val="21"/>
        </w:rPr>
        <w:t>1</w:t>
      </w:r>
      <w:r>
        <w:rPr>
          <w:rFonts w:hint="eastAsia" w:ascii="宋体" w:hAnsi="宋体" w:eastAsia="宋体" w:cs="宋体"/>
          <w:sz w:val="21"/>
          <w:szCs w:val="21"/>
        </w:rPr>
        <w:t>年及以上的投标人，提供经审计的上一年度的年度财务报告。</w:t>
      </w:r>
    </w:p>
    <w:p>
      <w:pPr>
        <w:pStyle w:val="4"/>
        <w:keepNext w:val="0"/>
        <w:keepLines w:val="0"/>
        <w:widowControl/>
        <w:suppressLineNumbers w:val="0"/>
      </w:pPr>
      <w:r>
        <w:rPr>
          <w:rFonts w:hint="eastAsia" w:ascii="宋体" w:hAnsi="宋体" w:eastAsia="宋体" w:cs="宋体"/>
          <w:sz w:val="21"/>
          <w:szCs w:val="21"/>
        </w:rPr>
        <w:t>2.2成立年限满半年但不足</w:t>
      </w:r>
      <w:r>
        <w:rPr>
          <w:rFonts w:hint="default" w:ascii="Calibri" w:hAnsi="Calibri" w:eastAsia="宋体" w:cs="Calibri"/>
          <w:sz w:val="21"/>
          <w:szCs w:val="21"/>
        </w:rPr>
        <w:t>1</w:t>
      </w:r>
      <w:r>
        <w:rPr>
          <w:rFonts w:hint="eastAsia" w:ascii="宋体" w:hAnsi="宋体" w:eastAsia="宋体" w:cs="宋体"/>
          <w:sz w:val="21"/>
          <w:szCs w:val="21"/>
        </w:rPr>
        <w:t>年的投标人，提供该半年度中任一季度的季度财务报告或该半年度的半年度财务报告。</w:t>
      </w:r>
    </w:p>
    <w:p>
      <w:pPr>
        <w:pStyle w:val="4"/>
        <w:keepNext w:val="0"/>
        <w:keepLines w:val="0"/>
        <w:widowControl/>
        <w:suppressLineNumbers w:val="0"/>
      </w:pPr>
      <w:r>
        <w:rPr>
          <w:rStyle w:val="6"/>
          <w:rFonts w:hint="eastAsia" w:ascii="宋体" w:hAnsi="宋体" w:eastAsia="宋体" w:cs="宋体"/>
          <w:sz w:val="24"/>
          <w:szCs w:val="24"/>
        </w:rPr>
        <w:t xml:space="preserve">※无法按照本格式第2.1、2.2条规定提供财务报告复印件的投标人（包括但不限于：成立年限满1年及以上的投标人、成立年限满半年但不足1年的投标人、成立年限不足半年的投标人），应按照本格式的要求选择提供资信证明复印件或投标担保函复印件，其中：非自然人的投标人选择提供资信证明的，还应附上其开户（基本存款账户）许可证复印件。 </w:t>
      </w:r>
    </w:p>
    <w:p>
      <w:pPr>
        <w:pStyle w:val="4"/>
        <w:keepNext w:val="0"/>
        <w:keepLines w:val="0"/>
        <w:widowControl/>
        <w:suppressLineNumbers w:val="0"/>
      </w:pPr>
      <w:r>
        <w:rPr>
          <w:rFonts w:hint="eastAsia" w:ascii="宋体" w:hAnsi="宋体" w:eastAsia="宋体" w:cs="宋体"/>
          <w:sz w:val="21"/>
          <w:szCs w:val="21"/>
        </w:rPr>
        <w:t>3、“财政部门认可的政府采购专业担保机构”应符合《财政部关于开展政府采购信用担保试点工作方案》（财库</w:t>
      </w:r>
      <w:r>
        <w:rPr>
          <w:rFonts w:hint="default" w:ascii="Calibri" w:hAnsi="Calibri" w:eastAsia="宋体" w:cs="Calibri"/>
          <w:sz w:val="21"/>
          <w:szCs w:val="21"/>
        </w:rPr>
        <w:t>[2012]124</w:t>
      </w:r>
      <w:r>
        <w:rPr>
          <w:rFonts w:hint="eastAsia" w:ascii="宋体" w:hAnsi="宋体" w:eastAsia="宋体" w:cs="宋体"/>
          <w:sz w:val="21"/>
          <w:szCs w:val="21"/>
        </w:rPr>
        <w:t>号）的规定。</w:t>
      </w:r>
    </w:p>
    <w:p>
      <w:pPr>
        <w:pStyle w:val="4"/>
        <w:keepNext w:val="0"/>
        <w:keepLines w:val="0"/>
        <w:widowControl/>
        <w:suppressLineNumbers w:val="0"/>
      </w:pPr>
      <w:r>
        <w:rPr>
          <w:rFonts w:hint="eastAsia" w:ascii="宋体" w:hAnsi="宋体" w:eastAsia="宋体" w:cs="宋体"/>
          <w:sz w:val="21"/>
          <w:szCs w:val="21"/>
        </w:rPr>
        <w:t>4、投标人提供的相应证明材料复印件均应符合：内容完整、清晰、整洁，并由投标人加盖其单位公章。</w:t>
      </w:r>
    </w:p>
    <w:p>
      <w:pPr>
        <w:pStyle w:val="4"/>
        <w:keepNext w:val="0"/>
        <w:keepLines w:val="0"/>
        <w:widowControl/>
        <w:suppressLineNumbers w:val="0"/>
      </w:pPr>
      <w:r>
        <w:rPr>
          <w:rFonts w:hint="default" w:ascii="Calibri" w:hAnsi="Calibri" w:cs="Calibri"/>
          <w:sz w:val="21"/>
          <w:szCs w:val="21"/>
        </w:rPr>
        <w:t> </w:t>
      </w:r>
    </w:p>
    <w:p>
      <w:pPr>
        <w:pStyle w:val="4"/>
        <w:keepNext w:val="0"/>
        <w:keepLines w:val="0"/>
        <w:widowControl/>
        <w:suppressLineNumbers w:val="0"/>
      </w:pPr>
      <w:r>
        <w:rPr>
          <w:rFonts w:hint="default" w:ascii="Calibri" w:hAnsi="Calibri" w:cs="Calibri"/>
          <w:sz w:val="21"/>
          <w:szCs w:val="21"/>
        </w:rPr>
        <w:t> </w:t>
      </w:r>
    </w:p>
    <w:p>
      <w:pPr>
        <w:pStyle w:val="4"/>
        <w:keepNext w:val="0"/>
        <w:keepLines w:val="0"/>
        <w:widowControl/>
        <w:suppressLineNumbers w:val="0"/>
      </w:pPr>
      <w:r>
        <w:rPr>
          <w:rFonts w:hint="eastAsia" w:ascii="宋体" w:hAnsi="宋体" w:eastAsia="宋体" w:cs="宋体"/>
          <w:sz w:val="21"/>
          <w:szCs w:val="21"/>
        </w:rPr>
        <w:t>投标人：</w:t>
      </w:r>
      <w:r>
        <w:rPr>
          <w:rFonts w:hint="eastAsia" w:ascii="宋体" w:hAnsi="宋体" w:eastAsia="宋体" w:cs="宋体"/>
          <w:sz w:val="21"/>
          <w:szCs w:val="21"/>
          <w:u w:val="single"/>
        </w:rPr>
        <w:t>（全称并加盖单位公章）</w:t>
      </w:r>
    </w:p>
    <w:p>
      <w:pPr>
        <w:pStyle w:val="4"/>
        <w:keepNext w:val="0"/>
        <w:keepLines w:val="0"/>
        <w:widowControl/>
        <w:suppressLineNumbers w:val="0"/>
      </w:pPr>
      <w:r>
        <w:rPr>
          <w:rFonts w:hint="eastAsia" w:ascii="宋体" w:hAnsi="宋体" w:eastAsia="宋体" w:cs="宋体"/>
          <w:sz w:val="21"/>
          <w:szCs w:val="21"/>
        </w:rPr>
        <w:t>投标人代表签字：</w:t>
      </w:r>
      <w:r>
        <w:rPr>
          <w:rFonts w:hint="eastAsia" w:ascii="宋体" w:hAnsi="宋体" w:eastAsia="宋体" w:cs="宋体"/>
          <w:sz w:val="21"/>
          <w:szCs w:val="21"/>
          <w:u w:val="single"/>
        </w:rPr>
        <w:t>                   </w:t>
      </w:r>
    </w:p>
    <w:p>
      <w:pPr>
        <w:pStyle w:val="4"/>
        <w:keepNext w:val="0"/>
        <w:keepLines w:val="0"/>
        <w:widowControl/>
        <w:suppressLineNumbers w:val="0"/>
      </w:pPr>
      <w:r>
        <w:rPr>
          <w:rFonts w:hint="eastAsia" w:ascii="宋体" w:hAnsi="宋体" w:eastAsia="宋体" w:cs="宋体"/>
          <w:sz w:val="21"/>
          <w:szCs w:val="21"/>
        </w:rPr>
        <w:t>日期：</w:t>
      </w:r>
      <w:r>
        <w:rPr>
          <w:rFonts w:hint="eastAsia" w:ascii="宋体" w:hAnsi="宋体" w:eastAsia="宋体" w:cs="宋体"/>
          <w:sz w:val="21"/>
          <w:szCs w:val="21"/>
          <w:u w:val="single"/>
        </w:rPr>
        <w:t>    </w:t>
      </w:r>
      <w:r>
        <w:rPr>
          <w:rFonts w:hint="eastAsia" w:ascii="宋体" w:hAnsi="宋体" w:eastAsia="宋体" w:cs="宋体"/>
          <w:sz w:val="21"/>
          <w:szCs w:val="21"/>
        </w:rPr>
        <w:t>年</w:t>
      </w:r>
      <w:r>
        <w:rPr>
          <w:rFonts w:hint="eastAsia" w:ascii="宋体" w:hAnsi="宋体" w:eastAsia="宋体" w:cs="宋体"/>
          <w:sz w:val="21"/>
          <w:szCs w:val="21"/>
          <w:u w:val="single"/>
        </w:rPr>
        <w:t>   </w:t>
      </w:r>
      <w:r>
        <w:rPr>
          <w:rFonts w:hint="eastAsia" w:ascii="宋体" w:hAnsi="宋体" w:eastAsia="宋体" w:cs="宋体"/>
          <w:sz w:val="21"/>
          <w:szCs w:val="21"/>
        </w:rPr>
        <w:t>月</w:t>
      </w:r>
      <w:r>
        <w:rPr>
          <w:rFonts w:hint="eastAsia" w:ascii="宋体" w:hAnsi="宋体" w:eastAsia="宋体" w:cs="宋体"/>
          <w:sz w:val="21"/>
          <w:szCs w:val="21"/>
          <w:u w:val="single"/>
        </w:rPr>
        <w:t>   </w:t>
      </w:r>
      <w:r>
        <w:rPr>
          <w:rFonts w:hint="eastAsia" w:ascii="宋体" w:hAnsi="宋体" w:eastAsia="宋体" w:cs="宋体"/>
          <w:sz w:val="21"/>
          <w:szCs w:val="21"/>
        </w:rPr>
        <w:t>日</w:t>
      </w:r>
    </w:p>
    <w:p>
      <w:pPr>
        <w:pStyle w:val="4"/>
        <w:keepNext w:val="0"/>
        <w:keepLines w:val="0"/>
        <w:widowControl/>
        <w:suppressLineNumbers w:val="0"/>
      </w:pPr>
      <w:r>
        <w:rPr>
          <w:rFonts w:hint="eastAsia" w:ascii="宋体" w:hAnsi="宋体" w:eastAsia="宋体" w:cs="宋体"/>
          <w:sz w:val="21"/>
          <w:szCs w:val="21"/>
        </w:rPr>
        <w:t> </w:t>
      </w:r>
    </w:p>
    <w:p>
      <w:pPr>
        <w:pStyle w:val="4"/>
        <w:keepNext w:val="0"/>
        <w:keepLines w:val="0"/>
        <w:widowControl/>
        <w:suppressLineNumbers w:val="0"/>
      </w:pPr>
      <w:r>
        <w:rPr>
          <w:rFonts w:hint="eastAsia" w:ascii="宋体" w:hAnsi="宋体" w:eastAsia="宋体" w:cs="宋体"/>
          <w:sz w:val="21"/>
          <w:szCs w:val="21"/>
        </w:rPr>
        <w:t> </w:t>
      </w:r>
    </w:p>
    <w:p>
      <w:pPr>
        <w:pStyle w:val="4"/>
        <w:keepNext w:val="0"/>
        <w:keepLines w:val="0"/>
        <w:widowControl/>
        <w:suppressLineNumbers w:val="0"/>
        <w:jc w:val="center"/>
      </w:pPr>
      <w:r>
        <w:rPr>
          <w:rFonts w:hint="default" w:ascii="Calibri" w:hAnsi="Calibri" w:cs="Calibri"/>
          <w:sz w:val="21"/>
          <w:szCs w:val="21"/>
        </w:rPr>
        <w:br w:type="textWrapping"/>
      </w:r>
      <w:r>
        <w:rPr>
          <w:rFonts w:hint="eastAsia" w:ascii="宋体" w:hAnsi="宋体" w:eastAsia="宋体" w:cs="宋体"/>
          <w:sz w:val="21"/>
          <w:szCs w:val="21"/>
        </w:rPr>
        <w:t>二</w:t>
      </w:r>
      <w:r>
        <w:rPr>
          <w:rStyle w:val="6"/>
          <w:rFonts w:hint="eastAsia" w:ascii="宋体" w:hAnsi="宋体" w:eastAsia="宋体" w:cs="宋体"/>
          <w:sz w:val="21"/>
          <w:szCs w:val="21"/>
        </w:rPr>
        <w:t>-4依法缴纳税收证明材料</w:t>
      </w:r>
    </w:p>
    <w:p>
      <w:pPr>
        <w:pStyle w:val="4"/>
        <w:keepNext w:val="0"/>
        <w:keepLines w:val="0"/>
        <w:widowControl/>
        <w:suppressLineNumbers w:val="0"/>
      </w:pPr>
      <w:r>
        <w:rPr>
          <w:rFonts w:hint="eastAsia" w:ascii="宋体" w:hAnsi="宋体" w:eastAsia="宋体" w:cs="宋体"/>
          <w:sz w:val="21"/>
          <w:szCs w:val="21"/>
        </w:rPr>
        <w:t> </w:t>
      </w:r>
    </w:p>
    <w:p>
      <w:pPr>
        <w:pStyle w:val="4"/>
        <w:keepNext w:val="0"/>
        <w:keepLines w:val="0"/>
        <w:widowControl/>
        <w:suppressLineNumbers w:val="0"/>
      </w:pPr>
      <w:r>
        <w:rPr>
          <w:rFonts w:hint="eastAsia" w:ascii="宋体" w:hAnsi="宋体" w:eastAsia="宋体" w:cs="宋体"/>
          <w:sz w:val="21"/>
          <w:szCs w:val="21"/>
        </w:rPr>
        <w:t>致：</w:t>
      </w:r>
      <w:r>
        <w:rPr>
          <w:rFonts w:hint="eastAsia" w:ascii="宋体" w:hAnsi="宋体" w:eastAsia="宋体" w:cs="宋体"/>
          <w:sz w:val="21"/>
          <w:szCs w:val="21"/>
          <w:u w:val="single"/>
        </w:rPr>
        <w:t>                     </w:t>
      </w:r>
    </w:p>
    <w:p>
      <w:pPr>
        <w:pStyle w:val="4"/>
        <w:keepNext w:val="0"/>
        <w:keepLines w:val="0"/>
        <w:widowControl/>
        <w:suppressLineNumbers w:val="0"/>
        <w:ind w:left="0" w:firstLine="420"/>
      </w:pPr>
      <w:r>
        <w:rPr>
          <w:rFonts w:hint="eastAsia" w:ascii="宋体" w:hAnsi="宋体" w:eastAsia="宋体" w:cs="宋体"/>
          <w:sz w:val="21"/>
          <w:szCs w:val="21"/>
        </w:rPr>
        <w:t>1、依法缴纳税收的投标人</w:t>
      </w:r>
    </w:p>
    <w:p>
      <w:pPr>
        <w:pStyle w:val="4"/>
        <w:keepNext w:val="0"/>
        <w:keepLines w:val="0"/>
        <w:widowControl/>
        <w:suppressLineNumbers w:val="0"/>
        <w:ind w:left="0" w:firstLine="420"/>
      </w:pPr>
      <w:r>
        <w:rPr>
          <w:rFonts w:hint="eastAsia" w:ascii="宋体" w:hAnsi="宋体" w:eastAsia="宋体" w:cs="宋体"/>
          <w:sz w:val="21"/>
          <w:szCs w:val="21"/>
        </w:rPr>
        <w:t>（ ）法人（包括企业、事业单位和社会团体）的</w:t>
      </w:r>
    </w:p>
    <w:p>
      <w:pPr>
        <w:pStyle w:val="4"/>
        <w:keepNext w:val="0"/>
        <w:keepLines w:val="0"/>
        <w:widowControl/>
        <w:suppressLineNumbers w:val="0"/>
        <w:ind w:left="0" w:firstLine="420"/>
      </w:pPr>
      <w:r>
        <w:rPr>
          <w:rFonts w:hint="eastAsia" w:ascii="宋体" w:hAnsi="宋体" w:eastAsia="宋体" w:cs="宋体"/>
          <w:sz w:val="21"/>
          <w:szCs w:val="21"/>
        </w:rPr>
        <w:t>现附上自</w:t>
      </w:r>
      <w:r>
        <w:rPr>
          <w:rFonts w:hint="eastAsia" w:ascii="宋体" w:hAnsi="宋体" w:eastAsia="宋体" w:cs="宋体"/>
          <w:sz w:val="21"/>
          <w:szCs w:val="21"/>
          <w:u w:val="single"/>
        </w:rPr>
        <w:t>    </w:t>
      </w:r>
      <w:r>
        <w:rPr>
          <w:rFonts w:hint="eastAsia" w:ascii="宋体" w:hAnsi="宋体" w:eastAsia="宋体" w:cs="宋体"/>
          <w:sz w:val="21"/>
          <w:szCs w:val="21"/>
        </w:rPr>
        <w:t>年</w:t>
      </w:r>
      <w:r>
        <w:rPr>
          <w:rFonts w:hint="eastAsia" w:ascii="宋体" w:hAnsi="宋体" w:eastAsia="宋体" w:cs="宋体"/>
          <w:sz w:val="21"/>
          <w:szCs w:val="21"/>
          <w:u w:val="single"/>
        </w:rPr>
        <w:t>   </w:t>
      </w:r>
      <w:r>
        <w:rPr>
          <w:rFonts w:hint="eastAsia" w:ascii="宋体" w:hAnsi="宋体" w:eastAsia="宋体" w:cs="宋体"/>
          <w:sz w:val="21"/>
          <w:szCs w:val="21"/>
        </w:rPr>
        <w:t>月</w:t>
      </w:r>
      <w:r>
        <w:rPr>
          <w:rFonts w:hint="eastAsia" w:ascii="宋体" w:hAnsi="宋体" w:eastAsia="宋体" w:cs="宋体"/>
          <w:sz w:val="21"/>
          <w:szCs w:val="21"/>
          <w:u w:val="single"/>
        </w:rPr>
        <w:t>   </w:t>
      </w:r>
      <w:r>
        <w:rPr>
          <w:rFonts w:hint="eastAsia" w:ascii="宋体" w:hAnsi="宋体" w:eastAsia="宋体" w:cs="宋体"/>
          <w:sz w:val="21"/>
          <w:szCs w:val="21"/>
        </w:rPr>
        <w:t>日至</w:t>
      </w:r>
      <w:r>
        <w:rPr>
          <w:rFonts w:hint="eastAsia" w:ascii="宋体" w:hAnsi="宋体" w:eastAsia="宋体" w:cs="宋体"/>
          <w:sz w:val="21"/>
          <w:szCs w:val="21"/>
          <w:u w:val="single"/>
        </w:rPr>
        <w:t>    </w:t>
      </w:r>
      <w:r>
        <w:rPr>
          <w:rFonts w:hint="eastAsia" w:ascii="宋体" w:hAnsi="宋体" w:eastAsia="宋体" w:cs="宋体"/>
          <w:sz w:val="21"/>
          <w:szCs w:val="21"/>
        </w:rPr>
        <w:t>年</w:t>
      </w:r>
      <w:r>
        <w:rPr>
          <w:rFonts w:hint="eastAsia" w:ascii="宋体" w:hAnsi="宋体" w:eastAsia="宋体" w:cs="宋体"/>
          <w:sz w:val="21"/>
          <w:szCs w:val="21"/>
          <w:u w:val="single"/>
        </w:rPr>
        <w:t>   </w:t>
      </w:r>
      <w:r>
        <w:rPr>
          <w:rFonts w:hint="eastAsia" w:ascii="宋体" w:hAnsi="宋体" w:eastAsia="宋体" w:cs="宋体"/>
          <w:sz w:val="21"/>
          <w:szCs w:val="21"/>
        </w:rPr>
        <w:t>月</w:t>
      </w:r>
      <w:r>
        <w:rPr>
          <w:rFonts w:hint="eastAsia" w:ascii="宋体" w:hAnsi="宋体" w:eastAsia="宋体" w:cs="宋体"/>
          <w:sz w:val="21"/>
          <w:szCs w:val="21"/>
          <w:u w:val="single"/>
        </w:rPr>
        <w:t>   </w:t>
      </w:r>
      <w:r>
        <w:rPr>
          <w:rFonts w:hint="eastAsia" w:ascii="宋体" w:hAnsi="宋体" w:eastAsia="宋体" w:cs="宋体"/>
          <w:sz w:val="21"/>
          <w:szCs w:val="21"/>
        </w:rPr>
        <w:t>日期间我方缴纳的</w:t>
      </w:r>
      <w:r>
        <w:rPr>
          <w:rFonts w:hint="eastAsia" w:ascii="宋体" w:hAnsi="宋体" w:eastAsia="宋体" w:cs="宋体"/>
          <w:sz w:val="21"/>
          <w:szCs w:val="21"/>
          <w:u w:val="single"/>
        </w:rPr>
        <w:t>（按照投标人实际缴纳的税种名称填写，如：增值税、所得税等）</w:t>
      </w:r>
      <w:r>
        <w:rPr>
          <w:rFonts w:hint="eastAsia" w:ascii="宋体" w:hAnsi="宋体" w:eastAsia="宋体" w:cs="宋体"/>
          <w:sz w:val="21"/>
          <w:szCs w:val="21"/>
        </w:rPr>
        <w:t>税收凭据复印件，上述证明材料真实有效，否则我方负全部责任。</w:t>
      </w:r>
    </w:p>
    <w:p>
      <w:pPr>
        <w:pStyle w:val="4"/>
        <w:keepNext w:val="0"/>
        <w:keepLines w:val="0"/>
        <w:widowControl/>
        <w:suppressLineNumbers w:val="0"/>
        <w:ind w:left="0" w:firstLine="420"/>
      </w:pPr>
      <w:r>
        <w:rPr>
          <w:rFonts w:hint="eastAsia" w:ascii="宋体" w:hAnsi="宋体" w:eastAsia="宋体" w:cs="宋体"/>
          <w:sz w:val="21"/>
          <w:szCs w:val="21"/>
        </w:rPr>
        <w:t>（ ）非法人（包括其他组织、自然人）的</w:t>
      </w:r>
    </w:p>
    <w:p>
      <w:pPr>
        <w:pStyle w:val="4"/>
        <w:keepNext w:val="0"/>
        <w:keepLines w:val="0"/>
        <w:widowControl/>
        <w:suppressLineNumbers w:val="0"/>
        <w:ind w:left="0" w:firstLine="420"/>
      </w:pPr>
      <w:r>
        <w:rPr>
          <w:rFonts w:hint="eastAsia" w:ascii="宋体" w:hAnsi="宋体" w:eastAsia="宋体" w:cs="宋体"/>
          <w:sz w:val="21"/>
          <w:szCs w:val="21"/>
        </w:rPr>
        <w:t>现附上自</w:t>
      </w:r>
      <w:r>
        <w:rPr>
          <w:rFonts w:hint="eastAsia" w:ascii="宋体" w:hAnsi="宋体" w:eastAsia="宋体" w:cs="宋体"/>
          <w:sz w:val="21"/>
          <w:szCs w:val="21"/>
          <w:u w:val="single"/>
        </w:rPr>
        <w:t>    </w:t>
      </w:r>
      <w:r>
        <w:rPr>
          <w:rFonts w:hint="eastAsia" w:ascii="宋体" w:hAnsi="宋体" w:eastAsia="宋体" w:cs="宋体"/>
          <w:sz w:val="21"/>
          <w:szCs w:val="21"/>
        </w:rPr>
        <w:t>年</w:t>
      </w:r>
      <w:r>
        <w:rPr>
          <w:rFonts w:hint="eastAsia" w:ascii="宋体" w:hAnsi="宋体" w:eastAsia="宋体" w:cs="宋体"/>
          <w:sz w:val="21"/>
          <w:szCs w:val="21"/>
          <w:u w:val="single"/>
        </w:rPr>
        <w:t>   </w:t>
      </w:r>
      <w:r>
        <w:rPr>
          <w:rFonts w:hint="eastAsia" w:ascii="宋体" w:hAnsi="宋体" w:eastAsia="宋体" w:cs="宋体"/>
          <w:sz w:val="21"/>
          <w:szCs w:val="21"/>
        </w:rPr>
        <w:t>月</w:t>
      </w:r>
      <w:r>
        <w:rPr>
          <w:rFonts w:hint="eastAsia" w:ascii="宋体" w:hAnsi="宋体" w:eastAsia="宋体" w:cs="宋体"/>
          <w:sz w:val="21"/>
          <w:szCs w:val="21"/>
          <w:u w:val="single"/>
        </w:rPr>
        <w:t>   </w:t>
      </w:r>
      <w:r>
        <w:rPr>
          <w:rFonts w:hint="eastAsia" w:ascii="宋体" w:hAnsi="宋体" w:eastAsia="宋体" w:cs="宋体"/>
          <w:sz w:val="21"/>
          <w:szCs w:val="21"/>
        </w:rPr>
        <w:t>日至</w:t>
      </w:r>
      <w:r>
        <w:rPr>
          <w:rFonts w:hint="eastAsia" w:ascii="宋体" w:hAnsi="宋体" w:eastAsia="宋体" w:cs="宋体"/>
          <w:sz w:val="21"/>
          <w:szCs w:val="21"/>
          <w:u w:val="single"/>
        </w:rPr>
        <w:t>    </w:t>
      </w:r>
      <w:r>
        <w:rPr>
          <w:rFonts w:hint="eastAsia" w:ascii="宋体" w:hAnsi="宋体" w:eastAsia="宋体" w:cs="宋体"/>
          <w:sz w:val="21"/>
          <w:szCs w:val="21"/>
        </w:rPr>
        <w:t>年</w:t>
      </w:r>
      <w:r>
        <w:rPr>
          <w:rFonts w:hint="eastAsia" w:ascii="宋体" w:hAnsi="宋体" w:eastAsia="宋体" w:cs="宋体"/>
          <w:sz w:val="21"/>
          <w:szCs w:val="21"/>
          <w:u w:val="single"/>
        </w:rPr>
        <w:t>   </w:t>
      </w:r>
      <w:r>
        <w:rPr>
          <w:rFonts w:hint="eastAsia" w:ascii="宋体" w:hAnsi="宋体" w:eastAsia="宋体" w:cs="宋体"/>
          <w:sz w:val="21"/>
          <w:szCs w:val="21"/>
        </w:rPr>
        <w:t>月</w:t>
      </w:r>
      <w:r>
        <w:rPr>
          <w:rFonts w:hint="eastAsia" w:ascii="宋体" w:hAnsi="宋体" w:eastAsia="宋体" w:cs="宋体"/>
          <w:sz w:val="21"/>
          <w:szCs w:val="21"/>
          <w:u w:val="single"/>
        </w:rPr>
        <w:t>   </w:t>
      </w:r>
      <w:r>
        <w:rPr>
          <w:rFonts w:hint="eastAsia" w:ascii="宋体" w:hAnsi="宋体" w:eastAsia="宋体" w:cs="宋体"/>
          <w:sz w:val="21"/>
          <w:szCs w:val="21"/>
        </w:rPr>
        <w:t>日期间我方缴纳的</w:t>
      </w:r>
      <w:r>
        <w:rPr>
          <w:rFonts w:hint="eastAsia" w:ascii="宋体" w:hAnsi="宋体" w:eastAsia="宋体" w:cs="宋体"/>
          <w:sz w:val="21"/>
          <w:szCs w:val="21"/>
          <w:u w:val="single"/>
        </w:rPr>
        <w:t>（按照投标人实际缴纳的税种名称填写）</w:t>
      </w:r>
      <w:r>
        <w:rPr>
          <w:rFonts w:hint="eastAsia" w:ascii="宋体" w:hAnsi="宋体" w:eastAsia="宋体" w:cs="宋体"/>
          <w:sz w:val="21"/>
          <w:szCs w:val="21"/>
        </w:rPr>
        <w:t>税收凭据复印件，上述证明材料真实有效，否则我方负全部责任。</w:t>
      </w:r>
    </w:p>
    <w:p>
      <w:pPr>
        <w:pStyle w:val="4"/>
        <w:keepNext w:val="0"/>
        <w:keepLines w:val="0"/>
        <w:widowControl/>
        <w:suppressLineNumbers w:val="0"/>
        <w:ind w:left="0" w:firstLine="420"/>
      </w:pPr>
      <w:r>
        <w:rPr>
          <w:rFonts w:hint="eastAsia" w:ascii="宋体" w:hAnsi="宋体" w:eastAsia="宋体" w:cs="宋体"/>
          <w:sz w:val="21"/>
          <w:szCs w:val="21"/>
        </w:rPr>
        <w:t>2、依法免税的投标人</w:t>
      </w:r>
    </w:p>
    <w:p>
      <w:pPr>
        <w:pStyle w:val="4"/>
        <w:keepNext w:val="0"/>
        <w:keepLines w:val="0"/>
        <w:widowControl/>
        <w:suppressLineNumbers w:val="0"/>
        <w:ind w:left="0" w:firstLine="420"/>
      </w:pPr>
      <w:r>
        <w:rPr>
          <w:rFonts w:hint="eastAsia" w:ascii="宋体" w:hAnsi="宋体" w:eastAsia="宋体" w:cs="宋体"/>
          <w:sz w:val="21"/>
          <w:szCs w:val="21"/>
        </w:rPr>
        <w:t>（ ）现附上我方依法免税证明材料复印件，上述证明材料真实有效，否则我方负全部责任。</w:t>
      </w:r>
    </w:p>
    <w:p>
      <w:pPr>
        <w:pStyle w:val="4"/>
        <w:keepNext w:val="0"/>
        <w:keepLines w:val="0"/>
        <w:widowControl/>
        <w:suppressLineNumbers w:val="0"/>
      </w:pPr>
      <w:r>
        <w:rPr>
          <w:rFonts w:hint="default" w:ascii="Calibri" w:hAnsi="Calibri" w:cs="Calibri"/>
          <w:sz w:val="21"/>
          <w:szCs w:val="21"/>
        </w:rPr>
        <w:t> </w:t>
      </w:r>
    </w:p>
    <w:p>
      <w:pPr>
        <w:pStyle w:val="4"/>
        <w:keepNext w:val="0"/>
        <w:keepLines w:val="0"/>
        <w:widowControl/>
        <w:suppressLineNumbers w:val="0"/>
      </w:pPr>
      <w:r>
        <w:rPr>
          <w:rFonts w:hint="eastAsia" w:ascii="宋体" w:hAnsi="宋体" w:eastAsia="宋体" w:cs="宋体"/>
          <w:sz w:val="21"/>
          <w:szCs w:val="21"/>
        </w:rPr>
        <w:t>★注意：</w:t>
      </w:r>
    </w:p>
    <w:p>
      <w:pPr>
        <w:pStyle w:val="4"/>
        <w:keepNext w:val="0"/>
        <w:keepLines w:val="0"/>
        <w:widowControl/>
        <w:suppressLineNumbers w:val="0"/>
      </w:pPr>
      <w:r>
        <w:rPr>
          <w:rFonts w:hint="eastAsia" w:ascii="宋体" w:hAnsi="宋体" w:eastAsia="宋体" w:cs="宋体"/>
          <w:sz w:val="21"/>
          <w:szCs w:val="21"/>
        </w:rPr>
        <w:t>1、请投标人按照实际情况编制填写，在相应的（）中打“√”，并按照本格式的要求提供相应证明材料的复印件。</w:t>
      </w:r>
    </w:p>
    <w:p>
      <w:pPr>
        <w:pStyle w:val="4"/>
        <w:keepNext w:val="0"/>
        <w:keepLines w:val="0"/>
        <w:widowControl/>
        <w:suppressLineNumbers w:val="0"/>
      </w:pPr>
      <w:r>
        <w:rPr>
          <w:rFonts w:hint="eastAsia" w:ascii="宋体" w:hAnsi="宋体" w:eastAsia="宋体" w:cs="宋体"/>
          <w:sz w:val="21"/>
          <w:szCs w:val="21"/>
        </w:rPr>
        <w:t>2、投标人提供的税收凭据复印件应符合下列规定：</w:t>
      </w:r>
    </w:p>
    <w:p>
      <w:pPr>
        <w:pStyle w:val="4"/>
        <w:keepNext w:val="0"/>
        <w:keepLines w:val="0"/>
        <w:widowControl/>
        <w:suppressLineNumbers w:val="0"/>
      </w:pPr>
      <w:r>
        <w:rPr>
          <w:rFonts w:hint="eastAsia" w:ascii="宋体" w:hAnsi="宋体" w:eastAsia="宋体" w:cs="宋体"/>
          <w:sz w:val="21"/>
          <w:szCs w:val="21"/>
        </w:rPr>
        <w:t>2.1投标截止时间前（不含投标截止时间的当月）已依法缴纳税收的投标人，提供投标截止时间前六个月（不含投标截止时间的当月）中任一月份的税收凭据复印件。</w:t>
      </w:r>
    </w:p>
    <w:p>
      <w:pPr>
        <w:pStyle w:val="4"/>
        <w:keepNext w:val="0"/>
        <w:keepLines w:val="0"/>
        <w:widowControl/>
        <w:suppressLineNumbers w:val="0"/>
      </w:pPr>
      <w:r>
        <w:rPr>
          <w:rFonts w:hint="eastAsia" w:ascii="宋体" w:hAnsi="宋体" w:eastAsia="宋体" w:cs="宋体"/>
          <w:sz w:val="21"/>
          <w:szCs w:val="21"/>
        </w:rPr>
        <w:t>2.2投标截止时间的当月成立且已依法缴纳税收的投标人，提供投标截止时间当月的税收凭据复印件。</w:t>
      </w:r>
    </w:p>
    <w:p>
      <w:pPr>
        <w:pStyle w:val="4"/>
        <w:keepNext w:val="0"/>
        <w:keepLines w:val="0"/>
        <w:widowControl/>
        <w:suppressLineNumbers w:val="0"/>
      </w:pPr>
      <w:r>
        <w:rPr>
          <w:rFonts w:hint="eastAsia" w:ascii="宋体" w:hAnsi="宋体" w:eastAsia="宋体" w:cs="宋体"/>
          <w:sz w:val="21"/>
          <w:szCs w:val="21"/>
        </w:rPr>
        <w:t>2.3投标截止时间的当月成立但因税务机关原因导致其尚未依法缴纳税收的投标人，提供依法缴纳税收承诺书原件（格式自拟），该承诺书视同税收凭据。</w:t>
      </w:r>
    </w:p>
    <w:p>
      <w:pPr>
        <w:pStyle w:val="4"/>
        <w:keepNext w:val="0"/>
        <w:keepLines w:val="0"/>
        <w:widowControl/>
        <w:suppressLineNumbers w:val="0"/>
      </w:pPr>
      <w:r>
        <w:rPr>
          <w:rFonts w:hint="eastAsia" w:ascii="宋体" w:hAnsi="宋体" w:eastAsia="宋体" w:cs="宋体"/>
          <w:sz w:val="21"/>
          <w:szCs w:val="21"/>
        </w:rPr>
        <w:t>3、</w:t>
      </w:r>
      <w:r>
        <w:rPr>
          <w:rStyle w:val="6"/>
          <w:rFonts w:hint="eastAsia" w:ascii="宋体" w:hAnsi="宋体" w:eastAsia="宋体" w:cs="宋体"/>
          <w:sz w:val="21"/>
          <w:szCs w:val="21"/>
        </w:rPr>
        <w:t>“依法缴纳税收证明材料”</w:t>
      </w:r>
      <w:r>
        <w:rPr>
          <w:rFonts w:hint="eastAsia" w:ascii="宋体" w:hAnsi="宋体" w:eastAsia="宋体" w:cs="宋体"/>
          <w:sz w:val="21"/>
          <w:szCs w:val="21"/>
        </w:rPr>
        <w:t>有欠缴记录的，视为</w:t>
      </w:r>
      <w:r>
        <w:rPr>
          <w:rStyle w:val="6"/>
          <w:rFonts w:hint="eastAsia" w:ascii="宋体" w:hAnsi="宋体" w:eastAsia="宋体" w:cs="宋体"/>
          <w:sz w:val="21"/>
          <w:szCs w:val="21"/>
        </w:rPr>
        <w:t>未依法缴纳税收。</w:t>
      </w:r>
    </w:p>
    <w:p>
      <w:pPr>
        <w:pStyle w:val="4"/>
        <w:keepNext w:val="0"/>
        <w:keepLines w:val="0"/>
        <w:widowControl/>
        <w:suppressLineNumbers w:val="0"/>
      </w:pPr>
      <w:r>
        <w:rPr>
          <w:rFonts w:hint="eastAsia" w:ascii="宋体" w:hAnsi="宋体" w:eastAsia="宋体" w:cs="宋体"/>
          <w:sz w:val="21"/>
          <w:szCs w:val="21"/>
        </w:rPr>
        <w:t>4、投标人提供的相应证明材料复印件均应符合：内容完整、清晰、整洁，并由投标人加盖其单位公章。</w:t>
      </w:r>
    </w:p>
    <w:p>
      <w:pPr>
        <w:pStyle w:val="4"/>
        <w:keepNext w:val="0"/>
        <w:keepLines w:val="0"/>
        <w:widowControl/>
        <w:suppressLineNumbers w:val="0"/>
      </w:pPr>
      <w:r>
        <w:rPr>
          <w:rFonts w:hint="default" w:ascii="Calibri" w:hAnsi="Calibri" w:cs="Calibri"/>
          <w:sz w:val="21"/>
          <w:szCs w:val="21"/>
        </w:rPr>
        <w:t> </w:t>
      </w:r>
    </w:p>
    <w:p>
      <w:pPr>
        <w:pStyle w:val="4"/>
        <w:keepNext w:val="0"/>
        <w:keepLines w:val="0"/>
        <w:widowControl/>
        <w:suppressLineNumbers w:val="0"/>
      </w:pPr>
      <w:r>
        <w:rPr>
          <w:rFonts w:hint="default" w:ascii="Calibri" w:hAnsi="Calibri" w:cs="Calibri"/>
          <w:sz w:val="21"/>
          <w:szCs w:val="21"/>
        </w:rPr>
        <w:t> </w:t>
      </w:r>
    </w:p>
    <w:p>
      <w:pPr>
        <w:pStyle w:val="4"/>
        <w:keepNext w:val="0"/>
        <w:keepLines w:val="0"/>
        <w:widowControl/>
        <w:suppressLineNumbers w:val="0"/>
      </w:pPr>
      <w:r>
        <w:rPr>
          <w:rFonts w:hint="eastAsia" w:ascii="宋体" w:hAnsi="宋体" w:eastAsia="宋体" w:cs="宋体"/>
          <w:sz w:val="21"/>
          <w:szCs w:val="21"/>
        </w:rPr>
        <w:t>投标人：</w:t>
      </w:r>
      <w:r>
        <w:rPr>
          <w:rFonts w:hint="eastAsia" w:ascii="宋体" w:hAnsi="宋体" w:eastAsia="宋体" w:cs="宋体"/>
          <w:sz w:val="21"/>
          <w:szCs w:val="21"/>
          <w:u w:val="single"/>
        </w:rPr>
        <w:t>（全称并加盖单位公章）</w:t>
      </w:r>
    </w:p>
    <w:p>
      <w:pPr>
        <w:pStyle w:val="4"/>
        <w:keepNext w:val="0"/>
        <w:keepLines w:val="0"/>
        <w:widowControl/>
        <w:suppressLineNumbers w:val="0"/>
      </w:pPr>
      <w:r>
        <w:rPr>
          <w:rFonts w:hint="eastAsia" w:ascii="宋体" w:hAnsi="宋体" w:eastAsia="宋体" w:cs="宋体"/>
          <w:sz w:val="21"/>
          <w:szCs w:val="21"/>
        </w:rPr>
        <w:t>投标人代表签字：</w:t>
      </w:r>
      <w:r>
        <w:rPr>
          <w:rFonts w:hint="eastAsia" w:ascii="宋体" w:hAnsi="宋体" w:eastAsia="宋体" w:cs="宋体"/>
          <w:sz w:val="21"/>
          <w:szCs w:val="21"/>
          <w:u w:val="single"/>
        </w:rPr>
        <w:t>                   </w:t>
      </w:r>
    </w:p>
    <w:p>
      <w:pPr>
        <w:pStyle w:val="4"/>
        <w:keepNext w:val="0"/>
        <w:keepLines w:val="0"/>
        <w:widowControl/>
        <w:suppressLineNumbers w:val="0"/>
      </w:pPr>
      <w:r>
        <w:rPr>
          <w:rFonts w:hint="eastAsia" w:ascii="宋体" w:hAnsi="宋体" w:eastAsia="宋体" w:cs="宋体"/>
          <w:sz w:val="21"/>
          <w:szCs w:val="21"/>
        </w:rPr>
        <w:t>日期：</w:t>
      </w:r>
      <w:r>
        <w:rPr>
          <w:rFonts w:hint="eastAsia" w:ascii="宋体" w:hAnsi="宋体" w:eastAsia="宋体" w:cs="宋体"/>
          <w:sz w:val="21"/>
          <w:szCs w:val="21"/>
          <w:u w:val="single"/>
        </w:rPr>
        <w:t>    </w:t>
      </w:r>
      <w:r>
        <w:rPr>
          <w:rFonts w:hint="eastAsia" w:ascii="宋体" w:hAnsi="宋体" w:eastAsia="宋体" w:cs="宋体"/>
          <w:sz w:val="21"/>
          <w:szCs w:val="21"/>
        </w:rPr>
        <w:t>年</w:t>
      </w:r>
      <w:r>
        <w:rPr>
          <w:rFonts w:hint="eastAsia" w:ascii="宋体" w:hAnsi="宋体" w:eastAsia="宋体" w:cs="宋体"/>
          <w:sz w:val="21"/>
          <w:szCs w:val="21"/>
          <w:u w:val="single"/>
        </w:rPr>
        <w:t>   </w:t>
      </w:r>
      <w:r>
        <w:rPr>
          <w:rFonts w:hint="eastAsia" w:ascii="宋体" w:hAnsi="宋体" w:eastAsia="宋体" w:cs="宋体"/>
          <w:sz w:val="21"/>
          <w:szCs w:val="21"/>
        </w:rPr>
        <w:t>月</w:t>
      </w:r>
      <w:r>
        <w:rPr>
          <w:rFonts w:hint="eastAsia" w:ascii="宋体" w:hAnsi="宋体" w:eastAsia="宋体" w:cs="宋体"/>
          <w:sz w:val="21"/>
          <w:szCs w:val="21"/>
          <w:u w:val="single"/>
        </w:rPr>
        <w:t>   </w:t>
      </w:r>
      <w:r>
        <w:rPr>
          <w:rFonts w:hint="eastAsia" w:ascii="宋体" w:hAnsi="宋体" w:eastAsia="宋体" w:cs="宋体"/>
          <w:sz w:val="21"/>
          <w:szCs w:val="21"/>
        </w:rPr>
        <w:t>日</w:t>
      </w:r>
    </w:p>
    <w:p>
      <w:pPr>
        <w:pStyle w:val="4"/>
        <w:keepNext w:val="0"/>
        <w:keepLines w:val="0"/>
        <w:widowControl/>
        <w:suppressLineNumbers w:val="0"/>
      </w:pPr>
      <w:r>
        <w:rPr>
          <w:rFonts w:hint="eastAsia" w:ascii="宋体" w:hAnsi="宋体" w:eastAsia="宋体" w:cs="宋体"/>
          <w:sz w:val="21"/>
          <w:szCs w:val="21"/>
        </w:rPr>
        <w:t> </w:t>
      </w:r>
    </w:p>
    <w:p>
      <w:pPr>
        <w:pStyle w:val="4"/>
        <w:keepNext w:val="0"/>
        <w:keepLines w:val="0"/>
        <w:widowControl/>
        <w:suppressLineNumbers w:val="0"/>
      </w:pPr>
      <w:r>
        <w:rPr>
          <w:rFonts w:hint="eastAsia" w:ascii="宋体" w:hAnsi="宋体" w:eastAsia="宋体" w:cs="宋体"/>
          <w:sz w:val="21"/>
          <w:szCs w:val="21"/>
        </w:rPr>
        <w:t> </w:t>
      </w:r>
    </w:p>
    <w:p>
      <w:pPr>
        <w:pStyle w:val="4"/>
        <w:keepNext w:val="0"/>
        <w:keepLines w:val="0"/>
        <w:widowControl/>
        <w:suppressLineNumbers w:val="0"/>
        <w:jc w:val="center"/>
      </w:pPr>
      <w:r>
        <w:rPr>
          <w:rFonts w:hint="default" w:ascii="Calibri" w:hAnsi="Calibri" w:cs="Calibri"/>
          <w:sz w:val="21"/>
          <w:szCs w:val="21"/>
        </w:rPr>
        <w:br w:type="textWrapping"/>
      </w:r>
      <w:r>
        <w:rPr>
          <w:rStyle w:val="6"/>
          <w:rFonts w:hint="eastAsia" w:ascii="宋体" w:hAnsi="宋体" w:eastAsia="宋体" w:cs="宋体"/>
          <w:sz w:val="21"/>
          <w:szCs w:val="21"/>
        </w:rPr>
        <w:t>二-5依法缴纳社会保障资金证明材料</w:t>
      </w:r>
    </w:p>
    <w:p>
      <w:pPr>
        <w:pStyle w:val="4"/>
        <w:keepNext w:val="0"/>
        <w:keepLines w:val="0"/>
        <w:widowControl/>
        <w:suppressLineNumbers w:val="0"/>
      </w:pPr>
      <w:r>
        <w:rPr>
          <w:rFonts w:hint="eastAsia" w:ascii="宋体" w:hAnsi="宋体" w:eastAsia="宋体" w:cs="宋体"/>
          <w:sz w:val="21"/>
          <w:szCs w:val="21"/>
        </w:rPr>
        <w:t> </w:t>
      </w:r>
    </w:p>
    <w:p>
      <w:pPr>
        <w:pStyle w:val="4"/>
        <w:keepNext w:val="0"/>
        <w:keepLines w:val="0"/>
        <w:widowControl/>
        <w:suppressLineNumbers w:val="0"/>
      </w:pPr>
      <w:r>
        <w:rPr>
          <w:rFonts w:hint="eastAsia" w:ascii="宋体" w:hAnsi="宋体" w:eastAsia="宋体" w:cs="宋体"/>
          <w:sz w:val="21"/>
          <w:szCs w:val="21"/>
        </w:rPr>
        <w:t>致：</w:t>
      </w:r>
      <w:r>
        <w:rPr>
          <w:rFonts w:hint="eastAsia" w:ascii="宋体" w:hAnsi="宋体" w:eastAsia="宋体" w:cs="宋体"/>
          <w:sz w:val="21"/>
          <w:szCs w:val="21"/>
          <w:u w:val="single"/>
        </w:rPr>
        <w:t>                     </w:t>
      </w:r>
    </w:p>
    <w:p>
      <w:pPr>
        <w:pStyle w:val="4"/>
        <w:keepNext w:val="0"/>
        <w:keepLines w:val="0"/>
        <w:widowControl/>
        <w:suppressLineNumbers w:val="0"/>
        <w:ind w:left="0" w:firstLine="420"/>
      </w:pPr>
      <w:r>
        <w:rPr>
          <w:rFonts w:hint="eastAsia" w:ascii="宋体" w:hAnsi="宋体" w:eastAsia="宋体" w:cs="宋体"/>
          <w:sz w:val="21"/>
          <w:szCs w:val="21"/>
        </w:rPr>
        <w:t>1、依法缴纳社会保障资金的投标人</w:t>
      </w:r>
    </w:p>
    <w:p>
      <w:pPr>
        <w:pStyle w:val="4"/>
        <w:keepNext w:val="0"/>
        <w:keepLines w:val="0"/>
        <w:widowControl/>
        <w:suppressLineNumbers w:val="0"/>
        <w:ind w:left="0" w:firstLine="420"/>
      </w:pPr>
      <w:r>
        <w:rPr>
          <w:rFonts w:hint="eastAsia" w:ascii="宋体" w:hAnsi="宋体" w:eastAsia="宋体" w:cs="宋体"/>
          <w:sz w:val="21"/>
          <w:szCs w:val="21"/>
        </w:rPr>
        <w:t>（ ）法人（包括企业、事业单位和社会团体）的</w:t>
      </w:r>
    </w:p>
    <w:p>
      <w:pPr>
        <w:pStyle w:val="4"/>
        <w:keepNext w:val="0"/>
        <w:keepLines w:val="0"/>
        <w:widowControl/>
        <w:suppressLineNumbers w:val="0"/>
        <w:ind w:left="0" w:firstLine="420"/>
      </w:pPr>
      <w:r>
        <w:rPr>
          <w:rFonts w:hint="eastAsia" w:ascii="宋体" w:hAnsi="宋体" w:eastAsia="宋体" w:cs="宋体"/>
          <w:sz w:val="21"/>
          <w:szCs w:val="21"/>
        </w:rPr>
        <w:t>现附上自</w:t>
      </w:r>
      <w:r>
        <w:rPr>
          <w:rFonts w:hint="eastAsia" w:ascii="宋体" w:hAnsi="宋体" w:eastAsia="宋体" w:cs="宋体"/>
          <w:sz w:val="21"/>
          <w:szCs w:val="21"/>
          <w:u w:val="single"/>
        </w:rPr>
        <w:t>    </w:t>
      </w:r>
      <w:r>
        <w:rPr>
          <w:rFonts w:hint="eastAsia" w:ascii="宋体" w:hAnsi="宋体" w:eastAsia="宋体" w:cs="宋体"/>
          <w:sz w:val="21"/>
          <w:szCs w:val="21"/>
        </w:rPr>
        <w:t>年</w:t>
      </w:r>
      <w:r>
        <w:rPr>
          <w:rFonts w:hint="eastAsia" w:ascii="宋体" w:hAnsi="宋体" w:eastAsia="宋体" w:cs="宋体"/>
          <w:sz w:val="21"/>
          <w:szCs w:val="21"/>
          <w:u w:val="single"/>
        </w:rPr>
        <w:t>   </w:t>
      </w:r>
      <w:r>
        <w:rPr>
          <w:rFonts w:hint="eastAsia" w:ascii="宋体" w:hAnsi="宋体" w:eastAsia="宋体" w:cs="宋体"/>
          <w:sz w:val="21"/>
          <w:szCs w:val="21"/>
        </w:rPr>
        <w:t>月</w:t>
      </w:r>
      <w:r>
        <w:rPr>
          <w:rFonts w:hint="eastAsia" w:ascii="宋体" w:hAnsi="宋体" w:eastAsia="宋体" w:cs="宋体"/>
          <w:sz w:val="21"/>
          <w:szCs w:val="21"/>
          <w:u w:val="single"/>
        </w:rPr>
        <w:t>   </w:t>
      </w:r>
      <w:r>
        <w:rPr>
          <w:rFonts w:hint="eastAsia" w:ascii="宋体" w:hAnsi="宋体" w:eastAsia="宋体" w:cs="宋体"/>
          <w:sz w:val="21"/>
          <w:szCs w:val="21"/>
        </w:rPr>
        <w:t>日至</w:t>
      </w:r>
      <w:r>
        <w:rPr>
          <w:rFonts w:hint="eastAsia" w:ascii="宋体" w:hAnsi="宋体" w:eastAsia="宋体" w:cs="宋体"/>
          <w:sz w:val="21"/>
          <w:szCs w:val="21"/>
          <w:u w:val="single"/>
        </w:rPr>
        <w:t>    </w:t>
      </w:r>
      <w:r>
        <w:rPr>
          <w:rFonts w:hint="eastAsia" w:ascii="宋体" w:hAnsi="宋体" w:eastAsia="宋体" w:cs="宋体"/>
          <w:sz w:val="21"/>
          <w:szCs w:val="21"/>
        </w:rPr>
        <w:t>年</w:t>
      </w:r>
      <w:r>
        <w:rPr>
          <w:rFonts w:hint="eastAsia" w:ascii="宋体" w:hAnsi="宋体" w:eastAsia="宋体" w:cs="宋体"/>
          <w:sz w:val="21"/>
          <w:szCs w:val="21"/>
          <w:u w:val="single"/>
        </w:rPr>
        <w:t>   </w:t>
      </w:r>
      <w:r>
        <w:rPr>
          <w:rFonts w:hint="eastAsia" w:ascii="宋体" w:hAnsi="宋体" w:eastAsia="宋体" w:cs="宋体"/>
          <w:sz w:val="21"/>
          <w:szCs w:val="21"/>
        </w:rPr>
        <w:t>月</w:t>
      </w:r>
      <w:r>
        <w:rPr>
          <w:rFonts w:hint="eastAsia" w:ascii="宋体" w:hAnsi="宋体" w:eastAsia="宋体" w:cs="宋体"/>
          <w:sz w:val="21"/>
          <w:szCs w:val="21"/>
          <w:u w:val="single"/>
        </w:rPr>
        <w:t>   </w:t>
      </w:r>
      <w:r>
        <w:rPr>
          <w:rFonts w:hint="eastAsia" w:ascii="宋体" w:hAnsi="宋体" w:eastAsia="宋体" w:cs="宋体"/>
          <w:sz w:val="21"/>
          <w:szCs w:val="21"/>
        </w:rPr>
        <w:t>日我方缴纳的社会保险凭据（限：税务机关/社会保障资金管理机关的专用收据或社会保险缴纳清单，或社会保险的银行缴款收讫凭证）复印件，上述证明材料真实有效，否则我方负全部责任。</w:t>
      </w:r>
    </w:p>
    <w:p>
      <w:pPr>
        <w:pStyle w:val="4"/>
        <w:keepNext w:val="0"/>
        <w:keepLines w:val="0"/>
        <w:widowControl/>
        <w:suppressLineNumbers w:val="0"/>
        <w:ind w:left="0" w:firstLine="420"/>
      </w:pPr>
      <w:r>
        <w:rPr>
          <w:rFonts w:hint="eastAsia" w:ascii="宋体" w:hAnsi="宋体" w:eastAsia="宋体" w:cs="宋体"/>
          <w:sz w:val="21"/>
          <w:szCs w:val="21"/>
        </w:rPr>
        <w:t>（ ）非法人（包括其他组织、自然人）的</w:t>
      </w:r>
    </w:p>
    <w:p>
      <w:pPr>
        <w:pStyle w:val="4"/>
        <w:keepNext w:val="0"/>
        <w:keepLines w:val="0"/>
        <w:widowControl/>
        <w:suppressLineNumbers w:val="0"/>
        <w:ind w:left="0" w:firstLine="420"/>
      </w:pPr>
      <w:r>
        <w:rPr>
          <w:rFonts w:hint="eastAsia" w:ascii="宋体" w:hAnsi="宋体" w:eastAsia="宋体" w:cs="宋体"/>
          <w:sz w:val="21"/>
          <w:szCs w:val="21"/>
        </w:rPr>
        <w:t>自</w:t>
      </w:r>
      <w:r>
        <w:rPr>
          <w:rFonts w:hint="eastAsia" w:ascii="宋体" w:hAnsi="宋体" w:eastAsia="宋体" w:cs="宋体"/>
          <w:sz w:val="21"/>
          <w:szCs w:val="21"/>
          <w:u w:val="single"/>
        </w:rPr>
        <w:t>    </w:t>
      </w:r>
      <w:r>
        <w:rPr>
          <w:rFonts w:hint="eastAsia" w:ascii="宋体" w:hAnsi="宋体" w:eastAsia="宋体" w:cs="宋体"/>
          <w:sz w:val="21"/>
          <w:szCs w:val="21"/>
        </w:rPr>
        <w:t>年</w:t>
      </w:r>
      <w:r>
        <w:rPr>
          <w:rFonts w:hint="eastAsia" w:ascii="宋体" w:hAnsi="宋体" w:eastAsia="宋体" w:cs="宋体"/>
          <w:sz w:val="21"/>
          <w:szCs w:val="21"/>
          <w:u w:val="single"/>
        </w:rPr>
        <w:t>   </w:t>
      </w:r>
      <w:r>
        <w:rPr>
          <w:rFonts w:hint="eastAsia" w:ascii="宋体" w:hAnsi="宋体" w:eastAsia="宋体" w:cs="宋体"/>
          <w:sz w:val="21"/>
          <w:szCs w:val="21"/>
        </w:rPr>
        <w:t>月</w:t>
      </w:r>
      <w:r>
        <w:rPr>
          <w:rFonts w:hint="eastAsia" w:ascii="宋体" w:hAnsi="宋体" w:eastAsia="宋体" w:cs="宋体"/>
          <w:sz w:val="21"/>
          <w:szCs w:val="21"/>
          <w:u w:val="single"/>
        </w:rPr>
        <w:t>   </w:t>
      </w:r>
      <w:r>
        <w:rPr>
          <w:rFonts w:hint="eastAsia" w:ascii="宋体" w:hAnsi="宋体" w:eastAsia="宋体" w:cs="宋体"/>
          <w:sz w:val="21"/>
          <w:szCs w:val="21"/>
        </w:rPr>
        <w:t>日至</w:t>
      </w:r>
      <w:r>
        <w:rPr>
          <w:rFonts w:hint="eastAsia" w:ascii="宋体" w:hAnsi="宋体" w:eastAsia="宋体" w:cs="宋体"/>
          <w:sz w:val="21"/>
          <w:szCs w:val="21"/>
          <w:u w:val="single"/>
        </w:rPr>
        <w:t>    </w:t>
      </w:r>
      <w:r>
        <w:rPr>
          <w:rFonts w:hint="eastAsia" w:ascii="宋体" w:hAnsi="宋体" w:eastAsia="宋体" w:cs="宋体"/>
          <w:sz w:val="21"/>
          <w:szCs w:val="21"/>
        </w:rPr>
        <w:t>年</w:t>
      </w:r>
      <w:r>
        <w:rPr>
          <w:rFonts w:hint="eastAsia" w:ascii="宋体" w:hAnsi="宋体" w:eastAsia="宋体" w:cs="宋体"/>
          <w:sz w:val="21"/>
          <w:szCs w:val="21"/>
          <w:u w:val="single"/>
        </w:rPr>
        <w:t>   </w:t>
      </w:r>
      <w:r>
        <w:rPr>
          <w:rFonts w:hint="eastAsia" w:ascii="宋体" w:hAnsi="宋体" w:eastAsia="宋体" w:cs="宋体"/>
          <w:sz w:val="21"/>
          <w:szCs w:val="21"/>
        </w:rPr>
        <w:t>月</w:t>
      </w:r>
      <w:r>
        <w:rPr>
          <w:rFonts w:hint="eastAsia" w:ascii="宋体" w:hAnsi="宋体" w:eastAsia="宋体" w:cs="宋体"/>
          <w:sz w:val="21"/>
          <w:szCs w:val="21"/>
          <w:u w:val="single"/>
        </w:rPr>
        <w:t>   </w:t>
      </w:r>
      <w:r>
        <w:rPr>
          <w:rFonts w:hint="eastAsia" w:ascii="宋体" w:hAnsi="宋体" w:eastAsia="宋体" w:cs="宋体"/>
          <w:sz w:val="21"/>
          <w:szCs w:val="21"/>
        </w:rPr>
        <w:t>日我方缴纳的社会保险凭据（限：税务机关/社会保障资金管理机关的专用收据或社会保险缴纳清单，或社会保险的银行缴款收讫凭证）复印件，上述证明材料真实有效，否则我方负全部责任。</w:t>
      </w:r>
    </w:p>
    <w:p>
      <w:pPr>
        <w:pStyle w:val="4"/>
        <w:keepNext w:val="0"/>
        <w:keepLines w:val="0"/>
        <w:widowControl/>
        <w:suppressLineNumbers w:val="0"/>
        <w:ind w:left="0" w:firstLine="420"/>
      </w:pPr>
      <w:r>
        <w:rPr>
          <w:rFonts w:hint="eastAsia" w:ascii="宋体" w:hAnsi="宋体" w:eastAsia="宋体" w:cs="宋体"/>
          <w:sz w:val="21"/>
          <w:szCs w:val="21"/>
        </w:rPr>
        <w:t>2、依法不需要缴纳社会保障资金的投标人</w:t>
      </w:r>
    </w:p>
    <w:p>
      <w:pPr>
        <w:pStyle w:val="4"/>
        <w:keepNext w:val="0"/>
        <w:keepLines w:val="0"/>
        <w:widowControl/>
        <w:suppressLineNumbers w:val="0"/>
        <w:ind w:left="0" w:firstLine="420"/>
      </w:pPr>
      <w:r>
        <w:rPr>
          <w:rFonts w:hint="eastAsia" w:ascii="宋体" w:hAnsi="宋体" w:eastAsia="宋体" w:cs="宋体"/>
          <w:sz w:val="21"/>
          <w:szCs w:val="21"/>
        </w:rPr>
        <w:t>（ ）现附上我方依法不需要缴纳社会保障资金证明材料复印件，上述证明材料真实有效，否则我方负全部责任。</w:t>
      </w:r>
    </w:p>
    <w:p>
      <w:pPr>
        <w:pStyle w:val="4"/>
        <w:keepNext w:val="0"/>
        <w:keepLines w:val="0"/>
        <w:widowControl/>
        <w:suppressLineNumbers w:val="0"/>
      </w:pPr>
      <w:r>
        <w:rPr>
          <w:rFonts w:hint="default" w:ascii="Calibri" w:hAnsi="Calibri" w:cs="Calibri"/>
          <w:sz w:val="21"/>
          <w:szCs w:val="21"/>
        </w:rPr>
        <w:t> </w:t>
      </w:r>
    </w:p>
    <w:p>
      <w:pPr>
        <w:pStyle w:val="4"/>
        <w:keepNext w:val="0"/>
        <w:keepLines w:val="0"/>
        <w:widowControl/>
        <w:suppressLineNumbers w:val="0"/>
      </w:pPr>
      <w:r>
        <w:rPr>
          <w:rFonts w:hint="eastAsia" w:ascii="宋体" w:hAnsi="宋体" w:eastAsia="宋体" w:cs="宋体"/>
          <w:sz w:val="21"/>
          <w:szCs w:val="21"/>
        </w:rPr>
        <w:t>★注意：</w:t>
      </w:r>
    </w:p>
    <w:p>
      <w:pPr>
        <w:pStyle w:val="4"/>
        <w:keepNext w:val="0"/>
        <w:keepLines w:val="0"/>
        <w:widowControl/>
        <w:suppressLineNumbers w:val="0"/>
      </w:pPr>
      <w:r>
        <w:rPr>
          <w:rFonts w:hint="eastAsia" w:ascii="宋体" w:hAnsi="宋体" w:eastAsia="宋体" w:cs="宋体"/>
          <w:sz w:val="21"/>
          <w:szCs w:val="21"/>
        </w:rPr>
        <w:t>1、请投标人按照实际情况编制填写，在相应的（）中打“√”，并按照本格式的要求提供相应证明材料的复印件。</w:t>
      </w:r>
    </w:p>
    <w:p>
      <w:pPr>
        <w:pStyle w:val="4"/>
        <w:keepNext w:val="0"/>
        <w:keepLines w:val="0"/>
        <w:widowControl/>
        <w:suppressLineNumbers w:val="0"/>
      </w:pPr>
      <w:r>
        <w:rPr>
          <w:rFonts w:hint="eastAsia" w:ascii="宋体" w:hAnsi="宋体" w:eastAsia="宋体" w:cs="宋体"/>
          <w:sz w:val="21"/>
          <w:szCs w:val="21"/>
        </w:rPr>
        <w:t>2、投标人提供的社会保险凭据复印件应符合下列规定：</w:t>
      </w:r>
    </w:p>
    <w:p>
      <w:pPr>
        <w:pStyle w:val="4"/>
        <w:keepNext w:val="0"/>
        <w:keepLines w:val="0"/>
        <w:widowControl/>
        <w:suppressLineNumbers w:val="0"/>
      </w:pPr>
      <w:r>
        <w:rPr>
          <w:rFonts w:hint="eastAsia" w:ascii="宋体" w:hAnsi="宋体" w:eastAsia="宋体" w:cs="宋体"/>
          <w:sz w:val="21"/>
          <w:szCs w:val="21"/>
        </w:rPr>
        <w:t>2.1投标截止时间前（不含投标截止时间的当月）已依法缴纳社会保障资金的投标人，提供投标截止时间前六个月（不含投标截止时间的当月）中任一月份的社会保险凭据复印件。</w:t>
      </w:r>
    </w:p>
    <w:p>
      <w:pPr>
        <w:pStyle w:val="4"/>
        <w:keepNext w:val="0"/>
        <w:keepLines w:val="0"/>
        <w:widowControl/>
        <w:suppressLineNumbers w:val="0"/>
      </w:pPr>
      <w:r>
        <w:rPr>
          <w:rFonts w:hint="eastAsia" w:ascii="宋体" w:hAnsi="宋体" w:eastAsia="宋体" w:cs="宋体"/>
          <w:sz w:val="21"/>
          <w:szCs w:val="21"/>
        </w:rPr>
        <w:t>2.2投标截止时间的当月成立且已依法缴纳社会保障资金的投标人，提供投标截止时间当月的社会保险凭据复印件。</w:t>
      </w:r>
    </w:p>
    <w:p>
      <w:pPr>
        <w:pStyle w:val="4"/>
        <w:keepNext w:val="0"/>
        <w:keepLines w:val="0"/>
        <w:widowControl/>
        <w:suppressLineNumbers w:val="0"/>
      </w:pPr>
      <w:r>
        <w:rPr>
          <w:rFonts w:hint="eastAsia" w:ascii="宋体" w:hAnsi="宋体" w:eastAsia="宋体" w:cs="宋体"/>
          <w:sz w:val="21"/>
          <w:szCs w:val="21"/>
        </w:rPr>
        <w:t>2.3投标截止时间的当月成立但因税务机关</w:t>
      </w:r>
      <w:r>
        <w:rPr>
          <w:rFonts w:hint="default" w:ascii="Calibri" w:hAnsi="Calibri" w:eastAsia="宋体" w:cs="Calibri"/>
          <w:sz w:val="21"/>
          <w:szCs w:val="21"/>
        </w:rPr>
        <w:t>/</w:t>
      </w:r>
      <w:r>
        <w:rPr>
          <w:rFonts w:hint="eastAsia" w:ascii="宋体" w:hAnsi="宋体" w:eastAsia="宋体" w:cs="宋体"/>
          <w:sz w:val="21"/>
          <w:szCs w:val="21"/>
        </w:rPr>
        <w:t>社会保障资金管理机关原因导致其尚未依法缴纳社会保障资金的投标人，提供依法缴纳社会保障资金承诺书原件（格式自拟），该承诺书视同社会保险凭据。</w:t>
      </w:r>
    </w:p>
    <w:p>
      <w:pPr>
        <w:pStyle w:val="4"/>
        <w:keepNext w:val="0"/>
        <w:keepLines w:val="0"/>
        <w:widowControl/>
        <w:suppressLineNumbers w:val="0"/>
      </w:pPr>
      <w:r>
        <w:rPr>
          <w:rFonts w:hint="eastAsia" w:ascii="宋体" w:hAnsi="宋体" w:eastAsia="宋体" w:cs="宋体"/>
          <w:sz w:val="21"/>
          <w:szCs w:val="21"/>
        </w:rPr>
        <w:t>3、</w:t>
      </w:r>
      <w:r>
        <w:rPr>
          <w:rStyle w:val="6"/>
          <w:rFonts w:hint="eastAsia" w:ascii="宋体" w:hAnsi="宋体" w:eastAsia="宋体" w:cs="宋体"/>
          <w:sz w:val="21"/>
          <w:szCs w:val="21"/>
        </w:rPr>
        <w:t>“依法缴纳社会保障资金证明材料”</w:t>
      </w:r>
      <w:r>
        <w:rPr>
          <w:rFonts w:hint="eastAsia" w:ascii="宋体" w:hAnsi="宋体" w:eastAsia="宋体" w:cs="宋体"/>
          <w:sz w:val="21"/>
          <w:szCs w:val="21"/>
        </w:rPr>
        <w:t>有欠缴记录的，视为</w:t>
      </w:r>
      <w:r>
        <w:rPr>
          <w:rStyle w:val="6"/>
          <w:rFonts w:hint="eastAsia" w:ascii="宋体" w:hAnsi="宋体" w:eastAsia="宋体" w:cs="宋体"/>
          <w:sz w:val="21"/>
          <w:szCs w:val="21"/>
        </w:rPr>
        <w:t>未依法缴纳社会保障资金。</w:t>
      </w:r>
    </w:p>
    <w:p>
      <w:pPr>
        <w:pStyle w:val="4"/>
        <w:keepNext w:val="0"/>
        <w:keepLines w:val="0"/>
        <w:widowControl/>
        <w:suppressLineNumbers w:val="0"/>
      </w:pPr>
      <w:r>
        <w:rPr>
          <w:rFonts w:hint="eastAsia" w:ascii="宋体" w:hAnsi="宋体" w:eastAsia="宋体" w:cs="宋体"/>
          <w:sz w:val="21"/>
          <w:szCs w:val="21"/>
        </w:rPr>
        <w:t>4、投标人提供的相应证明材料复印件均应符合：内容完整、清晰、整洁，并由投标人加盖其单位公章。</w:t>
      </w:r>
    </w:p>
    <w:p>
      <w:pPr>
        <w:pStyle w:val="4"/>
        <w:keepNext w:val="0"/>
        <w:keepLines w:val="0"/>
        <w:widowControl/>
        <w:suppressLineNumbers w:val="0"/>
      </w:pPr>
      <w:r>
        <w:rPr>
          <w:rFonts w:hint="default" w:ascii="Calibri" w:hAnsi="Calibri" w:cs="Calibri"/>
          <w:sz w:val="21"/>
          <w:szCs w:val="21"/>
        </w:rPr>
        <w:t> </w:t>
      </w:r>
    </w:p>
    <w:p>
      <w:pPr>
        <w:pStyle w:val="4"/>
        <w:keepNext w:val="0"/>
        <w:keepLines w:val="0"/>
        <w:widowControl/>
        <w:suppressLineNumbers w:val="0"/>
      </w:pPr>
      <w:r>
        <w:rPr>
          <w:rFonts w:hint="default" w:ascii="Calibri" w:hAnsi="Calibri" w:cs="Calibri"/>
          <w:sz w:val="21"/>
          <w:szCs w:val="21"/>
        </w:rPr>
        <w:t> </w:t>
      </w:r>
    </w:p>
    <w:p>
      <w:pPr>
        <w:pStyle w:val="4"/>
        <w:keepNext w:val="0"/>
        <w:keepLines w:val="0"/>
        <w:widowControl/>
        <w:suppressLineNumbers w:val="0"/>
      </w:pPr>
      <w:r>
        <w:rPr>
          <w:rFonts w:hint="eastAsia" w:ascii="宋体" w:hAnsi="宋体" w:eastAsia="宋体" w:cs="宋体"/>
          <w:sz w:val="21"/>
          <w:szCs w:val="21"/>
        </w:rPr>
        <w:t>投标人：</w:t>
      </w:r>
      <w:r>
        <w:rPr>
          <w:rFonts w:hint="eastAsia" w:ascii="宋体" w:hAnsi="宋体" w:eastAsia="宋体" w:cs="宋体"/>
          <w:sz w:val="21"/>
          <w:szCs w:val="21"/>
          <w:u w:val="single"/>
        </w:rPr>
        <w:t>（全称并加盖单位公章）</w:t>
      </w:r>
    </w:p>
    <w:p>
      <w:pPr>
        <w:pStyle w:val="4"/>
        <w:keepNext w:val="0"/>
        <w:keepLines w:val="0"/>
        <w:widowControl/>
        <w:suppressLineNumbers w:val="0"/>
      </w:pPr>
      <w:r>
        <w:rPr>
          <w:rFonts w:hint="eastAsia" w:ascii="宋体" w:hAnsi="宋体" w:eastAsia="宋体" w:cs="宋体"/>
          <w:sz w:val="21"/>
          <w:szCs w:val="21"/>
        </w:rPr>
        <w:t>投标人代表签字：</w:t>
      </w:r>
      <w:r>
        <w:rPr>
          <w:rFonts w:hint="eastAsia" w:ascii="宋体" w:hAnsi="宋体" w:eastAsia="宋体" w:cs="宋体"/>
          <w:sz w:val="21"/>
          <w:szCs w:val="21"/>
          <w:u w:val="single"/>
        </w:rPr>
        <w:t>                   </w:t>
      </w:r>
    </w:p>
    <w:p>
      <w:pPr>
        <w:pStyle w:val="4"/>
        <w:keepNext w:val="0"/>
        <w:keepLines w:val="0"/>
        <w:widowControl/>
        <w:suppressLineNumbers w:val="0"/>
      </w:pPr>
      <w:r>
        <w:rPr>
          <w:rFonts w:hint="eastAsia" w:ascii="宋体" w:hAnsi="宋体" w:eastAsia="宋体" w:cs="宋体"/>
          <w:sz w:val="21"/>
          <w:szCs w:val="21"/>
        </w:rPr>
        <w:t>日期：</w:t>
      </w:r>
      <w:r>
        <w:rPr>
          <w:rFonts w:hint="eastAsia" w:ascii="宋体" w:hAnsi="宋体" w:eastAsia="宋体" w:cs="宋体"/>
          <w:sz w:val="21"/>
          <w:szCs w:val="21"/>
          <w:u w:val="single"/>
        </w:rPr>
        <w:t>    </w:t>
      </w:r>
      <w:r>
        <w:rPr>
          <w:rFonts w:hint="eastAsia" w:ascii="宋体" w:hAnsi="宋体" w:eastAsia="宋体" w:cs="宋体"/>
          <w:sz w:val="21"/>
          <w:szCs w:val="21"/>
        </w:rPr>
        <w:t>年</w:t>
      </w:r>
      <w:r>
        <w:rPr>
          <w:rFonts w:hint="eastAsia" w:ascii="宋体" w:hAnsi="宋体" w:eastAsia="宋体" w:cs="宋体"/>
          <w:sz w:val="21"/>
          <w:szCs w:val="21"/>
          <w:u w:val="single"/>
        </w:rPr>
        <w:t>   </w:t>
      </w:r>
      <w:r>
        <w:rPr>
          <w:rFonts w:hint="eastAsia" w:ascii="宋体" w:hAnsi="宋体" w:eastAsia="宋体" w:cs="宋体"/>
          <w:sz w:val="21"/>
          <w:szCs w:val="21"/>
        </w:rPr>
        <w:t>月</w:t>
      </w:r>
      <w:r>
        <w:rPr>
          <w:rFonts w:hint="eastAsia" w:ascii="宋体" w:hAnsi="宋体" w:eastAsia="宋体" w:cs="宋体"/>
          <w:sz w:val="21"/>
          <w:szCs w:val="21"/>
          <w:u w:val="single"/>
        </w:rPr>
        <w:t>   </w:t>
      </w:r>
      <w:r>
        <w:rPr>
          <w:rFonts w:hint="eastAsia" w:ascii="宋体" w:hAnsi="宋体" w:eastAsia="宋体" w:cs="宋体"/>
          <w:sz w:val="21"/>
          <w:szCs w:val="21"/>
        </w:rPr>
        <w:t>日</w:t>
      </w:r>
    </w:p>
    <w:p>
      <w:pPr>
        <w:pStyle w:val="4"/>
        <w:keepNext w:val="0"/>
        <w:keepLines w:val="0"/>
        <w:widowControl/>
        <w:suppressLineNumbers w:val="0"/>
      </w:pPr>
      <w:r>
        <w:rPr>
          <w:rFonts w:hint="eastAsia" w:ascii="宋体" w:hAnsi="宋体" w:eastAsia="宋体" w:cs="宋体"/>
          <w:sz w:val="21"/>
          <w:szCs w:val="21"/>
        </w:rPr>
        <w:t> </w:t>
      </w:r>
    </w:p>
    <w:p>
      <w:pPr>
        <w:pStyle w:val="4"/>
        <w:keepNext w:val="0"/>
        <w:keepLines w:val="0"/>
        <w:widowControl/>
        <w:suppressLineNumbers w:val="0"/>
      </w:pPr>
      <w:r>
        <w:rPr>
          <w:rFonts w:hint="eastAsia" w:ascii="宋体" w:hAnsi="宋体" w:eastAsia="宋体" w:cs="宋体"/>
          <w:sz w:val="21"/>
          <w:szCs w:val="21"/>
        </w:rPr>
        <w:t> </w:t>
      </w:r>
    </w:p>
    <w:p>
      <w:pPr>
        <w:pStyle w:val="4"/>
        <w:keepNext w:val="0"/>
        <w:keepLines w:val="0"/>
        <w:widowControl/>
        <w:suppressLineNumbers w:val="0"/>
        <w:jc w:val="center"/>
      </w:pPr>
      <w:r>
        <w:rPr>
          <w:rFonts w:hint="default" w:ascii="Calibri" w:hAnsi="Calibri" w:cs="Calibri"/>
          <w:sz w:val="21"/>
          <w:szCs w:val="21"/>
        </w:rPr>
        <w:br w:type="textWrapping"/>
      </w:r>
      <w:r>
        <w:rPr>
          <w:rFonts w:hint="eastAsia" w:ascii="宋体" w:hAnsi="宋体" w:eastAsia="宋体" w:cs="宋体"/>
          <w:sz w:val="21"/>
          <w:szCs w:val="21"/>
        </w:rPr>
        <w:t>二</w:t>
      </w:r>
      <w:r>
        <w:rPr>
          <w:rStyle w:val="6"/>
          <w:rFonts w:hint="eastAsia" w:ascii="宋体" w:hAnsi="宋体" w:eastAsia="宋体" w:cs="宋体"/>
          <w:sz w:val="21"/>
          <w:szCs w:val="21"/>
        </w:rPr>
        <w:t>-6具备履行合同所必需设备和专业技术能力的声明函（若有）</w:t>
      </w:r>
    </w:p>
    <w:p>
      <w:pPr>
        <w:pStyle w:val="4"/>
        <w:keepNext w:val="0"/>
        <w:keepLines w:val="0"/>
        <w:widowControl/>
        <w:suppressLineNumbers w:val="0"/>
      </w:pPr>
      <w:r>
        <w:rPr>
          <w:rFonts w:hint="eastAsia" w:ascii="宋体" w:hAnsi="宋体" w:eastAsia="宋体" w:cs="宋体"/>
          <w:sz w:val="21"/>
          <w:szCs w:val="21"/>
        </w:rPr>
        <w:t> </w:t>
      </w:r>
    </w:p>
    <w:p>
      <w:pPr>
        <w:pStyle w:val="4"/>
        <w:keepNext w:val="0"/>
        <w:keepLines w:val="0"/>
        <w:widowControl/>
        <w:suppressLineNumbers w:val="0"/>
      </w:pPr>
      <w:r>
        <w:rPr>
          <w:rFonts w:hint="eastAsia" w:ascii="宋体" w:hAnsi="宋体" w:eastAsia="宋体" w:cs="宋体"/>
          <w:sz w:val="21"/>
          <w:szCs w:val="21"/>
        </w:rPr>
        <w:t>致：</w:t>
      </w:r>
      <w:r>
        <w:rPr>
          <w:rFonts w:hint="eastAsia" w:ascii="宋体" w:hAnsi="宋体" w:eastAsia="宋体" w:cs="宋体"/>
          <w:sz w:val="21"/>
          <w:szCs w:val="21"/>
          <w:u w:val="single"/>
        </w:rPr>
        <w:t>                     </w:t>
      </w:r>
    </w:p>
    <w:p>
      <w:pPr>
        <w:pStyle w:val="4"/>
        <w:keepNext w:val="0"/>
        <w:keepLines w:val="0"/>
        <w:widowControl/>
        <w:suppressLineNumbers w:val="0"/>
        <w:ind w:left="0" w:firstLine="420"/>
      </w:pPr>
      <w:r>
        <w:rPr>
          <w:rFonts w:hint="eastAsia" w:ascii="宋体" w:hAnsi="宋体" w:eastAsia="宋体" w:cs="宋体"/>
          <w:sz w:val="21"/>
          <w:szCs w:val="21"/>
        </w:rPr>
        <w:t>我方具备履行合同所必需的设备和专业技术能力，否则产生不利后果由我方承担责任。</w:t>
      </w:r>
    </w:p>
    <w:p>
      <w:pPr>
        <w:pStyle w:val="4"/>
        <w:keepNext w:val="0"/>
        <w:keepLines w:val="0"/>
        <w:widowControl/>
        <w:suppressLineNumbers w:val="0"/>
        <w:ind w:left="0" w:firstLine="420"/>
      </w:pPr>
      <w:r>
        <w:rPr>
          <w:rFonts w:hint="eastAsia" w:ascii="宋体" w:hAnsi="宋体" w:eastAsia="宋体" w:cs="宋体"/>
          <w:sz w:val="21"/>
          <w:szCs w:val="21"/>
        </w:rPr>
        <w:t>特此声明。</w:t>
      </w:r>
    </w:p>
    <w:p>
      <w:pPr>
        <w:pStyle w:val="4"/>
        <w:keepNext w:val="0"/>
        <w:keepLines w:val="0"/>
        <w:widowControl/>
        <w:suppressLineNumbers w:val="0"/>
      </w:pPr>
      <w:r>
        <w:rPr>
          <w:rFonts w:hint="eastAsia" w:ascii="宋体" w:hAnsi="宋体" w:eastAsia="宋体" w:cs="宋体"/>
          <w:sz w:val="21"/>
          <w:szCs w:val="21"/>
        </w:rPr>
        <w:t> </w:t>
      </w:r>
    </w:p>
    <w:p>
      <w:pPr>
        <w:pStyle w:val="4"/>
        <w:keepNext w:val="0"/>
        <w:keepLines w:val="0"/>
        <w:widowControl/>
        <w:suppressLineNumbers w:val="0"/>
      </w:pPr>
      <w:r>
        <w:rPr>
          <w:rFonts w:hint="eastAsia" w:ascii="宋体" w:hAnsi="宋体" w:eastAsia="宋体" w:cs="宋体"/>
          <w:sz w:val="21"/>
          <w:szCs w:val="21"/>
        </w:rPr>
        <w:t>★注意：</w:t>
      </w:r>
    </w:p>
    <w:p>
      <w:pPr>
        <w:pStyle w:val="4"/>
        <w:keepNext w:val="0"/>
        <w:keepLines w:val="0"/>
        <w:widowControl/>
        <w:suppressLineNumbers w:val="0"/>
      </w:pPr>
      <w:r>
        <w:rPr>
          <w:rFonts w:hint="eastAsia" w:ascii="宋体" w:hAnsi="宋体" w:eastAsia="宋体" w:cs="宋体"/>
          <w:sz w:val="21"/>
          <w:szCs w:val="21"/>
        </w:rPr>
        <w:t>1、招标文件未要求投标人提供“具备履行合同所必需的设备和专业技术能力专项证明材料”的，投标人应提供本声明函。</w:t>
      </w:r>
    </w:p>
    <w:p>
      <w:pPr>
        <w:pStyle w:val="4"/>
        <w:keepNext w:val="0"/>
        <w:keepLines w:val="0"/>
        <w:widowControl/>
        <w:suppressLineNumbers w:val="0"/>
      </w:pPr>
      <w:r>
        <w:rPr>
          <w:rFonts w:hint="eastAsia" w:ascii="宋体" w:hAnsi="宋体" w:eastAsia="宋体" w:cs="宋体"/>
          <w:sz w:val="21"/>
          <w:szCs w:val="21"/>
        </w:rPr>
        <w:t>2、招标文件要求投标人提供“具备履行合同所必需的设备和专业技术能力专项证明材料”的，投标人可不提供本声明函。</w:t>
      </w:r>
    </w:p>
    <w:p>
      <w:pPr>
        <w:pStyle w:val="4"/>
        <w:keepNext w:val="0"/>
        <w:keepLines w:val="0"/>
        <w:widowControl/>
        <w:suppressLineNumbers w:val="0"/>
      </w:pPr>
      <w:r>
        <w:rPr>
          <w:rFonts w:hint="eastAsia" w:ascii="宋体" w:hAnsi="宋体" w:eastAsia="宋体" w:cs="宋体"/>
          <w:sz w:val="21"/>
          <w:szCs w:val="21"/>
        </w:rPr>
        <w:t>3、纸质投标文件正本中的本声明函（若有）应为原件。</w:t>
      </w:r>
    </w:p>
    <w:p>
      <w:pPr>
        <w:pStyle w:val="4"/>
        <w:keepNext w:val="0"/>
        <w:keepLines w:val="0"/>
        <w:widowControl/>
        <w:suppressLineNumbers w:val="0"/>
      </w:pPr>
      <w:r>
        <w:rPr>
          <w:rFonts w:hint="eastAsia" w:ascii="宋体" w:hAnsi="宋体" w:eastAsia="宋体" w:cs="宋体"/>
          <w:sz w:val="21"/>
          <w:szCs w:val="21"/>
        </w:rPr>
        <w:t>4、请投标人根据实际情况如实声明，否则</w:t>
      </w:r>
      <w:r>
        <w:rPr>
          <w:rStyle w:val="6"/>
          <w:rFonts w:hint="eastAsia" w:ascii="宋体" w:hAnsi="宋体" w:eastAsia="宋体" w:cs="宋体"/>
          <w:sz w:val="21"/>
          <w:szCs w:val="21"/>
        </w:rPr>
        <w:t>视为提供虚假材料。</w:t>
      </w:r>
    </w:p>
    <w:p>
      <w:pPr>
        <w:pStyle w:val="4"/>
        <w:keepNext w:val="0"/>
        <w:keepLines w:val="0"/>
        <w:widowControl/>
        <w:suppressLineNumbers w:val="0"/>
      </w:pPr>
      <w:r>
        <w:rPr>
          <w:rFonts w:hint="default" w:ascii="Calibri" w:hAnsi="Calibri" w:cs="Calibri"/>
          <w:sz w:val="21"/>
          <w:szCs w:val="21"/>
        </w:rPr>
        <w:t> </w:t>
      </w:r>
    </w:p>
    <w:p>
      <w:pPr>
        <w:pStyle w:val="4"/>
        <w:keepNext w:val="0"/>
        <w:keepLines w:val="0"/>
        <w:widowControl/>
        <w:suppressLineNumbers w:val="0"/>
      </w:pPr>
      <w:r>
        <w:rPr>
          <w:rFonts w:hint="default" w:ascii="Calibri" w:hAnsi="Calibri" w:cs="Calibri"/>
          <w:sz w:val="21"/>
          <w:szCs w:val="21"/>
        </w:rPr>
        <w:t> </w:t>
      </w:r>
    </w:p>
    <w:p>
      <w:pPr>
        <w:pStyle w:val="4"/>
        <w:keepNext w:val="0"/>
        <w:keepLines w:val="0"/>
        <w:widowControl/>
        <w:suppressLineNumbers w:val="0"/>
      </w:pPr>
      <w:r>
        <w:rPr>
          <w:rFonts w:hint="eastAsia" w:ascii="宋体" w:hAnsi="宋体" w:eastAsia="宋体" w:cs="宋体"/>
          <w:sz w:val="21"/>
          <w:szCs w:val="21"/>
        </w:rPr>
        <w:t>投标人：</w:t>
      </w:r>
      <w:r>
        <w:rPr>
          <w:rFonts w:hint="eastAsia" w:ascii="宋体" w:hAnsi="宋体" w:eastAsia="宋体" w:cs="宋体"/>
          <w:sz w:val="21"/>
          <w:szCs w:val="21"/>
          <w:u w:val="single"/>
        </w:rPr>
        <w:t>（全称并加盖单位公章）</w:t>
      </w:r>
    </w:p>
    <w:p>
      <w:pPr>
        <w:pStyle w:val="4"/>
        <w:keepNext w:val="0"/>
        <w:keepLines w:val="0"/>
        <w:widowControl/>
        <w:suppressLineNumbers w:val="0"/>
      </w:pPr>
      <w:r>
        <w:rPr>
          <w:rFonts w:hint="eastAsia" w:ascii="宋体" w:hAnsi="宋体" w:eastAsia="宋体" w:cs="宋体"/>
          <w:sz w:val="21"/>
          <w:szCs w:val="21"/>
        </w:rPr>
        <w:t>投标人代表签字：</w:t>
      </w:r>
      <w:r>
        <w:rPr>
          <w:rFonts w:hint="eastAsia" w:ascii="宋体" w:hAnsi="宋体" w:eastAsia="宋体" w:cs="宋体"/>
          <w:sz w:val="21"/>
          <w:szCs w:val="21"/>
          <w:u w:val="single"/>
        </w:rPr>
        <w:t>                   </w:t>
      </w:r>
    </w:p>
    <w:p>
      <w:pPr>
        <w:pStyle w:val="4"/>
        <w:keepNext w:val="0"/>
        <w:keepLines w:val="0"/>
        <w:widowControl/>
        <w:suppressLineNumbers w:val="0"/>
      </w:pPr>
      <w:r>
        <w:rPr>
          <w:rFonts w:hint="eastAsia" w:ascii="宋体" w:hAnsi="宋体" w:eastAsia="宋体" w:cs="宋体"/>
          <w:sz w:val="21"/>
          <w:szCs w:val="21"/>
        </w:rPr>
        <w:t>日期：</w:t>
      </w:r>
      <w:r>
        <w:rPr>
          <w:rFonts w:hint="eastAsia" w:ascii="宋体" w:hAnsi="宋体" w:eastAsia="宋体" w:cs="宋体"/>
          <w:sz w:val="21"/>
          <w:szCs w:val="21"/>
          <w:u w:val="single"/>
        </w:rPr>
        <w:t>    </w:t>
      </w:r>
      <w:r>
        <w:rPr>
          <w:rFonts w:hint="eastAsia" w:ascii="宋体" w:hAnsi="宋体" w:eastAsia="宋体" w:cs="宋体"/>
          <w:sz w:val="21"/>
          <w:szCs w:val="21"/>
        </w:rPr>
        <w:t>年</w:t>
      </w:r>
      <w:r>
        <w:rPr>
          <w:rFonts w:hint="eastAsia" w:ascii="宋体" w:hAnsi="宋体" w:eastAsia="宋体" w:cs="宋体"/>
          <w:sz w:val="21"/>
          <w:szCs w:val="21"/>
          <w:u w:val="single"/>
        </w:rPr>
        <w:t>   </w:t>
      </w:r>
      <w:r>
        <w:rPr>
          <w:rFonts w:hint="eastAsia" w:ascii="宋体" w:hAnsi="宋体" w:eastAsia="宋体" w:cs="宋体"/>
          <w:sz w:val="21"/>
          <w:szCs w:val="21"/>
        </w:rPr>
        <w:t>月</w:t>
      </w:r>
      <w:r>
        <w:rPr>
          <w:rFonts w:hint="eastAsia" w:ascii="宋体" w:hAnsi="宋体" w:eastAsia="宋体" w:cs="宋体"/>
          <w:sz w:val="21"/>
          <w:szCs w:val="21"/>
          <w:u w:val="single"/>
        </w:rPr>
        <w:t>   </w:t>
      </w:r>
      <w:r>
        <w:rPr>
          <w:rFonts w:hint="eastAsia" w:ascii="宋体" w:hAnsi="宋体" w:eastAsia="宋体" w:cs="宋体"/>
          <w:sz w:val="21"/>
          <w:szCs w:val="21"/>
        </w:rPr>
        <w:t>日</w:t>
      </w:r>
    </w:p>
    <w:p>
      <w:pPr>
        <w:pStyle w:val="4"/>
        <w:keepNext w:val="0"/>
        <w:keepLines w:val="0"/>
        <w:widowControl/>
        <w:suppressLineNumbers w:val="0"/>
      </w:pPr>
      <w:r>
        <w:rPr>
          <w:rFonts w:hint="eastAsia" w:ascii="宋体" w:hAnsi="宋体" w:eastAsia="宋体" w:cs="宋体"/>
          <w:sz w:val="21"/>
          <w:szCs w:val="21"/>
        </w:rPr>
        <w:t> </w:t>
      </w:r>
    </w:p>
    <w:p>
      <w:pPr>
        <w:pStyle w:val="4"/>
        <w:keepNext w:val="0"/>
        <w:keepLines w:val="0"/>
        <w:widowControl/>
        <w:suppressLineNumbers w:val="0"/>
      </w:pPr>
      <w:r>
        <w:rPr>
          <w:rFonts w:hint="eastAsia" w:ascii="宋体" w:hAnsi="宋体" w:eastAsia="宋体" w:cs="宋体"/>
          <w:sz w:val="21"/>
          <w:szCs w:val="21"/>
        </w:rPr>
        <w:t> </w:t>
      </w:r>
    </w:p>
    <w:p>
      <w:pPr>
        <w:pStyle w:val="4"/>
        <w:keepNext w:val="0"/>
        <w:keepLines w:val="0"/>
        <w:widowControl/>
        <w:suppressLineNumbers w:val="0"/>
        <w:jc w:val="center"/>
      </w:pPr>
      <w:r>
        <w:rPr>
          <w:rFonts w:hint="default" w:ascii="Calibri" w:hAnsi="Calibri" w:cs="Calibri"/>
          <w:sz w:val="21"/>
          <w:szCs w:val="21"/>
        </w:rPr>
        <w:br w:type="textWrapping"/>
      </w:r>
      <w:r>
        <w:rPr>
          <w:rFonts w:hint="eastAsia" w:ascii="宋体" w:hAnsi="宋体" w:eastAsia="宋体" w:cs="宋体"/>
          <w:sz w:val="21"/>
          <w:szCs w:val="21"/>
        </w:rPr>
        <w:t>二</w:t>
      </w:r>
      <w:r>
        <w:rPr>
          <w:rStyle w:val="6"/>
          <w:rFonts w:hint="eastAsia" w:ascii="宋体" w:hAnsi="宋体" w:eastAsia="宋体" w:cs="宋体"/>
          <w:sz w:val="21"/>
          <w:szCs w:val="21"/>
        </w:rPr>
        <w:t>-7参加采购活动前三年内在经营活动中没有重大违法记录书面声明</w:t>
      </w:r>
    </w:p>
    <w:p>
      <w:pPr>
        <w:pStyle w:val="4"/>
        <w:keepNext w:val="0"/>
        <w:keepLines w:val="0"/>
        <w:widowControl/>
        <w:suppressLineNumbers w:val="0"/>
      </w:pPr>
      <w:r>
        <w:rPr>
          <w:rFonts w:hint="eastAsia" w:ascii="宋体" w:hAnsi="宋体" w:eastAsia="宋体" w:cs="宋体"/>
          <w:sz w:val="21"/>
          <w:szCs w:val="21"/>
        </w:rPr>
        <w:t> </w:t>
      </w:r>
    </w:p>
    <w:p>
      <w:pPr>
        <w:pStyle w:val="4"/>
        <w:keepNext w:val="0"/>
        <w:keepLines w:val="0"/>
        <w:widowControl/>
        <w:suppressLineNumbers w:val="0"/>
      </w:pPr>
      <w:r>
        <w:rPr>
          <w:rFonts w:hint="eastAsia" w:ascii="宋体" w:hAnsi="宋体" w:eastAsia="宋体" w:cs="宋体"/>
          <w:sz w:val="21"/>
          <w:szCs w:val="21"/>
        </w:rPr>
        <w:t>致：</w:t>
      </w:r>
      <w:r>
        <w:rPr>
          <w:rFonts w:hint="eastAsia" w:ascii="宋体" w:hAnsi="宋体" w:eastAsia="宋体" w:cs="宋体"/>
          <w:sz w:val="21"/>
          <w:szCs w:val="21"/>
          <w:u w:val="single"/>
        </w:rPr>
        <w:t>                     </w:t>
      </w:r>
    </w:p>
    <w:p>
      <w:pPr>
        <w:pStyle w:val="4"/>
        <w:keepNext w:val="0"/>
        <w:keepLines w:val="0"/>
        <w:widowControl/>
        <w:suppressLineNumbers w:val="0"/>
        <w:ind w:left="0" w:firstLine="420"/>
      </w:pPr>
      <w:r>
        <w:rPr>
          <w:rFonts w:hint="eastAsia" w:ascii="宋体" w:hAnsi="宋体" w:eastAsia="宋体" w:cs="宋体"/>
          <w:sz w:val="21"/>
          <w:szCs w:val="21"/>
        </w:rPr>
        <w:t>参加采购活动前三年内，我方在经营活动中没有重大违法记录，也无行贿犯罪记录，否则产生不利后果由我方承担责任。</w:t>
      </w:r>
    </w:p>
    <w:p>
      <w:pPr>
        <w:pStyle w:val="4"/>
        <w:keepNext w:val="0"/>
        <w:keepLines w:val="0"/>
        <w:widowControl/>
        <w:suppressLineNumbers w:val="0"/>
        <w:ind w:left="0" w:firstLine="420"/>
      </w:pPr>
      <w:r>
        <w:rPr>
          <w:rFonts w:hint="eastAsia" w:ascii="宋体" w:hAnsi="宋体" w:eastAsia="宋体" w:cs="宋体"/>
          <w:sz w:val="21"/>
          <w:szCs w:val="21"/>
        </w:rPr>
        <w:t>特此声明。</w:t>
      </w:r>
    </w:p>
    <w:p>
      <w:pPr>
        <w:pStyle w:val="4"/>
        <w:keepNext w:val="0"/>
        <w:keepLines w:val="0"/>
        <w:widowControl/>
        <w:suppressLineNumbers w:val="0"/>
      </w:pPr>
      <w:r>
        <w:rPr>
          <w:rFonts w:hint="default" w:ascii="Calibri" w:hAnsi="Calibri" w:cs="Calibri"/>
          <w:sz w:val="21"/>
          <w:szCs w:val="21"/>
        </w:rPr>
        <w:t> </w:t>
      </w:r>
    </w:p>
    <w:p>
      <w:pPr>
        <w:pStyle w:val="4"/>
        <w:keepNext w:val="0"/>
        <w:keepLines w:val="0"/>
        <w:widowControl/>
        <w:suppressLineNumbers w:val="0"/>
      </w:pPr>
      <w:r>
        <w:rPr>
          <w:rFonts w:hint="eastAsia" w:ascii="宋体" w:hAnsi="宋体" w:eastAsia="宋体" w:cs="宋体"/>
          <w:sz w:val="21"/>
          <w:szCs w:val="21"/>
        </w:rPr>
        <w:t>★注意：</w:t>
      </w:r>
    </w:p>
    <w:p>
      <w:pPr>
        <w:pStyle w:val="4"/>
        <w:keepNext w:val="0"/>
        <w:keepLines w:val="0"/>
        <w:widowControl/>
        <w:suppressLineNumbers w:val="0"/>
      </w:pPr>
      <w:r>
        <w:rPr>
          <w:rFonts w:hint="eastAsia" w:ascii="宋体" w:hAnsi="宋体" w:eastAsia="宋体" w:cs="宋体"/>
          <w:sz w:val="21"/>
          <w:szCs w:val="21"/>
        </w:rPr>
        <w:t>1、“重大违法记录”指投标人因违法经营受到刑事处罚或责令停产停业、吊销许可证或执照、较大数额罚款等行政处罚。</w:t>
      </w:r>
    </w:p>
    <w:p>
      <w:pPr>
        <w:pStyle w:val="4"/>
        <w:keepNext w:val="0"/>
        <w:keepLines w:val="0"/>
        <w:widowControl/>
        <w:suppressLineNumbers w:val="0"/>
      </w:pPr>
      <w:r>
        <w:rPr>
          <w:rFonts w:hint="eastAsia" w:ascii="宋体" w:hAnsi="宋体" w:eastAsia="宋体" w:cs="宋体"/>
          <w:sz w:val="21"/>
          <w:szCs w:val="21"/>
        </w:rPr>
        <w:t>2、纸质投标文件正本中的本声明应为原件。</w:t>
      </w:r>
    </w:p>
    <w:p>
      <w:pPr>
        <w:pStyle w:val="4"/>
        <w:keepNext w:val="0"/>
        <w:keepLines w:val="0"/>
        <w:widowControl/>
        <w:suppressLineNumbers w:val="0"/>
      </w:pPr>
      <w:r>
        <w:rPr>
          <w:rFonts w:hint="eastAsia" w:ascii="宋体" w:hAnsi="宋体" w:eastAsia="宋体" w:cs="宋体"/>
          <w:sz w:val="21"/>
          <w:szCs w:val="21"/>
        </w:rPr>
        <w:t>3、请投标人根据实际情况如实声明，否则</w:t>
      </w:r>
      <w:r>
        <w:rPr>
          <w:rStyle w:val="6"/>
          <w:rFonts w:hint="eastAsia" w:ascii="宋体" w:hAnsi="宋体" w:eastAsia="宋体" w:cs="宋体"/>
          <w:sz w:val="21"/>
          <w:szCs w:val="21"/>
        </w:rPr>
        <w:t>视为提供虚假材料。</w:t>
      </w:r>
    </w:p>
    <w:p>
      <w:pPr>
        <w:pStyle w:val="4"/>
        <w:keepNext w:val="0"/>
        <w:keepLines w:val="0"/>
        <w:widowControl/>
        <w:suppressLineNumbers w:val="0"/>
      </w:pPr>
      <w:r>
        <w:rPr>
          <w:rFonts w:hint="eastAsia" w:ascii="宋体" w:hAnsi="宋体" w:eastAsia="宋体" w:cs="宋体"/>
          <w:sz w:val="21"/>
          <w:szCs w:val="21"/>
        </w:rPr>
        <w:t> </w:t>
      </w:r>
    </w:p>
    <w:p>
      <w:pPr>
        <w:pStyle w:val="4"/>
        <w:keepNext w:val="0"/>
        <w:keepLines w:val="0"/>
        <w:widowControl/>
        <w:suppressLineNumbers w:val="0"/>
      </w:pPr>
      <w:r>
        <w:rPr>
          <w:rFonts w:hint="eastAsia" w:ascii="宋体" w:hAnsi="宋体" w:eastAsia="宋体" w:cs="宋体"/>
          <w:sz w:val="21"/>
          <w:szCs w:val="21"/>
        </w:rPr>
        <w:t> </w:t>
      </w:r>
    </w:p>
    <w:p>
      <w:pPr>
        <w:pStyle w:val="4"/>
        <w:keepNext w:val="0"/>
        <w:keepLines w:val="0"/>
        <w:widowControl/>
        <w:suppressLineNumbers w:val="0"/>
      </w:pPr>
      <w:r>
        <w:rPr>
          <w:rFonts w:hint="eastAsia" w:ascii="宋体" w:hAnsi="宋体" w:eastAsia="宋体" w:cs="宋体"/>
          <w:sz w:val="21"/>
          <w:szCs w:val="21"/>
        </w:rPr>
        <w:t>投标人：</w:t>
      </w:r>
      <w:r>
        <w:rPr>
          <w:rFonts w:hint="eastAsia" w:ascii="宋体" w:hAnsi="宋体" w:eastAsia="宋体" w:cs="宋体"/>
          <w:sz w:val="21"/>
          <w:szCs w:val="21"/>
          <w:u w:val="single"/>
        </w:rPr>
        <w:t>（全称并加盖单位公章）</w:t>
      </w:r>
    </w:p>
    <w:p>
      <w:pPr>
        <w:pStyle w:val="4"/>
        <w:keepNext w:val="0"/>
        <w:keepLines w:val="0"/>
        <w:widowControl/>
        <w:suppressLineNumbers w:val="0"/>
      </w:pPr>
      <w:r>
        <w:rPr>
          <w:rFonts w:hint="eastAsia" w:ascii="宋体" w:hAnsi="宋体" w:eastAsia="宋体" w:cs="宋体"/>
          <w:sz w:val="21"/>
          <w:szCs w:val="21"/>
        </w:rPr>
        <w:t>投标人代表签字：</w:t>
      </w:r>
      <w:r>
        <w:rPr>
          <w:rFonts w:hint="eastAsia" w:ascii="宋体" w:hAnsi="宋体" w:eastAsia="宋体" w:cs="宋体"/>
          <w:sz w:val="21"/>
          <w:szCs w:val="21"/>
          <w:u w:val="single"/>
        </w:rPr>
        <w:t>                   </w:t>
      </w:r>
    </w:p>
    <w:p>
      <w:pPr>
        <w:pStyle w:val="4"/>
        <w:keepNext w:val="0"/>
        <w:keepLines w:val="0"/>
        <w:widowControl/>
        <w:suppressLineNumbers w:val="0"/>
      </w:pPr>
      <w:r>
        <w:rPr>
          <w:rFonts w:hint="eastAsia" w:ascii="宋体" w:hAnsi="宋体" w:eastAsia="宋体" w:cs="宋体"/>
          <w:sz w:val="21"/>
          <w:szCs w:val="21"/>
        </w:rPr>
        <w:t>日期：</w:t>
      </w:r>
      <w:r>
        <w:rPr>
          <w:rFonts w:hint="eastAsia" w:ascii="宋体" w:hAnsi="宋体" w:eastAsia="宋体" w:cs="宋体"/>
          <w:sz w:val="21"/>
          <w:szCs w:val="21"/>
          <w:u w:val="single"/>
        </w:rPr>
        <w:t>    </w:t>
      </w:r>
      <w:r>
        <w:rPr>
          <w:rFonts w:hint="eastAsia" w:ascii="宋体" w:hAnsi="宋体" w:eastAsia="宋体" w:cs="宋体"/>
          <w:sz w:val="21"/>
          <w:szCs w:val="21"/>
        </w:rPr>
        <w:t>年</w:t>
      </w:r>
      <w:r>
        <w:rPr>
          <w:rFonts w:hint="eastAsia" w:ascii="宋体" w:hAnsi="宋体" w:eastAsia="宋体" w:cs="宋体"/>
          <w:sz w:val="21"/>
          <w:szCs w:val="21"/>
          <w:u w:val="single"/>
        </w:rPr>
        <w:t>   </w:t>
      </w:r>
      <w:r>
        <w:rPr>
          <w:rFonts w:hint="eastAsia" w:ascii="宋体" w:hAnsi="宋体" w:eastAsia="宋体" w:cs="宋体"/>
          <w:sz w:val="21"/>
          <w:szCs w:val="21"/>
        </w:rPr>
        <w:t>月</w:t>
      </w:r>
      <w:r>
        <w:rPr>
          <w:rFonts w:hint="eastAsia" w:ascii="宋体" w:hAnsi="宋体" w:eastAsia="宋体" w:cs="宋体"/>
          <w:sz w:val="21"/>
          <w:szCs w:val="21"/>
          <w:u w:val="single"/>
        </w:rPr>
        <w:t>   </w:t>
      </w:r>
      <w:r>
        <w:rPr>
          <w:rFonts w:hint="eastAsia" w:ascii="宋体" w:hAnsi="宋体" w:eastAsia="宋体" w:cs="宋体"/>
          <w:sz w:val="21"/>
          <w:szCs w:val="21"/>
        </w:rPr>
        <w:t>日</w:t>
      </w:r>
    </w:p>
    <w:p>
      <w:pPr>
        <w:pStyle w:val="4"/>
        <w:keepNext w:val="0"/>
        <w:keepLines w:val="0"/>
        <w:widowControl/>
        <w:suppressLineNumbers w:val="0"/>
      </w:pPr>
      <w:r>
        <w:rPr>
          <w:rFonts w:hint="eastAsia" w:ascii="宋体" w:hAnsi="宋体" w:eastAsia="宋体" w:cs="宋体"/>
          <w:sz w:val="21"/>
          <w:szCs w:val="21"/>
        </w:rPr>
        <w:t> </w:t>
      </w:r>
    </w:p>
    <w:p>
      <w:pPr>
        <w:pStyle w:val="4"/>
        <w:keepNext w:val="0"/>
        <w:keepLines w:val="0"/>
        <w:widowControl/>
        <w:suppressLineNumbers w:val="0"/>
      </w:pPr>
      <w:r>
        <w:rPr>
          <w:rFonts w:hint="eastAsia" w:ascii="宋体" w:hAnsi="宋体" w:eastAsia="宋体" w:cs="宋体"/>
          <w:sz w:val="21"/>
          <w:szCs w:val="21"/>
        </w:rPr>
        <w:t> </w:t>
      </w:r>
    </w:p>
    <w:p>
      <w:pPr>
        <w:pStyle w:val="4"/>
        <w:keepNext w:val="0"/>
        <w:keepLines w:val="0"/>
        <w:widowControl/>
        <w:suppressLineNumbers w:val="0"/>
        <w:jc w:val="center"/>
      </w:pPr>
      <w:r>
        <w:rPr>
          <w:rFonts w:hint="default" w:ascii="Calibri" w:hAnsi="Calibri" w:cs="Calibri"/>
          <w:sz w:val="21"/>
          <w:szCs w:val="21"/>
        </w:rPr>
        <w:br w:type="textWrapping"/>
      </w:r>
      <w:r>
        <w:rPr>
          <w:rFonts w:hint="eastAsia" w:ascii="宋体" w:hAnsi="宋体" w:eastAsia="宋体" w:cs="宋体"/>
          <w:sz w:val="21"/>
          <w:szCs w:val="21"/>
        </w:rPr>
        <w:t>二</w:t>
      </w:r>
      <w:r>
        <w:rPr>
          <w:rStyle w:val="6"/>
          <w:rFonts w:hint="eastAsia" w:ascii="宋体" w:hAnsi="宋体" w:eastAsia="宋体" w:cs="宋体"/>
          <w:sz w:val="21"/>
          <w:szCs w:val="21"/>
        </w:rPr>
        <w:t>-8信用记录查询结果</w:t>
      </w:r>
    </w:p>
    <w:p>
      <w:pPr>
        <w:pStyle w:val="4"/>
        <w:keepNext w:val="0"/>
        <w:keepLines w:val="0"/>
        <w:widowControl/>
        <w:suppressLineNumbers w:val="0"/>
      </w:pPr>
      <w:r>
        <w:rPr>
          <w:rFonts w:hint="eastAsia" w:ascii="宋体" w:hAnsi="宋体" w:eastAsia="宋体" w:cs="宋体"/>
          <w:sz w:val="21"/>
          <w:szCs w:val="21"/>
        </w:rPr>
        <w:t> </w:t>
      </w:r>
    </w:p>
    <w:p>
      <w:pPr>
        <w:pStyle w:val="4"/>
        <w:keepNext w:val="0"/>
        <w:keepLines w:val="0"/>
        <w:widowControl/>
        <w:suppressLineNumbers w:val="0"/>
      </w:pPr>
      <w:r>
        <w:rPr>
          <w:rFonts w:hint="eastAsia" w:ascii="宋体" w:hAnsi="宋体" w:eastAsia="宋体" w:cs="宋体"/>
          <w:sz w:val="21"/>
          <w:szCs w:val="21"/>
        </w:rPr>
        <w:t>致：</w:t>
      </w:r>
      <w:r>
        <w:rPr>
          <w:rFonts w:hint="eastAsia" w:ascii="宋体" w:hAnsi="宋体" w:eastAsia="宋体" w:cs="宋体"/>
          <w:sz w:val="21"/>
          <w:szCs w:val="21"/>
          <w:u w:val="single"/>
        </w:rPr>
        <w:t>                     </w:t>
      </w:r>
    </w:p>
    <w:p>
      <w:pPr>
        <w:pStyle w:val="4"/>
        <w:keepNext w:val="0"/>
        <w:keepLines w:val="0"/>
        <w:widowControl/>
        <w:suppressLineNumbers w:val="0"/>
        <w:ind w:left="0" w:firstLine="420"/>
      </w:pPr>
      <w:r>
        <w:rPr>
          <w:rFonts w:hint="eastAsia" w:ascii="宋体" w:hAnsi="宋体" w:eastAsia="宋体" w:cs="宋体"/>
          <w:sz w:val="21"/>
          <w:szCs w:val="21"/>
        </w:rPr>
        <w:t>现附上截至</w:t>
      </w:r>
      <w:r>
        <w:rPr>
          <w:rFonts w:hint="eastAsia" w:ascii="宋体" w:hAnsi="宋体" w:eastAsia="宋体" w:cs="宋体"/>
          <w:sz w:val="21"/>
          <w:szCs w:val="21"/>
          <w:u w:val="single"/>
        </w:rPr>
        <w:t>    </w:t>
      </w:r>
      <w:r>
        <w:rPr>
          <w:rFonts w:hint="eastAsia" w:ascii="宋体" w:hAnsi="宋体" w:eastAsia="宋体" w:cs="宋体"/>
          <w:sz w:val="21"/>
          <w:szCs w:val="21"/>
        </w:rPr>
        <w:t>年</w:t>
      </w:r>
      <w:r>
        <w:rPr>
          <w:rFonts w:hint="eastAsia" w:ascii="宋体" w:hAnsi="宋体" w:eastAsia="宋体" w:cs="宋体"/>
          <w:sz w:val="21"/>
          <w:szCs w:val="21"/>
          <w:u w:val="single"/>
        </w:rPr>
        <w:t>   </w:t>
      </w:r>
      <w:r>
        <w:rPr>
          <w:rFonts w:hint="eastAsia" w:ascii="宋体" w:hAnsi="宋体" w:eastAsia="宋体" w:cs="宋体"/>
          <w:sz w:val="21"/>
          <w:szCs w:val="21"/>
        </w:rPr>
        <w:t>月</w:t>
      </w:r>
      <w:r>
        <w:rPr>
          <w:rFonts w:hint="eastAsia" w:ascii="宋体" w:hAnsi="宋体" w:eastAsia="宋体" w:cs="宋体"/>
          <w:sz w:val="21"/>
          <w:szCs w:val="21"/>
          <w:u w:val="single"/>
        </w:rPr>
        <w:t>   </w:t>
      </w:r>
      <w:r>
        <w:rPr>
          <w:rFonts w:hint="eastAsia" w:ascii="宋体" w:hAnsi="宋体" w:eastAsia="宋体" w:cs="宋体"/>
          <w:sz w:val="21"/>
          <w:szCs w:val="21"/>
        </w:rPr>
        <w:t>日</w:t>
      </w:r>
      <w:r>
        <w:rPr>
          <w:rFonts w:hint="eastAsia" w:ascii="宋体" w:hAnsi="宋体" w:eastAsia="宋体" w:cs="宋体"/>
          <w:sz w:val="21"/>
          <w:szCs w:val="21"/>
          <w:u w:val="single"/>
        </w:rPr>
        <w:t>   </w:t>
      </w:r>
      <w:r>
        <w:rPr>
          <w:rFonts w:hint="eastAsia" w:ascii="宋体" w:hAnsi="宋体" w:eastAsia="宋体" w:cs="宋体"/>
          <w:sz w:val="21"/>
          <w:szCs w:val="21"/>
        </w:rPr>
        <w:t>时我方通过“信用中国”网站（</w:t>
      </w:r>
      <w:r>
        <w:rPr>
          <w:rFonts w:hint="default" w:ascii="Calibri" w:hAnsi="Calibri" w:eastAsia="宋体" w:cs="Calibri"/>
          <w:sz w:val="21"/>
          <w:szCs w:val="21"/>
        </w:rPr>
        <w:t>www.creditchina.gov.cn</w:t>
      </w:r>
      <w:r>
        <w:rPr>
          <w:rFonts w:hint="eastAsia" w:ascii="宋体" w:hAnsi="宋体" w:eastAsia="宋体" w:cs="宋体"/>
          <w:sz w:val="21"/>
          <w:szCs w:val="21"/>
        </w:rPr>
        <w:t>）获取的我方信用信息查询结果</w:t>
      </w:r>
      <w:r>
        <w:rPr>
          <w:rFonts w:hint="eastAsia" w:ascii="宋体" w:hAnsi="宋体" w:eastAsia="宋体" w:cs="宋体"/>
          <w:sz w:val="21"/>
          <w:szCs w:val="21"/>
          <w:u w:val="single"/>
        </w:rPr>
        <w:t>（填写具体份数）</w:t>
      </w:r>
      <w:r>
        <w:rPr>
          <w:rFonts w:hint="eastAsia" w:ascii="宋体" w:hAnsi="宋体" w:eastAsia="宋体" w:cs="宋体"/>
          <w:sz w:val="21"/>
          <w:szCs w:val="21"/>
        </w:rPr>
        <w:t>份、通过中国政府采购网（www.ccgp.gov.cn）获取的我方信用信息查询结果</w:t>
      </w:r>
      <w:r>
        <w:rPr>
          <w:rFonts w:hint="eastAsia" w:ascii="宋体" w:hAnsi="宋体" w:eastAsia="宋体" w:cs="宋体"/>
          <w:sz w:val="21"/>
          <w:szCs w:val="21"/>
          <w:u w:val="single"/>
        </w:rPr>
        <w:t>（填写具体份数）</w:t>
      </w:r>
      <w:r>
        <w:rPr>
          <w:rFonts w:hint="eastAsia" w:ascii="宋体" w:hAnsi="宋体" w:eastAsia="宋体" w:cs="宋体"/>
          <w:sz w:val="21"/>
          <w:szCs w:val="21"/>
        </w:rPr>
        <w:t>份，上述信用信息查询结果真实有效，否则我方负全部责任。</w:t>
      </w:r>
    </w:p>
    <w:p>
      <w:pPr>
        <w:pStyle w:val="4"/>
        <w:keepNext w:val="0"/>
        <w:keepLines w:val="0"/>
        <w:widowControl/>
        <w:suppressLineNumbers w:val="0"/>
      </w:pPr>
      <w:r>
        <w:rPr>
          <w:rFonts w:hint="default" w:ascii="Calibri" w:hAnsi="Calibri" w:cs="Calibri"/>
          <w:sz w:val="21"/>
          <w:szCs w:val="21"/>
        </w:rPr>
        <w:t> </w:t>
      </w:r>
    </w:p>
    <w:p>
      <w:pPr>
        <w:pStyle w:val="4"/>
        <w:keepNext w:val="0"/>
        <w:keepLines w:val="0"/>
        <w:widowControl/>
        <w:suppressLineNumbers w:val="0"/>
      </w:pPr>
      <w:r>
        <w:rPr>
          <w:rFonts w:hint="eastAsia" w:ascii="宋体" w:hAnsi="宋体" w:eastAsia="宋体" w:cs="宋体"/>
          <w:sz w:val="21"/>
          <w:szCs w:val="21"/>
        </w:rPr>
        <w:t>★注意：</w:t>
      </w:r>
    </w:p>
    <w:p>
      <w:pPr>
        <w:pStyle w:val="4"/>
        <w:keepNext w:val="0"/>
        <w:keepLines w:val="0"/>
        <w:widowControl/>
        <w:suppressLineNumbers w:val="0"/>
      </w:pPr>
      <w:r>
        <w:rPr>
          <w:rFonts w:hint="eastAsia" w:ascii="宋体" w:hAnsi="宋体" w:eastAsia="宋体" w:cs="宋体"/>
          <w:sz w:val="21"/>
          <w:szCs w:val="21"/>
        </w:rPr>
        <w:t>投标人应在招标文件要求的截止时点前分别通过“信用中国”网站（</w:t>
      </w:r>
      <w:r>
        <w:rPr>
          <w:rFonts w:hint="default" w:ascii="Calibri" w:hAnsi="Calibri" w:eastAsia="宋体" w:cs="Calibri"/>
          <w:sz w:val="21"/>
          <w:szCs w:val="21"/>
        </w:rPr>
        <w:t>www.creditchina.gov.cn</w:t>
      </w:r>
      <w:r>
        <w:rPr>
          <w:rFonts w:hint="eastAsia" w:ascii="宋体" w:hAnsi="宋体" w:eastAsia="宋体" w:cs="宋体"/>
          <w:sz w:val="21"/>
          <w:szCs w:val="21"/>
        </w:rPr>
        <w:t>）、中国政府采购网（</w:t>
      </w:r>
      <w:r>
        <w:rPr>
          <w:rFonts w:hint="default" w:ascii="Calibri" w:hAnsi="Calibri" w:eastAsia="宋体" w:cs="Calibri"/>
          <w:sz w:val="21"/>
          <w:szCs w:val="21"/>
        </w:rPr>
        <w:t>www.ccgp.gov.cn</w:t>
      </w:r>
      <w:r>
        <w:rPr>
          <w:rFonts w:hint="eastAsia" w:ascii="宋体" w:hAnsi="宋体" w:eastAsia="宋体" w:cs="宋体"/>
          <w:sz w:val="21"/>
          <w:szCs w:val="21"/>
        </w:rPr>
        <w:t>）查询并打印相应的信用记录，投标人提供的查询结果应为其通过上述网站获取的信用信息查询结果原始页面的打印件（或截图）。</w:t>
      </w:r>
    </w:p>
    <w:p>
      <w:pPr>
        <w:pStyle w:val="4"/>
        <w:keepNext w:val="0"/>
        <w:keepLines w:val="0"/>
        <w:widowControl/>
        <w:suppressLineNumbers w:val="0"/>
      </w:pPr>
    </w:p>
    <w:p>
      <w:pPr>
        <w:pStyle w:val="4"/>
        <w:keepNext w:val="0"/>
        <w:keepLines w:val="0"/>
        <w:widowControl/>
        <w:suppressLineNumbers w:val="0"/>
      </w:pPr>
      <w:r>
        <w:rPr>
          <w:rFonts w:hint="eastAsia" w:ascii="宋体" w:hAnsi="宋体" w:eastAsia="宋体" w:cs="宋体"/>
          <w:sz w:val="21"/>
          <w:szCs w:val="21"/>
        </w:rPr>
        <w:t> </w:t>
      </w:r>
    </w:p>
    <w:p>
      <w:pPr>
        <w:pStyle w:val="4"/>
        <w:keepNext w:val="0"/>
        <w:keepLines w:val="0"/>
        <w:widowControl/>
        <w:suppressLineNumbers w:val="0"/>
      </w:pPr>
      <w:r>
        <w:rPr>
          <w:rFonts w:hint="eastAsia" w:ascii="宋体" w:hAnsi="宋体" w:eastAsia="宋体" w:cs="宋体"/>
          <w:sz w:val="21"/>
          <w:szCs w:val="21"/>
        </w:rPr>
        <w:t> </w:t>
      </w:r>
    </w:p>
    <w:p>
      <w:pPr>
        <w:pStyle w:val="4"/>
        <w:keepNext w:val="0"/>
        <w:keepLines w:val="0"/>
        <w:widowControl/>
        <w:suppressLineNumbers w:val="0"/>
      </w:pPr>
      <w:r>
        <w:rPr>
          <w:rFonts w:hint="eastAsia" w:ascii="宋体" w:hAnsi="宋体" w:eastAsia="宋体" w:cs="宋体"/>
          <w:sz w:val="21"/>
          <w:szCs w:val="21"/>
        </w:rPr>
        <w:t>投标人：</w:t>
      </w:r>
      <w:r>
        <w:rPr>
          <w:rFonts w:hint="eastAsia" w:ascii="宋体" w:hAnsi="宋体" w:eastAsia="宋体" w:cs="宋体"/>
          <w:sz w:val="21"/>
          <w:szCs w:val="21"/>
          <w:u w:val="single"/>
        </w:rPr>
        <w:t>（全称并加盖单位公章）</w:t>
      </w:r>
    </w:p>
    <w:p>
      <w:pPr>
        <w:pStyle w:val="4"/>
        <w:keepNext w:val="0"/>
        <w:keepLines w:val="0"/>
        <w:widowControl/>
        <w:suppressLineNumbers w:val="0"/>
      </w:pPr>
      <w:r>
        <w:rPr>
          <w:rFonts w:hint="eastAsia" w:ascii="宋体" w:hAnsi="宋体" w:eastAsia="宋体" w:cs="宋体"/>
          <w:sz w:val="21"/>
          <w:szCs w:val="21"/>
        </w:rPr>
        <w:t>投标人代表签字：</w:t>
      </w:r>
      <w:r>
        <w:rPr>
          <w:rFonts w:hint="eastAsia" w:ascii="宋体" w:hAnsi="宋体" w:eastAsia="宋体" w:cs="宋体"/>
          <w:sz w:val="21"/>
          <w:szCs w:val="21"/>
          <w:u w:val="single"/>
        </w:rPr>
        <w:t>                   </w:t>
      </w:r>
    </w:p>
    <w:p>
      <w:pPr>
        <w:pStyle w:val="4"/>
        <w:keepNext w:val="0"/>
        <w:keepLines w:val="0"/>
        <w:widowControl/>
        <w:suppressLineNumbers w:val="0"/>
      </w:pPr>
      <w:r>
        <w:rPr>
          <w:rFonts w:hint="eastAsia" w:ascii="宋体" w:hAnsi="宋体" w:eastAsia="宋体" w:cs="宋体"/>
          <w:sz w:val="21"/>
          <w:szCs w:val="21"/>
        </w:rPr>
        <w:t>日期：</w:t>
      </w:r>
      <w:r>
        <w:rPr>
          <w:rFonts w:hint="eastAsia" w:ascii="宋体" w:hAnsi="宋体" w:eastAsia="宋体" w:cs="宋体"/>
          <w:sz w:val="21"/>
          <w:szCs w:val="21"/>
          <w:u w:val="single"/>
        </w:rPr>
        <w:t>    </w:t>
      </w:r>
      <w:r>
        <w:rPr>
          <w:rFonts w:hint="eastAsia" w:ascii="宋体" w:hAnsi="宋体" w:eastAsia="宋体" w:cs="宋体"/>
          <w:sz w:val="21"/>
          <w:szCs w:val="21"/>
        </w:rPr>
        <w:t>年</w:t>
      </w:r>
      <w:r>
        <w:rPr>
          <w:rFonts w:hint="eastAsia" w:ascii="宋体" w:hAnsi="宋体" w:eastAsia="宋体" w:cs="宋体"/>
          <w:sz w:val="21"/>
          <w:szCs w:val="21"/>
          <w:u w:val="single"/>
        </w:rPr>
        <w:t>   </w:t>
      </w:r>
      <w:r>
        <w:rPr>
          <w:rFonts w:hint="eastAsia" w:ascii="宋体" w:hAnsi="宋体" w:eastAsia="宋体" w:cs="宋体"/>
          <w:sz w:val="21"/>
          <w:szCs w:val="21"/>
        </w:rPr>
        <w:t>月</w:t>
      </w:r>
      <w:r>
        <w:rPr>
          <w:rFonts w:hint="eastAsia" w:ascii="宋体" w:hAnsi="宋体" w:eastAsia="宋体" w:cs="宋体"/>
          <w:sz w:val="21"/>
          <w:szCs w:val="21"/>
          <w:u w:val="single"/>
        </w:rPr>
        <w:t>   </w:t>
      </w:r>
      <w:r>
        <w:rPr>
          <w:rFonts w:hint="eastAsia" w:ascii="宋体" w:hAnsi="宋体" w:eastAsia="宋体" w:cs="宋体"/>
          <w:sz w:val="21"/>
          <w:szCs w:val="21"/>
        </w:rPr>
        <w:t>日</w:t>
      </w:r>
    </w:p>
    <w:p>
      <w:pPr>
        <w:pStyle w:val="4"/>
        <w:keepNext w:val="0"/>
        <w:keepLines w:val="0"/>
        <w:widowControl/>
        <w:suppressLineNumbers w:val="0"/>
      </w:pPr>
      <w:r>
        <w:rPr>
          <w:rFonts w:hint="eastAsia" w:ascii="宋体" w:hAnsi="宋体" w:eastAsia="宋体" w:cs="宋体"/>
          <w:sz w:val="21"/>
          <w:szCs w:val="21"/>
        </w:rPr>
        <w:t> </w:t>
      </w:r>
    </w:p>
    <w:p>
      <w:pPr>
        <w:pStyle w:val="4"/>
        <w:keepNext w:val="0"/>
        <w:keepLines w:val="0"/>
        <w:widowControl/>
        <w:suppressLineNumbers w:val="0"/>
      </w:pPr>
      <w:r>
        <w:rPr>
          <w:rFonts w:hint="eastAsia" w:ascii="宋体" w:hAnsi="宋体" w:eastAsia="宋体" w:cs="宋体"/>
          <w:sz w:val="21"/>
          <w:szCs w:val="21"/>
        </w:rPr>
        <w:t> </w:t>
      </w:r>
    </w:p>
    <w:p>
      <w:pPr>
        <w:pStyle w:val="4"/>
        <w:keepNext w:val="0"/>
        <w:keepLines w:val="0"/>
        <w:widowControl/>
        <w:suppressLineNumbers w:val="0"/>
        <w:jc w:val="center"/>
      </w:pPr>
      <w:r>
        <w:rPr>
          <w:rStyle w:val="6"/>
          <w:rFonts w:hint="default" w:ascii="Calibri" w:hAnsi="Calibri" w:cs="Calibri"/>
          <w:sz w:val="21"/>
          <w:szCs w:val="21"/>
        </w:rPr>
        <w:br w:type="textWrapping"/>
      </w:r>
      <w:r>
        <w:rPr>
          <w:rStyle w:val="6"/>
          <w:rFonts w:hint="eastAsia" w:ascii="宋体" w:hAnsi="宋体" w:eastAsia="宋体" w:cs="宋体"/>
          <w:sz w:val="21"/>
          <w:szCs w:val="21"/>
        </w:rPr>
        <w:t>二-9检察机关行贿犯罪档案查询结果告知函</w:t>
      </w:r>
    </w:p>
    <w:p>
      <w:pPr>
        <w:pStyle w:val="4"/>
        <w:keepNext w:val="0"/>
        <w:keepLines w:val="0"/>
        <w:widowControl/>
        <w:suppressLineNumbers w:val="0"/>
      </w:pPr>
      <w:r>
        <w:rPr>
          <w:rFonts w:hint="default" w:ascii="Calibri" w:hAnsi="Calibri" w:cs="Calibri"/>
          <w:sz w:val="21"/>
          <w:szCs w:val="21"/>
        </w:rPr>
        <w:t> </w:t>
      </w:r>
    </w:p>
    <w:p>
      <w:pPr>
        <w:pStyle w:val="4"/>
        <w:keepNext w:val="0"/>
        <w:keepLines w:val="0"/>
        <w:widowControl/>
        <w:suppressLineNumbers w:val="0"/>
        <w:ind w:left="0" w:firstLine="420"/>
      </w:pPr>
      <w:r>
        <w:rPr>
          <w:rFonts w:hint="eastAsia" w:ascii="宋体" w:hAnsi="宋体" w:eastAsia="宋体" w:cs="宋体"/>
          <w:sz w:val="21"/>
          <w:szCs w:val="21"/>
        </w:rPr>
        <w:t>检察机关行贿犯罪档案查询结果告知函（以下简称：“告知函”）由投标人向住所地或业务发生地检察院申请查询，具体以检察院出具的为准。</w:t>
      </w:r>
    </w:p>
    <w:p>
      <w:pPr>
        <w:pStyle w:val="4"/>
        <w:keepNext w:val="0"/>
        <w:keepLines w:val="0"/>
        <w:widowControl/>
        <w:suppressLineNumbers w:val="0"/>
      </w:pPr>
      <w:r>
        <w:rPr>
          <w:rFonts w:hint="default" w:ascii="Calibri" w:hAnsi="Calibri" w:cs="Calibri"/>
          <w:sz w:val="21"/>
          <w:szCs w:val="21"/>
        </w:rPr>
        <w:t> </w:t>
      </w:r>
    </w:p>
    <w:p>
      <w:pPr>
        <w:pStyle w:val="4"/>
        <w:keepNext w:val="0"/>
        <w:keepLines w:val="0"/>
        <w:widowControl/>
        <w:suppressLineNumbers w:val="0"/>
      </w:pPr>
      <w:r>
        <w:rPr>
          <w:rFonts w:hint="eastAsia" w:ascii="宋体" w:hAnsi="宋体" w:eastAsia="宋体" w:cs="宋体"/>
          <w:sz w:val="21"/>
          <w:szCs w:val="21"/>
        </w:rPr>
        <w:t>★注意：</w:t>
      </w:r>
    </w:p>
    <w:p>
      <w:pPr>
        <w:pStyle w:val="4"/>
        <w:keepNext w:val="0"/>
        <w:keepLines w:val="0"/>
        <w:widowControl/>
        <w:suppressLineNumbers w:val="0"/>
      </w:pPr>
      <w:r>
        <w:rPr>
          <w:rFonts w:hint="eastAsia" w:ascii="宋体" w:hAnsi="宋体" w:eastAsia="宋体" w:cs="宋体"/>
          <w:sz w:val="21"/>
          <w:szCs w:val="21"/>
        </w:rPr>
        <w:t>1、未提供行贿犯罪档案查询结果或查询结果表明投标人有行贿犯罪记录的，</w:t>
      </w:r>
      <w:r>
        <w:rPr>
          <w:rStyle w:val="6"/>
          <w:rFonts w:hint="eastAsia" w:ascii="宋体" w:hAnsi="宋体" w:eastAsia="宋体" w:cs="宋体"/>
          <w:sz w:val="21"/>
          <w:szCs w:val="21"/>
        </w:rPr>
        <w:t>投标无效。</w:t>
      </w:r>
    </w:p>
    <w:p>
      <w:pPr>
        <w:pStyle w:val="4"/>
        <w:keepNext w:val="0"/>
        <w:keepLines w:val="0"/>
        <w:widowControl/>
        <w:suppressLineNumbers w:val="0"/>
      </w:pPr>
      <w:r>
        <w:rPr>
          <w:rFonts w:hint="eastAsia" w:ascii="宋体" w:hAnsi="宋体" w:eastAsia="宋体" w:cs="宋体"/>
          <w:sz w:val="21"/>
          <w:szCs w:val="21"/>
        </w:rPr>
        <w:t>2、若从检察机关指定网站下载打印或截图告知函，则告知函应为从前述指定网站获取的查询结果原始页面的打印件（或截图），否则</w:t>
      </w:r>
      <w:r>
        <w:rPr>
          <w:rStyle w:val="6"/>
          <w:rFonts w:hint="eastAsia" w:ascii="宋体" w:hAnsi="宋体" w:eastAsia="宋体" w:cs="宋体"/>
          <w:sz w:val="21"/>
          <w:szCs w:val="21"/>
        </w:rPr>
        <w:t>投标无效。</w:t>
      </w:r>
    </w:p>
    <w:p>
      <w:pPr>
        <w:pStyle w:val="4"/>
        <w:keepNext w:val="0"/>
        <w:keepLines w:val="0"/>
        <w:widowControl/>
        <w:suppressLineNumbers w:val="0"/>
      </w:pPr>
      <w:r>
        <w:rPr>
          <w:rFonts w:hint="eastAsia" w:ascii="宋体" w:hAnsi="宋体" w:eastAsia="宋体" w:cs="宋体"/>
          <w:sz w:val="21"/>
          <w:szCs w:val="21"/>
        </w:rPr>
        <w:t>3、告知函应在有效期内且内容完整、清晰、整洁，否则</w:t>
      </w:r>
      <w:r>
        <w:rPr>
          <w:rStyle w:val="6"/>
          <w:rFonts w:hint="eastAsia" w:ascii="宋体" w:hAnsi="宋体" w:eastAsia="宋体" w:cs="宋体"/>
          <w:sz w:val="21"/>
          <w:szCs w:val="21"/>
        </w:rPr>
        <w:t>投标无效。</w:t>
      </w:r>
    </w:p>
    <w:p>
      <w:pPr>
        <w:pStyle w:val="4"/>
        <w:keepNext w:val="0"/>
        <w:keepLines w:val="0"/>
        <w:widowControl/>
        <w:suppressLineNumbers w:val="0"/>
      </w:pPr>
      <w:r>
        <w:rPr>
          <w:rFonts w:hint="eastAsia" w:ascii="宋体" w:hAnsi="宋体" w:eastAsia="宋体" w:cs="宋体"/>
          <w:sz w:val="21"/>
          <w:szCs w:val="21"/>
        </w:rPr>
        <w:t>4、有效期内的告知函复印件（含扫描件）及符合招标文件第七章规定的打印件（或截图），无论内容中是否注明“复印件无效”，</w:t>
      </w:r>
      <w:r>
        <w:rPr>
          <w:rStyle w:val="6"/>
          <w:rFonts w:hint="eastAsia" w:ascii="宋体" w:hAnsi="宋体" w:eastAsia="宋体" w:cs="宋体"/>
          <w:sz w:val="21"/>
          <w:szCs w:val="21"/>
        </w:rPr>
        <w:t>均视同有效。</w:t>
      </w:r>
    </w:p>
    <w:p>
      <w:pPr>
        <w:pStyle w:val="4"/>
        <w:keepNext w:val="0"/>
        <w:keepLines w:val="0"/>
        <w:widowControl/>
        <w:suppressLineNumbers w:val="0"/>
      </w:pPr>
      <w:r>
        <w:rPr>
          <w:rFonts w:hint="eastAsia" w:ascii="宋体" w:hAnsi="宋体" w:eastAsia="宋体" w:cs="宋体"/>
          <w:sz w:val="21"/>
          <w:szCs w:val="21"/>
        </w:rPr>
        <w:t>5、无法获取有效期内检察机关行贿犯罪档案查询结果告知函的，应在《参加采购活动前三年内在经营活动中没有重大违法记录书面声明》中对近三年无行贿犯罪记录进行声明。</w:t>
      </w:r>
    </w:p>
    <w:p>
      <w:pPr>
        <w:pStyle w:val="4"/>
        <w:keepNext w:val="0"/>
        <w:keepLines w:val="0"/>
        <w:widowControl/>
        <w:suppressLineNumbers w:val="0"/>
        <w:jc w:val="center"/>
      </w:pPr>
      <w:r>
        <w:rPr>
          <w:rFonts w:hint="eastAsia" w:ascii="宋体" w:hAnsi="宋体" w:eastAsia="宋体" w:cs="宋体"/>
          <w:sz w:val="21"/>
          <w:szCs w:val="21"/>
        </w:rPr>
        <w:br w:type="textWrapping"/>
      </w:r>
      <w:r>
        <w:rPr>
          <w:rStyle w:val="6"/>
          <w:rFonts w:hint="eastAsia" w:ascii="宋体" w:hAnsi="宋体" w:eastAsia="宋体" w:cs="宋体"/>
          <w:sz w:val="21"/>
          <w:szCs w:val="21"/>
        </w:rPr>
        <w:t>二-10联合体协议（若有）</w:t>
      </w:r>
    </w:p>
    <w:p>
      <w:pPr>
        <w:pStyle w:val="4"/>
        <w:keepNext w:val="0"/>
        <w:keepLines w:val="0"/>
        <w:widowControl/>
        <w:suppressLineNumbers w:val="0"/>
      </w:pPr>
      <w:r>
        <w:rPr>
          <w:rFonts w:hint="eastAsia" w:ascii="宋体" w:hAnsi="宋体" w:eastAsia="宋体" w:cs="宋体"/>
          <w:sz w:val="21"/>
          <w:szCs w:val="21"/>
        </w:rPr>
        <w:t> </w:t>
      </w:r>
    </w:p>
    <w:p>
      <w:pPr>
        <w:pStyle w:val="4"/>
        <w:keepNext w:val="0"/>
        <w:keepLines w:val="0"/>
        <w:widowControl/>
        <w:suppressLineNumbers w:val="0"/>
      </w:pPr>
      <w:r>
        <w:rPr>
          <w:rFonts w:hint="eastAsia" w:ascii="宋体" w:hAnsi="宋体" w:eastAsia="宋体" w:cs="宋体"/>
          <w:sz w:val="21"/>
          <w:szCs w:val="21"/>
        </w:rPr>
        <w:t>致：</w:t>
      </w:r>
      <w:r>
        <w:rPr>
          <w:rFonts w:hint="eastAsia" w:ascii="宋体" w:hAnsi="宋体" w:eastAsia="宋体" w:cs="宋体"/>
          <w:sz w:val="21"/>
          <w:szCs w:val="21"/>
          <w:u w:val="single"/>
        </w:rPr>
        <w:t>                     </w:t>
      </w:r>
    </w:p>
    <w:p>
      <w:pPr>
        <w:pStyle w:val="4"/>
        <w:keepNext w:val="0"/>
        <w:keepLines w:val="0"/>
        <w:widowControl/>
        <w:suppressLineNumbers w:val="0"/>
        <w:ind w:left="0" w:firstLine="420"/>
      </w:pPr>
      <w:r>
        <w:rPr>
          <w:rFonts w:hint="eastAsia" w:ascii="宋体" w:hAnsi="宋体" w:eastAsia="宋体" w:cs="宋体"/>
          <w:sz w:val="21"/>
          <w:szCs w:val="21"/>
        </w:rPr>
        <w:t>兹有</w:t>
      </w:r>
      <w:r>
        <w:rPr>
          <w:rFonts w:hint="eastAsia" w:ascii="宋体" w:hAnsi="宋体" w:eastAsia="宋体" w:cs="宋体"/>
          <w:sz w:val="21"/>
          <w:szCs w:val="21"/>
          <w:u w:val="single"/>
        </w:rPr>
        <w:t>（填写“联合体中各方的全称”，各方的全称之间请用“、”分割）</w:t>
      </w:r>
      <w:r>
        <w:rPr>
          <w:rFonts w:hint="eastAsia" w:ascii="宋体" w:hAnsi="宋体" w:eastAsia="宋体" w:cs="宋体"/>
          <w:sz w:val="21"/>
          <w:szCs w:val="21"/>
        </w:rPr>
        <w:t>自愿组成联合体，共同参加</w:t>
      </w:r>
      <w:r>
        <w:rPr>
          <w:rFonts w:hint="eastAsia" w:ascii="宋体" w:hAnsi="宋体" w:eastAsia="宋体" w:cs="宋体"/>
          <w:sz w:val="21"/>
          <w:szCs w:val="21"/>
          <w:u w:val="single"/>
        </w:rPr>
        <w:t xml:space="preserve">（填写“项目名称”） </w:t>
      </w:r>
      <w:r>
        <w:rPr>
          <w:rFonts w:hint="eastAsia" w:ascii="宋体" w:hAnsi="宋体" w:eastAsia="宋体" w:cs="宋体"/>
          <w:sz w:val="21"/>
          <w:szCs w:val="21"/>
        </w:rPr>
        <w:t>项目（招标编号：</w:t>
      </w:r>
      <w:r>
        <w:rPr>
          <w:rFonts w:hint="eastAsia" w:ascii="宋体" w:hAnsi="宋体" w:eastAsia="宋体" w:cs="宋体"/>
          <w:sz w:val="21"/>
          <w:szCs w:val="21"/>
          <w:u w:val="single"/>
        </w:rPr>
        <w:t>         </w:t>
      </w:r>
      <w:r>
        <w:rPr>
          <w:rFonts w:hint="eastAsia" w:ascii="宋体" w:hAnsi="宋体" w:eastAsia="宋体" w:cs="宋体"/>
          <w:sz w:val="21"/>
          <w:szCs w:val="21"/>
        </w:rPr>
        <w:t>）的投标。现就联合体参加本项目投标的有关事宜达成下列协议：</w:t>
      </w:r>
    </w:p>
    <w:p>
      <w:pPr>
        <w:pStyle w:val="4"/>
        <w:keepNext w:val="0"/>
        <w:keepLines w:val="0"/>
        <w:widowControl/>
        <w:suppressLineNumbers w:val="0"/>
        <w:ind w:left="0" w:firstLine="420"/>
      </w:pPr>
      <w:r>
        <w:rPr>
          <w:rFonts w:hint="eastAsia" w:ascii="宋体" w:hAnsi="宋体" w:eastAsia="宋体" w:cs="宋体"/>
          <w:sz w:val="21"/>
          <w:szCs w:val="21"/>
        </w:rPr>
        <w:t>一、联合体各方应承担的工作和义务具体如下：</w:t>
      </w:r>
    </w:p>
    <w:p>
      <w:pPr>
        <w:pStyle w:val="4"/>
        <w:keepNext w:val="0"/>
        <w:keepLines w:val="0"/>
        <w:widowControl/>
        <w:suppressLineNumbers w:val="0"/>
        <w:ind w:left="0" w:firstLine="420"/>
      </w:pPr>
      <w:r>
        <w:rPr>
          <w:rFonts w:hint="eastAsia" w:ascii="宋体" w:hAnsi="宋体" w:eastAsia="宋体" w:cs="宋体"/>
          <w:sz w:val="21"/>
          <w:szCs w:val="21"/>
        </w:rPr>
        <w:t>1、牵头方（</w:t>
      </w:r>
      <w:r>
        <w:rPr>
          <w:rFonts w:hint="eastAsia" w:ascii="宋体" w:hAnsi="宋体" w:eastAsia="宋体" w:cs="宋体"/>
          <w:sz w:val="21"/>
          <w:szCs w:val="21"/>
          <w:u w:val="single"/>
        </w:rPr>
        <w:t>全称</w:t>
      </w:r>
      <w:r>
        <w:rPr>
          <w:rFonts w:hint="eastAsia" w:ascii="宋体" w:hAnsi="宋体" w:eastAsia="宋体" w:cs="宋体"/>
          <w:sz w:val="21"/>
          <w:szCs w:val="21"/>
        </w:rPr>
        <w:t>）：</w:t>
      </w:r>
      <w:r>
        <w:rPr>
          <w:rFonts w:hint="eastAsia" w:ascii="宋体" w:hAnsi="宋体" w:eastAsia="宋体" w:cs="宋体"/>
          <w:sz w:val="21"/>
          <w:szCs w:val="21"/>
          <w:u w:val="single"/>
        </w:rPr>
        <w:t xml:space="preserve"> （填写“工作及义务的具体内容”） </w:t>
      </w:r>
      <w:r>
        <w:rPr>
          <w:rFonts w:hint="eastAsia" w:ascii="宋体" w:hAnsi="宋体" w:eastAsia="宋体" w:cs="宋体"/>
          <w:sz w:val="21"/>
          <w:szCs w:val="21"/>
        </w:rPr>
        <w:t>；</w:t>
      </w:r>
    </w:p>
    <w:p>
      <w:pPr>
        <w:pStyle w:val="4"/>
        <w:keepNext w:val="0"/>
        <w:keepLines w:val="0"/>
        <w:widowControl/>
        <w:suppressLineNumbers w:val="0"/>
        <w:ind w:left="0" w:firstLine="420"/>
      </w:pPr>
      <w:r>
        <w:rPr>
          <w:rFonts w:hint="eastAsia" w:ascii="宋体" w:hAnsi="宋体" w:eastAsia="宋体" w:cs="宋体"/>
          <w:sz w:val="21"/>
          <w:szCs w:val="21"/>
        </w:rPr>
        <w:t>2、成员方：</w:t>
      </w:r>
    </w:p>
    <w:p>
      <w:pPr>
        <w:pStyle w:val="4"/>
        <w:keepNext w:val="0"/>
        <w:keepLines w:val="0"/>
        <w:widowControl/>
        <w:suppressLineNumbers w:val="0"/>
        <w:ind w:left="0" w:firstLine="420"/>
      </w:pPr>
      <w:r>
        <w:rPr>
          <w:rFonts w:hint="eastAsia" w:ascii="宋体" w:hAnsi="宋体" w:eastAsia="宋体" w:cs="宋体"/>
          <w:sz w:val="21"/>
          <w:szCs w:val="21"/>
        </w:rPr>
        <w:t>2.1</w:t>
      </w:r>
      <w:r>
        <w:rPr>
          <w:rFonts w:hint="eastAsia" w:ascii="宋体" w:hAnsi="宋体" w:eastAsia="宋体" w:cs="宋体"/>
          <w:sz w:val="21"/>
          <w:szCs w:val="21"/>
          <w:u w:val="single"/>
        </w:rPr>
        <w:t>（成员一的全称）</w:t>
      </w:r>
      <w:r>
        <w:rPr>
          <w:rFonts w:hint="eastAsia" w:ascii="宋体" w:hAnsi="宋体" w:eastAsia="宋体" w:cs="宋体"/>
          <w:sz w:val="21"/>
          <w:szCs w:val="21"/>
        </w:rPr>
        <w:t>：</w:t>
      </w:r>
      <w:r>
        <w:rPr>
          <w:rFonts w:hint="eastAsia" w:ascii="宋体" w:hAnsi="宋体" w:eastAsia="宋体" w:cs="宋体"/>
          <w:sz w:val="21"/>
          <w:szCs w:val="21"/>
          <w:u w:val="single"/>
        </w:rPr>
        <w:t xml:space="preserve"> （填写“工作及义务的具体内容”） </w:t>
      </w:r>
      <w:r>
        <w:rPr>
          <w:rFonts w:hint="eastAsia" w:ascii="宋体" w:hAnsi="宋体" w:eastAsia="宋体" w:cs="宋体"/>
          <w:sz w:val="21"/>
          <w:szCs w:val="21"/>
        </w:rPr>
        <w:t>；</w:t>
      </w:r>
    </w:p>
    <w:p>
      <w:pPr>
        <w:pStyle w:val="4"/>
        <w:keepNext w:val="0"/>
        <w:keepLines w:val="0"/>
        <w:widowControl/>
        <w:suppressLineNumbers w:val="0"/>
        <w:ind w:left="0" w:firstLine="420"/>
      </w:pPr>
      <w:r>
        <w:rPr>
          <w:rFonts w:hint="default" w:ascii="Calibri" w:hAnsi="Calibri" w:cs="Calibri"/>
          <w:sz w:val="21"/>
          <w:szCs w:val="21"/>
        </w:rPr>
        <w:t>……</w:t>
      </w:r>
      <w:r>
        <w:rPr>
          <w:rFonts w:hint="eastAsia" w:ascii="宋体" w:hAnsi="宋体" w:eastAsia="宋体" w:cs="宋体"/>
          <w:sz w:val="21"/>
          <w:szCs w:val="21"/>
        </w:rPr>
        <w:t>。</w:t>
      </w:r>
    </w:p>
    <w:p>
      <w:pPr>
        <w:pStyle w:val="4"/>
        <w:keepNext w:val="0"/>
        <w:keepLines w:val="0"/>
        <w:widowControl/>
        <w:suppressLineNumbers w:val="0"/>
        <w:ind w:left="0" w:firstLine="420"/>
      </w:pPr>
      <w:r>
        <w:rPr>
          <w:rFonts w:hint="eastAsia" w:ascii="宋体" w:hAnsi="宋体" w:eastAsia="宋体" w:cs="宋体"/>
          <w:sz w:val="21"/>
          <w:szCs w:val="21"/>
        </w:rPr>
        <w:t>二、联合体各方约定：</w:t>
      </w:r>
    </w:p>
    <w:p>
      <w:pPr>
        <w:pStyle w:val="4"/>
        <w:keepNext w:val="0"/>
        <w:keepLines w:val="0"/>
        <w:widowControl/>
        <w:suppressLineNumbers w:val="0"/>
        <w:ind w:left="0" w:firstLine="420"/>
      </w:pPr>
      <w:r>
        <w:rPr>
          <w:rFonts w:hint="eastAsia" w:ascii="宋体" w:hAnsi="宋体" w:eastAsia="宋体" w:cs="宋体"/>
          <w:sz w:val="21"/>
          <w:szCs w:val="21"/>
        </w:rPr>
        <w:t>1、由</w:t>
      </w:r>
      <w:r>
        <w:rPr>
          <w:rFonts w:hint="eastAsia" w:ascii="宋体" w:hAnsi="宋体" w:eastAsia="宋体" w:cs="宋体"/>
          <w:sz w:val="21"/>
          <w:szCs w:val="21"/>
          <w:u w:val="single"/>
        </w:rPr>
        <w:t>（填写“牵头方的全称”）</w:t>
      </w:r>
      <w:r>
        <w:rPr>
          <w:rFonts w:hint="eastAsia" w:ascii="宋体" w:hAnsi="宋体" w:eastAsia="宋体" w:cs="宋体"/>
          <w:sz w:val="21"/>
          <w:szCs w:val="21"/>
        </w:rPr>
        <w:t>代表联合体办理参加本项目投标的有关事宜（包括但不限于：报名、派出投标人代表、提交投标文件及参加开标、谈判、澄清等），在此过程中，投标人代表签字的一切文件和处理结果，联合体均予以认可并对此承担责任。</w:t>
      </w:r>
    </w:p>
    <w:p>
      <w:pPr>
        <w:pStyle w:val="4"/>
        <w:keepNext w:val="0"/>
        <w:keepLines w:val="0"/>
        <w:widowControl/>
        <w:suppressLineNumbers w:val="0"/>
        <w:ind w:left="0" w:firstLine="420"/>
      </w:pPr>
      <w:r>
        <w:rPr>
          <w:rFonts w:hint="eastAsia" w:ascii="宋体" w:hAnsi="宋体" w:eastAsia="宋体" w:cs="宋体"/>
          <w:sz w:val="21"/>
          <w:szCs w:val="21"/>
        </w:rPr>
        <w:t>2、联合体各方约定由</w:t>
      </w:r>
      <w:r>
        <w:rPr>
          <w:rFonts w:hint="eastAsia" w:ascii="宋体" w:hAnsi="宋体" w:eastAsia="宋体" w:cs="宋体"/>
          <w:sz w:val="21"/>
          <w:szCs w:val="21"/>
          <w:u w:val="single"/>
        </w:rPr>
        <w:t>（填写“牵头方的全称”）</w:t>
      </w:r>
      <w:r>
        <w:rPr>
          <w:rFonts w:hint="eastAsia" w:ascii="宋体" w:hAnsi="宋体" w:eastAsia="宋体" w:cs="宋体"/>
          <w:sz w:val="21"/>
          <w:szCs w:val="21"/>
        </w:rPr>
        <w:t>代表联合体办理投标保证金事宜。</w:t>
      </w:r>
    </w:p>
    <w:p>
      <w:pPr>
        <w:pStyle w:val="4"/>
        <w:keepNext w:val="0"/>
        <w:keepLines w:val="0"/>
        <w:widowControl/>
        <w:suppressLineNumbers w:val="0"/>
        <w:ind w:left="0" w:firstLine="420"/>
      </w:pPr>
      <w:r>
        <w:rPr>
          <w:rFonts w:hint="eastAsia" w:ascii="宋体" w:hAnsi="宋体" w:eastAsia="宋体" w:cs="宋体"/>
          <w:sz w:val="21"/>
          <w:szCs w:val="21"/>
        </w:rPr>
        <w:t>3、联合体各方约定以</w:t>
      </w:r>
      <w:r>
        <w:rPr>
          <w:rFonts w:hint="eastAsia" w:ascii="宋体" w:hAnsi="宋体" w:eastAsia="宋体" w:cs="宋体"/>
          <w:sz w:val="21"/>
          <w:szCs w:val="21"/>
          <w:u w:val="single"/>
        </w:rPr>
        <w:t>（本项目采用综合评分法的，应填写“具体成员方的全称”；否则填写“无”）</w:t>
      </w:r>
      <w:r>
        <w:rPr>
          <w:rFonts w:hint="eastAsia" w:ascii="宋体" w:hAnsi="宋体" w:eastAsia="宋体" w:cs="宋体"/>
          <w:sz w:val="21"/>
          <w:szCs w:val="21"/>
        </w:rPr>
        <w:t>的条件参与商务部分的评标。</w:t>
      </w:r>
    </w:p>
    <w:p>
      <w:pPr>
        <w:pStyle w:val="4"/>
        <w:keepNext w:val="0"/>
        <w:keepLines w:val="0"/>
        <w:widowControl/>
        <w:suppressLineNumbers w:val="0"/>
        <w:ind w:left="0" w:firstLine="420"/>
      </w:pPr>
      <w:r>
        <w:rPr>
          <w:rFonts w:hint="eastAsia" w:ascii="宋体" w:hAnsi="宋体" w:eastAsia="宋体" w:cs="宋体"/>
          <w:sz w:val="21"/>
          <w:szCs w:val="21"/>
        </w:rPr>
        <w:t>三、若中标，牵头方将代表联合体与采购人就合同签订事宜进行协商；若协商一致，则联合体各方将共同与采购人签订政府采购合同，并就政府采购合同约定的事项对采购人承担连带责任。</w:t>
      </w:r>
    </w:p>
    <w:p>
      <w:pPr>
        <w:pStyle w:val="4"/>
        <w:keepNext w:val="0"/>
        <w:keepLines w:val="0"/>
        <w:widowControl/>
        <w:suppressLineNumbers w:val="0"/>
        <w:ind w:left="0" w:firstLine="420"/>
      </w:pPr>
      <w:r>
        <w:rPr>
          <w:rFonts w:hint="eastAsia" w:ascii="宋体" w:hAnsi="宋体" w:eastAsia="宋体" w:cs="宋体"/>
          <w:sz w:val="21"/>
          <w:szCs w:val="21"/>
        </w:rPr>
        <w:t>四、本协议自签署之日起生效，政府采购合同履行完毕后自动失效。</w:t>
      </w:r>
    </w:p>
    <w:p>
      <w:pPr>
        <w:pStyle w:val="4"/>
        <w:keepNext w:val="0"/>
        <w:keepLines w:val="0"/>
        <w:widowControl/>
        <w:suppressLineNumbers w:val="0"/>
        <w:ind w:left="0" w:firstLine="420"/>
      </w:pPr>
      <w:r>
        <w:rPr>
          <w:rFonts w:hint="eastAsia" w:ascii="宋体" w:hAnsi="宋体" w:eastAsia="宋体" w:cs="宋体"/>
          <w:sz w:val="21"/>
          <w:szCs w:val="21"/>
        </w:rPr>
        <w:t>五、本协议一式</w:t>
      </w:r>
      <w:r>
        <w:rPr>
          <w:rFonts w:hint="eastAsia" w:ascii="宋体" w:hAnsi="宋体" w:eastAsia="宋体" w:cs="宋体"/>
          <w:sz w:val="21"/>
          <w:szCs w:val="21"/>
          <w:u w:val="single"/>
        </w:rPr>
        <w:t>（填写具体份数）</w:t>
      </w:r>
      <w:r>
        <w:rPr>
          <w:rFonts w:hint="eastAsia" w:ascii="宋体" w:hAnsi="宋体" w:eastAsia="宋体" w:cs="宋体"/>
          <w:sz w:val="21"/>
          <w:szCs w:val="21"/>
        </w:rPr>
        <w:t>份，联合体各方各执一份，投标文件中提交一份。</w:t>
      </w:r>
    </w:p>
    <w:p>
      <w:pPr>
        <w:pStyle w:val="4"/>
        <w:keepNext w:val="0"/>
        <w:keepLines w:val="0"/>
        <w:widowControl/>
        <w:suppressLineNumbers w:val="0"/>
        <w:jc w:val="center"/>
      </w:pPr>
      <w:r>
        <w:rPr>
          <w:rFonts w:hint="eastAsia" w:ascii="宋体" w:hAnsi="宋体" w:eastAsia="宋体" w:cs="宋体"/>
          <w:sz w:val="21"/>
          <w:szCs w:val="21"/>
        </w:rPr>
        <w:t>（以下无正文）</w:t>
      </w:r>
    </w:p>
    <w:p>
      <w:pPr>
        <w:pStyle w:val="4"/>
        <w:keepNext w:val="0"/>
        <w:keepLines w:val="0"/>
        <w:widowControl/>
        <w:suppressLineNumbers w:val="0"/>
      </w:pPr>
      <w:r>
        <w:rPr>
          <w:rFonts w:hint="eastAsia" w:ascii="宋体" w:hAnsi="宋体" w:eastAsia="宋体" w:cs="宋体"/>
          <w:sz w:val="21"/>
          <w:szCs w:val="21"/>
        </w:rPr>
        <w:t> </w:t>
      </w:r>
    </w:p>
    <w:p>
      <w:pPr>
        <w:pStyle w:val="4"/>
        <w:keepNext w:val="0"/>
        <w:keepLines w:val="0"/>
        <w:widowControl/>
        <w:suppressLineNumbers w:val="0"/>
      </w:pPr>
      <w:r>
        <w:rPr>
          <w:rFonts w:hint="eastAsia" w:ascii="宋体" w:hAnsi="宋体" w:eastAsia="宋体" w:cs="宋体"/>
          <w:sz w:val="21"/>
          <w:szCs w:val="21"/>
        </w:rPr>
        <w:t>牵头方：</w:t>
      </w:r>
      <w:r>
        <w:rPr>
          <w:rFonts w:hint="eastAsia" w:ascii="宋体" w:hAnsi="宋体" w:eastAsia="宋体" w:cs="宋体"/>
          <w:sz w:val="21"/>
          <w:szCs w:val="21"/>
          <w:u w:val="single"/>
        </w:rPr>
        <w:t>（全称并加盖单位公章）</w:t>
      </w:r>
    </w:p>
    <w:p>
      <w:pPr>
        <w:pStyle w:val="4"/>
        <w:keepNext w:val="0"/>
        <w:keepLines w:val="0"/>
        <w:widowControl/>
        <w:suppressLineNumbers w:val="0"/>
      </w:pPr>
      <w:r>
        <w:rPr>
          <w:rFonts w:hint="eastAsia" w:ascii="宋体" w:hAnsi="宋体" w:eastAsia="宋体" w:cs="宋体"/>
          <w:sz w:val="21"/>
          <w:szCs w:val="21"/>
        </w:rPr>
        <w:t>法定代表人或其委托代理人：</w:t>
      </w:r>
      <w:r>
        <w:rPr>
          <w:rFonts w:hint="eastAsia" w:ascii="宋体" w:hAnsi="宋体" w:eastAsia="宋体" w:cs="宋体"/>
          <w:sz w:val="21"/>
          <w:szCs w:val="21"/>
          <w:u w:val="single"/>
        </w:rPr>
        <w:t>  （签字或盖章）  </w:t>
      </w:r>
    </w:p>
    <w:p>
      <w:pPr>
        <w:pStyle w:val="4"/>
        <w:keepNext w:val="0"/>
        <w:keepLines w:val="0"/>
        <w:widowControl/>
        <w:suppressLineNumbers w:val="0"/>
      </w:pPr>
      <w:r>
        <w:rPr>
          <w:rFonts w:hint="eastAsia" w:ascii="宋体" w:hAnsi="宋体" w:eastAsia="宋体" w:cs="宋体"/>
          <w:sz w:val="21"/>
          <w:szCs w:val="21"/>
        </w:rPr>
        <w:t> </w:t>
      </w:r>
    </w:p>
    <w:p>
      <w:pPr>
        <w:pStyle w:val="4"/>
        <w:keepNext w:val="0"/>
        <w:keepLines w:val="0"/>
        <w:widowControl/>
        <w:suppressLineNumbers w:val="0"/>
      </w:pPr>
      <w:r>
        <w:rPr>
          <w:rFonts w:hint="eastAsia" w:ascii="宋体" w:hAnsi="宋体" w:eastAsia="宋体" w:cs="宋体"/>
          <w:sz w:val="21"/>
          <w:szCs w:val="21"/>
        </w:rPr>
        <w:t>成员一：</w:t>
      </w:r>
      <w:r>
        <w:rPr>
          <w:rFonts w:hint="eastAsia" w:ascii="宋体" w:hAnsi="宋体" w:eastAsia="宋体" w:cs="宋体"/>
          <w:sz w:val="21"/>
          <w:szCs w:val="21"/>
          <w:u w:val="single"/>
        </w:rPr>
        <w:t>（全称并加盖成员一的单位公章）</w:t>
      </w:r>
    </w:p>
    <w:p>
      <w:pPr>
        <w:pStyle w:val="4"/>
        <w:keepNext w:val="0"/>
        <w:keepLines w:val="0"/>
        <w:widowControl/>
        <w:suppressLineNumbers w:val="0"/>
      </w:pPr>
      <w:r>
        <w:rPr>
          <w:rFonts w:hint="eastAsia" w:ascii="宋体" w:hAnsi="宋体" w:eastAsia="宋体" w:cs="宋体"/>
          <w:sz w:val="21"/>
          <w:szCs w:val="21"/>
        </w:rPr>
        <w:t>法定代表人或其委托代理人：</w:t>
      </w:r>
      <w:r>
        <w:rPr>
          <w:rFonts w:hint="eastAsia" w:ascii="宋体" w:hAnsi="宋体" w:eastAsia="宋体" w:cs="宋体"/>
          <w:sz w:val="21"/>
          <w:szCs w:val="21"/>
          <w:u w:val="single"/>
        </w:rPr>
        <w:t>  （签字或盖章）  </w:t>
      </w:r>
    </w:p>
    <w:p>
      <w:pPr>
        <w:pStyle w:val="4"/>
        <w:keepNext w:val="0"/>
        <w:keepLines w:val="0"/>
        <w:widowControl/>
        <w:suppressLineNumbers w:val="0"/>
      </w:pPr>
      <w:r>
        <w:rPr>
          <w:rFonts w:hint="eastAsia" w:ascii="宋体" w:hAnsi="宋体" w:eastAsia="宋体" w:cs="宋体"/>
          <w:sz w:val="21"/>
          <w:szCs w:val="21"/>
        </w:rPr>
        <w:t>……</w:t>
      </w:r>
    </w:p>
    <w:p>
      <w:pPr>
        <w:pStyle w:val="4"/>
        <w:keepNext w:val="0"/>
        <w:keepLines w:val="0"/>
        <w:widowControl/>
        <w:suppressLineNumbers w:val="0"/>
      </w:pPr>
      <w:r>
        <w:rPr>
          <w:rFonts w:hint="eastAsia" w:ascii="宋体" w:hAnsi="宋体" w:eastAsia="宋体" w:cs="宋体"/>
          <w:sz w:val="21"/>
          <w:szCs w:val="21"/>
        </w:rPr>
        <w:t> </w:t>
      </w:r>
    </w:p>
    <w:p>
      <w:pPr>
        <w:pStyle w:val="4"/>
        <w:keepNext w:val="0"/>
        <w:keepLines w:val="0"/>
        <w:widowControl/>
        <w:suppressLineNumbers w:val="0"/>
      </w:pPr>
      <w:r>
        <w:rPr>
          <w:rFonts w:hint="eastAsia" w:ascii="宋体" w:hAnsi="宋体" w:eastAsia="宋体" w:cs="宋体"/>
          <w:sz w:val="21"/>
          <w:szCs w:val="21"/>
        </w:rPr>
        <w:t>成员**：</w:t>
      </w:r>
      <w:r>
        <w:rPr>
          <w:rFonts w:hint="eastAsia" w:ascii="宋体" w:hAnsi="宋体" w:eastAsia="宋体" w:cs="宋体"/>
          <w:sz w:val="21"/>
          <w:szCs w:val="21"/>
          <w:u w:val="single"/>
        </w:rPr>
        <w:t>（全称并加盖成员**的单位公章）</w:t>
      </w:r>
    </w:p>
    <w:p>
      <w:pPr>
        <w:pStyle w:val="4"/>
        <w:keepNext w:val="0"/>
        <w:keepLines w:val="0"/>
        <w:widowControl/>
        <w:suppressLineNumbers w:val="0"/>
      </w:pPr>
      <w:r>
        <w:rPr>
          <w:rFonts w:hint="eastAsia" w:ascii="宋体" w:hAnsi="宋体" w:eastAsia="宋体" w:cs="宋体"/>
          <w:sz w:val="21"/>
          <w:szCs w:val="21"/>
        </w:rPr>
        <w:t>法定代表人或其委托代理人：</w:t>
      </w:r>
      <w:r>
        <w:rPr>
          <w:rFonts w:hint="eastAsia" w:ascii="宋体" w:hAnsi="宋体" w:eastAsia="宋体" w:cs="宋体"/>
          <w:sz w:val="21"/>
          <w:szCs w:val="21"/>
          <w:u w:val="single"/>
        </w:rPr>
        <w:t>  （签字或盖章）  </w:t>
      </w:r>
    </w:p>
    <w:p>
      <w:pPr>
        <w:pStyle w:val="4"/>
        <w:keepNext w:val="0"/>
        <w:keepLines w:val="0"/>
        <w:widowControl/>
        <w:suppressLineNumbers w:val="0"/>
      </w:pPr>
      <w:r>
        <w:rPr>
          <w:rFonts w:hint="eastAsia" w:ascii="宋体" w:hAnsi="宋体" w:eastAsia="宋体" w:cs="宋体"/>
          <w:sz w:val="21"/>
          <w:szCs w:val="21"/>
        </w:rPr>
        <w:t> </w:t>
      </w:r>
    </w:p>
    <w:p>
      <w:pPr>
        <w:pStyle w:val="4"/>
        <w:keepNext w:val="0"/>
        <w:keepLines w:val="0"/>
        <w:widowControl/>
        <w:suppressLineNumbers w:val="0"/>
      </w:pPr>
      <w:r>
        <w:rPr>
          <w:rFonts w:hint="eastAsia" w:ascii="宋体" w:hAnsi="宋体" w:eastAsia="宋体" w:cs="宋体"/>
          <w:sz w:val="21"/>
          <w:szCs w:val="21"/>
        </w:rPr>
        <w:t> </w:t>
      </w:r>
    </w:p>
    <w:p>
      <w:pPr>
        <w:pStyle w:val="4"/>
        <w:keepNext w:val="0"/>
        <w:keepLines w:val="0"/>
        <w:widowControl/>
        <w:suppressLineNumbers w:val="0"/>
        <w:jc w:val="right"/>
      </w:pPr>
      <w:r>
        <w:rPr>
          <w:rFonts w:hint="eastAsia" w:ascii="宋体" w:hAnsi="宋体" w:eastAsia="宋体" w:cs="宋体"/>
          <w:sz w:val="21"/>
          <w:szCs w:val="21"/>
        </w:rPr>
        <w:t>签署日期：</w:t>
      </w:r>
      <w:r>
        <w:rPr>
          <w:rFonts w:hint="eastAsia" w:ascii="宋体" w:hAnsi="宋体" w:eastAsia="宋体" w:cs="宋体"/>
          <w:sz w:val="21"/>
          <w:szCs w:val="21"/>
          <w:u w:val="single"/>
        </w:rPr>
        <w:t>    </w:t>
      </w:r>
      <w:r>
        <w:rPr>
          <w:rFonts w:hint="eastAsia" w:ascii="宋体" w:hAnsi="宋体" w:eastAsia="宋体" w:cs="宋体"/>
          <w:sz w:val="21"/>
          <w:szCs w:val="21"/>
        </w:rPr>
        <w:t>年</w:t>
      </w:r>
      <w:r>
        <w:rPr>
          <w:rFonts w:hint="eastAsia" w:ascii="宋体" w:hAnsi="宋体" w:eastAsia="宋体" w:cs="宋体"/>
          <w:sz w:val="21"/>
          <w:szCs w:val="21"/>
          <w:u w:val="single"/>
        </w:rPr>
        <w:t>   </w:t>
      </w:r>
      <w:r>
        <w:rPr>
          <w:rFonts w:hint="eastAsia" w:ascii="宋体" w:hAnsi="宋体" w:eastAsia="宋体" w:cs="宋体"/>
          <w:sz w:val="21"/>
          <w:szCs w:val="21"/>
        </w:rPr>
        <w:t>月</w:t>
      </w:r>
      <w:r>
        <w:rPr>
          <w:rFonts w:hint="eastAsia" w:ascii="宋体" w:hAnsi="宋体" w:eastAsia="宋体" w:cs="宋体"/>
          <w:sz w:val="21"/>
          <w:szCs w:val="21"/>
          <w:u w:val="single"/>
        </w:rPr>
        <w:t>   </w:t>
      </w:r>
      <w:r>
        <w:rPr>
          <w:rFonts w:hint="eastAsia" w:ascii="宋体" w:hAnsi="宋体" w:eastAsia="宋体" w:cs="宋体"/>
          <w:sz w:val="21"/>
          <w:szCs w:val="21"/>
        </w:rPr>
        <w:t>日</w:t>
      </w:r>
    </w:p>
    <w:p>
      <w:pPr>
        <w:pStyle w:val="4"/>
        <w:keepNext w:val="0"/>
        <w:keepLines w:val="0"/>
        <w:widowControl/>
        <w:suppressLineNumbers w:val="0"/>
      </w:pPr>
      <w:r>
        <w:rPr>
          <w:rFonts w:hint="eastAsia" w:ascii="宋体" w:hAnsi="宋体" w:eastAsia="宋体" w:cs="宋体"/>
          <w:sz w:val="21"/>
          <w:szCs w:val="21"/>
        </w:rPr>
        <w:t> </w:t>
      </w:r>
    </w:p>
    <w:p>
      <w:pPr>
        <w:pStyle w:val="4"/>
        <w:keepNext w:val="0"/>
        <w:keepLines w:val="0"/>
        <w:widowControl/>
        <w:suppressLineNumbers w:val="0"/>
      </w:pPr>
      <w:r>
        <w:rPr>
          <w:rFonts w:hint="eastAsia" w:ascii="宋体" w:hAnsi="宋体" w:eastAsia="宋体" w:cs="宋体"/>
          <w:sz w:val="21"/>
          <w:szCs w:val="21"/>
        </w:rPr>
        <w:t>★注意：</w:t>
      </w:r>
    </w:p>
    <w:p>
      <w:pPr>
        <w:pStyle w:val="4"/>
        <w:keepNext w:val="0"/>
        <w:keepLines w:val="0"/>
        <w:widowControl/>
        <w:suppressLineNumbers w:val="0"/>
      </w:pPr>
      <w:r>
        <w:rPr>
          <w:rFonts w:hint="eastAsia" w:ascii="宋体" w:hAnsi="宋体" w:eastAsia="宋体" w:cs="宋体"/>
          <w:sz w:val="21"/>
          <w:szCs w:val="21"/>
        </w:rPr>
        <w:t>1、招标文件接受联合体投标且投标人为联合体的，投标人应提供本协议；否则无须提供。</w:t>
      </w:r>
    </w:p>
    <w:p>
      <w:pPr>
        <w:pStyle w:val="4"/>
        <w:keepNext w:val="0"/>
        <w:keepLines w:val="0"/>
        <w:widowControl/>
        <w:suppressLineNumbers w:val="0"/>
      </w:pPr>
      <w:r>
        <w:rPr>
          <w:rFonts w:hint="eastAsia" w:ascii="宋体" w:hAnsi="宋体" w:eastAsia="宋体" w:cs="宋体"/>
          <w:sz w:val="21"/>
          <w:szCs w:val="21"/>
        </w:rPr>
        <w:t>2、本协议由委托代理人签字或盖章的，应按照本章载明的格式提供“单位负责人授权书”。</w:t>
      </w:r>
    </w:p>
    <w:p>
      <w:pPr>
        <w:pStyle w:val="4"/>
        <w:keepNext w:val="0"/>
        <w:keepLines w:val="0"/>
        <w:widowControl/>
        <w:suppressLineNumbers w:val="0"/>
      </w:pPr>
      <w:r>
        <w:rPr>
          <w:rFonts w:hint="eastAsia" w:ascii="宋体" w:hAnsi="宋体" w:eastAsia="宋体" w:cs="宋体"/>
          <w:sz w:val="21"/>
          <w:szCs w:val="21"/>
        </w:rPr>
        <w:t>3、纸质投标文件正本中的本协议（若有）应为原件。</w:t>
      </w:r>
    </w:p>
    <w:p>
      <w:pPr>
        <w:pStyle w:val="4"/>
        <w:keepNext w:val="0"/>
        <w:keepLines w:val="0"/>
        <w:widowControl/>
        <w:suppressLineNumbers w:val="0"/>
      </w:pPr>
      <w:r>
        <w:rPr>
          <w:rFonts w:hint="eastAsia" w:ascii="宋体" w:hAnsi="宋体" w:eastAsia="宋体" w:cs="宋体"/>
          <w:sz w:val="21"/>
          <w:szCs w:val="21"/>
        </w:rPr>
        <w:t> </w:t>
      </w:r>
    </w:p>
    <w:p>
      <w:pPr>
        <w:pStyle w:val="4"/>
        <w:keepNext w:val="0"/>
        <w:keepLines w:val="0"/>
        <w:widowControl/>
        <w:suppressLineNumbers w:val="0"/>
      </w:pPr>
      <w:r>
        <w:rPr>
          <w:rFonts w:hint="eastAsia" w:ascii="宋体" w:hAnsi="宋体" w:eastAsia="宋体" w:cs="宋体"/>
          <w:sz w:val="21"/>
          <w:szCs w:val="21"/>
        </w:rPr>
        <w:t> </w:t>
      </w:r>
    </w:p>
    <w:p>
      <w:pPr>
        <w:pStyle w:val="4"/>
        <w:keepNext w:val="0"/>
        <w:keepLines w:val="0"/>
        <w:widowControl/>
        <w:suppressLineNumbers w:val="0"/>
        <w:jc w:val="center"/>
      </w:pPr>
      <w:r>
        <w:rPr>
          <w:rFonts w:hint="default" w:ascii="Calibri" w:hAnsi="Calibri" w:cs="Calibri"/>
          <w:sz w:val="21"/>
          <w:szCs w:val="21"/>
        </w:rPr>
        <w:br w:type="textWrapping"/>
      </w:r>
      <w:r>
        <w:rPr>
          <w:rStyle w:val="6"/>
          <w:rFonts w:hint="eastAsia" w:ascii="宋体" w:hAnsi="宋体" w:eastAsia="宋体" w:cs="宋体"/>
          <w:sz w:val="21"/>
          <w:szCs w:val="21"/>
        </w:rPr>
        <w:t>二-11中小企业声明函</w:t>
      </w:r>
    </w:p>
    <w:p>
      <w:pPr>
        <w:pStyle w:val="4"/>
        <w:keepNext w:val="0"/>
        <w:keepLines w:val="0"/>
        <w:widowControl/>
        <w:suppressLineNumbers w:val="0"/>
        <w:jc w:val="center"/>
      </w:pPr>
      <w:r>
        <w:rPr>
          <w:rStyle w:val="6"/>
          <w:rFonts w:hint="eastAsia" w:ascii="宋体" w:hAnsi="宋体" w:eastAsia="宋体" w:cs="宋体"/>
          <w:sz w:val="21"/>
          <w:szCs w:val="21"/>
        </w:rPr>
        <w:t>（专门面向中小企业或小型、微型企业适用，若有）</w:t>
      </w:r>
    </w:p>
    <w:p>
      <w:pPr>
        <w:pStyle w:val="4"/>
        <w:keepNext w:val="0"/>
        <w:keepLines w:val="0"/>
        <w:widowControl/>
        <w:suppressLineNumbers w:val="0"/>
      </w:pPr>
      <w:r>
        <w:rPr>
          <w:rStyle w:val="6"/>
          <w:rFonts w:hint="eastAsia" w:ascii="宋体" w:hAnsi="宋体" w:eastAsia="宋体" w:cs="宋体"/>
          <w:sz w:val="21"/>
          <w:szCs w:val="21"/>
        </w:rPr>
        <w:t> </w:t>
      </w:r>
    </w:p>
    <w:p>
      <w:pPr>
        <w:pStyle w:val="4"/>
        <w:keepNext w:val="0"/>
        <w:keepLines w:val="0"/>
        <w:widowControl/>
        <w:suppressLineNumbers w:val="0"/>
        <w:ind w:left="0" w:firstLine="420"/>
      </w:pPr>
      <w:r>
        <w:rPr>
          <w:rFonts w:hint="eastAsia" w:ascii="宋体" w:hAnsi="宋体" w:eastAsia="宋体" w:cs="宋体"/>
          <w:sz w:val="21"/>
          <w:szCs w:val="21"/>
        </w:rPr>
        <w:t>本投标人郑重声明，根据《政府采购促进中小企业发展暂行办法》（财库[2011]181号）的规定，本投标人为</w:t>
      </w:r>
      <w:r>
        <w:rPr>
          <w:rFonts w:hint="eastAsia" w:ascii="宋体" w:hAnsi="宋体" w:eastAsia="宋体" w:cs="宋体"/>
          <w:sz w:val="21"/>
          <w:szCs w:val="21"/>
          <w:u w:val="single"/>
        </w:rPr>
        <w:t>（填写“中型</w:t>
      </w:r>
      <w:r>
        <w:rPr>
          <w:rFonts w:hint="default" w:ascii="Calibri" w:hAnsi="Calibri" w:eastAsia="宋体" w:cs="Calibri"/>
          <w:sz w:val="21"/>
          <w:szCs w:val="21"/>
          <w:u w:val="single"/>
        </w:rPr>
        <w:t>/</w:t>
      </w:r>
      <w:r>
        <w:rPr>
          <w:rFonts w:hint="eastAsia" w:ascii="宋体" w:hAnsi="宋体" w:eastAsia="宋体" w:cs="宋体"/>
          <w:sz w:val="21"/>
          <w:szCs w:val="21"/>
          <w:u w:val="single"/>
        </w:rPr>
        <w:t>小型</w:t>
      </w:r>
      <w:r>
        <w:rPr>
          <w:rFonts w:hint="default" w:ascii="Calibri" w:hAnsi="Calibri" w:eastAsia="宋体" w:cs="Calibri"/>
          <w:sz w:val="21"/>
          <w:szCs w:val="21"/>
          <w:u w:val="single"/>
        </w:rPr>
        <w:t>/</w:t>
      </w:r>
      <w:r>
        <w:rPr>
          <w:rFonts w:hint="eastAsia" w:ascii="宋体" w:hAnsi="宋体" w:eastAsia="宋体" w:cs="宋体"/>
          <w:sz w:val="21"/>
          <w:szCs w:val="21"/>
          <w:u w:val="single"/>
        </w:rPr>
        <w:t>微型”）</w:t>
      </w:r>
      <w:r>
        <w:rPr>
          <w:rFonts w:hint="eastAsia" w:ascii="宋体" w:hAnsi="宋体" w:eastAsia="宋体" w:cs="宋体"/>
          <w:sz w:val="21"/>
          <w:szCs w:val="21"/>
        </w:rPr>
        <w:t>企业。即本投标人同时满足以下条件：</w:t>
      </w:r>
    </w:p>
    <w:p>
      <w:pPr>
        <w:pStyle w:val="4"/>
        <w:keepNext w:val="0"/>
        <w:keepLines w:val="0"/>
        <w:widowControl/>
        <w:suppressLineNumbers w:val="0"/>
        <w:ind w:left="0" w:firstLine="420"/>
      </w:pPr>
      <w:r>
        <w:rPr>
          <w:rFonts w:hint="eastAsia" w:ascii="宋体" w:hAnsi="宋体" w:eastAsia="宋体" w:cs="宋体"/>
          <w:sz w:val="21"/>
          <w:szCs w:val="21"/>
        </w:rPr>
        <w:t>1、根据《工业和信息化部、国家统计局、国家发展和改革委员会、财政部关于印发中小企业划型标准规定的通知》（工信部联企业</w:t>
      </w:r>
      <w:r>
        <w:rPr>
          <w:rFonts w:hint="default" w:ascii="Calibri" w:hAnsi="Calibri" w:eastAsia="宋体" w:cs="Calibri"/>
          <w:sz w:val="21"/>
          <w:szCs w:val="21"/>
        </w:rPr>
        <w:t>[2011]300</w:t>
      </w:r>
      <w:r>
        <w:rPr>
          <w:rFonts w:hint="eastAsia" w:ascii="宋体" w:hAnsi="宋体" w:eastAsia="宋体" w:cs="宋体"/>
          <w:sz w:val="21"/>
          <w:szCs w:val="21"/>
        </w:rPr>
        <w:t>号）规定的划分标准，本投标人为</w:t>
      </w:r>
      <w:r>
        <w:rPr>
          <w:rFonts w:hint="eastAsia" w:ascii="宋体" w:hAnsi="宋体" w:eastAsia="宋体" w:cs="宋体"/>
          <w:sz w:val="21"/>
          <w:szCs w:val="21"/>
          <w:u w:val="single"/>
        </w:rPr>
        <w:t>  （填写“中型</w:t>
      </w:r>
      <w:r>
        <w:rPr>
          <w:rFonts w:hint="default" w:ascii="Calibri" w:hAnsi="Calibri" w:eastAsia="宋体" w:cs="Calibri"/>
          <w:sz w:val="21"/>
          <w:szCs w:val="21"/>
          <w:u w:val="single"/>
        </w:rPr>
        <w:t>/</w:t>
      </w:r>
      <w:r>
        <w:rPr>
          <w:rFonts w:hint="eastAsia" w:ascii="宋体" w:hAnsi="宋体" w:eastAsia="宋体" w:cs="宋体"/>
          <w:sz w:val="21"/>
          <w:szCs w:val="21"/>
          <w:u w:val="single"/>
        </w:rPr>
        <w:t>小型</w:t>
      </w:r>
      <w:r>
        <w:rPr>
          <w:rFonts w:hint="default" w:ascii="Calibri" w:hAnsi="Calibri" w:eastAsia="宋体" w:cs="Calibri"/>
          <w:sz w:val="21"/>
          <w:szCs w:val="21"/>
          <w:u w:val="single"/>
        </w:rPr>
        <w:t>/</w:t>
      </w:r>
      <w:r>
        <w:rPr>
          <w:rFonts w:hint="eastAsia" w:ascii="宋体" w:hAnsi="宋体" w:eastAsia="宋体" w:cs="宋体"/>
          <w:sz w:val="21"/>
          <w:szCs w:val="21"/>
          <w:u w:val="single"/>
        </w:rPr>
        <w:t>微型”）</w:t>
      </w:r>
      <w:r>
        <w:rPr>
          <w:rFonts w:hint="eastAsia" w:ascii="宋体" w:hAnsi="宋体" w:eastAsia="宋体" w:cs="宋体"/>
          <w:sz w:val="21"/>
          <w:szCs w:val="21"/>
        </w:rPr>
        <w:t>企业。</w:t>
      </w:r>
    </w:p>
    <w:p>
      <w:pPr>
        <w:pStyle w:val="4"/>
        <w:keepNext w:val="0"/>
        <w:keepLines w:val="0"/>
        <w:widowControl/>
        <w:suppressLineNumbers w:val="0"/>
        <w:ind w:left="0" w:firstLine="420"/>
      </w:pPr>
      <w:r>
        <w:rPr>
          <w:rFonts w:hint="eastAsia" w:ascii="宋体" w:hAnsi="宋体" w:eastAsia="宋体" w:cs="宋体"/>
          <w:sz w:val="21"/>
          <w:szCs w:val="21"/>
        </w:rPr>
        <w:t>2、本投标人参加贵单位组织的</w:t>
      </w:r>
      <w:r>
        <w:rPr>
          <w:rFonts w:hint="eastAsia" w:ascii="宋体" w:hAnsi="宋体" w:eastAsia="宋体" w:cs="宋体"/>
          <w:sz w:val="21"/>
          <w:szCs w:val="21"/>
          <w:u w:val="single"/>
        </w:rPr>
        <w:t xml:space="preserve"> （填写“项目名称”） </w:t>
      </w:r>
      <w:r>
        <w:rPr>
          <w:rFonts w:hint="eastAsia" w:ascii="宋体" w:hAnsi="宋体" w:eastAsia="宋体" w:cs="宋体"/>
          <w:sz w:val="21"/>
          <w:szCs w:val="21"/>
        </w:rPr>
        <w:t>项目采购活动，其中：</w:t>
      </w:r>
    </w:p>
    <w:p>
      <w:pPr>
        <w:pStyle w:val="4"/>
        <w:keepNext w:val="0"/>
        <w:keepLines w:val="0"/>
        <w:widowControl/>
        <w:suppressLineNumbers w:val="0"/>
        <w:ind w:left="0" w:firstLine="420"/>
      </w:pPr>
      <w:r>
        <w:rPr>
          <w:rFonts w:hint="eastAsia" w:ascii="宋体" w:hAnsi="宋体" w:eastAsia="宋体" w:cs="宋体"/>
          <w:sz w:val="21"/>
          <w:szCs w:val="21"/>
        </w:rPr>
        <w:t>①货物（不包括使用大型企业注册商标的货物）：</w:t>
      </w:r>
    </w:p>
    <w:p>
      <w:pPr>
        <w:pStyle w:val="4"/>
        <w:keepNext w:val="0"/>
        <w:keepLines w:val="0"/>
        <w:widowControl/>
        <w:suppressLineNumbers w:val="0"/>
        <w:ind w:left="0" w:firstLine="420"/>
      </w:pPr>
      <w:r>
        <w:rPr>
          <w:rFonts w:hint="eastAsia" w:ascii="宋体" w:hAnsi="宋体" w:eastAsia="宋体" w:cs="宋体"/>
          <w:sz w:val="21"/>
          <w:szCs w:val="21"/>
        </w:rPr>
        <w:t>（ ）提供本投标人制造的</w:t>
      </w:r>
      <w:r>
        <w:rPr>
          <w:rFonts w:hint="eastAsia" w:ascii="宋体" w:hAnsi="宋体" w:eastAsia="宋体" w:cs="宋体"/>
          <w:sz w:val="21"/>
          <w:szCs w:val="21"/>
          <w:u w:val="single"/>
        </w:rPr>
        <w:t>（填写“所投合同包、品目号”）</w:t>
      </w:r>
      <w:r>
        <w:rPr>
          <w:rFonts w:hint="eastAsia" w:ascii="宋体" w:hAnsi="宋体" w:eastAsia="宋体" w:cs="宋体"/>
          <w:sz w:val="21"/>
          <w:szCs w:val="21"/>
        </w:rPr>
        <w:t>货物；或</w:t>
      </w:r>
    </w:p>
    <w:p>
      <w:pPr>
        <w:pStyle w:val="4"/>
        <w:keepNext w:val="0"/>
        <w:keepLines w:val="0"/>
        <w:widowControl/>
        <w:suppressLineNumbers w:val="0"/>
        <w:ind w:left="0" w:firstLine="420"/>
      </w:pPr>
      <w:r>
        <w:rPr>
          <w:rFonts w:hint="eastAsia" w:ascii="宋体" w:hAnsi="宋体" w:eastAsia="宋体" w:cs="宋体"/>
          <w:sz w:val="21"/>
          <w:szCs w:val="21"/>
        </w:rPr>
        <w:t>（ ）提供其他</w:t>
      </w:r>
      <w:r>
        <w:rPr>
          <w:rFonts w:hint="eastAsia" w:ascii="宋体" w:hAnsi="宋体" w:eastAsia="宋体" w:cs="宋体"/>
          <w:sz w:val="21"/>
          <w:szCs w:val="21"/>
          <w:u w:val="single"/>
        </w:rPr>
        <w:t>（填写“中型</w:t>
      </w:r>
      <w:r>
        <w:rPr>
          <w:rFonts w:hint="default" w:ascii="Calibri" w:hAnsi="Calibri" w:eastAsia="宋体" w:cs="Calibri"/>
          <w:sz w:val="21"/>
          <w:szCs w:val="21"/>
          <w:u w:val="single"/>
        </w:rPr>
        <w:t>/</w:t>
      </w:r>
      <w:r>
        <w:rPr>
          <w:rFonts w:hint="eastAsia" w:ascii="宋体" w:hAnsi="宋体" w:eastAsia="宋体" w:cs="宋体"/>
          <w:sz w:val="21"/>
          <w:szCs w:val="21"/>
          <w:u w:val="single"/>
        </w:rPr>
        <w:t>小型</w:t>
      </w:r>
      <w:r>
        <w:rPr>
          <w:rFonts w:hint="default" w:ascii="Calibri" w:hAnsi="Calibri" w:eastAsia="宋体" w:cs="Calibri"/>
          <w:sz w:val="21"/>
          <w:szCs w:val="21"/>
          <w:u w:val="single"/>
        </w:rPr>
        <w:t>/</w:t>
      </w:r>
      <w:r>
        <w:rPr>
          <w:rFonts w:hint="eastAsia" w:ascii="宋体" w:hAnsi="宋体" w:eastAsia="宋体" w:cs="宋体"/>
          <w:sz w:val="21"/>
          <w:szCs w:val="21"/>
          <w:u w:val="single"/>
        </w:rPr>
        <w:t>微型”）</w:t>
      </w:r>
      <w:r>
        <w:rPr>
          <w:rFonts w:hint="eastAsia" w:ascii="宋体" w:hAnsi="宋体" w:eastAsia="宋体" w:cs="宋体"/>
          <w:sz w:val="21"/>
          <w:szCs w:val="21"/>
        </w:rPr>
        <w:t>企业制造的</w:t>
      </w:r>
      <w:r>
        <w:rPr>
          <w:rFonts w:hint="eastAsia" w:ascii="宋体" w:hAnsi="宋体" w:eastAsia="宋体" w:cs="宋体"/>
          <w:sz w:val="21"/>
          <w:szCs w:val="21"/>
          <w:u w:val="single"/>
        </w:rPr>
        <w:t>（填写“所投合同包、品目号”）</w:t>
      </w:r>
      <w:r>
        <w:rPr>
          <w:rFonts w:hint="eastAsia" w:ascii="宋体" w:hAnsi="宋体" w:eastAsia="宋体" w:cs="宋体"/>
          <w:sz w:val="21"/>
          <w:szCs w:val="21"/>
        </w:rPr>
        <w:t>货物。</w:t>
      </w:r>
    </w:p>
    <w:p>
      <w:pPr>
        <w:pStyle w:val="4"/>
        <w:keepNext w:val="0"/>
        <w:keepLines w:val="0"/>
        <w:widowControl/>
        <w:suppressLineNumbers w:val="0"/>
        <w:ind w:left="0" w:firstLine="420"/>
      </w:pPr>
      <w:r>
        <w:rPr>
          <w:rFonts w:hint="eastAsia" w:ascii="宋体" w:hAnsi="宋体" w:eastAsia="宋体" w:cs="宋体"/>
          <w:sz w:val="21"/>
          <w:szCs w:val="21"/>
        </w:rPr>
        <w:t>②工程：</w:t>
      </w:r>
    </w:p>
    <w:p>
      <w:pPr>
        <w:pStyle w:val="4"/>
        <w:keepNext w:val="0"/>
        <w:keepLines w:val="0"/>
        <w:widowControl/>
        <w:suppressLineNumbers w:val="0"/>
        <w:ind w:left="0" w:firstLine="420"/>
      </w:pPr>
      <w:r>
        <w:rPr>
          <w:rFonts w:hint="eastAsia" w:ascii="宋体" w:hAnsi="宋体" w:eastAsia="宋体" w:cs="宋体"/>
          <w:sz w:val="21"/>
          <w:szCs w:val="21"/>
        </w:rPr>
        <w:t>（ ）由本投标人承担的</w:t>
      </w:r>
      <w:r>
        <w:rPr>
          <w:rFonts w:hint="eastAsia" w:ascii="宋体" w:hAnsi="宋体" w:eastAsia="宋体" w:cs="宋体"/>
          <w:sz w:val="21"/>
          <w:szCs w:val="21"/>
          <w:u w:val="single"/>
        </w:rPr>
        <w:t>（填写“所投合同包、品目号”）</w:t>
      </w:r>
      <w:r>
        <w:rPr>
          <w:rFonts w:hint="eastAsia" w:ascii="宋体" w:hAnsi="宋体" w:eastAsia="宋体" w:cs="宋体"/>
          <w:sz w:val="21"/>
          <w:szCs w:val="21"/>
        </w:rPr>
        <w:t>工程。</w:t>
      </w:r>
    </w:p>
    <w:p>
      <w:pPr>
        <w:pStyle w:val="4"/>
        <w:keepNext w:val="0"/>
        <w:keepLines w:val="0"/>
        <w:widowControl/>
        <w:suppressLineNumbers w:val="0"/>
        <w:ind w:left="0" w:firstLine="420"/>
      </w:pPr>
      <w:r>
        <w:rPr>
          <w:rFonts w:hint="eastAsia" w:ascii="宋体" w:hAnsi="宋体" w:eastAsia="宋体" w:cs="宋体"/>
          <w:sz w:val="21"/>
          <w:szCs w:val="21"/>
        </w:rPr>
        <w:t>③服务：</w:t>
      </w:r>
    </w:p>
    <w:p>
      <w:pPr>
        <w:pStyle w:val="4"/>
        <w:keepNext w:val="0"/>
        <w:keepLines w:val="0"/>
        <w:widowControl/>
        <w:suppressLineNumbers w:val="0"/>
        <w:ind w:left="0" w:firstLine="420"/>
      </w:pPr>
      <w:r>
        <w:rPr>
          <w:rFonts w:hint="eastAsia" w:ascii="宋体" w:hAnsi="宋体" w:eastAsia="宋体" w:cs="宋体"/>
          <w:sz w:val="21"/>
          <w:szCs w:val="21"/>
        </w:rPr>
        <w:t>（ ）由本投标人提供的</w:t>
      </w:r>
      <w:r>
        <w:rPr>
          <w:rFonts w:hint="eastAsia" w:ascii="宋体" w:hAnsi="宋体" w:eastAsia="宋体" w:cs="宋体"/>
          <w:sz w:val="21"/>
          <w:szCs w:val="21"/>
          <w:u w:val="single"/>
        </w:rPr>
        <w:t>（填写“所投合同包、品目号”）</w:t>
      </w:r>
      <w:r>
        <w:rPr>
          <w:rFonts w:hint="eastAsia" w:ascii="宋体" w:hAnsi="宋体" w:eastAsia="宋体" w:cs="宋体"/>
          <w:sz w:val="21"/>
          <w:szCs w:val="21"/>
        </w:rPr>
        <w:t>服务。</w:t>
      </w:r>
    </w:p>
    <w:p>
      <w:pPr>
        <w:pStyle w:val="4"/>
        <w:keepNext w:val="0"/>
        <w:keepLines w:val="0"/>
        <w:widowControl/>
        <w:suppressLineNumbers w:val="0"/>
        <w:ind w:left="0" w:firstLine="420"/>
      </w:pPr>
      <w:r>
        <w:rPr>
          <w:rFonts w:hint="eastAsia" w:ascii="宋体" w:hAnsi="宋体" w:eastAsia="宋体" w:cs="宋体"/>
          <w:sz w:val="21"/>
          <w:szCs w:val="21"/>
        </w:rPr>
        <w:t>本投标人对上述声明的真实性负责。如有虚假，将依法承担相应责任。</w:t>
      </w:r>
    </w:p>
    <w:p>
      <w:pPr>
        <w:pStyle w:val="4"/>
        <w:keepNext w:val="0"/>
        <w:keepLines w:val="0"/>
        <w:widowControl/>
        <w:suppressLineNumbers w:val="0"/>
        <w:ind w:left="0" w:firstLine="420"/>
      </w:pPr>
      <w:r>
        <w:rPr>
          <w:rFonts w:hint="default" w:ascii="Calibri" w:hAnsi="Calibri" w:cs="Calibri"/>
          <w:sz w:val="21"/>
          <w:szCs w:val="21"/>
        </w:rPr>
        <w:t> </w:t>
      </w:r>
    </w:p>
    <w:p>
      <w:pPr>
        <w:pStyle w:val="4"/>
        <w:keepNext w:val="0"/>
        <w:keepLines w:val="0"/>
        <w:widowControl/>
        <w:suppressLineNumbers w:val="0"/>
      </w:pPr>
      <w:r>
        <w:rPr>
          <w:rFonts w:hint="eastAsia" w:ascii="宋体" w:hAnsi="宋体" w:eastAsia="宋体" w:cs="宋体"/>
          <w:sz w:val="21"/>
          <w:szCs w:val="21"/>
        </w:rPr>
        <w:t>★注意：</w:t>
      </w:r>
    </w:p>
    <w:p>
      <w:pPr>
        <w:pStyle w:val="4"/>
        <w:keepNext w:val="0"/>
        <w:keepLines w:val="0"/>
        <w:widowControl/>
        <w:suppressLineNumbers w:val="0"/>
      </w:pPr>
      <w:r>
        <w:rPr>
          <w:rFonts w:hint="eastAsia" w:ascii="宋体" w:hAnsi="宋体" w:eastAsia="宋体" w:cs="宋体"/>
          <w:sz w:val="21"/>
          <w:szCs w:val="21"/>
        </w:rPr>
        <w:t>1、请投标人按照实际情况编制填写本声明函，并在相应的（）中打“√”。</w:t>
      </w:r>
    </w:p>
    <w:p>
      <w:pPr>
        <w:pStyle w:val="4"/>
        <w:keepNext w:val="0"/>
        <w:keepLines w:val="0"/>
        <w:widowControl/>
        <w:suppressLineNumbers w:val="0"/>
      </w:pPr>
      <w:r>
        <w:rPr>
          <w:rFonts w:hint="eastAsia" w:ascii="宋体" w:hAnsi="宋体" w:eastAsia="宋体" w:cs="宋体"/>
          <w:sz w:val="21"/>
          <w:szCs w:val="21"/>
        </w:rPr>
        <w:t>2、投标人应认真对照《工业和信息化部、国家统计局、国家发展和改革委员会、财政部关于印发中小企业划型标准规定的通知》（工信部联企业</w:t>
      </w:r>
      <w:r>
        <w:rPr>
          <w:rFonts w:hint="default" w:ascii="Calibri" w:hAnsi="Calibri" w:eastAsia="宋体" w:cs="Calibri"/>
          <w:sz w:val="21"/>
          <w:szCs w:val="21"/>
        </w:rPr>
        <w:t>[2011]300</w:t>
      </w:r>
      <w:r>
        <w:rPr>
          <w:rFonts w:hint="eastAsia" w:ascii="宋体" w:hAnsi="宋体" w:eastAsia="宋体" w:cs="宋体"/>
          <w:sz w:val="21"/>
          <w:szCs w:val="21"/>
        </w:rPr>
        <w:t>号）规定的划分标准，并按照国家统计局现行的关于统计上大中小微型企业划分办法的有关规定准确划分企业类型。</w:t>
      </w:r>
    </w:p>
    <w:p>
      <w:pPr>
        <w:pStyle w:val="4"/>
        <w:keepNext w:val="0"/>
        <w:keepLines w:val="0"/>
        <w:widowControl/>
        <w:suppressLineNumbers w:val="0"/>
      </w:pPr>
      <w:r>
        <w:rPr>
          <w:rFonts w:hint="eastAsia" w:ascii="宋体" w:hAnsi="宋体" w:eastAsia="宋体" w:cs="宋体"/>
          <w:sz w:val="21"/>
          <w:szCs w:val="21"/>
        </w:rPr>
        <w:t>3、投标人为监狱企业的，可不填写本声明函，根据其提供的由省级以上监狱管理局、戒毒管理局（含新疆生产建设兵团）出具的属于监狱企业的证明文件进行认定，监狱企业视同小型、微型企业。</w:t>
      </w:r>
    </w:p>
    <w:p>
      <w:pPr>
        <w:pStyle w:val="4"/>
        <w:keepNext w:val="0"/>
        <w:keepLines w:val="0"/>
        <w:widowControl/>
        <w:suppressLineNumbers w:val="0"/>
      </w:pPr>
      <w:r>
        <w:rPr>
          <w:rFonts w:hint="eastAsia" w:ascii="宋体" w:hAnsi="宋体" w:eastAsia="宋体" w:cs="宋体"/>
          <w:sz w:val="21"/>
          <w:szCs w:val="21"/>
        </w:rPr>
        <w:t>4、投标人为残疾人福利性单位的，可不填写本声明函，根据其提供的《残疾人福利性单位声明函》（格式附后）进行认定，残疾人福利性单位视同小型、微型企业。</w:t>
      </w:r>
    </w:p>
    <w:p>
      <w:pPr>
        <w:pStyle w:val="4"/>
        <w:keepNext w:val="0"/>
        <w:keepLines w:val="0"/>
        <w:widowControl/>
        <w:suppressLineNumbers w:val="0"/>
      </w:pPr>
      <w:r>
        <w:rPr>
          <w:rFonts w:hint="eastAsia" w:ascii="宋体" w:hAnsi="宋体" w:eastAsia="宋体" w:cs="宋体"/>
          <w:sz w:val="21"/>
          <w:szCs w:val="21"/>
        </w:rPr>
        <w:t>5、纸质投标文件正本中的本声明函（若有）应为原件。</w:t>
      </w:r>
    </w:p>
    <w:p>
      <w:pPr>
        <w:pStyle w:val="4"/>
        <w:keepNext w:val="0"/>
        <w:keepLines w:val="0"/>
        <w:widowControl/>
        <w:suppressLineNumbers w:val="0"/>
      </w:pPr>
      <w:r>
        <w:rPr>
          <w:rFonts w:hint="eastAsia" w:ascii="宋体" w:hAnsi="宋体" w:eastAsia="宋体" w:cs="宋体"/>
          <w:sz w:val="21"/>
          <w:szCs w:val="21"/>
        </w:rPr>
        <w:t>6、若《中小企业声明函》（包括本格式第</w:t>
      </w:r>
      <w:r>
        <w:rPr>
          <w:rFonts w:hint="default" w:ascii="Calibri" w:hAnsi="Calibri" w:eastAsia="宋体" w:cs="Calibri"/>
          <w:sz w:val="21"/>
          <w:szCs w:val="21"/>
        </w:rPr>
        <w:t>3</w:t>
      </w:r>
      <w:r>
        <w:rPr>
          <w:rFonts w:hint="eastAsia" w:ascii="宋体" w:hAnsi="宋体" w:eastAsia="宋体" w:cs="宋体"/>
          <w:sz w:val="21"/>
          <w:szCs w:val="21"/>
        </w:rPr>
        <w:t>、</w:t>
      </w:r>
      <w:r>
        <w:rPr>
          <w:rFonts w:hint="default" w:ascii="Calibri" w:hAnsi="Calibri" w:eastAsia="宋体" w:cs="Calibri"/>
          <w:sz w:val="21"/>
          <w:szCs w:val="21"/>
        </w:rPr>
        <w:t>4</w:t>
      </w:r>
      <w:r>
        <w:rPr>
          <w:rFonts w:hint="eastAsia" w:ascii="宋体" w:hAnsi="宋体" w:eastAsia="宋体" w:cs="宋体"/>
          <w:sz w:val="21"/>
          <w:szCs w:val="21"/>
        </w:rPr>
        <w:t>条规定的证明文件及声明函）内容不真实，</w:t>
      </w:r>
      <w:r>
        <w:rPr>
          <w:rStyle w:val="6"/>
          <w:rFonts w:hint="eastAsia" w:ascii="宋体" w:hAnsi="宋体" w:eastAsia="宋体" w:cs="宋体"/>
          <w:sz w:val="21"/>
          <w:szCs w:val="21"/>
        </w:rPr>
        <w:t>视为提供虚假材料。</w:t>
      </w:r>
    </w:p>
    <w:p>
      <w:pPr>
        <w:pStyle w:val="4"/>
        <w:keepNext w:val="0"/>
        <w:keepLines w:val="0"/>
        <w:widowControl/>
        <w:suppressLineNumbers w:val="0"/>
      </w:pPr>
      <w:r>
        <w:rPr>
          <w:rFonts w:hint="eastAsia" w:ascii="宋体" w:hAnsi="宋体" w:eastAsia="宋体" w:cs="宋体"/>
          <w:sz w:val="21"/>
          <w:szCs w:val="21"/>
        </w:rPr>
        <w:t> </w:t>
      </w:r>
    </w:p>
    <w:p>
      <w:pPr>
        <w:pStyle w:val="4"/>
        <w:keepNext w:val="0"/>
        <w:keepLines w:val="0"/>
        <w:widowControl/>
        <w:suppressLineNumbers w:val="0"/>
      </w:pPr>
      <w:r>
        <w:rPr>
          <w:rFonts w:hint="default" w:ascii="Calibri" w:hAnsi="Calibri" w:cs="Calibri"/>
          <w:sz w:val="21"/>
          <w:szCs w:val="21"/>
        </w:rPr>
        <w:t> </w:t>
      </w:r>
    </w:p>
    <w:p>
      <w:pPr>
        <w:pStyle w:val="4"/>
        <w:keepNext w:val="0"/>
        <w:keepLines w:val="0"/>
        <w:widowControl/>
        <w:suppressLineNumbers w:val="0"/>
      </w:pPr>
      <w:r>
        <w:rPr>
          <w:rFonts w:hint="eastAsia" w:ascii="宋体" w:hAnsi="宋体" w:eastAsia="宋体" w:cs="宋体"/>
          <w:sz w:val="21"/>
          <w:szCs w:val="21"/>
        </w:rPr>
        <w:t>投标人：</w:t>
      </w:r>
      <w:r>
        <w:rPr>
          <w:rFonts w:hint="eastAsia" w:ascii="宋体" w:hAnsi="宋体" w:eastAsia="宋体" w:cs="宋体"/>
          <w:sz w:val="21"/>
          <w:szCs w:val="21"/>
          <w:u w:val="single"/>
        </w:rPr>
        <w:t>（全称并加盖单位公章）</w:t>
      </w:r>
    </w:p>
    <w:p>
      <w:pPr>
        <w:pStyle w:val="4"/>
        <w:keepNext w:val="0"/>
        <w:keepLines w:val="0"/>
        <w:widowControl/>
        <w:suppressLineNumbers w:val="0"/>
      </w:pPr>
      <w:r>
        <w:rPr>
          <w:rFonts w:hint="eastAsia" w:ascii="宋体" w:hAnsi="宋体" w:eastAsia="宋体" w:cs="宋体"/>
          <w:sz w:val="21"/>
          <w:szCs w:val="21"/>
        </w:rPr>
        <w:t>投标人代表签字：</w:t>
      </w:r>
      <w:r>
        <w:rPr>
          <w:rFonts w:hint="eastAsia" w:ascii="宋体" w:hAnsi="宋体" w:eastAsia="宋体" w:cs="宋体"/>
          <w:sz w:val="21"/>
          <w:szCs w:val="21"/>
          <w:u w:val="single"/>
        </w:rPr>
        <w:t>                   </w:t>
      </w:r>
    </w:p>
    <w:p>
      <w:pPr>
        <w:pStyle w:val="4"/>
        <w:keepNext w:val="0"/>
        <w:keepLines w:val="0"/>
        <w:widowControl/>
        <w:suppressLineNumbers w:val="0"/>
      </w:pPr>
      <w:r>
        <w:rPr>
          <w:rFonts w:hint="eastAsia" w:ascii="宋体" w:hAnsi="宋体" w:eastAsia="宋体" w:cs="宋体"/>
          <w:sz w:val="21"/>
          <w:szCs w:val="21"/>
        </w:rPr>
        <w:t>日期：</w:t>
      </w:r>
      <w:r>
        <w:rPr>
          <w:rFonts w:hint="eastAsia" w:ascii="宋体" w:hAnsi="宋体" w:eastAsia="宋体" w:cs="宋体"/>
          <w:sz w:val="21"/>
          <w:szCs w:val="21"/>
          <w:u w:val="single"/>
        </w:rPr>
        <w:t>    </w:t>
      </w:r>
      <w:r>
        <w:rPr>
          <w:rFonts w:hint="eastAsia" w:ascii="宋体" w:hAnsi="宋体" w:eastAsia="宋体" w:cs="宋体"/>
          <w:sz w:val="21"/>
          <w:szCs w:val="21"/>
        </w:rPr>
        <w:t>年</w:t>
      </w:r>
      <w:r>
        <w:rPr>
          <w:rFonts w:hint="eastAsia" w:ascii="宋体" w:hAnsi="宋体" w:eastAsia="宋体" w:cs="宋体"/>
          <w:sz w:val="21"/>
          <w:szCs w:val="21"/>
          <w:u w:val="single"/>
        </w:rPr>
        <w:t>   </w:t>
      </w:r>
      <w:r>
        <w:rPr>
          <w:rFonts w:hint="eastAsia" w:ascii="宋体" w:hAnsi="宋体" w:eastAsia="宋体" w:cs="宋体"/>
          <w:sz w:val="21"/>
          <w:szCs w:val="21"/>
        </w:rPr>
        <w:t>月</w:t>
      </w:r>
      <w:r>
        <w:rPr>
          <w:rFonts w:hint="eastAsia" w:ascii="宋体" w:hAnsi="宋体" w:eastAsia="宋体" w:cs="宋体"/>
          <w:sz w:val="21"/>
          <w:szCs w:val="21"/>
          <w:u w:val="single"/>
        </w:rPr>
        <w:t>   </w:t>
      </w:r>
      <w:r>
        <w:rPr>
          <w:rFonts w:hint="eastAsia" w:ascii="宋体" w:hAnsi="宋体" w:eastAsia="宋体" w:cs="宋体"/>
          <w:sz w:val="21"/>
          <w:szCs w:val="21"/>
        </w:rPr>
        <w:t>日</w:t>
      </w:r>
    </w:p>
    <w:p>
      <w:pPr>
        <w:pStyle w:val="4"/>
        <w:keepNext w:val="0"/>
        <w:keepLines w:val="0"/>
        <w:widowControl/>
        <w:suppressLineNumbers w:val="0"/>
      </w:pPr>
      <w:r>
        <w:rPr>
          <w:rFonts w:hint="eastAsia" w:ascii="宋体" w:hAnsi="宋体" w:eastAsia="宋体" w:cs="宋体"/>
          <w:sz w:val="21"/>
          <w:szCs w:val="21"/>
        </w:rPr>
        <w:t> </w:t>
      </w:r>
    </w:p>
    <w:p>
      <w:pPr>
        <w:pStyle w:val="4"/>
        <w:keepNext w:val="0"/>
        <w:keepLines w:val="0"/>
        <w:widowControl/>
        <w:suppressLineNumbers w:val="0"/>
      </w:pPr>
      <w:r>
        <w:rPr>
          <w:rFonts w:hint="eastAsia" w:ascii="宋体" w:hAnsi="宋体" w:eastAsia="宋体" w:cs="宋体"/>
          <w:sz w:val="21"/>
          <w:szCs w:val="21"/>
        </w:rPr>
        <w:t> </w:t>
      </w:r>
    </w:p>
    <w:p>
      <w:pPr>
        <w:pStyle w:val="4"/>
        <w:keepNext w:val="0"/>
        <w:keepLines w:val="0"/>
        <w:widowControl/>
        <w:suppressLineNumbers w:val="0"/>
      </w:pPr>
      <w:r>
        <w:rPr>
          <w:rFonts w:hint="default" w:ascii="Calibri" w:hAnsi="Calibri" w:cs="Calibri"/>
          <w:sz w:val="21"/>
          <w:szCs w:val="21"/>
        </w:rPr>
        <w:br w:type="textWrapping"/>
      </w:r>
      <w:r>
        <w:rPr>
          <w:rFonts w:hint="eastAsia" w:ascii="宋体" w:hAnsi="宋体" w:eastAsia="宋体" w:cs="宋体"/>
          <w:sz w:val="21"/>
          <w:szCs w:val="21"/>
        </w:rPr>
        <w:t>附：</w:t>
      </w:r>
    </w:p>
    <w:p>
      <w:pPr>
        <w:pStyle w:val="4"/>
        <w:keepNext w:val="0"/>
        <w:keepLines w:val="0"/>
        <w:widowControl/>
        <w:suppressLineNumbers w:val="0"/>
        <w:jc w:val="center"/>
      </w:pPr>
      <w:r>
        <w:rPr>
          <w:rStyle w:val="6"/>
          <w:rFonts w:hint="eastAsia" w:ascii="宋体" w:hAnsi="宋体" w:eastAsia="宋体" w:cs="宋体"/>
          <w:sz w:val="21"/>
          <w:szCs w:val="21"/>
        </w:rPr>
        <w:t>残疾人福利性单位声明函</w:t>
      </w:r>
    </w:p>
    <w:p>
      <w:pPr>
        <w:pStyle w:val="4"/>
        <w:keepNext w:val="0"/>
        <w:keepLines w:val="0"/>
        <w:widowControl/>
        <w:suppressLineNumbers w:val="0"/>
        <w:jc w:val="center"/>
      </w:pPr>
      <w:r>
        <w:rPr>
          <w:rStyle w:val="6"/>
          <w:rFonts w:hint="eastAsia" w:ascii="宋体" w:hAnsi="宋体" w:eastAsia="宋体" w:cs="宋体"/>
          <w:sz w:val="21"/>
          <w:szCs w:val="21"/>
        </w:rPr>
        <w:t>（专门面向中小企业或小型、微型企业适用，若有）</w:t>
      </w:r>
    </w:p>
    <w:p>
      <w:pPr>
        <w:pStyle w:val="4"/>
        <w:keepNext w:val="0"/>
        <w:keepLines w:val="0"/>
        <w:widowControl/>
        <w:suppressLineNumbers w:val="0"/>
      </w:pPr>
      <w:r>
        <w:rPr>
          <w:rStyle w:val="6"/>
          <w:rFonts w:hint="eastAsia" w:ascii="宋体" w:hAnsi="宋体" w:eastAsia="宋体" w:cs="宋体"/>
          <w:sz w:val="21"/>
          <w:szCs w:val="21"/>
        </w:rPr>
        <w:t> </w:t>
      </w:r>
    </w:p>
    <w:p>
      <w:pPr>
        <w:pStyle w:val="4"/>
        <w:keepNext w:val="0"/>
        <w:keepLines w:val="0"/>
        <w:widowControl/>
        <w:suppressLineNumbers w:val="0"/>
        <w:ind w:left="0" w:firstLine="420"/>
      </w:pPr>
      <w:r>
        <w:rPr>
          <w:rFonts w:hint="eastAsia" w:ascii="宋体" w:hAnsi="宋体" w:eastAsia="宋体" w:cs="宋体"/>
          <w:sz w:val="21"/>
          <w:szCs w:val="21"/>
        </w:rPr>
        <w:t>本投标人郑重声明，根据《财政部 民政部 中国残疾人联合会关于促进残疾人就业政府采购政策的通知》（财库[2017]141号）的规定，本投标人为符合条件的残疾人福利性单位，且本投标人参加贵单位的</w:t>
      </w:r>
      <w:r>
        <w:rPr>
          <w:rFonts w:hint="eastAsia" w:ascii="宋体" w:hAnsi="宋体" w:eastAsia="宋体" w:cs="宋体"/>
          <w:sz w:val="21"/>
          <w:szCs w:val="21"/>
          <w:u w:val="single"/>
        </w:rPr>
        <w:t>（填写“项目名称”）</w:t>
      </w:r>
      <w:r>
        <w:rPr>
          <w:rFonts w:hint="eastAsia" w:ascii="宋体" w:hAnsi="宋体" w:eastAsia="宋体" w:cs="宋体"/>
          <w:sz w:val="21"/>
          <w:szCs w:val="21"/>
        </w:rPr>
        <w:t>项目采购活动：</w:t>
      </w:r>
    </w:p>
    <w:p>
      <w:pPr>
        <w:pStyle w:val="4"/>
        <w:keepNext w:val="0"/>
        <w:keepLines w:val="0"/>
        <w:widowControl/>
        <w:suppressLineNumbers w:val="0"/>
        <w:ind w:left="0" w:firstLine="420"/>
      </w:pPr>
      <w:r>
        <w:rPr>
          <w:rFonts w:hint="eastAsia" w:ascii="宋体" w:hAnsi="宋体" w:eastAsia="宋体" w:cs="宋体"/>
          <w:sz w:val="21"/>
          <w:szCs w:val="21"/>
        </w:rPr>
        <w:t>（ ）提供本投标人制造的</w:t>
      </w:r>
      <w:r>
        <w:rPr>
          <w:rFonts w:hint="eastAsia" w:ascii="宋体" w:hAnsi="宋体" w:eastAsia="宋体" w:cs="宋体"/>
          <w:sz w:val="21"/>
          <w:szCs w:val="21"/>
          <w:u w:val="single"/>
        </w:rPr>
        <w:t>（填写“所投合同包、品目号”）</w:t>
      </w:r>
      <w:r>
        <w:rPr>
          <w:rFonts w:hint="eastAsia" w:ascii="宋体" w:hAnsi="宋体" w:eastAsia="宋体" w:cs="宋体"/>
          <w:sz w:val="21"/>
          <w:szCs w:val="21"/>
        </w:rPr>
        <w:t>货物，</w:t>
      </w:r>
    </w:p>
    <w:p>
      <w:pPr>
        <w:pStyle w:val="4"/>
        <w:keepNext w:val="0"/>
        <w:keepLines w:val="0"/>
        <w:widowControl/>
        <w:suppressLineNumbers w:val="0"/>
        <w:ind w:left="0" w:firstLine="420"/>
      </w:pPr>
      <w:r>
        <w:rPr>
          <w:rFonts w:hint="eastAsia" w:ascii="宋体" w:hAnsi="宋体" w:eastAsia="宋体" w:cs="宋体"/>
          <w:sz w:val="21"/>
          <w:szCs w:val="21"/>
        </w:rPr>
        <w:t>（ ）由本投标人承担的</w:t>
      </w:r>
      <w:r>
        <w:rPr>
          <w:rFonts w:hint="eastAsia" w:ascii="宋体" w:hAnsi="宋体" w:eastAsia="宋体" w:cs="宋体"/>
          <w:sz w:val="21"/>
          <w:szCs w:val="21"/>
          <w:u w:val="single"/>
        </w:rPr>
        <w:t>（填写“所投合同包、品目号”）</w:t>
      </w:r>
      <w:r>
        <w:rPr>
          <w:rFonts w:hint="eastAsia" w:ascii="宋体" w:hAnsi="宋体" w:eastAsia="宋体" w:cs="宋体"/>
          <w:sz w:val="21"/>
          <w:szCs w:val="21"/>
        </w:rPr>
        <w:t>工程，</w:t>
      </w:r>
    </w:p>
    <w:p>
      <w:pPr>
        <w:pStyle w:val="4"/>
        <w:keepNext w:val="0"/>
        <w:keepLines w:val="0"/>
        <w:widowControl/>
        <w:suppressLineNumbers w:val="0"/>
        <w:ind w:left="0" w:firstLine="420"/>
      </w:pPr>
      <w:r>
        <w:rPr>
          <w:rFonts w:hint="eastAsia" w:ascii="宋体" w:hAnsi="宋体" w:eastAsia="宋体" w:cs="宋体"/>
          <w:sz w:val="21"/>
          <w:szCs w:val="21"/>
        </w:rPr>
        <w:t>（ ）由本投标人提供的</w:t>
      </w:r>
      <w:r>
        <w:rPr>
          <w:rFonts w:hint="eastAsia" w:ascii="宋体" w:hAnsi="宋体" w:eastAsia="宋体" w:cs="宋体"/>
          <w:sz w:val="21"/>
          <w:szCs w:val="21"/>
          <w:u w:val="single"/>
        </w:rPr>
        <w:t>（填写“所投合同包、品目号”）</w:t>
      </w:r>
      <w:r>
        <w:rPr>
          <w:rFonts w:hint="eastAsia" w:ascii="宋体" w:hAnsi="宋体" w:eastAsia="宋体" w:cs="宋体"/>
          <w:sz w:val="21"/>
          <w:szCs w:val="21"/>
        </w:rPr>
        <w:t>服务；或</w:t>
      </w:r>
    </w:p>
    <w:p>
      <w:pPr>
        <w:pStyle w:val="4"/>
        <w:keepNext w:val="0"/>
        <w:keepLines w:val="0"/>
        <w:widowControl/>
        <w:suppressLineNumbers w:val="0"/>
        <w:ind w:left="0" w:firstLine="420"/>
      </w:pPr>
      <w:r>
        <w:rPr>
          <w:rFonts w:hint="eastAsia" w:ascii="宋体" w:hAnsi="宋体" w:eastAsia="宋体" w:cs="宋体"/>
          <w:sz w:val="21"/>
          <w:szCs w:val="21"/>
        </w:rPr>
        <w:t>（ ）提供其他残疾人福利性单位制造的</w:t>
      </w:r>
      <w:r>
        <w:rPr>
          <w:rFonts w:hint="eastAsia" w:ascii="宋体" w:hAnsi="宋体" w:eastAsia="宋体" w:cs="宋体"/>
          <w:sz w:val="21"/>
          <w:szCs w:val="21"/>
          <w:u w:val="single"/>
        </w:rPr>
        <w:t>（填写“所投合同包、品目号”）</w:t>
      </w:r>
      <w:r>
        <w:rPr>
          <w:rFonts w:hint="eastAsia" w:ascii="宋体" w:hAnsi="宋体" w:eastAsia="宋体" w:cs="宋体"/>
          <w:sz w:val="21"/>
          <w:szCs w:val="21"/>
        </w:rPr>
        <w:t>货物（不包括使用非残疾人福利性单位注册商标的货物）。</w:t>
      </w:r>
    </w:p>
    <w:p>
      <w:pPr>
        <w:pStyle w:val="4"/>
        <w:keepNext w:val="0"/>
        <w:keepLines w:val="0"/>
        <w:widowControl/>
        <w:suppressLineNumbers w:val="0"/>
        <w:ind w:left="0" w:firstLine="420"/>
      </w:pPr>
      <w:r>
        <w:rPr>
          <w:rFonts w:hint="eastAsia" w:ascii="宋体" w:hAnsi="宋体" w:eastAsia="宋体" w:cs="宋体"/>
          <w:sz w:val="21"/>
          <w:szCs w:val="21"/>
        </w:rPr>
        <w:t>本投标人对上述声明的真实性负责。如有虚假，将依法承担相应责任。</w:t>
      </w:r>
    </w:p>
    <w:p>
      <w:pPr>
        <w:pStyle w:val="4"/>
        <w:keepNext w:val="0"/>
        <w:keepLines w:val="0"/>
        <w:widowControl/>
        <w:suppressLineNumbers w:val="0"/>
        <w:ind w:left="0" w:firstLine="420"/>
      </w:pPr>
      <w:r>
        <w:rPr>
          <w:rFonts w:hint="default" w:ascii="Calibri" w:hAnsi="Calibri" w:cs="Calibri"/>
          <w:sz w:val="21"/>
          <w:szCs w:val="21"/>
        </w:rPr>
        <w:t> </w:t>
      </w:r>
    </w:p>
    <w:p>
      <w:pPr>
        <w:pStyle w:val="4"/>
        <w:keepNext w:val="0"/>
        <w:keepLines w:val="0"/>
        <w:widowControl/>
        <w:suppressLineNumbers w:val="0"/>
      </w:pPr>
      <w:r>
        <w:rPr>
          <w:rFonts w:hint="eastAsia" w:ascii="宋体" w:hAnsi="宋体" w:eastAsia="宋体" w:cs="宋体"/>
          <w:sz w:val="21"/>
          <w:szCs w:val="21"/>
        </w:rPr>
        <w:t>★注意：</w:t>
      </w:r>
    </w:p>
    <w:p>
      <w:pPr>
        <w:pStyle w:val="4"/>
        <w:keepNext w:val="0"/>
        <w:keepLines w:val="0"/>
        <w:widowControl/>
        <w:suppressLineNumbers w:val="0"/>
      </w:pPr>
      <w:r>
        <w:rPr>
          <w:rFonts w:hint="eastAsia" w:ascii="宋体" w:hAnsi="宋体" w:eastAsia="宋体" w:cs="宋体"/>
          <w:sz w:val="21"/>
          <w:szCs w:val="21"/>
        </w:rPr>
        <w:t>1、请投标人按照实际情况编制填写本声明函，并在相应的（）中打“√”。</w:t>
      </w:r>
    </w:p>
    <w:p>
      <w:pPr>
        <w:pStyle w:val="4"/>
        <w:keepNext w:val="0"/>
        <w:keepLines w:val="0"/>
        <w:widowControl/>
        <w:suppressLineNumbers w:val="0"/>
      </w:pPr>
      <w:r>
        <w:rPr>
          <w:rFonts w:hint="eastAsia" w:ascii="宋体" w:hAnsi="宋体" w:eastAsia="宋体" w:cs="宋体"/>
          <w:sz w:val="21"/>
          <w:szCs w:val="21"/>
        </w:rPr>
        <w:t>2、纸质投标文件正本中的本声明函（若有）应为原件。</w:t>
      </w:r>
    </w:p>
    <w:p>
      <w:pPr>
        <w:pStyle w:val="4"/>
        <w:keepNext w:val="0"/>
        <w:keepLines w:val="0"/>
        <w:widowControl/>
        <w:suppressLineNumbers w:val="0"/>
      </w:pPr>
      <w:r>
        <w:rPr>
          <w:rFonts w:hint="eastAsia" w:ascii="宋体" w:hAnsi="宋体" w:eastAsia="宋体" w:cs="宋体"/>
          <w:sz w:val="21"/>
          <w:szCs w:val="21"/>
        </w:rPr>
        <w:t>3、若《残疾人福利性单位声明函》内容不真实，</w:t>
      </w:r>
      <w:r>
        <w:rPr>
          <w:rStyle w:val="6"/>
          <w:rFonts w:hint="eastAsia" w:ascii="宋体" w:hAnsi="宋体" w:eastAsia="宋体" w:cs="宋体"/>
          <w:sz w:val="21"/>
          <w:szCs w:val="21"/>
        </w:rPr>
        <w:t>视为提供虚假材料。</w:t>
      </w:r>
    </w:p>
    <w:p>
      <w:pPr>
        <w:pStyle w:val="4"/>
        <w:keepNext w:val="0"/>
        <w:keepLines w:val="0"/>
        <w:widowControl/>
        <w:suppressLineNumbers w:val="0"/>
      </w:pPr>
      <w:r>
        <w:rPr>
          <w:rFonts w:hint="eastAsia" w:ascii="宋体" w:hAnsi="宋体" w:eastAsia="宋体" w:cs="宋体"/>
          <w:sz w:val="21"/>
          <w:szCs w:val="21"/>
        </w:rPr>
        <w:t> </w:t>
      </w:r>
    </w:p>
    <w:p>
      <w:pPr>
        <w:pStyle w:val="4"/>
        <w:keepNext w:val="0"/>
        <w:keepLines w:val="0"/>
        <w:widowControl/>
        <w:suppressLineNumbers w:val="0"/>
      </w:pPr>
      <w:r>
        <w:rPr>
          <w:rFonts w:hint="default" w:ascii="Calibri" w:hAnsi="Calibri" w:cs="Calibri"/>
          <w:sz w:val="21"/>
          <w:szCs w:val="21"/>
        </w:rPr>
        <w:t> </w:t>
      </w:r>
    </w:p>
    <w:p>
      <w:pPr>
        <w:pStyle w:val="4"/>
        <w:keepNext w:val="0"/>
        <w:keepLines w:val="0"/>
        <w:widowControl/>
        <w:suppressLineNumbers w:val="0"/>
      </w:pPr>
      <w:r>
        <w:rPr>
          <w:rFonts w:hint="eastAsia" w:ascii="宋体" w:hAnsi="宋体" w:eastAsia="宋体" w:cs="宋体"/>
          <w:sz w:val="21"/>
          <w:szCs w:val="21"/>
        </w:rPr>
        <w:t>投标人：</w:t>
      </w:r>
      <w:r>
        <w:rPr>
          <w:rFonts w:hint="eastAsia" w:ascii="宋体" w:hAnsi="宋体" w:eastAsia="宋体" w:cs="宋体"/>
          <w:sz w:val="21"/>
          <w:szCs w:val="21"/>
          <w:u w:val="single"/>
        </w:rPr>
        <w:t>（全称并加盖单位公章）</w:t>
      </w:r>
    </w:p>
    <w:p>
      <w:pPr>
        <w:pStyle w:val="4"/>
        <w:keepNext w:val="0"/>
        <w:keepLines w:val="0"/>
        <w:widowControl/>
        <w:suppressLineNumbers w:val="0"/>
      </w:pPr>
      <w:r>
        <w:rPr>
          <w:rFonts w:hint="eastAsia" w:ascii="宋体" w:hAnsi="宋体" w:eastAsia="宋体" w:cs="宋体"/>
          <w:sz w:val="21"/>
          <w:szCs w:val="21"/>
        </w:rPr>
        <w:t>投标人代表签字：</w:t>
      </w:r>
      <w:r>
        <w:rPr>
          <w:rFonts w:hint="eastAsia" w:ascii="宋体" w:hAnsi="宋体" w:eastAsia="宋体" w:cs="宋体"/>
          <w:sz w:val="21"/>
          <w:szCs w:val="21"/>
          <w:u w:val="single"/>
        </w:rPr>
        <w:t>                   </w:t>
      </w:r>
    </w:p>
    <w:p>
      <w:pPr>
        <w:pStyle w:val="4"/>
        <w:keepNext w:val="0"/>
        <w:keepLines w:val="0"/>
        <w:widowControl/>
        <w:suppressLineNumbers w:val="0"/>
      </w:pPr>
      <w:r>
        <w:rPr>
          <w:rFonts w:hint="eastAsia" w:ascii="宋体" w:hAnsi="宋体" w:eastAsia="宋体" w:cs="宋体"/>
          <w:sz w:val="21"/>
          <w:szCs w:val="21"/>
        </w:rPr>
        <w:t>日期：</w:t>
      </w:r>
      <w:r>
        <w:rPr>
          <w:rFonts w:hint="eastAsia" w:ascii="宋体" w:hAnsi="宋体" w:eastAsia="宋体" w:cs="宋体"/>
          <w:sz w:val="21"/>
          <w:szCs w:val="21"/>
          <w:u w:val="single"/>
        </w:rPr>
        <w:t>    </w:t>
      </w:r>
      <w:r>
        <w:rPr>
          <w:rFonts w:hint="eastAsia" w:ascii="宋体" w:hAnsi="宋体" w:eastAsia="宋体" w:cs="宋体"/>
          <w:sz w:val="21"/>
          <w:szCs w:val="21"/>
        </w:rPr>
        <w:t>年</w:t>
      </w:r>
      <w:r>
        <w:rPr>
          <w:rFonts w:hint="eastAsia" w:ascii="宋体" w:hAnsi="宋体" w:eastAsia="宋体" w:cs="宋体"/>
          <w:sz w:val="21"/>
          <w:szCs w:val="21"/>
          <w:u w:val="single"/>
        </w:rPr>
        <w:t>   </w:t>
      </w:r>
      <w:r>
        <w:rPr>
          <w:rFonts w:hint="eastAsia" w:ascii="宋体" w:hAnsi="宋体" w:eastAsia="宋体" w:cs="宋体"/>
          <w:sz w:val="21"/>
          <w:szCs w:val="21"/>
        </w:rPr>
        <w:t>月</w:t>
      </w:r>
      <w:r>
        <w:rPr>
          <w:rFonts w:hint="eastAsia" w:ascii="宋体" w:hAnsi="宋体" w:eastAsia="宋体" w:cs="宋体"/>
          <w:sz w:val="21"/>
          <w:szCs w:val="21"/>
          <w:u w:val="single"/>
        </w:rPr>
        <w:t>   </w:t>
      </w:r>
      <w:r>
        <w:rPr>
          <w:rFonts w:hint="eastAsia" w:ascii="宋体" w:hAnsi="宋体" w:eastAsia="宋体" w:cs="宋体"/>
          <w:sz w:val="21"/>
          <w:szCs w:val="21"/>
        </w:rPr>
        <w:t>日</w:t>
      </w:r>
    </w:p>
    <w:p>
      <w:pPr>
        <w:pStyle w:val="4"/>
        <w:keepNext w:val="0"/>
        <w:keepLines w:val="0"/>
        <w:widowControl/>
        <w:suppressLineNumbers w:val="0"/>
      </w:pPr>
      <w:r>
        <w:rPr>
          <w:rFonts w:hint="eastAsia" w:ascii="宋体" w:hAnsi="宋体" w:eastAsia="宋体" w:cs="宋体"/>
          <w:sz w:val="21"/>
          <w:szCs w:val="21"/>
        </w:rPr>
        <w:t> </w:t>
      </w:r>
    </w:p>
    <w:p>
      <w:pPr>
        <w:pStyle w:val="4"/>
        <w:keepNext w:val="0"/>
        <w:keepLines w:val="0"/>
        <w:widowControl/>
        <w:suppressLineNumbers w:val="0"/>
      </w:pPr>
      <w:r>
        <w:rPr>
          <w:rFonts w:hint="eastAsia" w:ascii="宋体" w:hAnsi="宋体" w:eastAsia="宋体" w:cs="宋体"/>
          <w:sz w:val="21"/>
          <w:szCs w:val="21"/>
        </w:rPr>
        <w:t> </w:t>
      </w:r>
    </w:p>
    <w:p>
      <w:pPr>
        <w:pStyle w:val="4"/>
        <w:keepNext w:val="0"/>
        <w:keepLines w:val="0"/>
        <w:widowControl/>
        <w:suppressLineNumbers w:val="0"/>
        <w:jc w:val="center"/>
      </w:pPr>
      <w:r>
        <w:rPr>
          <w:rFonts w:hint="eastAsia" w:ascii="宋体" w:hAnsi="宋体" w:eastAsia="宋体" w:cs="宋体"/>
          <w:sz w:val="21"/>
          <w:szCs w:val="21"/>
        </w:rPr>
        <w:br w:type="textWrapping"/>
      </w:r>
      <w:r>
        <w:rPr>
          <w:rStyle w:val="6"/>
          <w:rFonts w:hint="eastAsia" w:ascii="宋体" w:hAnsi="宋体" w:eastAsia="宋体" w:cs="宋体"/>
          <w:sz w:val="21"/>
          <w:szCs w:val="21"/>
        </w:rPr>
        <w:t>二-12其他资格证明文件（若有）</w:t>
      </w:r>
    </w:p>
    <w:p>
      <w:pPr>
        <w:pStyle w:val="4"/>
        <w:keepNext w:val="0"/>
        <w:keepLines w:val="0"/>
        <w:widowControl/>
        <w:suppressLineNumbers w:val="0"/>
        <w:jc w:val="center"/>
      </w:pPr>
      <w:r>
        <w:rPr>
          <w:rFonts w:hint="eastAsia" w:ascii="宋体" w:hAnsi="宋体" w:eastAsia="宋体" w:cs="宋体"/>
          <w:sz w:val="21"/>
          <w:szCs w:val="21"/>
        </w:rPr>
        <w:t> </w:t>
      </w:r>
    </w:p>
    <w:p>
      <w:pPr>
        <w:pStyle w:val="4"/>
        <w:keepNext w:val="0"/>
        <w:keepLines w:val="0"/>
        <w:widowControl/>
        <w:suppressLineNumbers w:val="0"/>
        <w:jc w:val="center"/>
      </w:pPr>
      <w:r>
        <w:rPr>
          <w:rFonts w:hint="eastAsia" w:ascii="宋体" w:hAnsi="宋体" w:eastAsia="宋体" w:cs="宋体"/>
          <w:sz w:val="21"/>
          <w:szCs w:val="21"/>
        </w:rPr>
        <w:t>二</w:t>
      </w:r>
      <w:r>
        <w:rPr>
          <w:rStyle w:val="6"/>
          <w:rFonts w:hint="eastAsia" w:ascii="宋体" w:hAnsi="宋体" w:eastAsia="宋体" w:cs="宋体"/>
          <w:sz w:val="21"/>
          <w:szCs w:val="21"/>
        </w:rPr>
        <w:t>-12-①具备履行合同所必需设备和专业技术能力专项证明材料（若有）</w:t>
      </w:r>
    </w:p>
    <w:p>
      <w:pPr>
        <w:pStyle w:val="4"/>
        <w:keepNext w:val="0"/>
        <w:keepLines w:val="0"/>
        <w:widowControl/>
        <w:suppressLineNumbers w:val="0"/>
      </w:pPr>
      <w:r>
        <w:rPr>
          <w:rFonts w:hint="eastAsia" w:ascii="宋体" w:hAnsi="宋体" w:eastAsia="宋体" w:cs="宋体"/>
          <w:sz w:val="21"/>
          <w:szCs w:val="21"/>
        </w:rPr>
        <w:t> </w:t>
      </w:r>
    </w:p>
    <w:p>
      <w:pPr>
        <w:pStyle w:val="4"/>
        <w:keepNext w:val="0"/>
        <w:keepLines w:val="0"/>
        <w:widowControl/>
        <w:suppressLineNumbers w:val="0"/>
      </w:pPr>
      <w:r>
        <w:rPr>
          <w:rFonts w:hint="eastAsia" w:ascii="宋体" w:hAnsi="宋体" w:eastAsia="宋体" w:cs="宋体"/>
          <w:sz w:val="21"/>
          <w:szCs w:val="21"/>
        </w:rPr>
        <w:t>致：</w:t>
      </w:r>
      <w:r>
        <w:rPr>
          <w:rFonts w:hint="eastAsia" w:ascii="宋体" w:hAnsi="宋体" w:eastAsia="宋体" w:cs="宋体"/>
          <w:sz w:val="21"/>
          <w:szCs w:val="21"/>
          <w:u w:val="single"/>
        </w:rPr>
        <w:t>                     </w:t>
      </w:r>
    </w:p>
    <w:p>
      <w:pPr>
        <w:pStyle w:val="4"/>
        <w:keepNext w:val="0"/>
        <w:keepLines w:val="0"/>
        <w:widowControl/>
        <w:suppressLineNumbers w:val="0"/>
        <w:ind w:left="0" w:firstLine="420"/>
      </w:pPr>
      <w:r>
        <w:rPr>
          <w:rFonts w:hint="eastAsia" w:ascii="宋体" w:hAnsi="宋体" w:eastAsia="宋体" w:cs="宋体"/>
          <w:sz w:val="21"/>
          <w:szCs w:val="21"/>
        </w:rPr>
        <w:t>现附上我方具备履行合同所必需的设备和专业技术能力的专项证明材料复印件（具体附后），上述证明材料真实有效，否则我方负全部责任。</w:t>
      </w:r>
    </w:p>
    <w:p>
      <w:pPr>
        <w:pStyle w:val="4"/>
        <w:keepNext w:val="0"/>
        <w:keepLines w:val="0"/>
        <w:widowControl/>
        <w:suppressLineNumbers w:val="0"/>
      </w:pPr>
      <w:r>
        <w:rPr>
          <w:rFonts w:hint="default" w:ascii="Calibri" w:hAnsi="Calibri" w:cs="Calibri"/>
          <w:sz w:val="21"/>
          <w:szCs w:val="21"/>
        </w:rPr>
        <w:t> </w:t>
      </w:r>
    </w:p>
    <w:p>
      <w:pPr>
        <w:pStyle w:val="4"/>
        <w:keepNext w:val="0"/>
        <w:keepLines w:val="0"/>
        <w:widowControl/>
        <w:suppressLineNumbers w:val="0"/>
      </w:pPr>
      <w:r>
        <w:rPr>
          <w:rFonts w:hint="eastAsia" w:ascii="宋体" w:hAnsi="宋体" w:eastAsia="宋体" w:cs="宋体"/>
          <w:sz w:val="21"/>
          <w:szCs w:val="21"/>
        </w:rPr>
        <w:t>★注意：</w:t>
      </w:r>
    </w:p>
    <w:p>
      <w:pPr>
        <w:pStyle w:val="4"/>
        <w:keepNext w:val="0"/>
        <w:keepLines w:val="0"/>
        <w:widowControl/>
        <w:suppressLineNumbers w:val="0"/>
      </w:pPr>
      <w:r>
        <w:rPr>
          <w:rFonts w:hint="eastAsia" w:ascii="宋体" w:hAnsi="宋体" w:eastAsia="宋体" w:cs="宋体"/>
          <w:sz w:val="21"/>
          <w:szCs w:val="21"/>
        </w:rPr>
        <w:t>1、招标文件要求投标人提供“具备履行合同所必需的设备和专业技术能力专项证明材料”的，投标人应按照招标文件规定在此项下提供相应证明材料复印件。</w:t>
      </w:r>
    </w:p>
    <w:p>
      <w:pPr>
        <w:pStyle w:val="4"/>
        <w:keepNext w:val="0"/>
        <w:keepLines w:val="0"/>
        <w:widowControl/>
        <w:suppressLineNumbers w:val="0"/>
      </w:pPr>
      <w:r>
        <w:rPr>
          <w:rFonts w:hint="eastAsia" w:ascii="宋体" w:hAnsi="宋体" w:eastAsia="宋体" w:cs="宋体"/>
          <w:sz w:val="21"/>
          <w:szCs w:val="21"/>
        </w:rPr>
        <w:t>2、投标人提供的相应证明材料复印件均应符合：内容完整、清晰、整洁，并由投标人加盖其单位公章。</w:t>
      </w:r>
    </w:p>
    <w:p>
      <w:pPr>
        <w:pStyle w:val="4"/>
        <w:keepNext w:val="0"/>
        <w:keepLines w:val="0"/>
        <w:widowControl/>
        <w:suppressLineNumbers w:val="0"/>
      </w:pPr>
      <w:r>
        <w:rPr>
          <w:rFonts w:hint="default" w:ascii="Calibri" w:hAnsi="Calibri" w:cs="Calibri"/>
          <w:sz w:val="21"/>
          <w:szCs w:val="21"/>
        </w:rPr>
        <w:t> </w:t>
      </w:r>
    </w:p>
    <w:p>
      <w:pPr>
        <w:pStyle w:val="4"/>
        <w:keepNext w:val="0"/>
        <w:keepLines w:val="0"/>
        <w:widowControl/>
        <w:suppressLineNumbers w:val="0"/>
      </w:pPr>
      <w:r>
        <w:rPr>
          <w:rFonts w:hint="default" w:ascii="Calibri" w:hAnsi="Calibri" w:cs="Calibri"/>
          <w:sz w:val="21"/>
          <w:szCs w:val="21"/>
        </w:rPr>
        <w:t> </w:t>
      </w:r>
    </w:p>
    <w:p>
      <w:pPr>
        <w:pStyle w:val="4"/>
        <w:keepNext w:val="0"/>
        <w:keepLines w:val="0"/>
        <w:widowControl/>
        <w:suppressLineNumbers w:val="0"/>
      </w:pPr>
      <w:r>
        <w:rPr>
          <w:rFonts w:hint="eastAsia" w:ascii="宋体" w:hAnsi="宋体" w:eastAsia="宋体" w:cs="宋体"/>
          <w:sz w:val="21"/>
          <w:szCs w:val="21"/>
        </w:rPr>
        <w:t>投标人：</w:t>
      </w:r>
      <w:r>
        <w:rPr>
          <w:rFonts w:hint="eastAsia" w:ascii="宋体" w:hAnsi="宋体" w:eastAsia="宋体" w:cs="宋体"/>
          <w:sz w:val="21"/>
          <w:szCs w:val="21"/>
          <w:u w:val="single"/>
        </w:rPr>
        <w:t>（全称并加盖单位公章）</w:t>
      </w:r>
    </w:p>
    <w:p>
      <w:pPr>
        <w:pStyle w:val="4"/>
        <w:keepNext w:val="0"/>
        <w:keepLines w:val="0"/>
        <w:widowControl/>
        <w:suppressLineNumbers w:val="0"/>
      </w:pPr>
      <w:r>
        <w:rPr>
          <w:rFonts w:hint="eastAsia" w:ascii="宋体" w:hAnsi="宋体" w:eastAsia="宋体" w:cs="宋体"/>
          <w:sz w:val="21"/>
          <w:szCs w:val="21"/>
        </w:rPr>
        <w:t>投标人代表签字：</w:t>
      </w:r>
      <w:r>
        <w:rPr>
          <w:rFonts w:hint="eastAsia" w:ascii="宋体" w:hAnsi="宋体" w:eastAsia="宋体" w:cs="宋体"/>
          <w:sz w:val="21"/>
          <w:szCs w:val="21"/>
          <w:u w:val="single"/>
        </w:rPr>
        <w:t>                   </w:t>
      </w:r>
    </w:p>
    <w:p>
      <w:pPr>
        <w:pStyle w:val="4"/>
        <w:keepNext w:val="0"/>
        <w:keepLines w:val="0"/>
        <w:widowControl/>
        <w:suppressLineNumbers w:val="0"/>
      </w:pPr>
      <w:r>
        <w:rPr>
          <w:rFonts w:hint="eastAsia" w:ascii="宋体" w:hAnsi="宋体" w:eastAsia="宋体" w:cs="宋体"/>
          <w:sz w:val="21"/>
          <w:szCs w:val="21"/>
        </w:rPr>
        <w:t>日期：</w:t>
      </w:r>
      <w:r>
        <w:rPr>
          <w:rFonts w:hint="eastAsia" w:ascii="宋体" w:hAnsi="宋体" w:eastAsia="宋体" w:cs="宋体"/>
          <w:sz w:val="21"/>
          <w:szCs w:val="21"/>
          <w:u w:val="single"/>
        </w:rPr>
        <w:t>    </w:t>
      </w:r>
      <w:r>
        <w:rPr>
          <w:rFonts w:hint="eastAsia" w:ascii="宋体" w:hAnsi="宋体" w:eastAsia="宋体" w:cs="宋体"/>
          <w:sz w:val="21"/>
          <w:szCs w:val="21"/>
        </w:rPr>
        <w:t>年</w:t>
      </w:r>
      <w:r>
        <w:rPr>
          <w:rFonts w:hint="eastAsia" w:ascii="宋体" w:hAnsi="宋体" w:eastAsia="宋体" w:cs="宋体"/>
          <w:sz w:val="21"/>
          <w:szCs w:val="21"/>
          <w:u w:val="single"/>
        </w:rPr>
        <w:t>   </w:t>
      </w:r>
      <w:r>
        <w:rPr>
          <w:rFonts w:hint="eastAsia" w:ascii="宋体" w:hAnsi="宋体" w:eastAsia="宋体" w:cs="宋体"/>
          <w:sz w:val="21"/>
          <w:szCs w:val="21"/>
        </w:rPr>
        <w:t>月</w:t>
      </w:r>
      <w:r>
        <w:rPr>
          <w:rFonts w:hint="eastAsia" w:ascii="宋体" w:hAnsi="宋体" w:eastAsia="宋体" w:cs="宋体"/>
          <w:sz w:val="21"/>
          <w:szCs w:val="21"/>
          <w:u w:val="single"/>
        </w:rPr>
        <w:t>   </w:t>
      </w:r>
      <w:r>
        <w:rPr>
          <w:rFonts w:hint="eastAsia" w:ascii="宋体" w:hAnsi="宋体" w:eastAsia="宋体" w:cs="宋体"/>
          <w:sz w:val="21"/>
          <w:szCs w:val="21"/>
        </w:rPr>
        <w:t>日</w:t>
      </w:r>
    </w:p>
    <w:p>
      <w:pPr>
        <w:pStyle w:val="4"/>
        <w:keepNext w:val="0"/>
        <w:keepLines w:val="0"/>
        <w:widowControl/>
        <w:suppressLineNumbers w:val="0"/>
      </w:pPr>
      <w:r>
        <w:rPr>
          <w:rFonts w:hint="eastAsia" w:ascii="宋体" w:hAnsi="宋体" w:eastAsia="宋体" w:cs="宋体"/>
          <w:sz w:val="21"/>
          <w:szCs w:val="21"/>
        </w:rPr>
        <w:t> </w:t>
      </w:r>
    </w:p>
    <w:p>
      <w:pPr>
        <w:pStyle w:val="4"/>
        <w:keepNext w:val="0"/>
        <w:keepLines w:val="0"/>
        <w:widowControl/>
        <w:suppressLineNumbers w:val="0"/>
      </w:pPr>
      <w:r>
        <w:rPr>
          <w:rFonts w:hint="eastAsia" w:ascii="宋体" w:hAnsi="宋体" w:eastAsia="宋体" w:cs="宋体"/>
          <w:sz w:val="21"/>
          <w:szCs w:val="21"/>
        </w:rPr>
        <w:t> </w:t>
      </w:r>
    </w:p>
    <w:p>
      <w:pPr>
        <w:pStyle w:val="4"/>
        <w:keepNext w:val="0"/>
        <w:keepLines w:val="0"/>
        <w:widowControl/>
        <w:suppressLineNumbers w:val="0"/>
        <w:jc w:val="center"/>
      </w:pPr>
      <w:r>
        <w:rPr>
          <w:rFonts w:hint="default" w:ascii="Calibri" w:hAnsi="Calibri" w:cs="Calibri"/>
          <w:sz w:val="21"/>
          <w:szCs w:val="21"/>
        </w:rPr>
        <w:br w:type="textWrapping"/>
      </w:r>
      <w:r>
        <w:rPr>
          <w:rStyle w:val="6"/>
          <w:rFonts w:hint="eastAsia" w:ascii="宋体" w:hAnsi="宋体" w:eastAsia="宋体" w:cs="宋体"/>
          <w:sz w:val="21"/>
          <w:szCs w:val="21"/>
        </w:rPr>
        <w:t>二-12-②招标文件规定的其他资格证明文件（若有）</w:t>
      </w:r>
    </w:p>
    <w:p>
      <w:pPr>
        <w:pStyle w:val="4"/>
        <w:keepNext w:val="0"/>
        <w:keepLines w:val="0"/>
        <w:widowControl/>
        <w:suppressLineNumbers w:val="0"/>
      </w:pPr>
      <w:r>
        <w:rPr>
          <w:rStyle w:val="6"/>
          <w:rFonts w:hint="eastAsia" w:ascii="宋体" w:hAnsi="宋体" w:eastAsia="宋体" w:cs="宋体"/>
          <w:sz w:val="21"/>
          <w:szCs w:val="21"/>
        </w:rPr>
        <w:t> </w:t>
      </w:r>
    </w:p>
    <w:p>
      <w:pPr>
        <w:pStyle w:val="4"/>
        <w:keepNext w:val="0"/>
        <w:keepLines w:val="0"/>
        <w:widowControl/>
        <w:suppressLineNumbers w:val="0"/>
      </w:pPr>
      <w:r>
        <w:rPr>
          <w:rStyle w:val="6"/>
          <w:rFonts w:hint="eastAsia" w:ascii="宋体" w:hAnsi="宋体" w:eastAsia="宋体" w:cs="宋体"/>
          <w:sz w:val="21"/>
          <w:szCs w:val="21"/>
        </w:rPr>
        <w:t> </w:t>
      </w:r>
    </w:p>
    <w:p>
      <w:pPr>
        <w:pStyle w:val="4"/>
        <w:keepNext w:val="0"/>
        <w:keepLines w:val="0"/>
        <w:widowControl/>
        <w:suppressLineNumbers w:val="0"/>
        <w:jc w:val="center"/>
      </w:pPr>
      <w:r>
        <w:rPr>
          <w:rFonts w:hint="eastAsia" w:ascii="宋体" w:hAnsi="宋体" w:eastAsia="宋体" w:cs="宋体"/>
          <w:sz w:val="21"/>
          <w:szCs w:val="21"/>
        </w:rPr>
        <w:t>编制说明</w:t>
      </w:r>
    </w:p>
    <w:p>
      <w:pPr>
        <w:pStyle w:val="4"/>
        <w:keepNext w:val="0"/>
        <w:keepLines w:val="0"/>
        <w:widowControl/>
        <w:suppressLineNumbers w:val="0"/>
        <w:jc w:val="center"/>
      </w:pPr>
      <w:r>
        <w:rPr>
          <w:rFonts w:hint="eastAsia" w:ascii="宋体" w:hAnsi="宋体" w:eastAsia="宋体" w:cs="宋体"/>
          <w:sz w:val="21"/>
          <w:szCs w:val="21"/>
        </w:rPr>
        <w:t> </w:t>
      </w:r>
    </w:p>
    <w:p>
      <w:pPr>
        <w:pStyle w:val="4"/>
        <w:keepNext w:val="0"/>
        <w:keepLines w:val="0"/>
        <w:widowControl/>
        <w:suppressLineNumbers w:val="0"/>
        <w:ind w:left="0" w:firstLine="420"/>
      </w:pPr>
      <w:r>
        <w:rPr>
          <w:rFonts w:hint="eastAsia" w:ascii="宋体" w:hAnsi="宋体" w:eastAsia="宋体" w:cs="宋体"/>
          <w:sz w:val="21"/>
          <w:szCs w:val="21"/>
        </w:rPr>
        <w:t>除招标文件另有规定外，招标文件要求提交的除前述资格证明文件外的其他资格证明文件（若有）加盖投标人的单位公章后应在此项下提交。</w:t>
      </w:r>
    </w:p>
    <w:p>
      <w:pPr>
        <w:pStyle w:val="4"/>
        <w:keepNext w:val="0"/>
        <w:keepLines w:val="0"/>
        <w:widowControl/>
        <w:suppressLineNumbers w:val="0"/>
      </w:pPr>
      <w:r>
        <w:rPr>
          <w:rStyle w:val="6"/>
          <w:rFonts w:hint="eastAsia" w:ascii="宋体" w:hAnsi="宋体" w:eastAsia="宋体" w:cs="宋体"/>
          <w:sz w:val="21"/>
          <w:szCs w:val="21"/>
        </w:rPr>
        <w:t> </w:t>
      </w:r>
    </w:p>
    <w:p>
      <w:pPr>
        <w:pStyle w:val="4"/>
        <w:keepNext w:val="0"/>
        <w:keepLines w:val="0"/>
        <w:widowControl/>
        <w:suppressLineNumbers w:val="0"/>
      </w:pPr>
      <w:r>
        <w:rPr>
          <w:rStyle w:val="6"/>
          <w:rFonts w:hint="eastAsia" w:ascii="宋体" w:hAnsi="宋体" w:eastAsia="宋体" w:cs="宋体"/>
          <w:sz w:val="21"/>
          <w:szCs w:val="21"/>
        </w:rPr>
        <w:t> </w:t>
      </w:r>
    </w:p>
    <w:p>
      <w:pPr>
        <w:pStyle w:val="4"/>
        <w:keepNext w:val="0"/>
        <w:keepLines w:val="0"/>
        <w:widowControl/>
        <w:suppressLineNumbers w:val="0"/>
        <w:jc w:val="center"/>
      </w:pPr>
      <w:r>
        <w:rPr>
          <w:rFonts w:hint="default" w:ascii="Calibri" w:hAnsi="Calibri" w:cs="Calibri"/>
          <w:sz w:val="21"/>
          <w:szCs w:val="21"/>
        </w:rPr>
        <w:br w:type="textWrapping"/>
      </w:r>
      <w:r>
        <w:rPr>
          <w:rFonts w:hint="eastAsia" w:ascii="宋体" w:hAnsi="宋体" w:eastAsia="宋体" w:cs="宋体"/>
          <w:sz w:val="21"/>
          <w:szCs w:val="21"/>
        </w:rPr>
        <w:t>三</w:t>
      </w:r>
      <w:r>
        <w:rPr>
          <w:rStyle w:val="6"/>
          <w:rFonts w:hint="eastAsia" w:ascii="宋体" w:hAnsi="宋体" w:eastAsia="宋体" w:cs="宋体"/>
          <w:sz w:val="21"/>
          <w:szCs w:val="21"/>
        </w:rPr>
        <w:t>、投标保证金</w:t>
      </w:r>
    </w:p>
    <w:p>
      <w:pPr>
        <w:pStyle w:val="4"/>
        <w:keepNext w:val="0"/>
        <w:keepLines w:val="0"/>
        <w:widowControl/>
        <w:suppressLineNumbers w:val="0"/>
      </w:pPr>
      <w:r>
        <w:rPr>
          <w:rFonts w:hint="eastAsia" w:ascii="宋体" w:hAnsi="宋体" w:eastAsia="宋体" w:cs="宋体"/>
          <w:sz w:val="21"/>
          <w:szCs w:val="21"/>
        </w:rPr>
        <w:t> </w:t>
      </w:r>
    </w:p>
    <w:p>
      <w:pPr>
        <w:pStyle w:val="4"/>
        <w:keepNext w:val="0"/>
        <w:keepLines w:val="0"/>
        <w:widowControl/>
        <w:suppressLineNumbers w:val="0"/>
      </w:pPr>
      <w:r>
        <w:rPr>
          <w:rFonts w:hint="eastAsia" w:ascii="宋体" w:hAnsi="宋体" w:eastAsia="宋体" w:cs="宋体"/>
          <w:sz w:val="21"/>
          <w:szCs w:val="21"/>
        </w:rPr>
        <w:t> </w:t>
      </w:r>
    </w:p>
    <w:p>
      <w:pPr>
        <w:pStyle w:val="4"/>
        <w:keepNext w:val="0"/>
        <w:keepLines w:val="0"/>
        <w:widowControl/>
        <w:suppressLineNumbers w:val="0"/>
        <w:jc w:val="center"/>
      </w:pPr>
      <w:r>
        <w:rPr>
          <w:rFonts w:hint="eastAsia" w:ascii="宋体" w:hAnsi="宋体" w:eastAsia="宋体" w:cs="宋体"/>
          <w:sz w:val="21"/>
          <w:szCs w:val="21"/>
        </w:rPr>
        <w:t>编制说明</w:t>
      </w:r>
    </w:p>
    <w:p>
      <w:pPr>
        <w:pStyle w:val="4"/>
        <w:keepNext w:val="0"/>
        <w:keepLines w:val="0"/>
        <w:widowControl/>
        <w:suppressLineNumbers w:val="0"/>
      </w:pPr>
      <w:r>
        <w:rPr>
          <w:rFonts w:hint="eastAsia" w:ascii="宋体" w:hAnsi="宋体" w:eastAsia="宋体" w:cs="宋体"/>
          <w:sz w:val="21"/>
          <w:szCs w:val="21"/>
        </w:rPr>
        <w:t> </w:t>
      </w:r>
    </w:p>
    <w:p>
      <w:pPr>
        <w:pStyle w:val="4"/>
        <w:keepNext w:val="0"/>
        <w:keepLines w:val="0"/>
        <w:widowControl/>
        <w:suppressLineNumbers w:val="0"/>
      </w:pPr>
      <w:r>
        <w:rPr>
          <w:rFonts w:hint="eastAsia" w:ascii="宋体" w:hAnsi="宋体" w:eastAsia="宋体" w:cs="宋体"/>
          <w:sz w:val="21"/>
          <w:szCs w:val="21"/>
        </w:rPr>
        <w:t>1、在此项下提交的</w:t>
      </w:r>
      <w:r>
        <w:rPr>
          <w:rStyle w:val="6"/>
          <w:rFonts w:hint="eastAsia" w:ascii="宋体" w:hAnsi="宋体" w:eastAsia="宋体" w:cs="宋体"/>
          <w:sz w:val="21"/>
          <w:szCs w:val="21"/>
        </w:rPr>
        <w:t>“投标保证金”</w:t>
      </w:r>
      <w:r>
        <w:rPr>
          <w:rFonts w:hint="eastAsia" w:ascii="宋体" w:hAnsi="宋体" w:eastAsia="宋体" w:cs="宋体"/>
          <w:sz w:val="21"/>
          <w:szCs w:val="21"/>
        </w:rPr>
        <w:t>材料可使用转账凭证复印件或从福建省政府采购网上公开信息系统中下载的有关原始页面的打印件。</w:t>
      </w:r>
    </w:p>
    <w:p>
      <w:pPr>
        <w:pStyle w:val="4"/>
        <w:keepNext w:val="0"/>
        <w:keepLines w:val="0"/>
        <w:widowControl/>
        <w:suppressLineNumbers w:val="0"/>
      </w:pPr>
      <w:r>
        <w:rPr>
          <w:rFonts w:hint="eastAsia" w:ascii="宋体" w:hAnsi="宋体" w:eastAsia="宋体" w:cs="宋体"/>
          <w:sz w:val="21"/>
          <w:szCs w:val="21"/>
        </w:rPr>
        <w:t>2、投标保证金是否已提交的认定按照招标文件第三章规定执行。</w:t>
      </w:r>
    </w:p>
    <w:p>
      <w:pPr>
        <w:pStyle w:val="4"/>
        <w:keepNext w:val="0"/>
        <w:keepLines w:val="0"/>
        <w:widowControl/>
        <w:suppressLineNumbers w:val="0"/>
      </w:pPr>
      <w:r>
        <w:rPr>
          <w:rFonts w:hint="eastAsia" w:ascii="宋体" w:hAnsi="宋体" w:eastAsia="宋体" w:cs="宋体"/>
          <w:sz w:val="21"/>
          <w:szCs w:val="21"/>
        </w:rPr>
        <w:t> </w:t>
      </w:r>
    </w:p>
    <w:p>
      <w:pPr>
        <w:pStyle w:val="4"/>
        <w:keepNext w:val="0"/>
        <w:keepLines w:val="0"/>
        <w:widowControl/>
        <w:suppressLineNumbers w:val="0"/>
      </w:pPr>
      <w:r>
        <w:rPr>
          <w:rFonts w:hint="eastAsia" w:ascii="宋体" w:hAnsi="宋体" w:eastAsia="宋体" w:cs="宋体"/>
          <w:sz w:val="21"/>
          <w:szCs w:val="21"/>
        </w:rPr>
        <w:t> </w:t>
      </w:r>
    </w:p>
    <w:p>
      <w:pPr>
        <w:pStyle w:val="4"/>
        <w:keepNext w:val="0"/>
        <w:keepLines w:val="0"/>
        <w:widowControl/>
        <w:suppressLineNumbers w:val="0"/>
      </w:pPr>
    </w:p>
    <w:p>
      <w:pPr>
        <w:pStyle w:val="4"/>
        <w:keepNext w:val="0"/>
        <w:keepLines w:val="0"/>
        <w:widowControl/>
        <w:suppressLineNumbers w:val="0"/>
      </w:pPr>
      <w:r>
        <w:rPr>
          <w:rFonts w:hint="eastAsia" w:ascii="宋体" w:hAnsi="宋体" w:eastAsia="宋体" w:cs="宋体"/>
          <w:sz w:val="21"/>
          <w:szCs w:val="21"/>
        </w:rPr>
        <w:t> </w:t>
      </w:r>
    </w:p>
    <w:p>
      <w:pPr>
        <w:pStyle w:val="4"/>
        <w:keepNext w:val="0"/>
        <w:keepLines w:val="0"/>
        <w:widowControl/>
        <w:suppressLineNumbers w:val="0"/>
      </w:pPr>
      <w:r>
        <w:rPr>
          <w:rFonts w:hint="eastAsia" w:ascii="宋体" w:hAnsi="宋体" w:eastAsia="宋体" w:cs="宋体"/>
          <w:sz w:val="21"/>
          <w:szCs w:val="21"/>
        </w:rPr>
        <w:t> </w:t>
      </w:r>
    </w:p>
    <w:p>
      <w:pPr>
        <w:pStyle w:val="4"/>
        <w:keepNext w:val="0"/>
        <w:keepLines w:val="0"/>
        <w:widowControl/>
        <w:suppressLineNumbers w:val="0"/>
        <w:jc w:val="center"/>
      </w:pPr>
      <w:r>
        <w:rPr>
          <w:rStyle w:val="6"/>
          <w:rFonts w:hint="eastAsia" w:ascii="宋体" w:hAnsi="宋体" w:eastAsia="宋体" w:cs="宋体"/>
          <w:sz w:val="28"/>
          <w:szCs w:val="28"/>
        </w:rPr>
        <w:t>封面格式</w:t>
      </w:r>
    </w:p>
    <w:p>
      <w:pPr>
        <w:pStyle w:val="4"/>
        <w:keepNext w:val="0"/>
        <w:keepLines w:val="0"/>
        <w:widowControl/>
        <w:suppressLineNumbers w:val="0"/>
      </w:pPr>
      <w:r>
        <w:rPr>
          <w:rFonts w:hint="eastAsia" w:ascii="宋体" w:hAnsi="宋体" w:eastAsia="宋体" w:cs="宋体"/>
          <w:sz w:val="36"/>
          <w:szCs w:val="36"/>
        </w:rPr>
        <w:t> </w:t>
      </w:r>
    </w:p>
    <w:p>
      <w:pPr>
        <w:pStyle w:val="4"/>
        <w:keepNext w:val="0"/>
        <w:keepLines w:val="0"/>
        <w:widowControl/>
        <w:suppressLineNumbers w:val="0"/>
      </w:pPr>
      <w:r>
        <w:rPr>
          <w:rFonts w:hint="eastAsia" w:ascii="宋体" w:hAnsi="宋体" w:eastAsia="宋体" w:cs="宋体"/>
          <w:sz w:val="36"/>
          <w:szCs w:val="36"/>
        </w:rPr>
        <w:t> </w:t>
      </w:r>
    </w:p>
    <w:p>
      <w:pPr>
        <w:pStyle w:val="4"/>
        <w:keepNext w:val="0"/>
        <w:keepLines w:val="0"/>
        <w:widowControl/>
        <w:suppressLineNumbers w:val="0"/>
      </w:pPr>
      <w:r>
        <w:rPr>
          <w:rFonts w:hint="eastAsia" w:ascii="宋体" w:hAnsi="宋体" w:eastAsia="宋体" w:cs="宋体"/>
          <w:sz w:val="36"/>
          <w:szCs w:val="36"/>
        </w:rPr>
        <w:t> </w:t>
      </w:r>
    </w:p>
    <w:p>
      <w:pPr>
        <w:pStyle w:val="4"/>
        <w:keepNext w:val="0"/>
        <w:keepLines w:val="0"/>
        <w:widowControl/>
        <w:suppressLineNumbers w:val="0"/>
        <w:jc w:val="center"/>
      </w:pPr>
      <w:r>
        <w:rPr>
          <w:rStyle w:val="6"/>
          <w:rFonts w:hint="eastAsia" w:ascii="宋体" w:hAnsi="宋体" w:eastAsia="宋体" w:cs="宋体"/>
          <w:sz w:val="48"/>
          <w:szCs w:val="48"/>
        </w:rPr>
        <w:t>福建省政府采购投标文件</w:t>
      </w:r>
    </w:p>
    <w:p>
      <w:pPr>
        <w:pStyle w:val="4"/>
        <w:keepNext w:val="0"/>
        <w:keepLines w:val="0"/>
        <w:widowControl/>
        <w:suppressLineNumbers w:val="0"/>
        <w:jc w:val="center"/>
      </w:pPr>
      <w:r>
        <w:rPr>
          <w:rStyle w:val="6"/>
          <w:rFonts w:hint="eastAsia" w:ascii="宋体" w:hAnsi="宋体" w:eastAsia="宋体" w:cs="宋体"/>
          <w:sz w:val="48"/>
          <w:szCs w:val="48"/>
        </w:rPr>
        <w:t>（报价部分）</w:t>
      </w:r>
    </w:p>
    <w:p>
      <w:pPr>
        <w:pStyle w:val="4"/>
        <w:keepNext w:val="0"/>
        <w:keepLines w:val="0"/>
        <w:widowControl/>
        <w:suppressLineNumbers w:val="0"/>
      </w:pPr>
      <w:r>
        <w:rPr>
          <w:rFonts w:hint="eastAsia" w:ascii="宋体" w:hAnsi="宋体" w:eastAsia="宋体" w:cs="宋体"/>
          <w:sz w:val="36"/>
          <w:szCs w:val="36"/>
        </w:rPr>
        <w:t> </w:t>
      </w:r>
    </w:p>
    <w:p>
      <w:pPr>
        <w:pStyle w:val="4"/>
        <w:keepNext w:val="0"/>
        <w:keepLines w:val="0"/>
        <w:widowControl/>
        <w:suppressLineNumbers w:val="0"/>
        <w:jc w:val="center"/>
      </w:pPr>
      <w:r>
        <w:rPr>
          <w:rStyle w:val="6"/>
          <w:rFonts w:hint="eastAsia" w:ascii="宋体" w:hAnsi="宋体" w:eastAsia="宋体" w:cs="宋体"/>
          <w:sz w:val="36"/>
          <w:szCs w:val="36"/>
          <w:u w:val="single"/>
        </w:rPr>
        <w:t>（填写正本或副本）</w:t>
      </w:r>
    </w:p>
    <w:p>
      <w:pPr>
        <w:pStyle w:val="4"/>
        <w:keepNext w:val="0"/>
        <w:keepLines w:val="0"/>
        <w:widowControl/>
        <w:suppressLineNumbers w:val="0"/>
      </w:pPr>
      <w:r>
        <w:rPr>
          <w:rFonts w:hint="eastAsia" w:ascii="宋体" w:hAnsi="宋体" w:eastAsia="宋体" w:cs="宋体"/>
          <w:sz w:val="36"/>
          <w:szCs w:val="36"/>
        </w:rPr>
        <w:t> </w:t>
      </w:r>
    </w:p>
    <w:p>
      <w:pPr>
        <w:pStyle w:val="4"/>
        <w:keepNext w:val="0"/>
        <w:keepLines w:val="0"/>
        <w:widowControl/>
        <w:suppressLineNumbers w:val="0"/>
        <w:ind w:left="0" w:firstLine="1920"/>
      </w:pPr>
      <w:r>
        <w:rPr>
          <w:rStyle w:val="6"/>
          <w:rFonts w:hint="eastAsia" w:ascii="宋体" w:hAnsi="宋体" w:eastAsia="宋体" w:cs="宋体"/>
          <w:sz w:val="31"/>
          <w:szCs w:val="31"/>
        </w:rPr>
        <w:t>项目名称：</w:t>
      </w:r>
      <w:r>
        <w:rPr>
          <w:rStyle w:val="6"/>
          <w:rFonts w:hint="eastAsia" w:ascii="宋体" w:hAnsi="宋体" w:eastAsia="宋体" w:cs="宋体"/>
          <w:sz w:val="31"/>
          <w:szCs w:val="31"/>
          <w:u w:val="single"/>
        </w:rPr>
        <w:t>（由投标人填写）</w:t>
      </w:r>
    </w:p>
    <w:p>
      <w:pPr>
        <w:pStyle w:val="4"/>
        <w:keepNext w:val="0"/>
        <w:keepLines w:val="0"/>
        <w:widowControl/>
        <w:suppressLineNumbers w:val="0"/>
        <w:ind w:left="0" w:firstLine="1920"/>
      </w:pPr>
      <w:r>
        <w:rPr>
          <w:rStyle w:val="6"/>
          <w:rFonts w:hint="eastAsia" w:ascii="宋体" w:hAnsi="宋体" w:eastAsia="宋体" w:cs="宋体"/>
          <w:sz w:val="31"/>
          <w:szCs w:val="31"/>
        </w:rPr>
        <w:t>备案编号：</w:t>
      </w:r>
      <w:r>
        <w:rPr>
          <w:rStyle w:val="6"/>
          <w:rFonts w:hint="eastAsia" w:ascii="宋体" w:hAnsi="宋体" w:eastAsia="宋体" w:cs="宋体"/>
          <w:sz w:val="31"/>
          <w:szCs w:val="31"/>
          <w:u w:val="single"/>
        </w:rPr>
        <w:t>（由投标人填写）</w:t>
      </w:r>
    </w:p>
    <w:p>
      <w:pPr>
        <w:pStyle w:val="4"/>
        <w:keepNext w:val="0"/>
        <w:keepLines w:val="0"/>
        <w:widowControl/>
        <w:suppressLineNumbers w:val="0"/>
        <w:ind w:left="0" w:firstLine="1920"/>
      </w:pPr>
      <w:r>
        <w:rPr>
          <w:rStyle w:val="6"/>
          <w:rFonts w:hint="eastAsia" w:ascii="宋体" w:hAnsi="宋体" w:eastAsia="宋体" w:cs="宋体"/>
          <w:sz w:val="31"/>
          <w:szCs w:val="31"/>
        </w:rPr>
        <w:t>招标编号：</w:t>
      </w:r>
      <w:r>
        <w:rPr>
          <w:rStyle w:val="6"/>
          <w:rFonts w:hint="eastAsia" w:ascii="宋体" w:hAnsi="宋体" w:eastAsia="宋体" w:cs="宋体"/>
          <w:sz w:val="31"/>
          <w:szCs w:val="31"/>
          <w:u w:val="single"/>
        </w:rPr>
        <w:t>（由投标人填写）</w:t>
      </w:r>
    </w:p>
    <w:p>
      <w:pPr>
        <w:pStyle w:val="4"/>
        <w:keepNext w:val="0"/>
        <w:keepLines w:val="0"/>
        <w:widowControl/>
        <w:suppressLineNumbers w:val="0"/>
        <w:ind w:left="0" w:firstLine="1920"/>
      </w:pPr>
      <w:r>
        <w:rPr>
          <w:rStyle w:val="6"/>
          <w:rFonts w:hint="eastAsia" w:ascii="宋体" w:hAnsi="宋体" w:eastAsia="宋体" w:cs="宋体"/>
          <w:sz w:val="31"/>
          <w:szCs w:val="31"/>
        </w:rPr>
        <w:t>所投合同包：</w:t>
      </w:r>
      <w:r>
        <w:rPr>
          <w:rStyle w:val="6"/>
          <w:rFonts w:hint="eastAsia" w:ascii="宋体" w:hAnsi="宋体" w:eastAsia="宋体" w:cs="宋体"/>
          <w:sz w:val="31"/>
          <w:szCs w:val="31"/>
          <w:u w:val="single"/>
        </w:rPr>
        <w:t>（由投标人填写）</w:t>
      </w:r>
    </w:p>
    <w:p>
      <w:pPr>
        <w:pStyle w:val="4"/>
        <w:keepNext w:val="0"/>
        <w:keepLines w:val="0"/>
        <w:widowControl/>
        <w:suppressLineNumbers w:val="0"/>
      </w:pPr>
      <w:r>
        <w:rPr>
          <w:rFonts w:hint="eastAsia" w:ascii="宋体" w:hAnsi="宋体" w:eastAsia="宋体" w:cs="宋体"/>
          <w:sz w:val="36"/>
          <w:szCs w:val="36"/>
        </w:rPr>
        <w:t> </w:t>
      </w:r>
    </w:p>
    <w:p>
      <w:pPr>
        <w:pStyle w:val="4"/>
        <w:keepNext w:val="0"/>
        <w:keepLines w:val="0"/>
        <w:widowControl/>
        <w:suppressLineNumbers w:val="0"/>
      </w:pPr>
      <w:r>
        <w:rPr>
          <w:rFonts w:hint="eastAsia" w:ascii="宋体" w:hAnsi="宋体" w:eastAsia="宋体" w:cs="宋体"/>
          <w:sz w:val="36"/>
          <w:szCs w:val="36"/>
        </w:rPr>
        <w:t> </w:t>
      </w:r>
    </w:p>
    <w:p>
      <w:pPr>
        <w:pStyle w:val="4"/>
        <w:keepNext w:val="0"/>
        <w:keepLines w:val="0"/>
        <w:widowControl/>
        <w:suppressLineNumbers w:val="0"/>
      </w:pPr>
      <w:r>
        <w:rPr>
          <w:rFonts w:hint="eastAsia" w:ascii="宋体" w:hAnsi="宋体" w:eastAsia="宋体" w:cs="宋体"/>
          <w:sz w:val="36"/>
          <w:szCs w:val="36"/>
        </w:rPr>
        <w:t> </w:t>
      </w:r>
    </w:p>
    <w:p>
      <w:pPr>
        <w:pStyle w:val="4"/>
        <w:keepNext w:val="0"/>
        <w:keepLines w:val="0"/>
        <w:widowControl/>
        <w:suppressLineNumbers w:val="0"/>
      </w:pPr>
      <w:r>
        <w:rPr>
          <w:rFonts w:hint="eastAsia" w:ascii="宋体" w:hAnsi="宋体" w:eastAsia="宋体" w:cs="宋体"/>
          <w:sz w:val="36"/>
          <w:szCs w:val="36"/>
        </w:rPr>
        <w:t> </w:t>
      </w:r>
    </w:p>
    <w:p>
      <w:pPr>
        <w:pStyle w:val="4"/>
        <w:keepNext w:val="0"/>
        <w:keepLines w:val="0"/>
        <w:widowControl/>
        <w:suppressLineNumbers w:val="0"/>
        <w:jc w:val="center"/>
      </w:pPr>
      <w:r>
        <w:rPr>
          <w:rStyle w:val="6"/>
          <w:rFonts w:hint="eastAsia" w:ascii="宋体" w:hAnsi="宋体" w:eastAsia="宋体" w:cs="宋体"/>
          <w:sz w:val="31"/>
          <w:szCs w:val="31"/>
        </w:rPr>
        <w:t>投标人：</w:t>
      </w:r>
      <w:r>
        <w:rPr>
          <w:rStyle w:val="6"/>
          <w:rFonts w:hint="eastAsia" w:ascii="宋体" w:hAnsi="宋体" w:eastAsia="宋体" w:cs="宋体"/>
          <w:sz w:val="31"/>
          <w:szCs w:val="31"/>
          <w:u w:val="single"/>
        </w:rPr>
        <w:t>（填写“全称”）</w:t>
      </w:r>
    </w:p>
    <w:p>
      <w:pPr>
        <w:pStyle w:val="4"/>
        <w:keepNext w:val="0"/>
        <w:keepLines w:val="0"/>
        <w:widowControl/>
        <w:suppressLineNumbers w:val="0"/>
        <w:jc w:val="center"/>
      </w:pPr>
      <w:r>
        <w:rPr>
          <w:rStyle w:val="6"/>
          <w:rFonts w:hint="eastAsia" w:ascii="宋体" w:hAnsi="宋体" w:eastAsia="宋体" w:cs="宋体"/>
          <w:sz w:val="31"/>
          <w:szCs w:val="31"/>
          <w:u w:val="single"/>
        </w:rPr>
        <w:t>（由投标人填写）</w:t>
      </w:r>
      <w:r>
        <w:rPr>
          <w:rStyle w:val="6"/>
          <w:rFonts w:hint="eastAsia" w:ascii="宋体" w:hAnsi="宋体" w:eastAsia="宋体" w:cs="宋体"/>
          <w:sz w:val="31"/>
          <w:szCs w:val="31"/>
        </w:rPr>
        <w:t>年</w:t>
      </w:r>
      <w:r>
        <w:rPr>
          <w:rStyle w:val="6"/>
          <w:rFonts w:hint="eastAsia" w:ascii="宋体" w:hAnsi="宋体" w:eastAsia="宋体" w:cs="宋体"/>
          <w:sz w:val="31"/>
          <w:szCs w:val="31"/>
          <w:u w:val="single"/>
        </w:rPr>
        <w:t>（由投标人填写）</w:t>
      </w:r>
      <w:r>
        <w:rPr>
          <w:rStyle w:val="6"/>
          <w:rFonts w:hint="eastAsia" w:ascii="宋体" w:hAnsi="宋体" w:eastAsia="宋体" w:cs="宋体"/>
          <w:sz w:val="31"/>
          <w:szCs w:val="31"/>
        </w:rPr>
        <w:t>月</w:t>
      </w:r>
    </w:p>
    <w:p>
      <w:pPr>
        <w:pStyle w:val="4"/>
        <w:keepNext w:val="0"/>
        <w:keepLines w:val="0"/>
        <w:widowControl/>
        <w:suppressLineNumbers w:val="0"/>
      </w:pPr>
      <w:r>
        <w:rPr>
          <w:rFonts w:hint="eastAsia" w:ascii="宋体" w:hAnsi="宋体" w:eastAsia="宋体" w:cs="宋体"/>
          <w:sz w:val="21"/>
          <w:szCs w:val="21"/>
        </w:rPr>
        <w:t> </w:t>
      </w:r>
    </w:p>
    <w:p>
      <w:pPr>
        <w:pStyle w:val="4"/>
        <w:keepNext w:val="0"/>
        <w:keepLines w:val="0"/>
        <w:widowControl/>
        <w:suppressLineNumbers w:val="0"/>
      </w:pPr>
      <w:r>
        <w:rPr>
          <w:rFonts w:hint="eastAsia" w:ascii="宋体" w:hAnsi="宋体" w:eastAsia="宋体" w:cs="宋体"/>
          <w:sz w:val="21"/>
          <w:szCs w:val="21"/>
        </w:rPr>
        <w:t> </w:t>
      </w:r>
    </w:p>
    <w:p>
      <w:pPr>
        <w:pStyle w:val="4"/>
        <w:keepNext w:val="0"/>
        <w:keepLines w:val="0"/>
        <w:widowControl/>
        <w:suppressLineNumbers w:val="0"/>
        <w:jc w:val="center"/>
      </w:pPr>
      <w:r>
        <w:rPr>
          <w:rFonts w:hint="default" w:ascii="Calibri" w:hAnsi="Calibri" w:cs="Calibri"/>
          <w:sz w:val="21"/>
          <w:szCs w:val="21"/>
        </w:rPr>
        <w:br w:type="textWrapping"/>
      </w:r>
      <w:r>
        <w:rPr>
          <w:rStyle w:val="6"/>
          <w:rFonts w:hint="eastAsia" w:ascii="宋体" w:hAnsi="宋体" w:eastAsia="宋体" w:cs="宋体"/>
          <w:sz w:val="28"/>
          <w:szCs w:val="28"/>
        </w:rPr>
        <w:t>索引</w:t>
      </w:r>
    </w:p>
    <w:p>
      <w:pPr>
        <w:pStyle w:val="4"/>
        <w:keepNext w:val="0"/>
        <w:keepLines w:val="0"/>
        <w:widowControl/>
        <w:suppressLineNumbers w:val="0"/>
      </w:pPr>
      <w:r>
        <w:rPr>
          <w:rFonts w:hint="eastAsia" w:ascii="宋体" w:hAnsi="宋体" w:eastAsia="宋体" w:cs="宋体"/>
          <w:sz w:val="28"/>
          <w:szCs w:val="28"/>
        </w:rPr>
        <w:t>一、开标一览表</w:t>
      </w:r>
    </w:p>
    <w:p>
      <w:pPr>
        <w:pStyle w:val="4"/>
        <w:keepNext w:val="0"/>
        <w:keepLines w:val="0"/>
        <w:widowControl/>
        <w:suppressLineNumbers w:val="0"/>
      </w:pPr>
      <w:r>
        <w:rPr>
          <w:rFonts w:hint="eastAsia" w:ascii="宋体" w:hAnsi="宋体" w:eastAsia="宋体" w:cs="宋体"/>
          <w:sz w:val="28"/>
          <w:szCs w:val="28"/>
        </w:rPr>
        <w:t>二、投标分项报价表</w:t>
      </w:r>
    </w:p>
    <w:p>
      <w:pPr>
        <w:pStyle w:val="4"/>
        <w:keepNext w:val="0"/>
        <w:keepLines w:val="0"/>
        <w:widowControl/>
        <w:suppressLineNumbers w:val="0"/>
      </w:pPr>
      <w:r>
        <w:rPr>
          <w:rFonts w:hint="eastAsia" w:ascii="宋体" w:hAnsi="宋体" w:eastAsia="宋体" w:cs="宋体"/>
          <w:sz w:val="28"/>
          <w:szCs w:val="28"/>
        </w:rPr>
        <w:t>三、招标文件规定的价格扣除证明材料（若有）</w:t>
      </w:r>
    </w:p>
    <w:p>
      <w:pPr>
        <w:pStyle w:val="4"/>
        <w:keepNext w:val="0"/>
        <w:keepLines w:val="0"/>
        <w:widowControl/>
        <w:suppressLineNumbers w:val="0"/>
      </w:pPr>
      <w:r>
        <w:rPr>
          <w:rFonts w:hint="eastAsia" w:ascii="宋体" w:hAnsi="宋体" w:eastAsia="宋体" w:cs="宋体"/>
          <w:sz w:val="28"/>
          <w:szCs w:val="28"/>
        </w:rPr>
        <w:t>四、招标文件规定的加分证明材料（若有）</w:t>
      </w:r>
    </w:p>
    <w:p>
      <w:pPr>
        <w:pStyle w:val="4"/>
        <w:keepNext w:val="0"/>
        <w:keepLines w:val="0"/>
        <w:widowControl/>
        <w:suppressLineNumbers w:val="0"/>
      </w:pPr>
      <w:r>
        <w:rPr>
          <w:rFonts w:hint="eastAsia" w:ascii="宋体" w:hAnsi="宋体" w:eastAsia="宋体" w:cs="宋体"/>
          <w:sz w:val="21"/>
          <w:szCs w:val="21"/>
        </w:rPr>
        <w:t> </w:t>
      </w:r>
    </w:p>
    <w:p>
      <w:pPr>
        <w:pStyle w:val="4"/>
        <w:keepNext w:val="0"/>
        <w:keepLines w:val="0"/>
        <w:widowControl/>
        <w:suppressLineNumbers w:val="0"/>
      </w:pPr>
      <w:r>
        <w:rPr>
          <w:rFonts w:hint="eastAsia" w:ascii="宋体" w:hAnsi="宋体" w:eastAsia="宋体" w:cs="宋体"/>
          <w:sz w:val="21"/>
          <w:szCs w:val="21"/>
        </w:rPr>
        <w:t> </w:t>
      </w:r>
    </w:p>
    <w:p>
      <w:pPr>
        <w:pStyle w:val="4"/>
        <w:keepNext w:val="0"/>
        <w:keepLines w:val="0"/>
        <w:widowControl/>
        <w:suppressLineNumbers w:val="0"/>
        <w:jc w:val="center"/>
      </w:pPr>
      <w:r>
        <w:rPr>
          <w:rFonts w:hint="default" w:ascii="Calibri" w:hAnsi="Calibri" w:cs="Calibri"/>
          <w:sz w:val="21"/>
          <w:szCs w:val="21"/>
        </w:rPr>
        <w:br w:type="textWrapping"/>
      </w:r>
      <w:r>
        <w:rPr>
          <w:rStyle w:val="6"/>
          <w:rFonts w:hint="eastAsia" w:ascii="宋体" w:hAnsi="宋体" w:eastAsia="宋体" w:cs="宋体"/>
          <w:sz w:val="21"/>
          <w:szCs w:val="21"/>
        </w:rPr>
        <w:t>一、开标一览表</w:t>
      </w:r>
    </w:p>
    <w:p>
      <w:pPr>
        <w:pStyle w:val="4"/>
        <w:keepNext w:val="0"/>
        <w:keepLines w:val="0"/>
        <w:widowControl/>
        <w:suppressLineNumbers w:val="0"/>
      </w:pPr>
      <w:r>
        <w:rPr>
          <w:rFonts w:hint="eastAsia" w:ascii="宋体" w:hAnsi="宋体" w:eastAsia="宋体" w:cs="宋体"/>
          <w:sz w:val="21"/>
          <w:szCs w:val="21"/>
        </w:rPr>
        <w:t> </w:t>
      </w:r>
    </w:p>
    <w:p>
      <w:pPr>
        <w:pStyle w:val="4"/>
        <w:keepNext w:val="0"/>
        <w:keepLines w:val="0"/>
        <w:widowControl/>
        <w:suppressLineNumbers w:val="0"/>
      </w:pPr>
      <w:r>
        <w:rPr>
          <w:rFonts w:hint="eastAsia" w:ascii="宋体" w:hAnsi="宋体" w:eastAsia="宋体" w:cs="宋体"/>
          <w:sz w:val="21"/>
          <w:szCs w:val="21"/>
        </w:rPr>
        <w:t>招标编号：</w:t>
      </w:r>
      <w:r>
        <w:rPr>
          <w:rFonts w:hint="eastAsia" w:ascii="宋体" w:hAnsi="宋体" w:eastAsia="宋体" w:cs="宋体"/>
          <w:sz w:val="21"/>
          <w:szCs w:val="21"/>
          <w:u w:val="single"/>
        </w:rPr>
        <w:t>                   </w:t>
      </w:r>
    </w:p>
    <w:p>
      <w:pPr>
        <w:pStyle w:val="4"/>
        <w:keepNext w:val="0"/>
        <w:keepLines w:val="0"/>
        <w:widowControl/>
        <w:suppressLineNumbers w:val="0"/>
        <w:jc w:val="right"/>
      </w:pPr>
      <w:r>
        <w:rPr>
          <w:rFonts w:hint="eastAsia" w:ascii="宋体" w:hAnsi="宋体" w:eastAsia="宋体" w:cs="宋体"/>
          <w:sz w:val="21"/>
          <w:szCs w:val="21"/>
        </w:rPr>
        <w:t>货币及单位：人民币元</w:t>
      </w:r>
    </w:p>
    <w:tbl>
      <w:tblPr>
        <w:tblStyle w:val="9"/>
        <w:tblW w:w="8520" w:type="dxa"/>
        <w:tblCellSpacing w:w="15" w:type="dxa"/>
        <w:tblInd w:w="-15"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15" w:type="dxa"/>
          <w:left w:w="15" w:type="dxa"/>
          <w:bottom w:w="15" w:type="dxa"/>
          <w:right w:w="15" w:type="dxa"/>
        </w:tblCellMar>
      </w:tblPr>
      <w:tblGrid>
        <w:gridCol w:w="1080"/>
        <w:gridCol w:w="5702"/>
        <w:gridCol w:w="729"/>
        <w:gridCol w:w="1009"/>
      </w:tblGrid>
      <w:tr>
        <w:trPr>
          <w:tblCellSpacing w:w="15" w:type="dxa"/>
        </w:trPr>
        <w:tc>
          <w:tcPr>
            <w:tcW w:w="1035" w:type="dxa"/>
            <w:tcBorders>
              <w:top w:val="nil"/>
              <w:left w:val="nil"/>
              <w:bottom w:val="nil"/>
              <w:right w:val="nil"/>
            </w:tcBorders>
            <w:shd w:val="clear" w:color="auto" w:fill="auto"/>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sz w:val="21"/>
                <w:szCs w:val="21"/>
              </w:rPr>
              <w:t>合同包</w:t>
            </w:r>
          </w:p>
        </w:tc>
        <w:tc>
          <w:tcPr>
            <w:tcW w:w="5672" w:type="dxa"/>
            <w:tcBorders>
              <w:top w:val="nil"/>
              <w:left w:val="nil"/>
              <w:bottom w:val="nil"/>
              <w:right w:val="nil"/>
            </w:tcBorders>
            <w:shd w:val="clear" w:color="auto" w:fill="auto"/>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sz w:val="21"/>
                <w:szCs w:val="21"/>
              </w:rPr>
              <w:t>投标报价</w:t>
            </w:r>
          </w:p>
        </w:tc>
        <w:tc>
          <w:tcPr>
            <w:tcW w:w="699" w:type="dxa"/>
            <w:tcBorders>
              <w:top w:val="nil"/>
              <w:left w:val="nil"/>
              <w:bottom w:val="nil"/>
              <w:right w:val="nil"/>
            </w:tcBorders>
            <w:shd w:val="clear" w:color="auto" w:fill="auto"/>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sz w:val="21"/>
                <w:szCs w:val="21"/>
              </w:rPr>
              <w:t>投标</w:t>
            </w:r>
          </w:p>
          <w:p>
            <w:pPr>
              <w:pStyle w:val="4"/>
              <w:keepNext w:val="0"/>
              <w:keepLines w:val="0"/>
              <w:widowControl/>
              <w:suppressLineNumbers w:val="0"/>
              <w:jc w:val="center"/>
            </w:pPr>
            <w:r>
              <w:rPr>
                <w:rFonts w:hint="eastAsia" w:ascii="宋体" w:hAnsi="宋体" w:eastAsia="宋体" w:cs="宋体"/>
                <w:sz w:val="21"/>
                <w:szCs w:val="21"/>
              </w:rPr>
              <w:t>保证金</w:t>
            </w:r>
          </w:p>
        </w:tc>
        <w:tc>
          <w:tcPr>
            <w:tcW w:w="964" w:type="dxa"/>
            <w:tcBorders>
              <w:top w:val="nil"/>
              <w:left w:val="nil"/>
              <w:bottom w:val="nil"/>
              <w:right w:val="nil"/>
            </w:tcBorders>
            <w:shd w:val="clear" w:color="auto" w:fill="auto"/>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sz w:val="21"/>
                <w:szCs w:val="21"/>
              </w:rPr>
              <w:t>备注</w:t>
            </w:r>
          </w:p>
        </w:tc>
      </w:tr>
      <w:tr>
        <w:trPr>
          <w:trHeight w:val="1800" w:hRule="atLeast"/>
          <w:tblCellSpacing w:w="15" w:type="dxa"/>
        </w:trPr>
        <w:tc>
          <w:tcPr>
            <w:tcW w:w="1035" w:type="dxa"/>
            <w:tcBorders>
              <w:top w:val="nil"/>
              <w:left w:val="nil"/>
              <w:bottom w:val="nil"/>
              <w:right w:val="nil"/>
            </w:tcBorders>
            <w:shd w:val="clear" w:color="auto" w:fill="auto"/>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sz w:val="21"/>
                <w:szCs w:val="21"/>
              </w:rPr>
              <w:t>*</w:t>
            </w:r>
          </w:p>
        </w:tc>
        <w:tc>
          <w:tcPr>
            <w:tcW w:w="5672" w:type="dxa"/>
            <w:tcBorders>
              <w:top w:val="nil"/>
              <w:left w:val="nil"/>
              <w:bottom w:val="nil"/>
              <w:right w:val="nil"/>
            </w:tcBorders>
            <w:shd w:val="clear" w:color="auto" w:fill="auto"/>
            <w:tcMar>
              <w:top w:w="0" w:type="dxa"/>
              <w:left w:w="105" w:type="dxa"/>
              <w:bottom w:w="0" w:type="dxa"/>
              <w:right w:w="105" w:type="dxa"/>
            </w:tcMar>
            <w:vAlign w:val="center"/>
          </w:tcPr>
          <w:p>
            <w:pPr>
              <w:pStyle w:val="4"/>
              <w:keepNext w:val="0"/>
              <w:keepLines w:val="0"/>
              <w:widowControl/>
              <w:suppressLineNumbers w:val="0"/>
            </w:pPr>
            <w:r>
              <w:rPr>
                <w:rFonts w:hint="eastAsia" w:ascii="宋体" w:hAnsi="宋体" w:eastAsia="宋体" w:cs="宋体"/>
                <w:sz w:val="21"/>
                <w:szCs w:val="21"/>
              </w:rPr>
              <w:t>投标总价（大写金额）：</w:t>
            </w:r>
            <w:r>
              <w:rPr>
                <w:rFonts w:hint="eastAsia" w:ascii="宋体" w:hAnsi="宋体" w:eastAsia="宋体" w:cs="宋体"/>
                <w:sz w:val="21"/>
                <w:szCs w:val="21"/>
                <w:u w:val="single"/>
              </w:rPr>
              <w:t>                      </w:t>
            </w:r>
            <w:r>
              <w:rPr>
                <w:rFonts w:hint="eastAsia" w:ascii="宋体" w:hAnsi="宋体" w:eastAsia="宋体" w:cs="宋体"/>
                <w:sz w:val="21"/>
                <w:szCs w:val="21"/>
              </w:rPr>
              <w:t>。</w:t>
            </w:r>
          </w:p>
        </w:tc>
        <w:tc>
          <w:tcPr>
            <w:tcW w:w="699" w:type="dxa"/>
            <w:tcBorders>
              <w:top w:val="nil"/>
              <w:left w:val="nil"/>
              <w:bottom w:val="nil"/>
              <w:right w:val="nil"/>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964" w:type="dxa"/>
            <w:vMerge w:val="restart"/>
            <w:tcBorders>
              <w:top w:val="nil"/>
              <w:left w:val="nil"/>
              <w:bottom w:val="nil"/>
              <w:right w:val="nil"/>
            </w:tcBorders>
            <w:shd w:val="clear" w:color="auto" w:fill="auto"/>
            <w:tcMar>
              <w:top w:w="0" w:type="dxa"/>
              <w:left w:w="105" w:type="dxa"/>
              <w:bottom w:w="0" w:type="dxa"/>
              <w:right w:w="105" w:type="dxa"/>
            </w:tcMar>
            <w:vAlign w:val="center"/>
          </w:tcPr>
          <w:p>
            <w:pPr>
              <w:pStyle w:val="4"/>
              <w:keepNext w:val="0"/>
              <w:keepLines w:val="0"/>
              <w:widowControl/>
              <w:suppressLineNumbers w:val="0"/>
            </w:pPr>
            <w:r>
              <w:rPr>
                <w:rFonts w:hint="eastAsia" w:ascii="宋体" w:hAnsi="宋体" w:eastAsia="宋体" w:cs="宋体"/>
                <w:sz w:val="21"/>
                <w:szCs w:val="21"/>
              </w:rPr>
              <w:t>a.投标报价的明细：详见《投标分项报价表》。</w:t>
            </w:r>
          </w:p>
          <w:p>
            <w:pPr>
              <w:pStyle w:val="4"/>
              <w:keepNext w:val="0"/>
              <w:keepLines w:val="0"/>
              <w:widowControl/>
              <w:suppressLineNumbers w:val="0"/>
            </w:pPr>
            <w:r>
              <w:rPr>
                <w:rFonts w:hint="eastAsia" w:ascii="宋体" w:hAnsi="宋体" w:eastAsia="宋体" w:cs="宋体"/>
                <w:sz w:val="21"/>
                <w:szCs w:val="21"/>
              </w:rPr>
              <w:t>b.招标文件规定的价格扣除证明材料（若有）：详见报价部分。</w:t>
            </w:r>
          </w:p>
        </w:tc>
      </w:tr>
      <w:tr>
        <w:trPr>
          <w:tblCellSpacing w:w="15" w:type="dxa"/>
        </w:trPr>
        <w:tc>
          <w:tcPr>
            <w:tcW w:w="1035" w:type="dxa"/>
            <w:tcBorders>
              <w:top w:val="nil"/>
              <w:left w:val="nil"/>
              <w:bottom w:val="nil"/>
              <w:right w:val="nil"/>
            </w:tcBorders>
            <w:shd w:val="clear" w:color="auto" w:fill="auto"/>
            <w:tcMar>
              <w:top w:w="0" w:type="dxa"/>
              <w:left w:w="105" w:type="dxa"/>
              <w:bottom w:w="0" w:type="dxa"/>
              <w:right w:w="105" w:type="dxa"/>
            </w:tcMar>
            <w:vAlign w:val="center"/>
          </w:tcPr>
          <w:p>
            <w:pPr>
              <w:pStyle w:val="4"/>
              <w:keepNext w:val="0"/>
              <w:keepLines w:val="0"/>
              <w:widowControl/>
              <w:suppressLineNumbers w:val="0"/>
              <w:jc w:val="center"/>
            </w:pPr>
            <w:r>
              <w:rPr>
                <w:rFonts w:hint="default" w:ascii="Calibri" w:hAnsi="Calibri" w:cs="Calibri"/>
                <w:sz w:val="21"/>
                <w:szCs w:val="21"/>
              </w:rPr>
              <w:t>…</w:t>
            </w:r>
          </w:p>
        </w:tc>
        <w:tc>
          <w:tcPr>
            <w:tcW w:w="5672" w:type="dxa"/>
            <w:tcBorders>
              <w:top w:val="nil"/>
              <w:left w:val="nil"/>
              <w:bottom w:val="nil"/>
              <w:right w:val="nil"/>
            </w:tcBorders>
            <w:shd w:val="clear" w:color="auto" w:fill="auto"/>
            <w:tcMar>
              <w:top w:w="0" w:type="dxa"/>
              <w:left w:w="105" w:type="dxa"/>
              <w:bottom w:w="0" w:type="dxa"/>
              <w:right w:w="105" w:type="dxa"/>
            </w:tcMar>
            <w:vAlign w:val="center"/>
          </w:tcPr>
          <w:p>
            <w:pPr>
              <w:pStyle w:val="4"/>
              <w:keepNext w:val="0"/>
              <w:keepLines w:val="0"/>
              <w:widowControl/>
              <w:suppressLineNumbers w:val="0"/>
            </w:pPr>
            <w:r>
              <w:rPr>
                <w:rFonts w:hint="eastAsia" w:ascii="宋体" w:hAnsi="宋体" w:eastAsia="宋体" w:cs="宋体"/>
                <w:sz w:val="21"/>
                <w:szCs w:val="21"/>
              </w:rPr>
              <w:t>投标总价（大写金额）：</w:t>
            </w:r>
            <w:r>
              <w:rPr>
                <w:rFonts w:hint="eastAsia" w:ascii="宋体" w:hAnsi="宋体" w:eastAsia="宋体" w:cs="宋体"/>
                <w:sz w:val="21"/>
                <w:szCs w:val="21"/>
                <w:u w:val="single"/>
              </w:rPr>
              <w:t>                      </w:t>
            </w:r>
            <w:r>
              <w:rPr>
                <w:rFonts w:hint="eastAsia" w:ascii="宋体" w:hAnsi="宋体" w:eastAsia="宋体" w:cs="宋体"/>
                <w:sz w:val="21"/>
                <w:szCs w:val="21"/>
              </w:rPr>
              <w:t>。</w:t>
            </w:r>
          </w:p>
        </w:tc>
        <w:tc>
          <w:tcPr>
            <w:tcW w:w="699" w:type="dxa"/>
            <w:tcBorders>
              <w:top w:val="nil"/>
              <w:left w:val="nil"/>
              <w:bottom w:val="nil"/>
              <w:right w:val="nil"/>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964" w:type="dxa"/>
            <w:vMerge w:val="continue"/>
            <w:tcBorders>
              <w:top w:val="nil"/>
              <w:left w:val="nil"/>
              <w:bottom w:val="nil"/>
              <w:right w:val="nil"/>
            </w:tcBorders>
            <w:shd w:val="clear" w:color="auto" w:fill="auto"/>
            <w:tcMar>
              <w:top w:w="0" w:type="dxa"/>
              <w:left w:w="105" w:type="dxa"/>
              <w:bottom w:w="0" w:type="dxa"/>
              <w:right w:w="105" w:type="dxa"/>
            </w:tcMar>
            <w:vAlign w:val="center"/>
          </w:tcPr>
          <w:p>
            <w:pPr>
              <w:rPr>
                <w:rFonts w:hint="eastAsia" w:ascii="宋体"/>
                <w:sz w:val="24"/>
                <w:szCs w:val="24"/>
              </w:rPr>
            </w:pPr>
          </w:p>
        </w:tc>
      </w:tr>
    </w:tbl>
    <w:p>
      <w:pPr>
        <w:pStyle w:val="4"/>
        <w:keepNext w:val="0"/>
        <w:keepLines w:val="0"/>
        <w:widowControl/>
        <w:suppressLineNumbers w:val="0"/>
      </w:pPr>
      <w:r>
        <w:rPr>
          <w:rFonts w:hint="eastAsia" w:ascii="宋体" w:hAnsi="宋体" w:eastAsia="宋体" w:cs="宋体"/>
          <w:sz w:val="21"/>
          <w:szCs w:val="21"/>
        </w:rPr>
        <w:t>★注意：</w:t>
      </w:r>
    </w:p>
    <w:p>
      <w:pPr>
        <w:pStyle w:val="4"/>
        <w:keepNext w:val="0"/>
        <w:keepLines w:val="0"/>
        <w:widowControl/>
        <w:suppressLineNumbers w:val="0"/>
      </w:pPr>
      <w:r>
        <w:rPr>
          <w:rFonts w:hint="eastAsia" w:ascii="宋体" w:hAnsi="宋体" w:eastAsia="宋体" w:cs="宋体"/>
          <w:sz w:val="21"/>
          <w:szCs w:val="21"/>
        </w:rPr>
        <w:t>1、本表应按照下列规定填写：</w:t>
      </w:r>
    </w:p>
    <w:p>
      <w:pPr>
        <w:pStyle w:val="4"/>
        <w:keepNext w:val="0"/>
        <w:keepLines w:val="0"/>
        <w:widowControl/>
        <w:suppressLineNumbers w:val="0"/>
      </w:pPr>
      <w:r>
        <w:rPr>
          <w:rFonts w:hint="eastAsia" w:ascii="宋体" w:hAnsi="宋体" w:eastAsia="宋体" w:cs="宋体"/>
          <w:sz w:val="21"/>
          <w:szCs w:val="21"/>
        </w:rPr>
        <w:t>1.1投标人应按照本表格式填写所投的合同包的“投标报价”。</w:t>
      </w:r>
    </w:p>
    <w:p>
      <w:pPr>
        <w:pStyle w:val="4"/>
        <w:keepNext w:val="0"/>
        <w:keepLines w:val="0"/>
        <w:widowControl/>
        <w:suppressLineNumbers w:val="0"/>
      </w:pPr>
      <w:r>
        <w:rPr>
          <w:rFonts w:hint="eastAsia" w:ascii="宋体" w:hAnsi="宋体" w:eastAsia="宋体" w:cs="宋体"/>
          <w:sz w:val="21"/>
          <w:szCs w:val="21"/>
        </w:rPr>
        <w:t>1.2本表中列示的“合同包”应与《投标分项报价表》中列示的“合同包”保持一致，即：若本表中列示的“合同包”为“</w:t>
      </w:r>
      <w:r>
        <w:rPr>
          <w:rFonts w:hint="default" w:ascii="Calibri" w:hAnsi="Calibri" w:eastAsia="宋体" w:cs="Calibri"/>
          <w:sz w:val="21"/>
          <w:szCs w:val="21"/>
        </w:rPr>
        <w:t>1</w:t>
      </w:r>
      <w:r>
        <w:rPr>
          <w:rFonts w:hint="eastAsia" w:ascii="宋体" w:hAnsi="宋体" w:eastAsia="宋体" w:cs="宋体"/>
          <w:sz w:val="21"/>
          <w:szCs w:val="21"/>
        </w:rPr>
        <w:t>”时，《投标分项报价表》中列示的“合同包”亦应为“</w:t>
      </w:r>
      <w:r>
        <w:rPr>
          <w:rFonts w:hint="default" w:ascii="Calibri" w:hAnsi="Calibri" w:eastAsia="宋体" w:cs="Calibri"/>
          <w:sz w:val="21"/>
          <w:szCs w:val="21"/>
        </w:rPr>
        <w:t>1</w:t>
      </w:r>
      <w:r>
        <w:rPr>
          <w:rFonts w:hint="eastAsia" w:ascii="宋体" w:hAnsi="宋体" w:eastAsia="宋体" w:cs="宋体"/>
          <w:sz w:val="21"/>
          <w:szCs w:val="21"/>
        </w:rPr>
        <w:t>”，以此类推。</w:t>
      </w:r>
    </w:p>
    <w:p>
      <w:pPr>
        <w:pStyle w:val="4"/>
        <w:keepNext w:val="0"/>
        <w:keepLines w:val="0"/>
        <w:widowControl/>
        <w:suppressLineNumbers w:val="0"/>
      </w:pPr>
      <w:r>
        <w:rPr>
          <w:rFonts w:hint="eastAsia" w:ascii="宋体" w:hAnsi="宋体" w:eastAsia="宋体" w:cs="宋体"/>
          <w:sz w:val="21"/>
          <w:szCs w:val="21"/>
        </w:rPr>
        <w:t>1.3“大写金额”指“投标报价”应用“壹、贰、叁、肆、伍、陆、柒、捌、玖、拾、佰、仟、万、亿、元、角、分、零”等进行填写。</w:t>
      </w:r>
    </w:p>
    <w:p>
      <w:pPr>
        <w:pStyle w:val="4"/>
        <w:keepNext w:val="0"/>
        <w:keepLines w:val="0"/>
        <w:widowControl/>
        <w:suppressLineNumbers w:val="0"/>
      </w:pPr>
      <w:r>
        <w:rPr>
          <w:rFonts w:hint="eastAsia" w:ascii="宋体" w:hAnsi="宋体" w:eastAsia="宋体" w:cs="宋体"/>
          <w:sz w:val="21"/>
          <w:szCs w:val="21"/>
        </w:rPr>
        <w:t>2、纸质投标文件正本中的本表应为原件。</w:t>
      </w:r>
    </w:p>
    <w:p>
      <w:pPr>
        <w:pStyle w:val="4"/>
        <w:keepNext w:val="0"/>
        <w:keepLines w:val="0"/>
        <w:widowControl/>
        <w:suppressLineNumbers w:val="0"/>
      </w:pPr>
      <w:r>
        <w:rPr>
          <w:rFonts w:hint="eastAsia" w:ascii="宋体" w:hAnsi="宋体" w:eastAsia="宋体" w:cs="宋体"/>
          <w:sz w:val="21"/>
          <w:szCs w:val="21"/>
        </w:rPr>
        <w:t> </w:t>
      </w:r>
    </w:p>
    <w:p>
      <w:pPr>
        <w:pStyle w:val="4"/>
        <w:keepNext w:val="0"/>
        <w:keepLines w:val="0"/>
        <w:widowControl/>
        <w:suppressLineNumbers w:val="0"/>
      </w:pPr>
      <w:r>
        <w:rPr>
          <w:rFonts w:hint="eastAsia" w:ascii="宋体" w:hAnsi="宋体" w:eastAsia="宋体" w:cs="宋体"/>
          <w:sz w:val="21"/>
          <w:szCs w:val="21"/>
        </w:rPr>
        <w:t> </w:t>
      </w:r>
    </w:p>
    <w:p>
      <w:pPr>
        <w:pStyle w:val="4"/>
        <w:keepNext w:val="0"/>
        <w:keepLines w:val="0"/>
        <w:widowControl/>
        <w:suppressLineNumbers w:val="0"/>
      </w:pPr>
      <w:r>
        <w:rPr>
          <w:rFonts w:hint="eastAsia" w:ascii="宋体" w:hAnsi="宋体" w:eastAsia="宋体" w:cs="宋体"/>
          <w:sz w:val="21"/>
          <w:szCs w:val="21"/>
        </w:rPr>
        <w:t>投标人：</w:t>
      </w:r>
      <w:r>
        <w:rPr>
          <w:rFonts w:hint="eastAsia" w:ascii="宋体" w:hAnsi="宋体" w:eastAsia="宋体" w:cs="宋体"/>
          <w:sz w:val="21"/>
          <w:szCs w:val="21"/>
          <w:u w:val="single"/>
        </w:rPr>
        <w:t>（全称并加盖单位公章）</w:t>
      </w:r>
    </w:p>
    <w:p>
      <w:pPr>
        <w:pStyle w:val="4"/>
        <w:keepNext w:val="0"/>
        <w:keepLines w:val="0"/>
        <w:widowControl/>
        <w:suppressLineNumbers w:val="0"/>
      </w:pPr>
      <w:r>
        <w:rPr>
          <w:rFonts w:hint="eastAsia" w:ascii="宋体" w:hAnsi="宋体" w:eastAsia="宋体" w:cs="宋体"/>
          <w:sz w:val="21"/>
          <w:szCs w:val="21"/>
        </w:rPr>
        <w:t>投标人代表签字：</w:t>
      </w:r>
      <w:r>
        <w:rPr>
          <w:rFonts w:hint="eastAsia" w:ascii="宋体" w:hAnsi="宋体" w:eastAsia="宋体" w:cs="宋体"/>
          <w:sz w:val="21"/>
          <w:szCs w:val="21"/>
          <w:u w:val="single"/>
        </w:rPr>
        <w:t>                   </w:t>
      </w:r>
    </w:p>
    <w:p>
      <w:pPr>
        <w:pStyle w:val="4"/>
        <w:keepNext w:val="0"/>
        <w:keepLines w:val="0"/>
        <w:widowControl/>
        <w:suppressLineNumbers w:val="0"/>
      </w:pPr>
      <w:r>
        <w:rPr>
          <w:rFonts w:hint="eastAsia" w:ascii="宋体" w:hAnsi="宋体" w:eastAsia="宋体" w:cs="宋体"/>
          <w:sz w:val="21"/>
          <w:szCs w:val="21"/>
        </w:rPr>
        <w:t>日期：</w:t>
      </w:r>
      <w:r>
        <w:rPr>
          <w:rFonts w:hint="eastAsia" w:ascii="宋体" w:hAnsi="宋体" w:eastAsia="宋体" w:cs="宋体"/>
          <w:sz w:val="21"/>
          <w:szCs w:val="21"/>
          <w:u w:val="single"/>
        </w:rPr>
        <w:t>    </w:t>
      </w:r>
      <w:r>
        <w:rPr>
          <w:rFonts w:hint="eastAsia" w:ascii="宋体" w:hAnsi="宋体" w:eastAsia="宋体" w:cs="宋体"/>
          <w:sz w:val="21"/>
          <w:szCs w:val="21"/>
        </w:rPr>
        <w:t>年</w:t>
      </w:r>
      <w:r>
        <w:rPr>
          <w:rFonts w:hint="eastAsia" w:ascii="宋体" w:hAnsi="宋体" w:eastAsia="宋体" w:cs="宋体"/>
          <w:sz w:val="21"/>
          <w:szCs w:val="21"/>
          <w:u w:val="single"/>
        </w:rPr>
        <w:t>   </w:t>
      </w:r>
      <w:r>
        <w:rPr>
          <w:rFonts w:hint="eastAsia" w:ascii="宋体" w:hAnsi="宋体" w:eastAsia="宋体" w:cs="宋体"/>
          <w:sz w:val="21"/>
          <w:szCs w:val="21"/>
        </w:rPr>
        <w:t>月</w:t>
      </w:r>
      <w:r>
        <w:rPr>
          <w:rFonts w:hint="eastAsia" w:ascii="宋体" w:hAnsi="宋体" w:eastAsia="宋体" w:cs="宋体"/>
          <w:sz w:val="21"/>
          <w:szCs w:val="21"/>
          <w:u w:val="single"/>
        </w:rPr>
        <w:t>   </w:t>
      </w:r>
      <w:r>
        <w:rPr>
          <w:rFonts w:hint="eastAsia" w:ascii="宋体" w:hAnsi="宋体" w:eastAsia="宋体" w:cs="宋体"/>
          <w:sz w:val="21"/>
          <w:szCs w:val="21"/>
        </w:rPr>
        <w:t>日</w:t>
      </w:r>
    </w:p>
    <w:p>
      <w:pPr>
        <w:pStyle w:val="4"/>
        <w:keepNext w:val="0"/>
        <w:keepLines w:val="0"/>
        <w:widowControl/>
        <w:suppressLineNumbers w:val="0"/>
      </w:pPr>
      <w:r>
        <w:rPr>
          <w:rFonts w:hint="eastAsia" w:ascii="宋体" w:hAnsi="宋体" w:eastAsia="宋体" w:cs="宋体"/>
          <w:sz w:val="21"/>
          <w:szCs w:val="21"/>
        </w:rPr>
        <w:t> </w:t>
      </w:r>
    </w:p>
    <w:p>
      <w:pPr>
        <w:pStyle w:val="4"/>
        <w:keepNext w:val="0"/>
        <w:keepLines w:val="0"/>
        <w:widowControl/>
        <w:suppressLineNumbers w:val="0"/>
      </w:pPr>
      <w:r>
        <w:rPr>
          <w:rFonts w:hint="eastAsia" w:ascii="宋体" w:hAnsi="宋体" w:eastAsia="宋体" w:cs="宋体"/>
          <w:sz w:val="21"/>
          <w:szCs w:val="21"/>
        </w:rPr>
        <w:t> </w:t>
      </w:r>
    </w:p>
    <w:p>
      <w:pPr>
        <w:pStyle w:val="4"/>
        <w:keepNext w:val="0"/>
        <w:keepLines w:val="0"/>
        <w:widowControl/>
        <w:suppressLineNumbers w:val="0"/>
        <w:jc w:val="center"/>
      </w:pPr>
      <w:r>
        <w:rPr>
          <w:rStyle w:val="6"/>
          <w:rFonts w:hint="default" w:ascii="Calibri" w:hAnsi="Calibri" w:cs="Calibri"/>
          <w:sz w:val="21"/>
          <w:szCs w:val="21"/>
        </w:rPr>
        <w:br w:type="textWrapping"/>
      </w:r>
      <w:r>
        <w:rPr>
          <w:rStyle w:val="6"/>
          <w:rFonts w:hint="eastAsia" w:ascii="宋体" w:hAnsi="宋体" w:eastAsia="宋体" w:cs="宋体"/>
          <w:sz w:val="21"/>
          <w:szCs w:val="21"/>
        </w:rPr>
        <w:t>二、投标分项报价表</w:t>
      </w:r>
    </w:p>
    <w:p>
      <w:pPr>
        <w:pStyle w:val="4"/>
        <w:keepNext w:val="0"/>
        <w:keepLines w:val="0"/>
        <w:widowControl/>
        <w:suppressLineNumbers w:val="0"/>
      </w:pPr>
      <w:r>
        <w:rPr>
          <w:rFonts w:hint="eastAsia" w:ascii="宋体" w:hAnsi="宋体" w:eastAsia="宋体" w:cs="宋体"/>
          <w:sz w:val="21"/>
          <w:szCs w:val="21"/>
        </w:rPr>
        <w:t> </w:t>
      </w:r>
    </w:p>
    <w:p>
      <w:pPr>
        <w:pStyle w:val="4"/>
        <w:keepNext w:val="0"/>
        <w:keepLines w:val="0"/>
        <w:widowControl/>
        <w:suppressLineNumbers w:val="0"/>
      </w:pPr>
      <w:r>
        <w:rPr>
          <w:rFonts w:hint="eastAsia" w:ascii="宋体" w:hAnsi="宋体" w:eastAsia="宋体" w:cs="宋体"/>
          <w:sz w:val="21"/>
          <w:szCs w:val="21"/>
        </w:rPr>
        <w:t>招标编号：</w:t>
      </w:r>
      <w:r>
        <w:rPr>
          <w:rFonts w:hint="eastAsia" w:ascii="宋体" w:hAnsi="宋体" w:eastAsia="宋体" w:cs="宋体"/>
          <w:sz w:val="21"/>
          <w:szCs w:val="21"/>
          <w:u w:val="single"/>
        </w:rPr>
        <w:t>                   </w:t>
      </w:r>
    </w:p>
    <w:p>
      <w:pPr>
        <w:pStyle w:val="4"/>
        <w:keepNext w:val="0"/>
        <w:keepLines w:val="0"/>
        <w:widowControl/>
        <w:suppressLineNumbers w:val="0"/>
        <w:jc w:val="right"/>
      </w:pPr>
      <w:r>
        <w:rPr>
          <w:rFonts w:hint="eastAsia" w:ascii="宋体" w:hAnsi="宋体" w:eastAsia="宋体" w:cs="宋体"/>
          <w:sz w:val="21"/>
          <w:szCs w:val="21"/>
        </w:rPr>
        <w:t>货币及单位：人民币元</w:t>
      </w:r>
    </w:p>
    <w:tbl>
      <w:tblPr>
        <w:tblStyle w:val="9"/>
        <w:tblW w:w="8520" w:type="dxa"/>
        <w:tblCellSpacing w:w="15" w:type="dxa"/>
        <w:tblInd w:w="-15"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15" w:type="dxa"/>
          <w:left w:w="15" w:type="dxa"/>
          <w:bottom w:w="15" w:type="dxa"/>
          <w:right w:w="15" w:type="dxa"/>
        </w:tblCellMar>
      </w:tblPr>
      <w:tblGrid>
        <w:gridCol w:w="467"/>
        <w:gridCol w:w="950"/>
        <w:gridCol w:w="1518"/>
        <w:gridCol w:w="1248"/>
        <w:gridCol w:w="852"/>
        <w:gridCol w:w="980"/>
        <w:gridCol w:w="582"/>
        <w:gridCol w:w="1079"/>
        <w:gridCol w:w="844"/>
      </w:tblGrid>
      <w:tr>
        <w:trPr>
          <w:tblCellSpacing w:w="15" w:type="dxa"/>
        </w:trPr>
        <w:tc>
          <w:tcPr>
            <w:tcW w:w="422" w:type="dxa"/>
            <w:tcBorders>
              <w:top w:val="nil"/>
              <w:left w:val="nil"/>
              <w:bottom w:val="nil"/>
              <w:right w:val="nil"/>
            </w:tcBorders>
            <w:shd w:val="clear" w:color="auto" w:fill="auto"/>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sz w:val="21"/>
                <w:szCs w:val="21"/>
              </w:rPr>
              <w:t>合同包</w:t>
            </w:r>
          </w:p>
        </w:tc>
        <w:tc>
          <w:tcPr>
            <w:tcW w:w="920" w:type="dxa"/>
            <w:tcBorders>
              <w:top w:val="nil"/>
              <w:left w:val="nil"/>
              <w:bottom w:val="nil"/>
              <w:right w:val="nil"/>
            </w:tcBorders>
            <w:shd w:val="clear" w:color="auto" w:fill="auto"/>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sz w:val="21"/>
                <w:szCs w:val="21"/>
              </w:rPr>
              <w:t>品目号</w:t>
            </w:r>
          </w:p>
        </w:tc>
        <w:tc>
          <w:tcPr>
            <w:tcW w:w="1488" w:type="dxa"/>
            <w:tcBorders>
              <w:top w:val="nil"/>
              <w:left w:val="nil"/>
              <w:bottom w:val="nil"/>
              <w:right w:val="nil"/>
            </w:tcBorders>
            <w:shd w:val="clear" w:color="auto" w:fill="auto"/>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sz w:val="21"/>
                <w:szCs w:val="21"/>
              </w:rPr>
              <w:t>投标标的</w:t>
            </w:r>
          </w:p>
        </w:tc>
        <w:tc>
          <w:tcPr>
            <w:tcW w:w="1218" w:type="dxa"/>
            <w:tcBorders>
              <w:top w:val="nil"/>
              <w:left w:val="nil"/>
              <w:bottom w:val="nil"/>
              <w:right w:val="nil"/>
            </w:tcBorders>
            <w:shd w:val="clear" w:color="auto" w:fill="auto"/>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sz w:val="21"/>
                <w:szCs w:val="21"/>
              </w:rPr>
              <w:t>规格</w:t>
            </w:r>
          </w:p>
        </w:tc>
        <w:tc>
          <w:tcPr>
            <w:tcW w:w="822" w:type="dxa"/>
            <w:tcBorders>
              <w:top w:val="nil"/>
              <w:left w:val="nil"/>
              <w:bottom w:val="nil"/>
              <w:right w:val="nil"/>
            </w:tcBorders>
            <w:shd w:val="clear" w:color="auto" w:fill="auto"/>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sz w:val="21"/>
                <w:szCs w:val="21"/>
              </w:rPr>
              <w:t>来源地</w:t>
            </w:r>
          </w:p>
        </w:tc>
        <w:tc>
          <w:tcPr>
            <w:tcW w:w="950" w:type="dxa"/>
            <w:tcBorders>
              <w:top w:val="nil"/>
              <w:left w:val="nil"/>
              <w:bottom w:val="nil"/>
              <w:right w:val="nil"/>
            </w:tcBorders>
            <w:shd w:val="clear" w:color="auto" w:fill="auto"/>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sz w:val="21"/>
                <w:szCs w:val="21"/>
              </w:rPr>
              <w:t>单价</w:t>
            </w:r>
          </w:p>
          <w:p>
            <w:pPr>
              <w:pStyle w:val="4"/>
              <w:keepNext w:val="0"/>
              <w:keepLines w:val="0"/>
              <w:widowControl/>
              <w:suppressLineNumbers w:val="0"/>
              <w:jc w:val="center"/>
            </w:pPr>
            <w:r>
              <w:rPr>
                <w:rFonts w:hint="eastAsia" w:ascii="宋体" w:hAnsi="宋体" w:eastAsia="宋体" w:cs="宋体"/>
                <w:sz w:val="21"/>
                <w:szCs w:val="21"/>
              </w:rPr>
              <w:t>（现场）</w:t>
            </w:r>
          </w:p>
        </w:tc>
        <w:tc>
          <w:tcPr>
            <w:tcW w:w="552" w:type="dxa"/>
            <w:tcBorders>
              <w:top w:val="nil"/>
              <w:left w:val="nil"/>
              <w:bottom w:val="nil"/>
              <w:right w:val="nil"/>
            </w:tcBorders>
            <w:shd w:val="clear" w:color="auto" w:fill="auto"/>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sz w:val="21"/>
                <w:szCs w:val="21"/>
              </w:rPr>
              <w:t>数量</w:t>
            </w:r>
          </w:p>
        </w:tc>
        <w:tc>
          <w:tcPr>
            <w:tcW w:w="1049" w:type="dxa"/>
            <w:tcBorders>
              <w:top w:val="nil"/>
              <w:left w:val="nil"/>
              <w:bottom w:val="nil"/>
              <w:right w:val="nil"/>
            </w:tcBorders>
            <w:shd w:val="clear" w:color="auto" w:fill="auto"/>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sz w:val="21"/>
                <w:szCs w:val="21"/>
              </w:rPr>
              <w:t>总价</w:t>
            </w:r>
          </w:p>
          <w:p>
            <w:pPr>
              <w:pStyle w:val="4"/>
              <w:keepNext w:val="0"/>
              <w:keepLines w:val="0"/>
              <w:widowControl/>
              <w:suppressLineNumbers w:val="0"/>
              <w:jc w:val="center"/>
            </w:pPr>
            <w:r>
              <w:rPr>
                <w:rFonts w:hint="eastAsia" w:ascii="宋体" w:hAnsi="宋体" w:eastAsia="宋体" w:cs="宋体"/>
                <w:sz w:val="21"/>
                <w:szCs w:val="21"/>
              </w:rPr>
              <w:t>（现场）</w:t>
            </w:r>
          </w:p>
        </w:tc>
        <w:tc>
          <w:tcPr>
            <w:tcW w:w="799" w:type="dxa"/>
            <w:tcBorders>
              <w:top w:val="nil"/>
              <w:left w:val="nil"/>
              <w:bottom w:val="nil"/>
              <w:right w:val="nil"/>
            </w:tcBorders>
            <w:shd w:val="clear" w:color="auto" w:fill="auto"/>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sz w:val="21"/>
                <w:szCs w:val="21"/>
              </w:rPr>
              <w:t>备注</w:t>
            </w:r>
          </w:p>
        </w:tc>
      </w:tr>
      <w:tr>
        <w:trPr>
          <w:tblCellSpacing w:w="15" w:type="dxa"/>
        </w:trPr>
        <w:tc>
          <w:tcPr>
            <w:tcW w:w="422" w:type="dxa"/>
            <w:vMerge w:val="restart"/>
            <w:tcBorders>
              <w:top w:val="nil"/>
              <w:left w:val="nil"/>
              <w:bottom w:val="nil"/>
              <w:right w:val="nil"/>
            </w:tcBorders>
            <w:shd w:val="clear" w:color="auto" w:fill="auto"/>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sz w:val="21"/>
                <w:szCs w:val="21"/>
              </w:rPr>
              <w:t>*</w:t>
            </w:r>
          </w:p>
        </w:tc>
        <w:tc>
          <w:tcPr>
            <w:tcW w:w="920" w:type="dxa"/>
            <w:tcBorders>
              <w:top w:val="nil"/>
              <w:left w:val="nil"/>
              <w:bottom w:val="nil"/>
              <w:right w:val="nil"/>
            </w:tcBorders>
            <w:shd w:val="clear" w:color="auto" w:fill="auto"/>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sz w:val="21"/>
                <w:szCs w:val="21"/>
              </w:rPr>
              <w:t>*-1</w:t>
            </w:r>
          </w:p>
        </w:tc>
        <w:tc>
          <w:tcPr>
            <w:tcW w:w="1488" w:type="dxa"/>
            <w:tcBorders>
              <w:top w:val="nil"/>
              <w:left w:val="nil"/>
              <w:bottom w:val="nil"/>
              <w:right w:val="nil"/>
            </w:tcBorders>
            <w:shd w:val="clear" w:color="auto" w:fill="auto"/>
            <w:tcMar>
              <w:top w:w="0" w:type="dxa"/>
              <w:left w:w="105" w:type="dxa"/>
              <w:bottom w:w="0" w:type="dxa"/>
              <w:right w:w="105" w:type="dxa"/>
            </w:tcMar>
            <w:vAlign w:val="top"/>
          </w:tcPr>
          <w:p>
            <w:pPr>
              <w:keepNext w:val="0"/>
              <w:keepLines w:val="0"/>
              <w:widowControl/>
              <w:suppressLineNumbers w:val="0"/>
              <w:jc w:val="left"/>
            </w:pPr>
          </w:p>
        </w:tc>
        <w:tc>
          <w:tcPr>
            <w:tcW w:w="1218" w:type="dxa"/>
            <w:tcBorders>
              <w:top w:val="nil"/>
              <w:left w:val="nil"/>
              <w:bottom w:val="nil"/>
              <w:right w:val="nil"/>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822" w:type="dxa"/>
            <w:tcBorders>
              <w:top w:val="nil"/>
              <w:left w:val="nil"/>
              <w:bottom w:val="nil"/>
              <w:right w:val="nil"/>
            </w:tcBorders>
            <w:shd w:val="clear" w:color="auto" w:fill="auto"/>
            <w:tcMar>
              <w:top w:w="0" w:type="dxa"/>
              <w:left w:w="105" w:type="dxa"/>
              <w:bottom w:w="0" w:type="dxa"/>
              <w:right w:w="105" w:type="dxa"/>
            </w:tcMar>
            <w:vAlign w:val="top"/>
          </w:tcPr>
          <w:p>
            <w:pPr>
              <w:keepNext w:val="0"/>
              <w:keepLines w:val="0"/>
              <w:widowControl/>
              <w:suppressLineNumbers w:val="0"/>
              <w:jc w:val="left"/>
            </w:pPr>
          </w:p>
        </w:tc>
        <w:tc>
          <w:tcPr>
            <w:tcW w:w="950" w:type="dxa"/>
            <w:tcBorders>
              <w:top w:val="nil"/>
              <w:left w:val="nil"/>
              <w:bottom w:val="nil"/>
              <w:right w:val="nil"/>
            </w:tcBorders>
            <w:shd w:val="clear" w:color="auto" w:fill="auto"/>
            <w:tcMar>
              <w:top w:w="0" w:type="dxa"/>
              <w:left w:w="105" w:type="dxa"/>
              <w:bottom w:w="0" w:type="dxa"/>
              <w:right w:w="105" w:type="dxa"/>
            </w:tcMar>
            <w:vAlign w:val="top"/>
          </w:tcPr>
          <w:p>
            <w:pPr>
              <w:keepNext w:val="0"/>
              <w:keepLines w:val="0"/>
              <w:widowControl/>
              <w:suppressLineNumbers w:val="0"/>
              <w:jc w:val="left"/>
            </w:pPr>
          </w:p>
        </w:tc>
        <w:tc>
          <w:tcPr>
            <w:tcW w:w="552" w:type="dxa"/>
            <w:tcBorders>
              <w:top w:val="nil"/>
              <w:left w:val="nil"/>
              <w:bottom w:val="nil"/>
              <w:right w:val="nil"/>
            </w:tcBorders>
            <w:shd w:val="clear" w:color="auto" w:fill="auto"/>
            <w:tcMar>
              <w:top w:w="0" w:type="dxa"/>
              <w:left w:w="105" w:type="dxa"/>
              <w:bottom w:w="0" w:type="dxa"/>
              <w:right w:w="105" w:type="dxa"/>
            </w:tcMar>
            <w:vAlign w:val="top"/>
          </w:tcPr>
          <w:p>
            <w:pPr>
              <w:keepNext w:val="0"/>
              <w:keepLines w:val="0"/>
              <w:widowControl/>
              <w:suppressLineNumbers w:val="0"/>
              <w:jc w:val="left"/>
            </w:pPr>
          </w:p>
        </w:tc>
        <w:tc>
          <w:tcPr>
            <w:tcW w:w="1049" w:type="dxa"/>
            <w:tcBorders>
              <w:top w:val="nil"/>
              <w:left w:val="nil"/>
              <w:bottom w:val="nil"/>
              <w:right w:val="nil"/>
            </w:tcBorders>
            <w:shd w:val="clear" w:color="auto" w:fill="auto"/>
            <w:tcMar>
              <w:top w:w="0" w:type="dxa"/>
              <w:left w:w="105" w:type="dxa"/>
              <w:bottom w:w="0" w:type="dxa"/>
              <w:right w:w="105" w:type="dxa"/>
            </w:tcMar>
            <w:vAlign w:val="top"/>
          </w:tcPr>
          <w:p>
            <w:pPr>
              <w:keepNext w:val="0"/>
              <w:keepLines w:val="0"/>
              <w:widowControl/>
              <w:suppressLineNumbers w:val="0"/>
              <w:jc w:val="left"/>
            </w:pPr>
          </w:p>
        </w:tc>
        <w:tc>
          <w:tcPr>
            <w:tcW w:w="799" w:type="dxa"/>
            <w:tcBorders>
              <w:top w:val="nil"/>
              <w:left w:val="nil"/>
              <w:bottom w:val="nil"/>
              <w:right w:val="nil"/>
            </w:tcBorders>
            <w:shd w:val="clear" w:color="auto" w:fill="auto"/>
            <w:tcMar>
              <w:top w:w="0" w:type="dxa"/>
              <w:left w:w="105" w:type="dxa"/>
              <w:bottom w:w="0" w:type="dxa"/>
              <w:right w:w="105" w:type="dxa"/>
            </w:tcMar>
            <w:vAlign w:val="top"/>
          </w:tcPr>
          <w:p>
            <w:pPr>
              <w:keepNext w:val="0"/>
              <w:keepLines w:val="0"/>
              <w:widowControl/>
              <w:suppressLineNumbers w:val="0"/>
              <w:jc w:val="left"/>
            </w:pPr>
          </w:p>
        </w:tc>
      </w:tr>
      <w:tr>
        <w:trPr>
          <w:tblCellSpacing w:w="15" w:type="dxa"/>
        </w:trPr>
        <w:tc>
          <w:tcPr>
            <w:tcW w:w="422" w:type="dxa"/>
            <w:vMerge w:val="continue"/>
            <w:tcBorders>
              <w:top w:val="nil"/>
              <w:left w:val="nil"/>
              <w:bottom w:val="nil"/>
              <w:right w:val="nil"/>
            </w:tcBorders>
            <w:shd w:val="clear" w:color="auto" w:fill="auto"/>
            <w:tcMar>
              <w:top w:w="0" w:type="dxa"/>
              <w:left w:w="105" w:type="dxa"/>
              <w:bottom w:w="0" w:type="dxa"/>
              <w:right w:w="105" w:type="dxa"/>
            </w:tcMar>
            <w:vAlign w:val="center"/>
          </w:tcPr>
          <w:p>
            <w:pPr>
              <w:rPr>
                <w:rFonts w:hint="eastAsia" w:ascii="宋体"/>
                <w:sz w:val="24"/>
                <w:szCs w:val="24"/>
              </w:rPr>
            </w:pPr>
          </w:p>
        </w:tc>
        <w:tc>
          <w:tcPr>
            <w:tcW w:w="920" w:type="dxa"/>
            <w:tcBorders>
              <w:top w:val="nil"/>
              <w:left w:val="nil"/>
              <w:bottom w:val="nil"/>
              <w:right w:val="nil"/>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1488" w:type="dxa"/>
            <w:tcBorders>
              <w:top w:val="nil"/>
              <w:left w:val="nil"/>
              <w:bottom w:val="nil"/>
              <w:right w:val="nil"/>
            </w:tcBorders>
            <w:shd w:val="clear" w:color="auto" w:fill="auto"/>
            <w:tcMar>
              <w:top w:w="0" w:type="dxa"/>
              <w:left w:w="105" w:type="dxa"/>
              <w:bottom w:w="0" w:type="dxa"/>
              <w:right w:w="105" w:type="dxa"/>
            </w:tcMar>
            <w:vAlign w:val="top"/>
          </w:tcPr>
          <w:p>
            <w:pPr>
              <w:keepNext w:val="0"/>
              <w:keepLines w:val="0"/>
              <w:widowControl/>
              <w:suppressLineNumbers w:val="0"/>
              <w:jc w:val="left"/>
            </w:pPr>
          </w:p>
        </w:tc>
        <w:tc>
          <w:tcPr>
            <w:tcW w:w="1218" w:type="dxa"/>
            <w:tcBorders>
              <w:top w:val="nil"/>
              <w:left w:val="nil"/>
              <w:bottom w:val="nil"/>
              <w:right w:val="nil"/>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822" w:type="dxa"/>
            <w:tcBorders>
              <w:top w:val="nil"/>
              <w:left w:val="nil"/>
              <w:bottom w:val="nil"/>
              <w:right w:val="nil"/>
            </w:tcBorders>
            <w:shd w:val="clear" w:color="auto" w:fill="auto"/>
            <w:tcMar>
              <w:top w:w="0" w:type="dxa"/>
              <w:left w:w="105" w:type="dxa"/>
              <w:bottom w:w="0" w:type="dxa"/>
              <w:right w:w="105" w:type="dxa"/>
            </w:tcMar>
            <w:vAlign w:val="top"/>
          </w:tcPr>
          <w:p>
            <w:pPr>
              <w:keepNext w:val="0"/>
              <w:keepLines w:val="0"/>
              <w:widowControl/>
              <w:suppressLineNumbers w:val="0"/>
              <w:jc w:val="left"/>
            </w:pPr>
          </w:p>
        </w:tc>
        <w:tc>
          <w:tcPr>
            <w:tcW w:w="950" w:type="dxa"/>
            <w:tcBorders>
              <w:top w:val="nil"/>
              <w:left w:val="nil"/>
              <w:bottom w:val="nil"/>
              <w:right w:val="nil"/>
            </w:tcBorders>
            <w:shd w:val="clear" w:color="auto" w:fill="auto"/>
            <w:tcMar>
              <w:top w:w="0" w:type="dxa"/>
              <w:left w:w="105" w:type="dxa"/>
              <w:bottom w:w="0" w:type="dxa"/>
              <w:right w:w="105" w:type="dxa"/>
            </w:tcMar>
            <w:vAlign w:val="top"/>
          </w:tcPr>
          <w:p>
            <w:pPr>
              <w:keepNext w:val="0"/>
              <w:keepLines w:val="0"/>
              <w:widowControl/>
              <w:suppressLineNumbers w:val="0"/>
              <w:jc w:val="left"/>
            </w:pPr>
          </w:p>
        </w:tc>
        <w:tc>
          <w:tcPr>
            <w:tcW w:w="552" w:type="dxa"/>
            <w:tcBorders>
              <w:top w:val="nil"/>
              <w:left w:val="nil"/>
              <w:bottom w:val="nil"/>
              <w:right w:val="nil"/>
            </w:tcBorders>
            <w:shd w:val="clear" w:color="auto" w:fill="auto"/>
            <w:tcMar>
              <w:top w:w="0" w:type="dxa"/>
              <w:left w:w="105" w:type="dxa"/>
              <w:bottom w:w="0" w:type="dxa"/>
              <w:right w:w="105" w:type="dxa"/>
            </w:tcMar>
            <w:vAlign w:val="top"/>
          </w:tcPr>
          <w:p>
            <w:pPr>
              <w:keepNext w:val="0"/>
              <w:keepLines w:val="0"/>
              <w:widowControl/>
              <w:suppressLineNumbers w:val="0"/>
              <w:jc w:val="left"/>
            </w:pPr>
          </w:p>
        </w:tc>
        <w:tc>
          <w:tcPr>
            <w:tcW w:w="1049" w:type="dxa"/>
            <w:tcBorders>
              <w:top w:val="nil"/>
              <w:left w:val="nil"/>
              <w:bottom w:val="nil"/>
              <w:right w:val="nil"/>
            </w:tcBorders>
            <w:shd w:val="clear" w:color="auto" w:fill="auto"/>
            <w:tcMar>
              <w:top w:w="0" w:type="dxa"/>
              <w:left w:w="105" w:type="dxa"/>
              <w:bottom w:w="0" w:type="dxa"/>
              <w:right w:w="105" w:type="dxa"/>
            </w:tcMar>
            <w:vAlign w:val="top"/>
          </w:tcPr>
          <w:p>
            <w:pPr>
              <w:keepNext w:val="0"/>
              <w:keepLines w:val="0"/>
              <w:widowControl/>
              <w:suppressLineNumbers w:val="0"/>
              <w:jc w:val="left"/>
            </w:pPr>
          </w:p>
        </w:tc>
        <w:tc>
          <w:tcPr>
            <w:tcW w:w="799" w:type="dxa"/>
            <w:tcBorders>
              <w:top w:val="nil"/>
              <w:left w:val="nil"/>
              <w:bottom w:val="nil"/>
              <w:right w:val="nil"/>
            </w:tcBorders>
            <w:shd w:val="clear" w:color="auto" w:fill="auto"/>
            <w:tcMar>
              <w:top w:w="0" w:type="dxa"/>
              <w:left w:w="105" w:type="dxa"/>
              <w:bottom w:w="0" w:type="dxa"/>
              <w:right w:w="105" w:type="dxa"/>
            </w:tcMar>
            <w:vAlign w:val="top"/>
          </w:tcPr>
          <w:p>
            <w:pPr>
              <w:keepNext w:val="0"/>
              <w:keepLines w:val="0"/>
              <w:widowControl/>
              <w:suppressLineNumbers w:val="0"/>
              <w:jc w:val="left"/>
            </w:pPr>
          </w:p>
        </w:tc>
      </w:tr>
      <w:tr>
        <w:trPr>
          <w:tblCellSpacing w:w="15" w:type="dxa"/>
        </w:trPr>
        <w:tc>
          <w:tcPr>
            <w:tcW w:w="422" w:type="dxa"/>
            <w:tcBorders>
              <w:top w:val="nil"/>
              <w:left w:val="nil"/>
              <w:bottom w:val="nil"/>
              <w:right w:val="nil"/>
            </w:tcBorders>
            <w:shd w:val="clear" w:color="auto" w:fill="auto"/>
            <w:tcMar>
              <w:top w:w="0" w:type="dxa"/>
              <w:left w:w="105" w:type="dxa"/>
              <w:bottom w:w="0" w:type="dxa"/>
              <w:right w:w="105" w:type="dxa"/>
            </w:tcMar>
            <w:vAlign w:val="center"/>
          </w:tcPr>
          <w:p>
            <w:pPr>
              <w:pStyle w:val="4"/>
              <w:keepNext w:val="0"/>
              <w:keepLines w:val="0"/>
              <w:widowControl/>
              <w:suppressLineNumbers w:val="0"/>
              <w:jc w:val="center"/>
            </w:pPr>
            <w:r>
              <w:rPr>
                <w:rFonts w:hint="default" w:ascii="Calibri" w:hAnsi="Calibri" w:cs="Calibri"/>
                <w:sz w:val="21"/>
                <w:szCs w:val="21"/>
              </w:rPr>
              <w:t>…</w:t>
            </w:r>
          </w:p>
        </w:tc>
        <w:tc>
          <w:tcPr>
            <w:tcW w:w="920" w:type="dxa"/>
            <w:tcBorders>
              <w:top w:val="nil"/>
              <w:left w:val="nil"/>
              <w:bottom w:val="nil"/>
              <w:right w:val="nil"/>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1488" w:type="dxa"/>
            <w:tcBorders>
              <w:top w:val="nil"/>
              <w:left w:val="nil"/>
              <w:bottom w:val="nil"/>
              <w:right w:val="nil"/>
            </w:tcBorders>
            <w:shd w:val="clear" w:color="auto" w:fill="auto"/>
            <w:tcMar>
              <w:top w:w="0" w:type="dxa"/>
              <w:left w:w="105" w:type="dxa"/>
              <w:bottom w:w="0" w:type="dxa"/>
              <w:right w:w="105" w:type="dxa"/>
            </w:tcMar>
            <w:vAlign w:val="top"/>
          </w:tcPr>
          <w:p>
            <w:pPr>
              <w:keepNext w:val="0"/>
              <w:keepLines w:val="0"/>
              <w:widowControl/>
              <w:suppressLineNumbers w:val="0"/>
              <w:jc w:val="left"/>
            </w:pPr>
          </w:p>
        </w:tc>
        <w:tc>
          <w:tcPr>
            <w:tcW w:w="1218" w:type="dxa"/>
            <w:tcBorders>
              <w:top w:val="nil"/>
              <w:left w:val="nil"/>
              <w:bottom w:val="nil"/>
              <w:right w:val="nil"/>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822" w:type="dxa"/>
            <w:tcBorders>
              <w:top w:val="nil"/>
              <w:left w:val="nil"/>
              <w:bottom w:val="nil"/>
              <w:right w:val="nil"/>
            </w:tcBorders>
            <w:shd w:val="clear" w:color="auto" w:fill="auto"/>
            <w:tcMar>
              <w:top w:w="0" w:type="dxa"/>
              <w:left w:w="105" w:type="dxa"/>
              <w:bottom w:w="0" w:type="dxa"/>
              <w:right w:w="105" w:type="dxa"/>
            </w:tcMar>
            <w:vAlign w:val="top"/>
          </w:tcPr>
          <w:p>
            <w:pPr>
              <w:keepNext w:val="0"/>
              <w:keepLines w:val="0"/>
              <w:widowControl/>
              <w:suppressLineNumbers w:val="0"/>
              <w:jc w:val="left"/>
            </w:pPr>
          </w:p>
        </w:tc>
        <w:tc>
          <w:tcPr>
            <w:tcW w:w="950" w:type="dxa"/>
            <w:tcBorders>
              <w:top w:val="nil"/>
              <w:left w:val="nil"/>
              <w:bottom w:val="nil"/>
              <w:right w:val="nil"/>
            </w:tcBorders>
            <w:shd w:val="clear" w:color="auto" w:fill="auto"/>
            <w:tcMar>
              <w:top w:w="0" w:type="dxa"/>
              <w:left w:w="105" w:type="dxa"/>
              <w:bottom w:w="0" w:type="dxa"/>
              <w:right w:w="105" w:type="dxa"/>
            </w:tcMar>
            <w:vAlign w:val="top"/>
          </w:tcPr>
          <w:p>
            <w:pPr>
              <w:keepNext w:val="0"/>
              <w:keepLines w:val="0"/>
              <w:widowControl/>
              <w:suppressLineNumbers w:val="0"/>
              <w:jc w:val="left"/>
            </w:pPr>
          </w:p>
        </w:tc>
        <w:tc>
          <w:tcPr>
            <w:tcW w:w="552" w:type="dxa"/>
            <w:tcBorders>
              <w:top w:val="nil"/>
              <w:left w:val="nil"/>
              <w:bottom w:val="nil"/>
              <w:right w:val="nil"/>
            </w:tcBorders>
            <w:shd w:val="clear" w:color="auto" w:fill="auto"/>
            <w:tcMar>
              <w:top w:w="0" w:type="dxa"/>
              <w:left w:w="105" w:type="dxa"/>
              <w:bottom w:w="0" w:type="dxa"/>
              <w:right w:w="105" w:type="dxa"/>
            </w:tcMar>
            <w:vAlign w:val="top"/>
          </w:tcPr>
          <w:p>
            <w:pPr>
              <w:keepNext w:val="0"/>
              <w:keepLines w:val="0"/>
              <w:widowControl/>
              <w:suppressLineNumbers w:val="0"/>
              <w:jc w:val="left"/>
            </w:pPr>
          </w:p>
        </w:tc>
        <w:tc>
          <w:tcPr>
            <w:tcW w:w="1049" w:type="dxa"/>
            <w:tcBorders>
              <w:top w:val="nil"/>
              <w:left w:val="nil"/>
              <w:bottom w:val="nil"/>
              <w:right w:val="nil"/>
            </w:tcBorders>
            <w:shd w:val="clear" w:color="auto" w:fill="auto"/>
            <w:tcMar>
              <w:top w:w="0" w:type="dxa"/>
              <w:left w:w="105" w:type="dxa"/>
              <w:bottom w:w="0" w:type="dxa"/>
              <w:right w:w="105" w:type="dxa"/>
            </w:tcMar>
            <w:vAlign w:val="top"/>
          </w:tcPr>
          <w:p>
            <w:pPr>
              <w:keepNext w:val="0"/>
              <w:keepLines w:val="0"/>
              <w:widowControl/>
              <w:suppressLineNumbers w:val="0"/>
              <w:jc w:val="left"/>
            </w:pPr>
          </w:p>
        </w:tc>
        <w:tc>
          <w:tcPr>
            <w:tcW w:w="799" w:type="dxa"/>
            <w:tcBorders>
              <w:top w:val="nil"/>
              <w:left w:val="nil"/>
              <w:bottom w:val="nil"/>
              <w:right w:val="nil"/>
            </w:tcBorders>
            <w:shd w:val="clear" w:color="auto" w:fill="auto"/>
            <w:tcMar>
              <w:top w:w="0" w:type="dxa"/>
              <w:left w:w="105" w:type="dxa"/>
              <w:bottom w:w="0" w:type="dxa"/>
              <w:right w:w="105" w:type="dxa"/>
            </w:tcMar>
            <w:vAlign w:val="top"/>
          </w:tcPr>
          <w:p>
            <w:pPr>
              <w:keepNext w:val="0"/>
              <w:keepLines w:val="0"/>
              <w:widowControl/>
              <w:suppressLineNumbers w:val="0"/>
              <w:jc w:val="left"/>
            </w:pPr>
          </w:p>
        </w:tc>
      </w:tr>
    </w:tbl>
    <w:p>
      <w:pPr>
        <w:pStyle w:val="4"/>
        <w:keepNext w:val="0"/>
        <w:keepLines w:val="0"/>
        <w:widowControl/>
        <w:suppressLineNumbers w:val="0"/>
      </w:pPr>
      <w:r>
        <w:rPr>
          <w:rFonts w:hint="eastAsia" w:ascii="宋体" w:hAnsi="宋体" w:eastAsia="宋体" w:cs="宋体"/>
          <w:sz w:val="21"/>
          <w:szCs w:val="21"/>
        </w:rPr>
        <w:t>★注意：</w:t>
      </w:r>
    </w:p>
    <w:p>
      <w:pPr>
        <w:pStyle w:val="4"/>
        <w:keepNext w:val="0"/>
        <w:keepLines w:val="0"/>
        <w:widowControl/>
        <w:suppressLineNumbers w:val="0"/>
      </w:pPr>
      <w:r>
        <w:rPr>
          <w:rFonts w:hint="eastAsia" w:ascii="宋体" w:hAnsi="宋体" w:eastAsia="宋体" w:cs="宋体"/>
          <w:sz w:val="21"/>
          <w:szCs w:val="21"/>
        </w:rPr>
        <w:t>1、本表应按照下列规定填写：</w:t>
      </w:r>
    </w:p>
    <w:p>
      <w:pPr>
        <w:pStyle w:val="4"/>
        <w:keepNext w:val="0"/>
        <w:keepLines w:val="0"/>
        <w:widowControl/>
        <w:suppressLineNumbers w:val="0"/>
      </w:pPr>
      <w:r>
        <w:rPr>
          <w:rFonts w:hint="eastAsia" w:ascii="宋体" w:hAnsi="宋体" w:eastAsia="宋体" w:cs="宋体"/>
          <w:sz w:val="21"/>
          <w:szCs w:val="21"/>
        </w:rPr>
        <w:t>1.1投标人应按照本表格式填写所投合同包的分项报价，其中：“合同包”、“品目号”、“投标标的”及“数量”应与招标文件《采购标的一览表》中的有关内容（“合同包”、“品目号”、“采购标的”及“数量”）保持一致，“合同包”还应与《开标一览表》中列示的“合同包”保持一致，即：若《开标一览表》中列示的“合同包”为“</w:t>
      </w:r>
      <w:r>
        <w:rPr>
          <w:rFonts w:hint="default" w:ascii="Calibri" w:hAnsi="Calibri" w:eastAsia="宋体" w:cs="Calibri"/>
          <w:sz w:val="21"/>
          <w:szCs w:val="21"/>
        </w:rPr>
        <w:t>1</w:t>
      </w:r>
      <w:r>
        <w:rPr>
          <w:rFonts w:hint="eastAsia" w:ascii="宋体" w:hAnsi="宋体" w:eastAsia="宋体" w:cs="宋体"/>
          <w:sz w:val="21"/>
          <w:szCs w:val="21"/>
        </w:rPr>
        <w:t>”时，本表中列示的“合同包”亦应为“</w:t>
      </w:r>
      <w:r>
        <w:rPr>
          <w:rFonts w:hint="default" w:ascii="Calibri" w:hAnsi="Calibri" w:eastAsia="宋体" w:cs="Calibri"/>
          <w:sz w:val="21"/>
          <w:szCs w:val="21"/>
        </w:rPr>
        <w:t>1</w:t>
      </w:r>
      <w:r>
        <w:rPr>
          <w:rFonts w:hint="eastAsia" w:ascii="宋体" w:hAnsi="宋体" w:eastAsia="宋体" w:cs="宋体"/>
          <w:sz w:val="21"/>
          <w:szCs w:val="21"/>
        </w:rPr>
        <w:t>”，以此类推。</w:t>
      </w:r>
    </w:p>
    <w:p>
      <w:pPr>
        <w:pStyle w:val="4"/>
        <w:keepNext w:val="0"/>
        <w:keepLines w:val="0"/>
        <w:widowControl/>
        <w:suppressLineNumbers w:val="0"/>
      </w:pPr>
      <w:r>
        <w:rPr>
          <w:rFonts w:hint="eastAsia" w:ascii="宋体" w:hAnsi="宋体" w:eastAsia="宋体" w:cs="宋体"/>
          <w:sz w:val="21"/>
          <w:szCs w:val="21"/>
        </w:rPr>
        <w:t>1.2“投标标的”为货物的：</w:t>
      </w:r>
      <w:r>
        <w:rPr>
          <w:rStyle w:val="6"/>
          <w:rFonts w:hint="eastAsia" w:ascii="宋体" w:hAnsi="宋体" w:eastAsia="宋体" w:cs="宋体"/>
          <w:sz w:val="21"/>
          <w:szCs w:val="21"/>
        </w:rPr>
        <w:t>“规格”</w:t>
      </w:r>
      <w:r>
        <w:rPr>
          <w:rFonts w:hint="eastAsia" w:ascii="宋体" w:hAnsi="宋体" w:eastAsia="宋体" w:cs="宋体"/>
          <w:sz w:val="21"/>
          <w:szCs w:val="21"/>
        </w:rPr>
        <w:t>项下应填写货物制造厂商赋予的品牌（属于节能、环保清单产品的货物，填写的品牌名称应与清单载明的品牌名称保持一致）及具体型号。</w:t>
      </w:r>
      <w:r>
        <w:rPr>
          <w:rStyle w:val="6"/>
          <w:rFonts w:hint="eastAsia" w:ascii="宋体" w:hAnsi="宋体" w:eastAsia="宋体" w:cs="宋体"/>
          <w:sz w:val="21"/>
          <w:szCs w:val="21"/>
        </w:rPr>
        <w:t>“来源地”</w:t>
      </w:r>
      <w:r>
        <w:rPr>
          <w:rFonts w:hint="eastAsia" w:ascii="宋体" w:hAnsi="宋体" w:eastAsia="宋体" w:cs="宋体"/>
          <w:sz w:val="21"/>
          <w:szCs w:val="21"/>
        </w:rPr>
        <w:t>应填写货物的原产地。</w:t>
      </w:r>
    </w:p>
    <w:p>
      <w:pPr>
        <w:pStyle w:val="4"/>
        <w:keepNext w:val="0"/>
        <w:keepLines w:val="0"/>
        <w:widowControl/>
        <w:suppressLineNumbers w:val="0"/>
      </w:pPr>
      <w:r>
        <w:rPr>
          <w:rFonts w:hint="eastAsia" w:ascii="宋体" w:hAnsi="宋体" w:eastAsia="宋体" w:cs="宋体"/>
          <w:sz w:val="21"/>
          <w:szCs w:val="21"/>
        </w:rPr>
        <w:t>1.3“投标标的”为服务的：</w:t>
      </w:r>
      <w:r>
        <w:rPr>
          <w:rStyle w:val="6"/>
          <w:rFonts w:hint="eastAsia" w:ascii="宋体" w:hAnsi="宋体" w:eastAsia="宋体" w:cs="宋体"/>
          <w:sz w:val="21"/>
          <w:szCs w:val="21"/>
        </w:rPr>
        <w:t>“规格”</w:t>
      </w:r>
      <w:r>
        <w:rPr>
          <w:rFonts w:hint="eastAsia" w:ascii="宋体" w:hAnsi="宋体" w:eastAsia="宋体" w:cs="宋体"/>
          <w:sz w:val="21"/>
          <w:szCs w:val="21"/>
        </w:rPr>
        <w:t>项下应填写服务提供者提供的服务标准及品牌（若有）。</w:t>
      </w:r>
      <w:r>
        <w:rPr>
          <w:rStyle w:val="6"/>
          <w:rFonts w:hint="eastAsia" w:ascii="宋体" w:hAnsi="宋体" w:eastAsia="宋体" w:cs="宋体"/>
          <w:sz w:val="21"/>
          <w:szCs w:val="21"/>
        </w:rPr>
        <w:t>“来源地”</w:t>
      </w:r>
      <w:r>
        <w:rPr>
          <w:rFonts w:hint="eastAsia" w:ascii="宋体" w:hAnsi="宋体" w:eastAsia="宋体" w:cs="宋体"/>
          <w:sz w:val="21"/>
          <w:szCs w:val="21"/>
        </w:rPr>
        <w:t>应填写服务提供者的所在地。</w:t>
      </w:r>
    </w:p>
    <w:p>
      <w:pPr>
        <w:pStyle w:val="4"/>
        <w:keepNext w:val="0"/>
        <w:keepLines w:val="0"/>
        <w:widowControl/>
        <w:suppressLineNumbers w:val="0"/>
      </w:pPr>
      <w:r>
        <w:rPr>
          <w:rFonts w:hint="eastAsia" w:ascii="宋体" w:hAnsi="宋体" w:eastAsia="宋体" w:cs="宋体"/>
          <w:sz w:val="21"/>
          <w:szCs w:val="21"/>
        </w:rPr>
        <w:t>1.4同一合同包中，</w:t>
      </w:r>
      <w:r>
        <w:rPr>
          <w:rStyle w:val="6"/>
          <w:rFonts w:hint="eastAsia" w:ascii="宋体" w:hAnsi="宋体" w:eastAsia="宋体" w:cs="宋体"/>
          <w:sz w:val="21"/>
          <w:szCs w:val="21"/>
        </w:rPr>
        <w:t>“单价（现场）”</w:t>
      </w:r>
      <w:r>
        <w:rPr>
          <w:rFonts w:hint="eastAsia" w:ascii="宋体" w:hAnsi="宋体" w:eastAsia="宋体" w:cs="宋体"/>
          <w:sz w:val="21"/>
          <w:szCs w:val="21"/>
        </w:rPr>
        <w:t>×</w:t>
      </w:r>
      <w:r>
        <w:rPr>
          <w:rStyle w:val="6"/>
          <w:rFonts w:hint="eastAsia" w:ascii="宋体" w:hAnsi="宋体" w:eastAsia="宋体" w:cs="宋体"/>
          <w:sz w:val="21"/>
          <w:szCs w:val="21"/>
        </w:rPr>
        <w:t>“数量”</w:t>
      </w:r>
      <w:r>
        <w:rPr>
          <w:rFonts w:hint="eastAsia" w:ascii="宋体" w:hAnsi="宋体" w:eastAsia="宋体" w:cs="宋体"/>
          <w:sz w:val="21"/>
          <w:szCs w:val="21"/>
        </w:rPr>
        <w:t>=</w:t>
      </w:r>
      <w:r>
        <w:rPr>
          <w:rStyle w:val="6"/>
          <w:rFonts w:hint="eastAsia" w:ascii="宋体" w:hAnsi="宋体" w:eastAsia="宋体" w:cs="宋体"/>
          <w:sz w:val="21"/>
          <w:szCs w:val="21"/>
        </w:rPr>
        <w:t>“总价（现场）”</w:t>
      </w:r>
      <w:r>
        <w:rPr>
          <w:rFonts w:hint="eastAsia" w:ascii="宋体" w:hAnsi="宋体" w:eastAsia="宋体" w:cs="宋体"/>
          <w:sz w:val="21"/>
          <w:szCs w:val="21"/>
        </w:rPr>
        <w:t>，全部品目号</w:t>
      </w:r>
      <w:r>
        <w:rPr>
          <w:rStyle w:val="6"/>
          <w:rFonts w:hint="eastAsia" w:ascii="宋体" w:hAnsi="宋体" w:eastAsia="宋体" w:cs="宋体"/>
          <w:sz w:val="21"/>
          <w:szCs w:val="21"/>
        </w:rPr>
        <w:t>“总价（现场）”</w:t>
      </w:r>
      <w:r>
        <w:rPr>
          <w:rFonts w:hint="eastAsia" w:ascii="宋体" w:hAnsi="宋体" w:eastAsia="宋体" w:cs="宋体"/>
          <w:sz w:val="21"/>
          <w:szCs w:val="21"/>
        </w:rPr>
        <w:t>的合计金额应与《开标一览表》中相应合同包列示的</w:t>
      </w:r>
      <w:r>
        <w:rPr>
          <w:rStyle w:val="6"/>
          <w:rFonts w:hint="eastAsia" w:ascii="宋体" w:hAnsi="宋体" w:eastAsia="宋体" w:cs="宋体"/>
          <w:sz w:val="21"/>
          <w:szCs w:val="21"/>
        </w:rPr>
        <w:t>“投标总价”</w:t>
      </w:r>
      <w:r>
        <w:rPr>
          <w:rFonts w:hint="eastAsia" w:ascii="宋体" w:hAnsi="宋体" w:eastAsia="宋体" w:cs="宋体"/>
          <w:sz w:val="21"/>
          <w:szCs w:val="21"/>
        </w:rPr>
        <w:t>保持一致。</w:t>
      </w:r>
    </w:p>
    <w:p>
      <w:pPr>
        <w:pStyle w:val="4"/>
        <w:keepNext w:val="0"/>
        <w:keepLines w:val="0"/>
        <w:widowControl/>
        <w:suppressLineNumbers w:val="0"/>
      </w:pPr>
      <w:r>
        <w:rPr>
          <w:rFonts w:hint="eastAsia" w:ascii="宋体" w:hAnsi="宋体" w:eastAsia="宋体" w:cs="宋体"/>
          <w:sz w:val="21"/>
          <w:szCs w:val="21"/>
        </w:rPr>
        <w:t>1.5若招标文件要求投标人对“备品备件价格、专用工具价格、技术服务费、安装调试费、检验培训费、运输费、保险费、税收”等进行报价的，请在本表的</w:t>
      </w:r>
      <w:r>
        <w:rPr>
          <w:rStyle w:val="6"/>
          <w:rFonts w:hint="eastAsia" w:ascii="宋体" w:hAnsi="宋体" w:eastAsia="宋体" w:cs="宋体"/>
          <w:sz w:val="21"/>
          <w:szCs w:val="21"/>
        </w:rPr>
        <w:t>“备注”</w:t>
      </w:r>
      <w:r>
        <w:rPr>
          <w:rFonts w:hint="eastAsia" w:ascii="宋体" w:hAnsi="宋体" w:eastAsia="宋体" w:cs="宋体"/>
          <w:sz w:val="21"/>
          <w:szCs w:val="21"/>
        </w:rPr>
        <w:t>项下填写。</w:t>
      </w:r>
    </w:p>
    <w:p>
      <w:pPr>
        <w:pStyle w:val="4"/>
        <w:keepNext w:val="0"/>
        <w:keepLines w:val="0"/>
        <w:widowControl/>
        <w:suppressLineNumbers w:val="0"/>
      </w:pPr>
      <w:r>
        <w:rPr>
          <w:rFonts w:hint="eastAsia" w:ascii="宋体" w:hAnsi="宋体" w:eastAsia="宋体" w:cs="宋体"/>
          <w:sz w:val="21"/>
          <w:szCs w:val="21"/>
        </w:rPr>
        <w:t>2、纸质投标文件正本中的本表应为原件。</w:t>
      </w:r>
    </w:p>
    <w:p>
      <w:pPr>
        <w:pStyle w:val="4"/>
        <w:keepNext w:val="0"/>
        <w:keepLines w:val="0"/>
        <w:widowControl/>
        <w:suppressLineNumbers w:val="0"/>
      </w:pPr>
      <w:r>
        <w:rPr>
          <w:rFonts w:hint="eastAsia" w:ascii="宋体" w:hAnsi="宋体" w:eastAsia="宋体" w:cs="宋体"/>
          <w:sz w:val="21"/>
          <w:szCs w:val="21"/>
        </w:rPr>
        <w:t> </w:t>
      </w:r>
    </w:p>
    <w:p>
      <w:pPr>
        <w:pStyle w:val="4"/>
        <w:keepNext w:val="0"/>
        <w:keepLines w:val="0"/>
        <w:widowControl/>
        <w:suppressLineNumbers w:val="0"/>
      </w:pPr>
      <w:r>
        <w:rPr>
          <w:rFonts w:hint="eastAsia" w:ascii="宋体" w:hAnsi="宋体" w:eastAsia="宋体" w:cs="宋体"/>
          <w:sz w:val="21"/>
          <w:szCs w:val="21"/>
        </w:rPr>
        <w:t> </w:t>
      </w:r>
    </w:p>
    <w:p>
      <w:pPr>
        <w:pStyle w:val="4"/>
        <w:keepNext w:val="0"/>
        <w:keepLines w:val="0"/>
        <w:widowControl/>
        <w:suppressLineNumbers w:val="0"/>
      </w:pPr>
      <w:r>
        <w:rPr>
          <w:rFonts w:hint="eastAsia" w:ascii="宋体" w:hAnsi="宋体" w:eastAsia="宋体" w:cs="宋体"/>
          <w:sz w:val="21"/>
          <w:szCs w:val="21"/>
        </w:rPr>
        <w:t>投标人：</w:t>
      </w:r>
      <w:r>
        <w:rPr>
          <w:rFonts w:hint="eastAsia" w:ascii="宋体" w:hAnsi="宋体" w:eastAsia="宋体" w:cs="宋体"/>
          <w:sz w:val="21"/>
          <w:szCs w:val="21"/>
          <w:u w:val="single"/>
        </w:rPr>
        <w:t>（全称并加盖单位公章）</w:t>
      </w:r>
    </w:p>
    <w:p>
      <w:pPr>
        <w:pStyle w:val="4"/>
        <w:keepNext w:val="0"/>
        <w:keepLines w:val="0"/>
        <w:widowControl/>
        <w:suppressLineNumbers w:val="0"/>
      </w:pPr>
      <w:r>
        <w:rPr>
          <w:rFonts w:hint="eastAsia" w:ascii="宋体" w:hAnsi="宋体" w:eastAsia="宋体" w:cs="宋体"/>
          <w:sz w:val="21"/>
          <w:szCs w:val="21"/>
        </w:rPr>
        <w:t>投标人代表签字：</w:t>
      </w:r>
      <w:r>
        <w:rPr>
          <w:rFonts w:hint="eastAsia" w:ascii="宋体" w:hAnsi="宋体" w:eastAsia="宋体" w:cs="宋体"/>
          <w:sz w:val="21"/>
          <w:szCs w:val="21"/>
          <w:u w:val="single"/>
        </w:rPr>
        <w:t>                   </w:t>
      </w:r>
    </w:p>
    <w:p>
      <w:pPr>
        <w:pStyle w:val="4"/>
        <w:keepNext w:val="0"/>
        <w:keepLines w:val="0"/>
        <w:widowControl/>
        <w:suppressLineNumbers w:val="0"/>
      </w:pPr>
      <w:r>
        <w:rPr>
          <w:rFonts w:hint="eastAsia" w:ascii="宋体" w:hAnsi="宋体" w:eastAsia="宋体" w:cs="宋体"/>
          <w:sz w:val="21"/>
          <w:szCs w:val="21"/>
        </w:rPr>
        <w:t>日期：</w:t>
      </w:r>
      <w:r>
        <w:rPr>
          <w:rFonts w:hint="eastAsia" w:ascii="宋体" w:hAnsi="宋体" w:eastAsia="宋体" w:cs="宋体"/>
          <w:sz w:val="21"/>
          <w:szCs w:val="21"/>
          <w:u w:val="single"/>
        </w:rPr>
        <w:t>    </w:t>
      </w:r>
      <w:r>
        <w:rPr>
          <w:rFonts w:hint="eastAsia" w:ascii="宋体" w:hAnsi="宋体" w:eastAsia="宋体" w:cs="宋体"/>
          <w:sz w:val="21"/>
          <w:szCs w:val="21"/>
        </w:rPr>
        <w:t>年</w:t>
      </w:r>
      <w:r>
        <w:rPr>
          <w:rFonts w:hint="eastAsia" w:ascii="宋体" w:hAnsi="宋体" w:eastAsia="宋体" w:cs="宋体"/>
          <w:sz w:val="21"/>
          <w:szCs w:val="21"/>
          <w:u w:val="single"/>
        </w:rPr>
        <w:t>   </w:t>
      </w:r>
      <w:r>
        <w:rPr>
          <w:rFonts w:hint="eastAsia" w:ascii="宋体" w:hAnsi="宋体" w:eastAsia="宋体" w:cs="宋体"/>
          <w:sz w:val="21"/>
          <w:szCs w:val="21"/>
        </w:rPr>
        <w:t>月</w:t>
      </w:r>
      <w:r>
        <w:rPr>
          <w:rFonts w:hint="eastAsia" w:ascii="宋体" w:hAnsi="宋体" w:eastAsia="宋体" w:cs="宋体"/>
          <w:sz w:val="21"/>
          <w:szCs w:val="21"/>
          <w:u w:val="single"/>
        </w:rPr>
        <w:t>   </w:t>
      </w:r>
      <w:r>
        <w:rPr>
          <w:rFonts w:hint="eastAsia" w:ascii="宋体" w:hAnsi="宋体" w:eastAsia="宋体" w:cs="宋体"/>
          <w:sz w:val="21"/>
          <w:szCs w:val="21"/>
        </w:rPr>
        <w:t>日</w:t>
      </w:r>
    </w:p>
    <w:p>
      <w:pPr>
        <w:pStyle w:val="4"/>
        <w:keepNext w:val="0"/>
        <w:keepLines w:val="0"/>
        <w:widowControl/>
        <w:suppressLineNumbers w:val="0"/>
      </w:pPr>
      <w:r>
        <w:rPr>
          <w:rFonts w:hint="eastAsia" w:ascii="宋体" w:hAnsi="宋体" w:eastAsia="宋体" w:cs="宋体"/>
          <w:sz w:val="21"/>
          <w:szCs w:val="21"/>
        </w:rPr>
        <w:t> </w:t>
      </w:r>
    </w:p>
    <w:p>
      <w:pPr>
        <w:pStyle w:val="4"/>
        <w:keepNext w:val="0"/>
        <w:keepLines w:val="0"/>
        <w:widowControl/>
        <w:suppressLineNumbers w:val="0"/>
      </w:pPr>
      <w:r>
        <w:rPr>
          <w:rFonts w:hint="eastAsia" w:ascii="宋体" w:hAnsi="宋体" w:eastAsia="宋体" w:cs="宋体"/>
          <w:sz w:val="21"/>
          <w:szCs w:val="21"/>
        </w:rPr>
        <w:t> </w:t>
      </w:r>
    </w:p>
    <w:p>
      <w:pPr>
        <w:pStyle w:val="4"/>
        <w:keepNext w:val="0"/>
        <w:keepLines w:val="0"/>
        <w:widowControl/>
        <w:suppressLineNumbers w:val="0"/>
        <w:jc w:val="center"/>
      </w:pPr>
      <w:r>
        <w:rPr>
          <w:rFonts w:hint="default" w:ascii="Calibri" w:hAnsi="Calibri" w:cs="Calibri"/>
          <w:sz w:val="21"/>
          <w:szCs w:val="21"/>
        </w:rPr>
        <w:br w:type="textWrapping"/>
      </w:r>
      <w:r>
        <w:rPr>
          <w:rStyle w:val="6"/>
          <w:rFonts w:hint="eastAsia" w:ascii="宋体" w:hAnsi="宋体" w:eastAsia="宋体" w:cs="宋体"/>
          <w:sz w:val="21"/>
          <w:szCs w:val="21"/>
        </w:rPr>
        <w:t>三、招标文件规定的价格扣除证明材料（若有）</w:t>
      </w:r>
    </w:p>
    <w:p>
      <w:pPr>
        <w:pStyle w:val="4"/>
        <w:keepNext w:val="0"/>
        <w:keepLines w:val="0"/>
        <w:widowControl/>
        <w:suppressLineNumbers w:val="0"/>
        <w:jc w:val="center"/>
      </w:pPr>
      <w:r>
        <w:rPr>
          <w:rStyle w:val="6"/>
          <w:rFonts w:hint="eastAsia" w:ascii="宋体" w:hAnsi="宋体" w:eastAsia="宋体" w:cs="宋体"/>
          <w:sz w:val="21"/>
          <w:szCs w:val="21"/>
        </w:rPr>
        <w:t> </w:t>
      </w:r>
    </w:p>
    <w:p>
      <w:pPr>
        <w:pStyle w:val="4"/>
        <w:keepNext w:val="0"/>
        <w:keepLines w:val="0"/>
        <w:widowControl/>
        <w:suppressLineNumbers w:val="0"/>
        <w:jc w:val="center"/>
      </w:pPr>
      <w:r>
        <w:rPr>
          <w:rStyle w:val="6"/>
          <w:rFonts w:hint="eastAsia" w:ascii="宋体" w:hAnsi="宋体" w:eastAsia="宋体" w:cs="宋体"/>
          <w:sz w:val="21"/>
          <w:szCs w:val="21"/>
        </w:rPr>
        <w:t>三-1优先类节能产品、环境标志产品价格扣除证明材料（若有）</w:t>
      </w:r>
    </w:p>
    <w:p>
      <w:pPr>
        <w:pStyle w:val="4"/>
        <w:keepNext w:val="0"/>
        <w:keepLines w:val="0"/>
        <w:widowControl/>
        <w:suppressLineNumbers w:val="0"/>
        <w:jc w:val="center"/>
      </w:pPr>
      <w:r>
        <w:rPr>
          <w:rStyle w:val="6"/>
          <w:rFonts w:hint="eastAsia" w:ascii="宋体" w:hAnsi="宋体" w:eastAsia="宋体" w:cs="宋体"/>
          <w:sz w:val="21"/>
          <w:szCs w:val="21"/>
        </w:rPr>
        <w:t> </w:t>
      </w:r>
    </w:p>
    <w:p>
      <w:pPr>
        <w:pStyle w:val="4"/>
        <w:keepNext w:val="0"/>
        <w:keepLines w:val="0"/>
        <w:widowControl/>
        <w:suppressLineNumbers w:val="0"/>
        <w:jc w:val="center"/>
      </w:pPr>
      <w:r>
        <w:rPr>
          <w:rStyle w:val="6"/>
          <w:rFonts w:hint="eastAsia" w:ascii="宋体" w:hAnsi="宋体" w:eastAsia="宋体" w:cs="宋体"/>
          <w:sz w:val="21"/>
          <w:szCs w:val="21"/>
        </w:rPr>
        <w:t>三-1-①优先类节能产品、环境标志产品统计表（价格扣除适用，若有）</w:t>
      </w:r>
    </w:p>
    <w:p>
      <w:pPr>
        <w:pStyle w:val="4"/>
        <w:keepNext w:val="0"/>
        <w:keepLines w:val="0"/>
        <w:widowControl/>
        <w:suppressLineNumbers w:val="0"/>
      </w:pPr>
      <w:r>
        <w:rPr>
          <w:rFonts w:hint="eastAsia" w:ascii="宋体" w:hAnsi="宋体" w:eastAsia="宋体" w:cs="宋体"/>
          <w:sz w:val="21"/>
          <w:szCs w:val="21"/>
        </w:rPr>
        <w:t> </w:t>
      </w:r>
    </w:p>
    <w:p>
      <w:pPr>
        <w:pStyle w:val="4"/>
        <w:keepNext w:val="0"/>
        <w:keepLines w:val="0"/>
        <w:widowControl/>
        <w:suppressLineNumbers w:val="0"/>
      </w:pPr>
      <w:r>
        <w:rPr>
          <w:rFonts w:hint="eastAsia" w:ascii="宋体" w:hAnsi="宋体" w:eastAsia="宋体" w:cs="宋体"/>
          <w:sz w:val="21"/>
          <w:szCs w:val="21"/>
        </w:rPr>
        <w:t>招标编号：</w:t>
      </w:r>
      <w:r>
        <w:rPr>
          <w:rFonts w:hint="eastAsia" w:ascii="宋体" w:hAnsi="宋体" w:eastAsia="宋体" w:cs="宋体"/>
          <w:sz w:val="21"/>
          <w:szCs w:val="21"/>
          <w:u w:val="single"/>
        </w:rPr>
        <w:t>                   </w:t>
      </w:r>
    </w:p>
    <w:p>
      <w:pPr>
        <w:pStyle w:val="4"/>
        <w:keepNext w:val="0"/>
        <w:keepLines w:val="0"/>
        <w:widowControl/>
        <w:suppressLineNumbers w:val="0"/>
        <w:jc w:val="right"/>
      </w:pPr>
      <w:r>
        <w:rPr>
          <w:rFonts w:hint="eastAsia" w:ascii="宋体" w:hAnsi="宋体" w:eastAsia="宋体" w:cs="宋体"/>
          <w:sz w:val="21"/>
          <w:szCs w:val="21"/>
        </w:rPr>
        <w:t>货币及单位：人民币元</w:t>
      </w:r>
    </w:p>
    <w:tbl>
      <w:tblPr>
        <w:tblStyle w:val="9"/>
        <w:tblW w:w="8517" w:type="dxa"/>
        <w:tblCellSpacing w:w="15" w:type="dxa"/>
        <w:tblInd w:w="-15"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15" w:type="dxa"/>
          <w:left w:w="15" w:type="dxa"/>
          <w:bottom w:w="15" w:type="dxa"/>
          <w:right w:w="15" w:type="dxa"/>
        </w:tblCellMar>
      </w:tblPr>
      <w:tblGrid>
        <w:gridCol w:w="1211"/>
        <w:gridCol w:w="1211"/>
        <w:gridCol w:w="1211"/>
        <w:gridCol w:w="1211"/>
        <w:gridCol w:w="1211"/>
        <w:gridCol w:w="1211"/>
        <w:gridCol w:w="1251"/>
      </w:tblGrid>
      <w:tr>
        <w:trPr>
          <w:tblCellSpacing w:w="15" w:type="dxa"/>
        </w:trPr>
        <w:tc>
          <w:tcPr>
            <w:tcW w:w="1166" w:type="dxa"/>
            <w:tcBorders>
              <w:top w:val="nil"/>
              <w:left w:val="nil"/>
              <w:bottom w:val="nil"/>
              <w:right w:val="nil"/>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7261" w:type="dxa"/>
            <w:gridSpan w:val="6"/>
            <w:tcBorders>
              <w:top w:val="nil"/>
              <w:left w:val="nil"/>
              <w:bottom w:val="nil"/>
              <w:right w:val="nil"/>
            </w:tcBorders>
            <w:shd w:val="clear" w:color="auto" w:fill="auto"/>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sz w:val="21"/>
                <w:szCs w:val="21"/>
              </w:rPr>
              <w:t>本合同包内属于节能、环境标志产品的情况</w:t>
            </w:r>
          </w:p>
        </w:tc>
      </w:tr>
      <w:tr>
        <w:trPr>
          <w:tblCellSpacing w:w="15" w:type="dxa"/>
        </w:trPr>
        <w:tc>
          <w:tcPr>
            <w:tcW w:w="1166" w:type="dxa"/>
            <w:tcBorders>
              <w:top w:val="nil"/>
              <w:left w:val="nil"/>
              <w:bottom w:val="nil"/>
              <w:right w:val="nil"/>
            </w:tcBorders>
            <w:shd w:val="clear" w:color="auto" w:fill="auto"/>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sz w:val="21"/>
                <w:szCs w:val="21"/>
              </w:rPr>
              <w:t>合同包</w:t>
            </w:r>
          </w:p>
        </w:tc>
        <w:tc>
          <w:tcPr>
            <w:tcW w:w="1181" w:type="dxa"/>
            <w:tcBorders>
              <w:top w:val="nil"/>
              <w:left w:val="nil"/>
              <w:bottom w:val="nil"/>
              <w:right w:val="nil"/>
            </w:tcBorders>
            <w:shd w:val="clear" w:color="auto" w:fill="auto"/>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sz w:val="21"/>
                <w:szCs w:val="21"/>
              </w:rPr>
              <w:t>品目号</w:t>
            </w:r>
          </w:p>
        </w:tc>
        <w:tc>
          <w:tcPr>
            <w:tcW w:w="1181" w:type="dxa"/>
            <w:tcBorders>
              <w:top w:val="nil"/>
              <w:left w:val="nil"/>
              <w:bottom w:val="nil"/>
              <w:right w:val="nil"/>
            </w:tcBorders>
            <w:shd w:val="clear" w:color="auto" w:fill="auto"/>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sz w:val="21"/>
                <w:szCs w:val="21"/>
              </w:rPr>
              <w:t>货物名称</w:t>
            </w:r>
          </w:p>
        </w:tc>
        <w:tc>
          <w:tcPr>
            <w:tcW w:w="1181" w:type="dxa"/>
            <w:tcBorders>
              <w:top w:val="nil"/>
              <w:left w:val="nil"/>
              <w:bottom w:val="nil"/>
              <w:right w:val="nil"/>
            </w:tcBorders>
            <w:shd w:val="clear" w:color="auto" w:fill="auto"/>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sz w:val="21"/>
                <w:szCs w:val="21"/>
              </w:rPr>
              <w:t>单价</w:t>
            </w:r>
          </w:p>
          <w:p>
            <w:pPr>
              <w:pStyle w:val="4"/>
              <w:keepNext w:val="0"/>
              <w:keepLines w:val="0"/>
              <w:widowControl/>
              <w:suppressLineNumbers w:val="0"/>
              <w:jc w:val="center"/>
            </w:pPr>
            <w:r>
              <w:rPr>
                <w:rFonts w:hint="eastAsia" w:ascii="宋体" w:hAnsi="宋体" w:eastAsia="宋体" w:cs="宋体"/>
                <w:sz w:val="21"/>
                <w:szCs w:val="21"/>
              </w:rPr>
              <w:t>（现场）</w:t>
            </w:r>
          </w:p>
        </w:tc>
        <w:tc>
          <w:tcPr>
            <w:tcW w:w="1181" w:type="dxa"/>
            <w:tcBorders>
              <w:top w:val="nil"/>
              <w:left w:val="nil"/>
              <w:bottom w:val="nil"/>
              <w:right w:val="nil"/>
            </w:tcBorders>
            <w:shd w:val="clear" w:color="auto" w:fill="auto"/>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sz w:val="21"/>
                <w:szCs w:val="21"/>
              </w:rPr>
              <w:t>数量</w:t>
            </w:r>
          </w:p>
        </w:tc>
        <w:tc>
          <w:tcPr>
            <w:tcW w:w="1181" w:type="dxa"/>
            <w:tcBorders>
              <w:top w:val="nil"/>
              <w:left w:val="nil"/>
              <w:bottom w:val="nil"/>
              <w:right w:val="nil"/>
            </w:tcBorders>
            <w:shd w:val="clear" w:color="auto" w:fill="auto"/>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sz w:val="21"/>
                <w:szCs w:val="21"/>
              </w:rPr>
              <w:t>总价</w:t>
            </w:r>
          </w:p>
          <w:p>
            <w:pPr>
              <w:pStyle w:val="4"/>
              <w:keepNext w:val="0"/>
              <w:keepLines w:val="0"/>
              <w:widowControl/>
              <w:suppressLineNumbers w:val="0"/>
              <w:jc w:val="center"/>
            </w:pPr>
            <w:r>
              <w:rPr>
                <w:rFonts w:hint="eastAsia" w:ascii="宋体" w:hAnsi="宋体" w:eastAsia="宋体" w:cs="宋体"/>
                <w:sz w:val="21"/>
                <w:szCs w:val="21"/>
              </w:rPr>
              <w:t>（现场）</w:t>
            </w:r>
          </w:p>
        </w:tc>
        <w:tc>
          <w:tcPr>
            <w:tcW w:w="1206" w:type="dxa"/>
            <w:tcBorders>
              <w:top w:val="nil"/>
              <w:left w:val="nil"/>
              <w:bottom w:val="nil"/>
              <w:right w:val="nil"/>
            </w:tcBorders>
            <w:shd w:val="clear" w:color="auto" w:fill="auto"/>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sz w:val="21"/>
                <w:szCs w:val="21"/>
              </w:rPr>
              <w:t>认证种类</w:t>
            </w:r>
          </w:p>
        </w:tc>
      </w:tr>
      <w:tr>
        <w:trPr>
          <w:tblCellSpacing w:w="15" w:type="dxa"/>
        </w:trPr>
        <w:tc>
          <w:tcPr>
            <w:tcW w:w="1166" w:type="dxa"/>
            <w:vMerge w:val="restart"/>
            <w:tcBorders>
              <w:top w:val="nil"/>
              <w:left w:val="nil"/>
              <w:bottom w:val="nil"/>
              <w:right w:val="nil"/>
            </w:tcBorders>
            <w:shd w:val="clear" w:color="auto" w:fill="auto"/>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sz w:val="21"/>
                <w:szCs w:val="21"/>
              </w:rPr>
              <w:t>*</w:t>
            </w:r>
          </w:p>
        </w:tc>
        <w:tc>
          <w:tcPr>
            <w:tcW w:w="1181" w:type="dxa"/>
            <w:tcBorders>
              <w:top w:val="nil"/>
              <w:left w:val="nil"/>
              <w:bottom w:val="nil"/>
              <w:right w:val="nil"/>
            </w:tcBorders>
            <w:shd w:val="clear" w:color="auto" w:fill="auto"/>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sz w:val="21"/>
                <w:szCs w:val="21"/>
              </w:rPr>
              <w:t>*-1</w:t>
            </w:r>
          </w:p>
        </w:tc>
        <w:tc>
          <w:tcPr>
            <w:tcW w:w="1181" w:type="dxa"/>
            <w:tcBorders>
              <w:top w:val="nil"/>
              <w:left w:val="nil"/>
              <w:bottom w:val="nil"/>
              <w:right w:val="nil"/>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1181" w:type="dxa"/>
            <w:tcBorders>
              <w:top w:val="nil"/>
              <w:left w:val="nil"/>
              <w:bottom w:val="nil"/>
              <w:right w:val="nil"/>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1181" w:type="dxa"/>
            <w:tcBorders>
              <w:top w:val="nil"/>
              <w:left w:val="nil"/>
              <w:bottom w:val="nil"/>
              <w:right w:val="nil"/>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1181" w:type="dxa"/>
            <w:tcBorders>
              <w:top w:val="nil"/>
              <w:left w:val="nil"/>
              <w:bottom w:val="nil"/>
              <w:right w:val="nil"/>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1206" w:type="dxa"/>
            <w:tcBorders>
              <w:top w:val="nil"/>
              <w:left w:val="nil"/>
              <w:bottom w:val="nil"/>
              <w:right w:val="nil"/>
            </w:tcBorders>
            <w:shd w:val="clear" w:color="auto" w:fill="auto"/>
            <w:tcMar>
              <w:top w:w="0" w:type="dxa"/>
              <w:left w:w="105" w:type="dxa"/>
              <w:bottom w:w="0" w:type="dxa"/>
              <w:right w:w="105" w:type="dxa"/>
            </w:tcMar>
            <w:vAlign w:val="center"/>
          </w:tcPr>
          <w:p>
            <w:pPr>
              <w:keepNext w:val="0"/>
              <w:keepLines w:val="0"/>
              <w:widowControl/>
              <w:suppressLineNumbers w:val="0"/>
              <w:jc w:val="left"/>
            </w:pPr>
          </w:p>
        </w:tc>
      </w:tr>
      <w:tr>
        <w:trPr>
          <w:tblCellSpacing w:w="15" w:type="dxa"/>
        </w:trPr>
        <w:tc>
          <w:tcPr>
            <w:tcW w:w="1166" w:type="dxa"/>
            <w:vMerge w:val="continue"/>
            <w:tcBorders>
              <w:top w:val="nil"/>
              <w:left w:val="nil"/>
              <w:bottom w:val="nil"/>
              <w:right w:val="nil"/>
            </w:tcBorders>
            <w:shd w:val="clear" w:color="auto" w:fill="auto"/>
            <w:tcMar>
              <w:top w:w="0" w:type="dxa"/>
              <w:left w:w="105" w:type="dxa"/>
              <w:bottom w:w="0" w:type="dxa"/>
              <w:right w:w="105" w:type="dxa"/>
            </w:tcMar>
            <w:vAlign w:val="center"/>
          </w:tcPr>
          <w:p>
            <w:pPr>
              <w:rPr>
                <w:rFonts w:hint="eastAsia" w:ascii="宋体"/>
                <w:sz w:val="24"/>
                <w:szCs w:val="24"/>
              </w:rPr>
            </w:pPr>
          </w:p>
        </w:tc>
        <w:tc>
          <w:tcPr>
            <w:tcW w:w="1181" w:type="dxa"/>
            <w:tcBorders>
              <w:top w:val="nil"/>
              <w:left w:val="nil"/>
              <w:bottom w:val="nil"/>
              <w:right w:val="nil"/>
            </w:tcBorders>
            <w:shd w:val="clear" w:color="auto" w:fill="auto"/>
            <w:tcMar>
              <w:top w:w="0" w:type="dxa"/>
              <w:left w:w="105" w:type="dxa"/>
              <w:bottom w:w="0" w:type="dxa"/>
              <w:right w:w="105" w:type="dxa"/>
            </w:tcMar>
            <w:vAlign w:val="center"/>
          </w:tcPr>
          <w:p>
            <w:pPr>
              <w:pStyle w:val="4"/>
              <w:keepNext w:val="0"/>
              <w:keepLines w:val="0"/>
              <w:widowControl/>
              <w:suppressLineNumbers w:val="0"/>
              <w:jc w:val="center"/>
            </w:pPr>
            <w:r>
              <w:rPr>
                <w:rFonts w:hint="default" w:ascii="Calibri" w:hAnsi="Calibri" w:cs="Calibri"/>
                <w:sz w:val="21"/>
                <w:szCs w:val="21"/>
              </w:rPr>
              <w:t>…</w:t>
            </w:r>
          </w:p>
        </w:tc>
        <w:tc>
          <w:tcPr>
            <w:tcW w:w="1181" w:type="dxa"/>
            <w:tcBorders>
              <w:top w:val="nil"/>
              <w:left w:val="nil"/>
              <w:bottom w:val="nil"/>
              <w:right w:val="nil"/>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1181" w:type="dxa"/>
            <w:tcBorders>
              <w:top w:val="nil"/>
              <w:left w:val="nil"/>
              <w:bottom w:val="nil"/>
              <w:right w:val="nil"/>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1181" w:type="dxa"/>
            <w:tcBorders>
              <w:top w:val="nil"/>
              <w:left w:val="nil"/>
              <w:bottom w:val="nil"/>
              <w:right w:val="nil"/>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1181" w:type="dxa"/>
            <w:tcBorders>
              <w:top w:val="nil"/>
              <w:left w:val="nil"/>
              <w:bottom w:val="nil"/>
              <w:right w:val="nil"/>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1206" w:type="dxa"/>
            <w:tcBorders>
              <w:top w:val="nil"/>
              <w:left w:val="nil"/>
              <w:bottom w:val="nil"/>
              <w:right w:val="nil"/>
            </w:tcBorders>
            <w:shd w:val="clear" w:color="auto" w:fill="auto"/>
            <w:tcMar>
              <w:top w:w="0" w:type="dxa"/>
              <w:left w:w="105" w:type="dxa"/>
              <w:bottom w:w="0" w:type="dxa"/>
              <w:right w:w="105" w:type="dxa"/>
            </w:tcMar>
            <w:vAlign w:val="center"/>
          </w:tcPr>
          <w:p>
            <w:pPr>
              <w:keepNext w:val="0"/>
              <w:keepLines w:val="0"/>
              <w:widowControl/>
              <w:suppressLineNumbers w:val="0"/>
              <w:jc w:val="left"/>
            </w:pPr>
          </w:p>
        </w:tc>
      </w:tr>
      <w:tr>
        <w:trPr>
          <w:tblCellSpacing w:w="15" w:type="dxa"/>
        </w:trPr>
        <w:tc>
          <w:tcPr>
            <w:tcW w:w="1166" w:type="dxa"/>
            <w:tcBorders>
              <w:top w:val="nil"/>
              <w:left w:val="nil"/>
              <w:bottom w:val="nil"/>
              <w:right w:val="nil"/>
            </w:tcBorders>
            <w:shd w:val="clear" w:color="auto" w:fill="auto"/>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sz w:val="21"/>
                <w:szCs w:val="21"/>
              </w:rPr>
              <w:t>备注</w:t>
            </w:r>
          </w:p>
        </w:tc>
        <w:tc>
          <w:tcPr>
            <w:tcW w:w="7261" w:type="dxa"/>
            <w:gridSpan w:val="6"/>
            <w:tcBorders>
              <w:top w:val="nil"/>
              <w:left w:val="nil"/>
              <w:bottom w:val="nil"/>
              <w:right w:val="nil"/>
            </w:tcBorders>
            <w:shd w:val="clear" w:color="auto" w:fill="auto"/>
            <w:tcMar>
              <w:top w:w="0" w:type="dxa"/>
              <w:left w:w="105" w:type="dxa"/>
              <w:bottom w:w="0" w:type="dxa"/>
              <w:right w:w="105" w:type="dxa"/>
            </w:tcMar>
            <w:vAlign w:val="top"/>
          </w:tcPr>
          <w:p>
            <w:pPr>
              <w:pStyle w:val="4"/>
              <w:keepNext w:val="0"/>
              <w:keepLines w:val="0"/>
              <w:widowControl/>
              <w:suppressLineNumbers w:val="0"/>
            </w:pPr>
            <w:r>
              <w:rPr>
                <w:rFonts w:hint="eastAsia" w:ascii="宋体" w:hAnsi="宋体" w:eastAsia="宋体" w:cs="宋体"/>
                <w:sz w:val="21"/>
                <w:szCs w:val="21"/>
              </w:rPr>
              <w:t>a.合同包内属于节能、环境标志产品的报价总金额：</w:t>
            </w:r>
            <w:r>
              <w:rPr>
                <w:rFonts w:hint="eastAsia" w:ascii="宋体" w:hAnsi="宋体" w:eastAsia="宋体" w:cs="宋体"/>
                <w:sz w:val="21"/>
                <w:szCs w:val="21"/>
                <w:u w:val="single"/>
              </w:rPr>
              <w:t>              </w:t>
            </w:r>
            <w:r>
              <w:rPr>
                <w:rFonts w:hint="eastAsia" w:ascii="宋体" w:hAnsi="宋体" w:eastAsia="宋体" w:cs="宋体"/>
                <w:sz w:val="21"/>
                <w:szCs w:val="21"/>
              </w:rPr>
              <w:t>；</w:t>
            </w:r>
          </w:p>
          <w:p>
            <w:pPr>
              <w:pStyle w:val="4"/>
              <w:keepNext w:val="0"/>
              <w:keepLines w:val="0"/>
              <w:widowControl/>
              <w:suppressLineNumbers w:val="0"/>
            </w:pPr>
            <w:r>
              <w:rPr>
                <w:rFonts w:hint="eastAsia" w:ascii="宋体" w:hAnsi="宋体" w:eastAsia="宋体" w:cs="宋体"/>
                <w:sz w:val="21"/>
                <w:szCs w:val="21"/>
              </w:rPr>
              <w:t>b.合同包投标总价（报价总金额）：</w:t>
            </w:r>
            <w:r>
              <w:rPr>
                <w:rFonts w:hint="eastAsia" w:ascii="宋体" w:hAnsi="宋体" w:eastAsia="宋体" w:cs="宋体"/>
                <w:sz w:val="21"/>
                <w:szCs w:val="21"/>
                <w:u w:val="single"/>
              </w:rPr>
              <w:t>              </w:t>
            </w:r>
            <w:r>
              <w:rPr>
                <w:rFonts w:hint="eastAsia" w:ascii="宋体" w:hAnsi="宋体" w:eastAsia="宋体" w:cs="宋体"/>
                <w:sz w:val="21"/>
                <w:szCs w:val="21"/>
              </w:rPr>
              <w:t>；</w:t>
            </w:r>
          </w:p>
          <w:p>
            <w:pPr>
              <w:pStyle w:val="4"/>
              <w:keepNext w:val="0"/>
              <w:keepLines w:val="0"/>
              <w:widowControl/>
              <w:suppressLineNumbers w:val="0"/>
            </w:pPr>
            <w:r>
              <w:rPr>
                <w:rFonts w:hint="eastAsia" w:ascii="宋体" w:hAnsi="宋体" w:eastAsia="宋体" w:cs="宋体"/>
                <w:sz w:val="21"/>
                <w:szCs w:val="21"/>
              </w:rPr>
              <w:t>c.“合同包内属于节能、环境标志产品的报价总金额”占“合同包投标总价（报价总金额）”的比例（以</w:t>
            </w:r>
            <w:r>
              <w:rPr>
                <w:rFonts w:hint="default" w:ascii="Calibri" w:hAnsi="Calibri" w:eastAsia="宋体" w:cs="Calibri"/>
                <w:sz w:val="21"/>
                <w:szCs w:val="21"/>
              </w:rPr>
              <w:t>%</w:t>
            </w:r>
            <w:r>
              <w:rPr>
                <w:rFonts w:hint="eastAsia" w:ascii="宋体" w:hAnsi="宋体" w:eastAsia="宋体" w:cs="宋体"/>
                <w:sz w:val="21"/>
                <w:szCs w:val="21"/>
              </w:rPr>
              <w:t>列示）：</w:t>
            </w:r>
            <w:r>
              <w:rPr>
                <w:rFonts w:hint="eastAsia" w:ascii="宋体" w:hAnsi="宋体" w:eastAsia="宋体" w:cs="宋体"/>
                <w:sz w:val="21"/>
                <w:szCs w:val="21"/>
                <w:u w:val="single"/>
              </w:rPr>
              <w:t>              </w:t>
            </w:r>
            <w:r>
              <w:rPr>
                <w:rFonts w:hint="eastAsia" w:ascii="宋体" w:hAnsi="宋体" w:eastAsia="宋体" w:cs="宋体"/>
                <w:sz w:val="21"/>
                <w:szCs w:val="21"/>
              </w:rPr>
              <w:t>。</w:t>
            </w:r>
          </w:p>
        </w:tc>
      </w:tr>
    </w:tbl>
    <w:p>
      <w:pPr>
        <w:pStyle w:val="4"/>
        <w:keepNext w:val="0"/>
        <w:keepLines w:val="0"/>
        <w:widowControl/>
        <w:suppressLineNumbers w:val="0"/>
      </w:pPr>
      <w:r>
        <w:rPr>
          <w:rFonts w:hint="eastAsia" w:ascii="宋体" w:hAnsi="宋体" w:eastAsia="宋体" w:cs="宋体"/>
          <w:sz w:val="21"/>
          <w:szCs w:val="21"/>
        </w:rPr>
        <w:t>★注意：</w:t>
      </w:r>
    </w:p>
    <w:p>
      <w:pPr>
        <w:pStyle w:val="4"/>
        <w:keepNext w:val="0"/>
        <w:keepLines w:val="0"/>
        <w:widowControl/>
        <w:suppressLineNumbers w:val="0"/>
      </w:pPr>
      <w:r>
        <w:rPr>
          <w:rFonts w:hint="eastAsia" w:ascii="宋体" w:hAnsi="宋体" w:eastAsia="宋体" w:cs="宋体"/>
          <w:sz w:val="21"/>
          <w:szCs w:val="21"/>
        </w:rPr>
        <w:t>1、对节能、环境标志产品计算价格扣除时，只依据投标文件</w:t>
      </w:r>
      <w:r>
        <w:rPr>
          <w:rStyle w:val="6"/>
          <w:rFonts w:hint="eastAsia" w:ascii="宋体" w:hAnsi="宋体" w:eastAsia="宋体" w:cs="宋体"/>
          <w:sz w:val="21"/>
          <w:szCs w:val="21"/>
        </w:rPr>
        <w:t>“三</w:t>
      </w:r>
      <w:r>
        <w:rPr>
          <w:rStyle w:val="6"/>
          <w:rFonts w:hint="default" w:ascii="Calibri" w:hAnsi="Calibri" w:eastAsia="宋体" w:cs="Calibri"/>
          <w:sz w:val="21"/>
          <w:szCs w:val="21"/>
        </w:rPr>
        <w:t>-1-</w:t>
      </w:r>
      <w:r>
        <w:rPr>
          <w:rStyle w:val="6"/>
          <w:rFonts w:hint="eastAsia" w:ascii="宋体" w:hAnsi="宋体" w:eastAsia="宋体" w:cs="宋体"/>
          <w:sz w:val="21"/>
          <w:szCs w:val="21"/>
        </w:rPr>
        <w:t>②优先类节能产品、环境标志产品证明材料（价格扣除适用，若有）”。</w:t>
      </w:r>
    </w:p>
    <w:p>
      <w:pPr>
        <w:pStyle w:val="4"/>
        <w:keepNext w:val="0"/>
        <w:keepLines w:val="0"/>
        <w:widowControl/>
        <w:suppressLineNumbers w:val="0"/>
      </w:pPr>
      <w:r>
        <w:rPr>
          <w:rFonts w:hint="eastAsia" w:ascii="宋体" w:hAnsi="宋体" w:eastAsia="宋体" w:cs="宋体"/>
          <w:sz w:val="21"/>
          <w:szCs w:val="21"/>
        </w:rPr>
        <w:t>2、本表以合同包为单位，不同合同包请分别填写；同一合同包请按照其品目号顺序分别填写。</w:t>
      </w:r>
    </w:p>
    <w:p>
      <w:pPr>
        <w:pStyle w:val="4"/>
        <w:keepNext w:val="0"/>
        <w:keepLines w:val="0"/>
        <w:widowControl/>
        <w:suppressLineNumbers w:val="0"/>
      </w:pPr>
      <w:r>
        <w:rPr>
          <w:rFonts w:hint="eastAsia" w:ascii="宋体" w:hAnsi="宋体" w:eastAsia="宋体" w:cs="宋体"/>
          <w:sz w:val="21"/>
          <w:szCs w:val="21"/>
        </w:rPr>
        <w:t>3、具体统计、计算：</w:t>
      </w:r>
    </w:p>
    <w:p>
      <w:pPr>
        <w:pStyle w:val="4"/>
        <w:keepNext w:val="0"/>
        <w:keepLines w:val="0"/>
        <w:widowControl/>
        <w:suppressLineNumbers w:val="0"/>
      </w:pPr>
      <w:r>
        <w:rPr>
          <w:rFonts w:hint="eastAsia" w:ascii="宋体" w:hAnsi="宋体" w:eastAsia="宋体" w:cs="宋体"/>
          <w:sz w:val="21"/>
          <w:szCs w:val="21"/>
        </w:rPr>
        <w:t>3.1若节能、环境标志产品仅是构成投标产品的部件、组件或零件，则该投标产品不享受鼓励优惠政策。同一品目中各认证证书不重复计算价格扣除。强制类节能产品不享受价格扣除。</w:t>
      </w:r>
    </w:p>
    <w:p>
      <w:pPr>
        <w:pStyle w:val="4"/>
        <w:keepNext w:val="0"/>
        <w:keepLines w:val="0"/>
        <w:widowControl/>
        <w:suppressLineNumbers w:val="0"/>
      </w:pPr>
      <w:r>
        <w:rPr>
          <w:rFonts w:hint="eastAsia" w:ascii="宋体" w:hAnsi="宋体" w:eastAsia="宋体" w:cs="宋体"/>
          <w:sz w:val="21"/>
          <w:szCs w:val="21"/>
        </w:rPr>
        <w:t>3.2计算结果若除不尽，可四舍五入保留到小数点后两位。</w:t>
      </w:r>
    </w:p>
    <w:p>
      <w:pPr>
        <w:pStyle w:val="4"/>
        <w:keepNext w:val="0"/>
        <w:keepLines w:val="0"/>
        <w:widowControl/>
        <w:suppressLineNumbers w:val="0"/>
      </w:pPr>
      <w:r>
        <w:rPr>
          <w:rFonts w:hint="eastAsia" w:ascii="宋体" w:hAnsi="宋体" w:eastAsia="宋体" w:cs="宋体"/>
          <w:sz w:val="21"/>
          <w:szCs w:val="21"/>
        </w:rPr>
        <w:t>3.3投标人应按照招标文件要求认真统计、计算，否则评标委员会不予认定。</w:t>
      </w:r>
    </w:p>
    <w:p>
      <w:pPr>
        <w:pStyle w:val="4"/>
        <w:keepNext w:val="0"/>
        <w:keepLines w:val="0"/>
        <w:widowControl/>
        <w:suppressLineNumbers w:val="0"/>
      </w:pPr>
      <w:r>
        <w:rPr>
          <w:rFonts w:hint="eastAsia" w:ascii="宋体" w:hAnsi="宋体" w:eastAsia="宋体" w:cs="宋体"/>
          <w:sz w:val="21"/>
          <w:szCs w:val="21"/>
        </w:rPr>
        <w:t>3.4若无节能、环境标志产品，不填写本表，否则，</w:t>
      </w:r>
      <w:r>
        <w:rPr>
          <w:rStyle w:val="6"/>
          <w:rFonts w:hint="eastAsia" w:ascii="宋体" w:hAnsi="宋体" w:eastAsia="宋体" w:cs="宋体"/>
          <w:sz w:val="21"/>
          <w:szCs w:val="21"/>
        </w:rPr>
        <w:t>视为提供虚假材料。</w:t>
      </w:r>
    </w:p>
    <w:p>
      <w:pPr>
        <w:pStyle w:val="4"/>
        <w:keepNext w:val="0"/>
        <w:keepLines w:val="0"/>
        <w:widowControl/>
        <w:suppressLineNumbers w:val="0"/>
      </w:pPr>
      <w:r>
        <w:rPr>
          <w:rFonts w:hint="eastAsia" w:ascii="宋体" w:hAnsi="宋体" w:eastAsia="宋体" w:cs="宋体"/>
          <w:sz w:val="21"/>
          <w:szCs w:val="21"/>
        </w:rPr>
        <w:t>4、纸质投标文件正本中的本表（若有）应为原件。</w:t>
      </w:r>
    </w:p>
    <w:p>
      <w:pPr>
        <w:pStyle w:val="4"/>
        <w:keepNext w:val="0"/>
        <w:keepLines w:val="0"/>
        <w:widowControl/>
        <w:suppressLineNumbers w:val="0"/>
      </w:pPr>
      <w:r>
        <w:rPr>
          <w:rFonts w:hint="eastAsia" w:ascii="宋体" w:hAnsi="宋体" w:eastAsia="宋体" w:cs="宋体"/>
          <w:sz w:val="21"/>
          <w:szCs w:val="21"/>
        </w:rPr>
        <w:t> </w:t>
      </w:r>
    </w:p>
    <w:p>
      <w:pPr>
        <w:pStyle w:val="4"/>
        <w:keepNext w:val="0"/>
        <w:keepLines w:val="0"/>
        <w:widowControl/>
        <w:suppressLineNumbers w:val="0"/>
      </w:pPr>
      <w:r>
        <w:rPr>
          <w:rFonts w:hint="eastAsia" w:ascii="宋体" w:hAnsi="宋体" w:eastAsia="宋体" w:cs="宋体"/>
          <w:sz w:val="21"/>
          <w:szCs w:val="21"/>
        </w:rPr>
        <w:t> </w:t>
      </w:r>
    </w:p>
    <w:p>
      <w:pPr>
        <w:pStyle w:val="4"/>
        <w:keepNext w:val="0"/>
        <w:keepLines w:val="0"/>
        <w:widowControl/>
        <w:suppressLineNumbers w:val="0"/>
      </w:pPr>
      <w:r>
        <w:rPr>
          <w:rFonts w:hint="eastAsia" w:ascii="宋体" w:hAnsi="宋体" w:eastAsia="宋体" w:cs="宋体"/>
          <w:sz w:val="21"/>
          <w:szCs w:val="21"/>
        </w:rPr>
        <w:t>投标人：</w:t>
      </w:r>
      <w:r>
        <w:rPr>
          <w:rFonts w:hint="eastAsia" w:ascii="宋体" w:hAnsi="宋体" w:eastAsia="宋体" w:cs="宋体"/>
          <w:sz w:val="21"/>
          <w:szCs w:val="21"/>
          <w:u w:val="single"/>
        </w:rPr>
        <w:t>（全称并加盖单位公章）</w:t>
      </w:r>
    </w:p>
    <w:p>
      <w:pPr>
        <w:pStyle w:val="4"/>
        <w:keepNext w:val="0"/>
        <w:keepLines w:val="0"/>
        <w:widowControl/>
        <w:suppressLineNumbers w:val="0"/>
      </w:pPr>
      <w:r>
        <w:rPr>
          <w:rFonts w:hint="eastAsia" w:ascii="宋体" w:hAnsi="宋体" w:eastAsia="宋体" w:cs="宋体"/>
          <w:sz w:val="21"/>
          <w:szCs w:val="21"/>
        </w:rPr>
        <w:t>投标人代表签字：</w:t>
      </w:r>
      <w:r>
        <w:rPr>
          <w:rFonts w:hint="eastAsia" w:ascii="宋体" w:hAnsi="宋体" w:eastAsia="宋体" w:cs="宋体"/>
          <w:sz w:val="21"/>
          <w:szCs w:val="21"/>
          <w:u w:val="single"/>
        </w:rPr>
        <w:t>                   </w:t>
      </w:r>
    </w:p>
    <w:p>
      <w:pPr>
        <w:pStyle w:val="4"/>
        <w:keepNext w:val="0"/>
        <w:keepLines w:val="0"/>
        <w:widowControl/>
        <w:suppressLineNumbers w:val="0"/>
      </w:pPr>
      <w:r>
        <w:rPr>
          <w:rFonts w:hint="eastAsia" w:ascii="宋体" w:hAnsi="宋体" w:eastAsia="宋体" w:cs="宋体"/>
          <w:sz w:val="21"/>
          <w:szCs w:val="21"/>
        </w:rPr>
        <w:t>日期：</w:t>
      </w:r>
      <w:r>
        <w:rPr>
          <w:rFonts w:hint="eastAsia" w:ascii="宋体" w:hAnsi="宋体" w:eastAsia="宋体" w:cs="宋体"/>
          <w:sz w:val="21"/>
          <w:szCs w:val="21"/>
          <w:u w:val="single"/>
        </w:rPr>
        <w:t>    </w:t>
      </w:r>
      <w:r>
        <w:rPr>
          <w:rFonts w:hint="eastAsia" w:ascii="宋体" w:hAnsi="宋体" w:eastAsia="宋体" w:cs="宋体"/>
          <w:sz w:val="21"/>
          <w:szCs w:val="21"/>
        </w:rPr>
        <w:t>年</w:t>
      </w:r>
      <w:r>
        <w:rPr>
          <w:rFonts w:hint="eastAsia" w:ascii="宋体" w:hAnsi="宋体" w:eastAsia="宋体" w:cs="宋体"/>
          <w:sz w:val="21"/>
          <w:szCs w:val="21"/>
          <w:u w:val="single"/>
        </w:rPr>
        <w:t>   </w:t>
      </w:r>
      <w:r>
        <w:rPr>
          <w:rFonts w:hint="eastAsia" w:ascii="宋体" w:hAnsi="宋体" w:eastAsia="宋体" w:cs="宋体"/>
          <w:sz w:val="21"/>
          <w:szCs w:val="21"/>
        </w:rPr>
        <w:t>月</w:t>
      </w:r>
      <w:r>
        <w:rPr>
          <w:rFonts w:hint="eastAsia" w:ascii="宋体" w:hAnsi="宋体" w:eastAsia="宋体" w:cs="宋体"/>
          <w:sz w:val="21"/>
          <w:szCs w:val="21"/>
          <w:u w:val="single"/>
        </w:rPr>
        <w:t>   </w:t>
      </w:r>
      <w:r>
        <w:rPr>
          <w:rFonts w:hint="eastAsia" w:ascii="宋体" w:hAnsi="宋体" w:eastAsia="宋体" w:cs="宋体"/>
          <w:sz w:val="21"/>
          <w:szCs w:val="21"/>
        </w:rPr>
        <w:t>日</w:t>
      </w:r>
    </w:p>
    <w:p>
      <w:pPr>
        <w:pStyle w:val="4"/>
        <w:keepNext w:val="0"/>
        <w:keepLines w:val="0"/>
        <w:widowControl/>
        <w:suppressLineNumbers w:val="0"/>
      </w:pPr>
      <w:r>
        <w:rPr>
          <w:rStyle w:val="6"/>
          <w:rFonts w:hint="eastAsia" w:ascii="宋体" w:hAnsi="宋体" w:eastAsia="宋体" w:cs="宋体"/>
          <w:sz w:val="21"/>
          <w:szCs w:val="21"/>
        </w:rPr>
        <w:t> </w:t>
      </w:r>
    </w:p>
    <w:p>
      <w:pPr>
        <w:pStyle w:val="4"/>
        <w:keepNext w:val="0"/>
        <w:keepLines w:val="0"/>
        <w:widowControl/>
        <w:suppressLineNumbers w:val="0"/>
      </w:pPr>
      <w:r>
        <w:rPr>
          <w:rStyle w:val="6"/>
          <w:rFonts w:hint="eastAsia" w:ascii="宋体" w:hAnsi="宋体" w:eastAsia="宋体" w:cs="宋体"/>
          <w:sz w:val="21"/>
          <w:szCs w:val="21"/>
        </w:rPr>
        <w:t> </w:t>
      </w:r>
    </w:p>
    <w:p>
      <w:pPr>
        <w:pStyle w:val="4"/>
        <w:keepNext w:val="0"/>
        <w:keepLines w:val="0"/>
        <w:widowControl/>
        <w:suppressLineNumbers w:val="0"/>
        <w:jc w:val="center"/>
      </w:pPr>
      <w:r>
        <w:rPr>
          <w:rStyle w:val="6"/>
          <w:rFonts w:hint="default" w:ascii="Calibri" w:hAnsi="Calibri" w:cs="Calibri"/>
          <w:sz w:val="21"/>
          <w:szCs w:val="21"/>
        </w:rPr>
        <w:br w:type="textWrapping"/>
      </w:r>
      <w:r>
        <w:rPr>
          <w:rStyle w:val="6"/>
          <w:rFonts w:hint="eastAsia" w:ascii="宋体" w:hAnsi="宋体" w:eastAsia="宋体" w:cs="宋体"/>
          <w:sz w:val="21"/>
          <w:szCs w:val="21"/>
        </w:rPr>
        <w:t>三-1-②优先类节能产品、环境标志产品证明材料（价格扣除适用，若有）</w:t>
      </w:r>
    </w:p>
    <w:p>
      <w:pPr>
        <w:pStyle w:val="4"/>
        <w:keepNext w:val="0"/>
        <w:keepLines w:val="0"/>
        <w:widowControl/>
        <w:suppressLineNumbers w:val="0"/>
      </w:pPr>
      <w:r>
        <w:rPr>
          <w:rStyle w:val="6"/>
          <w:rFonts w:hint="eastAsia" w:ascii="宋体" w:hAnsi="宋体" w:eastAsia="宋体" w:cs="宋体"/>
          <w:sz w:val="21"/>
          <w:szCs w:val="21"/>
        </w:rPr>
        <w:t> </w:t>
      </w:r>
    </w:p>
    <w:p>
      <w:pPr>
        <w:pStyle w:val="4"/>
        <w:keepNext w:val="0"/>
        <w:keepLines w:val="0"/>
        <w:widowControl/>
        <w:suppressLineNumbers w:val="0"/>
      </w:pPr>
      <w:r>
        <w:rPr>
          <w:rStyle w:val="6"/>
          <w:rFonts w:hint="eastAsia" w:ascii="宋体" w:hAnsi="宋体" w:eastAsia="宋体" w:cs="宋体"/>
          <w:sz w:val="21"/>
          <w:szCs w:val="21"/>
        </w:rPr>
        <w:t> </w:t>
      </w:r>
    </w:p>
    <w:p>
      <w:pPr>
        <w:pStyle w:val="4"/>
        <w:keepNext w:val="0"/>
        <w:keepLines w:val="0"/>
        <w:widowControl/>
        <w:suppressLineNumbers w:val="0"/>
        <w:jc w:val="center"/>
      </w:pPr>
      <w:r>
        <w:rPr>
          <w:rFonts w:hint="eastAsia" w:ascii="宋体" w:hAnsi="宋体" w:eastAsia="宋体" w:cs="宋体"/>
          <w:sz w:val="21"/>
          <w:szCs w:val="21"/>
        </w:rPr>
        <w:t>编制说明</w:t>
      </w:r>
    </w:p>
    <w:p>
      <w:pPr>
        <w:pStyle w:val="4"/>
        <w:keepNext w:val="0"/>
        <w:keepLines w:val="0"/>
        <w:widowControl/>
        <w:suppressLineNumbers w:val="0"/>
        <w:jc w:val="center"/>
      </w:pPr>
      <w:r>
        <w:rPr>
          <w:rFonts w:hint="eastAsia" w:ascii="宋体" w:hAnsi="宋体" w:eastAsia="宋体" w:cs="宋体"/>
          <w:sz w:val="21"/>
          <w:szCs w:val="21"/>
        </w:rPr>
        <w:t> </w:t>
      </w:r>
    </w:p>
    <w:p>
      <w:pPr>
        <w:pStyle w:val="4"/>
        <w:keepNext w:val="0"/>
        <w:keepLines w:val="0"/>
        <w:widowControl/>
        <w:suppressLineNumbers w:val="0"/>
        <w:ind w:left="0" w:firstLine="420"/>
      </w:pPr>
      <w:r>
        <w:rPr>
          <w:rFonts w:hint="eastAsia" w:ascii="宋体" w:hAnsi="宋体" w:eastAsia="宋体" w:cs="宋体"/>
          <w:sz w:val="21"/>
          <w:szCs w:val="21"/>
        </w:rPr>
        <w:t>除招标文件另有规定外，投标人应按照招标文件第二章（表1）第</w:t>
      </w:r>
      <w:r>
        <w:rPr>
          <w:rFonts w:hint="default" w:ascii="Calibri" w:hAnsi="Calibri" w:eastAsia="宋体" w:cs="Calibri"/>
          <w:sz w:val="21"/>
          <w:szCs w:val="21"/>
        </w:rPr>
        <w:t>13</w:t>
      </w:r>
      <w:r>
        <w:rPr>
          <w:rFonts w:hint="eastAsia" w:ascii="宋体" w:hAnsi="宋体" w:eastAsia="宋体" w:cs="宋体"/>
          <w:sz w:val="21"/>
          <w:szCs w:val="21"/>
        </w:rPr>
        <w:t>项规定提供相应证明材料。</w:t>
      </w:r>
    </w:p>
    <w:p>
      <w:pPr>
        <w:pStyle w:val="4"/>
        <w:keepNext w:val="0"/>
        <w:keepLines w:val="0"/>
        <w:widowControl/>
        <w:suppressLineNumbers w:val="0"/>
      </w:pPr>
      <w:r>
        <w:rPr>
          <w:rFonts w:hint="eastAsia" w:ascii="宋体" w:hAnsi="宋体" w:eastAsia="宋体" w:cs="宋体"/>
          <w:sz w:val="21"/>
          <w:szCs w:val="21"/>
        </w:rPr>
        <w:t> </w:t>
      </w:r>
    </w:p>
    <w:p>
      <w:pPr>
        <w:pStyle w:val="4"/>
        <w:keepNext w:val="0"/>
        <w:keepLines w:val="0"/>
        <w:widowControl/>
        <w:suppressLineNumbers w:val="0"/>
      </w:pPr>
      <w:r>
        <w:rPr>
          <w:rStyle w:val="6"/>
          <w:rFonts w:hint="eastAsia" w:ascii="宋体" w:hAnsi="宋体" w:eastAsia="宋体" w:cs="宋体"/>
          <w:sz w:val="21"/>
          <w:szCs w:val="21"/>
        </w:rPr>
        <w:t> </w:t>
      </w:r>
    </w:p>
    <w:p>
      <w:pPr>
        <w:pStyle w:val="4"/>
        <w:keepNext w:val="0"/>
        <w:keepLines w:val="0"/>
        <w:widowControl/>
        <w:suppressLineNumbers w:val="0"/>
        <w:jc w:val="center"/>
      </w:pPr>
      <w:r>
        <w:rPr>
          <w:rStyle w:val="6"/>
          <w:rFonts w:hint="default" w:ascii="Calibri" w:hAnsi="Calibri" w:cs="Calibri"/>
          <w:sz w:val="21"/>
          <w:szCs w:val="21"/>
        </w:rPr>
        <w:br w:type="textWrapping"/>
      </w:r>
      <w:r>
        <w:rPr>
          <w:rStyle w:val="6"/>
          <w:rFonts w:hint="eastAsia" w:ascii="宋体" w:hAnsi="宋体" w:eastAsia="宋体" w:cs="宋体"/>
          <w:sz w:val="21"/>
          <w:szCs w:val="21"/>
        </w:rPr>
        <w:t>三-2小型、微型企业产品等价格扣除证明材料（若有）</w:t>
      </w:r>
    </w:p>
    <w:p>
      <w:pPr>
        <w:pStyle w:val="4"/>
        <w:keepNext w:val="0"/>
        <w:keepLines w:val="0"/>
        <w:widowControl/>
        <w:suppressLineNumbers w:val="0"/>
        <w:jc w:val="center"/>
      </w:pPr>
      <w:r>
        <w:rPr>
          <w:rStyle w:val="6"/>
          <w:rFonts w:hint="eastAsia" w:ascii="宋体" w:hAnsi="宋体" w:eastAsia="宋体" w:cs="宋体"/>
          <w:sz w:val="21"/>
          <w:szCs w:val="21"/>
        </w:rPr>
        <w:t> </w:t>
      </w:r>
    </w:p>
    <w:p>
      <w:pPr>
        <w:pStyle w:val="4"/>
        <w:keepNext w:val="0"/>
        <w:keepLines w:val="0"/>
        <w:widowControl/>
        <w:suppressLineNumbers w:val="0"/>
        <w:jc w:val="center"/>
      </w:pPr>
      <w:r>
        <w:rPr>
          <w:rStyle w:val="6"/>
          <w:rFonts w:hint="eastAsia" w:ascii="宋体" w:hAnsi="宋体" w:eastAsia="宋体" w:cs="宋体"/>
          <w:sz w:val="21"/>
          <w:szCs w:val="21"/>
        </w:rPr>
        <w:t>三-2-①小型、微型企业产品等统计表（价格扣除适用，若有）</w:t>
      </w:r>
    </w:p>
    <w:p>
      <w:pPr>
        <w:pStyle w:val="4"/>
        <w:keepNext w:val="0"/>
        <w:keepLines w:val="0"/>
        <w:widowControl/>
        <w:suppressLineNumbers w:val="0"/>
      </w:pPr>
      <w:r>
        <w:rPr>
          <w:rFonts w:hint="eastAsia" w:ascii="宋体" w:hAnsi="宋体" w:eastAsia="宋体" w:cs="宋体"/>
          <w:sz w:val="21"/>
          <w:szCs w:val="21"/>
        </w:rPr>
        <w:t> </w:t>
      </w:r>
    </w:p>
    <w:p>
      <w:pPr>
        <w:pStyle w:val="4"/>
        <w:keepNext w:val="0"/>
        <w:keepLines w:val="0"/>
        <w:widowControl/>
        <w:suppressLineNumbers w:val="0"/>
      </w:pPr>
      <w:r>
        <w:rPr>
          <w:rFonts w:hint="eastAsia" w:ascii="宋体" w:hAnsi="宋体" w:eastAsia="宋体" w:cs="宋体"/>
          <w:sz w:val="21"/>
          <w:szCs w:val="21"/>
        </w:rPr>
        <w:t>招标编号：</w:t>
      </w:r>
      <w:r>
        <w:rPr>
          <w:rFonts w:hint="eastAsia" w:ascii="宋体" w:hAnsi="宋体" w:eastAsia="宋体" w:cs="宋体"/>
          <w:sz w:val="21"/>
          <w:szCs w:val="21"/>
          <w:u w:val="single"/>
        </w:rPr>
        <w:t>                   </w:t>
      </w:r>
    </w:p>
    <w:p>
      <w:pPr>
        <w:pStyle w:val="4"/>
        <w:keepNext w:val="0"/>
        <w:keepLines w:val="0"/>
        <w:widowControl/>
        <w:suppressLineNumbers w:val="0"/>
        <w:jc w:val="right"/>
      </w:pPr>
      <w:r>
        <w:rPr>
          <w:rFonts w:hint="eastAsia" w:ascii="宋体" w:hAnsi="宋体" w:eastAsia="宋体" w:cs="宋体"/>
          <w:sz w:val="21"/>
          <w:szCs w:val="21"/>
        </w:rPr>
        <w:t>货币及单位：人民币元</w:t>
      </w:r>
    </w:p>
    <w:tbl>
      <w:tblPr>
        <w:tblStyle w:val="9"/>
        <w:tblW w:w="8517" w:type="dxa"/>
        <w:tblCellSpacing w:w="15" w:type="dxa"/>
        <w:tblInd w:w="-15"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15" w:type="dxa"/>
          <w:left w:w="15" w:type="dxa"/>
          <w:bottom w:w="15" w:type="dxa"/>
          <w:right w:w="15" w:type="dxa"/>
        </w:tblCellMar>
      </w:tblPr>
      <w:tblGrid>
        <w:gridCol w:w="1204"/>
        <w:gridCol w:w="1204"/>
        <w:gridCol w:w="1073"/>
        <w:gridCol w:w="995"/>
        <w:gridCol w:w="715"/>
        <w:gridCol w:w="995"/>
        <w:gridCol w:w="1131"/>
        <w:gridCol w:w="1200"/>
      </w:tblGrid>
      <w:tr>
        <w:trPr>
          <w:tblCellSpacing w:w="15" w:type="dxa"/>
        </w:trPr>
        <w:tc>
          <w:tcPr>
            <w:tcW w:w="1159" w:type="dxa"/>
            <w:tcBorders>
              <w:top w:val="nil"/>
              <w:left w:val="nil"/>
              <w:bottom w:val="nil"/>
              <w:right w:val="nil"/>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7268" w:type="dxa"/>
            <w:gridSpan w:val="7"/>
            <w:tcBorders>
              <w:top w:val="nil"/>
              <w:left w:val="nil"/>
              <w:bottom w:val="nil"/>
              <w:right w:val="nil"/>
            </w:tcBorders>
            <w:shd w:val="clear" w:color="auto" w:fill="auto"/>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sz w:val="21"/>
                <w:szCs w:val="21"/>
              </w:rPr>
              <w:t>合同包内属于小型、微型企业产品等的情况</w:t>
            </w:r>
          </w:p>
        </w:tc>
      </w:tr>
      <w:tr>
        <w:trPr>
          <w:tblCellSpacing w:w="15" w:type="dxa"/>
        </w:trPr>
        <w:tc>
          <w:tcPr>
            <w:tcW w:w="1159" w:type="dxa"/>
            <w:tcBorders>
              <w:top w:val="nil"/>
              <w:left w:val="nil"/>
              <w:bottom w:val="nil"/>
              <w:right w:val="nil"/>
            </w:tcBorders>
            <w:shd w:val="clear" w:color="auto" w:fill="auto"/>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sz w:val="21"/>
                <w:szCs w:val="21"/>
              </w:rPr>
              <w:t>合同包</w:t>
            </w:r>
          </w:p>
        </w:tc>
        <w:tc>
          <w:tcPr>
            <w:tcW w:w="1174" w:type="dxa"/>
            <w:tcBorders>
              <w:top w:val="nil"/>
              <w:left w:val="nil"/>
              <w:bottom w:val="nil"/>
              <w:right w:val="nil"/>
            </w:tcBorders>
            <w:shd w:val="clear" w:color="auto" w:fill="auto"/>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sz w:val="21"/>
                <w:szCs w:val="21"/>
              </w:rPr>
              <w:t>品目号</w:t>
            </w:r>
          </w:p>
        </w:tc>
        <w:tc>
          <w:tcPr>
            <w:tcW w:w="1043" w:type="dxa"/>
            <w:tcBorders>
              <w:top w:val="nil"/>
              <w:left w:val="nil"/>
              <w:bottom w:val="nil"/>
              <w:right w:val="nil"/>
            </w:tcBorders>
            <w:shd w:val="clear" w:color="auto" w:fill="auto"/>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sz w:val="21"/>
                <w:szCs w:val="21"/>
              </w:rPr>
              <w:t>采购标的</w:t>
            </w:r>
          </w:p>
        </w:tc>
        <w:tc>
          <w:tcPr>
            <w:tcW w:w="965" w:type="dxa"/>
            <w:tcBorders>
              <w:top w:val="nil"/>
              <w:left w:val="nil"/>
              <w:bottom w:val="nil"/>
              <w:right w:val="nil"/>
            </w:tcBorders>
            <w:shd w:val="clear" w:color="auto" w:fill="auto"/>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sz w:val="21"/>
                <w:szCs w:val="21"/>
              </w:rPr>
              <w:t>单价</w:t>
            </w:r>
          </w:p>
          <w:p>
            <w:pPr>
              <w:pStyle w:val="4"/>
              <w:keepNext w:val="0"/>
              <w:keepLines w:val="0"/>
              <w:widowControl/>
              <w:suppressLineNumbers w:val="0"/>
              <w:jc w:val="center"/>
            </w:pPr>
            <w:r>
              <w:rPr>
                <w:rFonts w:hint="eastAsia" w:ascii="宋体" w:hAnsi="宋体" w:eastAsia="宋体" w:cs="宋体"/>
                <w:sz w:val="21"/>
                <w:szCs w:val="21"/>
              </w:rPr>
              <w:t>（现场）</w:t>
            </w:r>
          </w:p>
        </w:tc>
        <w:tc>
          <w:tcPr>
            <w:tcW w:w="685" w:type="dxa"/>
            <w:tcBorders>
              <w:top w:val="nil"/>
              <w:left w:val="nil"/>
              <w:bottom w:val="nil"/>
              <w:right w:val="nil"/>
            </w:tcBorders>
            <w:shd w:val="clear" w:color="auto" w:fill="auto"/>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sz w:val="21"/>
                <w:szCs w:val="21"/>
              </w:rPr>
              <w:t>数量</w:t>
            </w:r>
          </w:p>
        </w:tc>
        <w:tc>
          <w:tcPr>
            <w:tcW w:w="965" w:type="dxa"/>
            <w:tcBorders>
              <w:top w:val="nil"/>
              <w:left w:val="nil"/>
              <w:bottom w:val="nil"/>
              <w:right w:val="nil"/>
            </w:tcBorders>
            <w:shd w:val="clear" w:color="auto" w:fill="auto"/>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sz w:val="21"/>
                <w:szCs w:val="21"/>
              </w:rPr>
              <w:t>总价</w:t>
            </w:r>
          </w:p>
          <w:p>
            <w:pPr>
              <w:pStyle w:val="4"/>
              <w:keepNext w:val="0"/>
              <w:keepLines w:val="0"/>
              <w:widowControl/>
              <w:suppressLineNumbers w:val="0"/>
              <w:jc w:val="center"/>
            </w:pPr>
            <w:r>
              <w:rPr>
                <w:rFonts w:hint="eastAsia" w:ascii="宋体" w:hAnsi="宋体" w:eastAsia="宋体" w:cs="宋体"/>
                <w:sz w:val="21"/>
                <w:szCs w:val="21"/>
              </w:rPr>
              <w:t>（现场）</w:t>
            </w:r>
          </w:p>
        </w:tc>
        <w:tc>
          <w:tcPr>
            <w:tcW w:w="1101" w:type="dxa"/>
            <w:tcBorders>
              <w:top w:val="nil"/>
              <w:left w:val="nil"/>
              <w:bottom w:val="nil"/>
              <w:right w:val="nil"/>
            </w:tcBorders>
            <w:shd w:val="clear" w:color="auto" w:fill="auto"/>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sz w:val="21"/>
                <w:szCs w:val="21"/>
              </w:rPr>
              <w:t>制造厂商</w:t>
            </w:r>
          </w:p>
        </w:tc>
        <w:tc>
          <w:tcPr>
            <w:tcW w:w="1155" w:type="dxa"/>
            <w:tcBorders>
              <w:top w:val="nil"/>
              <w:left w:val="nil"/>
              <w:bottom w:val="nil"/>
              <w:right w:val="nil"/>
            </w:tcBorders>
            <w:shd w:val="clear" w:color="auto" w:fill="auto"/>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sz w:val="21"/>
                <w:szCs w:val="21"/>
              </w:rPr>
              <w:t>企业类型</w:t>
            </w:r>
          </w:p>
        </w:tc>
      </w:tr>
      <w:tr>
        <w:trPr>
          <w:tblCellSpacing w:w="15" w:type="dxa"/>
        </w:trPr>
        <w:tc>
          <w:tcPr>
            <w:tcW w:w="1159" w:type="dxa"/>
            <w:vMerge w:val="restart"/>
            <w:tcBorders>
              <w:top w:val="nil"/>
              <w:left w:val="nil"/>
              <w:bottom w:val="nil"/>
              <w:right w:val="nil"/>
            </w:tcBorders>
            <w:shd w:val="clear" w:color="auto" w:fill="auto"/>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sz w:val="21"/>
                <w:szCs w:val="21"/>
              </w:rPr>
              <w:t>*</w:t>
            </w:r>
          </w:p>
        </w:tc>
        <w:tc>
          <w:tcPr>
            <w:tcW w:w="1174" w:type="dxa"/>
            <w:tcBorders>
              <w:top w:val="nil"/>
              <w:left w:val="nil"/>
              <w:bottom w:val="nil"/>
              <w:right w:val="nil"/>
            </w:tcBorders>
            <w:shd w:val="clear" w:color="auto" w:fill="auto"/>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sz w:val="21"/>
                <w:szCs w:val="21"/>
              </w:rPr>
              <w:t>*-1</w:t>
            </w:r>
          </w:p>
        </w:tc>
        <w:tc>
          <w:tcPr>
            <w:tcW w:w="1043" w:type="dxa"/>
            <w:tcBorders>
              <w:top w:val="nil"/>
              <w:left w:val="nil"/>
              <w:bottom w:val="nil"/>
              <w:right w:val="nil"/>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965" w:type="dxa"/>
            <w:tcBorders>
              <w:top w:val="nil"/>
              <w:left w:val="nil"/>
              <w:bottom w:val="nil"/>
              <w:right w:val="nil"/>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685" w:type="dxa"/>
            <w:tcBorders>
              <w:top w:val="nil"/>
              <w:left w:val="nil"/>
              <w:bottom w:val="nil"/>
              <w:right w:val="nil"/>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965" w:type="dxa"/>
            <w:tcBorders>
              <w:top w:val="nil"/>
              <w:left w:val="nil"/>
              <w:bottom w:val="nil"/>
              <w:right w:val="nil"/>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1101" w:type="dxa"/>
            <w:tcBorders>
              <w:top w:val="nil"/>
              <w:left w:val="nil"/>
              <w:bottom w:val="nil"/>
              <w:right w:val="nil"/>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1155" w:type="dxa"/>
            <w:tcBorders>
              <w:top w:val="nil"/>
              <w:left w:val="nil"/>
              <w:bottom w:val="nil"/>
              <w:right w:val="nil"/>
            </w:tcBorders>
            <w:shd w:val="clear" w:color="auto" w:fill="auto"/>
            <w:tcMar>
              <w:top w:w="0" w:type="dxa"/>
              <w:left w:w="105" w:type="dxa"/>
              <w:bottom w:w="0" w:type="dxa"/>
              <w:right w:w="105" w:type="dxa"/>
            </w:tcMar>
            <w:vAlign w:val="center"/>
          </w:tcPr>
          <w:p>
            <w:pPr>
              <w:keepNext w:val="0"/>
              <w:keepLines w:val="0"/>
              <w:widowControl/>
              <w:suppressLineNumbers w:val="0"/>
              <w:jc w:val="left"/>
            </w:pPr>
          </w:p>
        </w:tc>
      </w:tr>
      <w:tr>
        <w:trPr>
          <w:tblCellSpacing w:w="15" w:type="dxa"/>
        </w:trPr>
        <w:tc>
          <w:tcPr>
            <w:tcW w:w="1159" w:type="dxa"/>
            <w:vMerge w:val="continue"/>
            <w:tcBorders>
              <w:top w:val="nil"/>
              <w:left w:val="nil"/>
              <w:bottom w:val="nil"/>
              <w:right w:val="nil"/>
            </w:tcBorders>
            <w:shd w:val="clear" w:color="auto" w:fill="auto"/>
            <w:tcMar>
              <w:top w:w="0" w:type="dxa"/>
              <w:left w:w="105" w:type="dxa"/>
              <w:bottom w:w="0" w:type="dxa"/>
              <w:right w:w="105" w:type="dxa"/>
            </w:tcMar>
            <w:vAlign w:val="center"/>
          </w:tcPr>
          <w:p>
            <w:pPr>
              <w:rPr>
                <w:rFonts w:hint="eastAsia" w:ascii="宋体"/>
                <w:sz w:val="24"/>
                <w:szCs w:val="24"/>
              </w:rPr>
            </w:pPr>
          </w:p>
        </w:tc>
        <w:tc>
          <w:tcPr>
            <w:tcW w:w="1174" w:type="dxa"/>
            <w:tcBorders>
              <w:top w:val="nil"/>
              <w:left w:val="nil"/>
              <w:bottom w:val="nil"/>
              <w:right w:val="nil"/>
            </w:tcBorders>
            <w:shd w:val="clear" w:color="auto" w:fill="auto"/>
            <w:tcMar>
              <w:top w:w="0" w:type="dxa"/>
              <w:left w:w="105" w:type="dxa"/>
              <w:bottom w:w="0" w:type="dxa"/>
              <w:right w:w="105" w:type="dxa"/>
            </w:tcMar>
            <w:vAlign w:val="center"/>
          </w:tcPr>
          <w:p>
            <w:pPr>
              <w:pStyle w:val="4"/>
              <w:keepNext w:val="0"/>
              <w:keepLines w:val="0"/>
              <w:widowControl/>
              <w:suppressLineNumbers w:val="0"/>
              <w:jc w:val="center"/>
            </w:pPr>
            <w:r>
              <w:rPr>
                <w:rFonts w:hint="default" w:ascii="Calibri" w:hAnsi="Calibri" w:cs="Calibri"/>
                <w:sz w:val="21"/>
                <w:szCs w:val="21"/>
              </w:rPr>
              <w:t>…</w:t>
            </w:r>
          </w:p>
        </w:tc>
        <w:tc>
          <w:tcPr>
            <w:tcW w:w="1043" w:type="dxa"/>
            <w:tcBorders>
              <w:top w:val="nil"/>
              <w:left w:val="nil"/>
              <w:bottom w:val="nil"/>
              <w:right w:val="nil"/>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965" w:type="dxa"/>
            <w:tcBorders>
              <w:top w:val="nil"/>
              <w:left w:val="nil"/>
              <w:bottom w:val="nil"/>
              <w:right w:val="nil"/>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685" w:type="dxa"/>
            <w:tcBorders>
              <w:top w:val="nil"/>
              <w:left w:val="nil"/>
              <w:bottom w:val="nil"/>
              <w:right w:val="nil"/>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965" w:type="dxa"/>
            <w:tcBorders>
              <w:top w:val="nil"/>
              <w:left w:val="nil"/>
              <w:bottom w:val="nil"/>
              <w:right w:val="nil"/>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1101" w:type="dxa"/>
            <w:tcBorders>
              <w:top w:val="nil"/>
              <w:left w:val="nil"/>
              <w:bottom w:val="nil"/>
              <w:right w:val="nil"/>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1155" w:type="dxa"/>
            <w:tcBorders>
              <w:top w:val="nil"/>
              <w:left w:val="nil"/>
              <w:bottom w:val="nil"/>
              <w:right w:val="nil"/>
            </w:tcBorders>
            <w:shd w:val="clear" w:color="auto" w:fill="auto"/>
            <w:tcMar>
              <w:top w:w="0" w:type="dxa"/>
              <w:left w:w="105" w:type="dxa"/>
              <w:bottom w:w="0" w:type="dxa"/>
              <w:right w:w="105" w:type="dxa"/>
            </w:tcMar>
            <w:vAlign w:val="center"/>
          </w:tcPr>
          <w:p>
            <w:pPr>
              <w:keepNext w:val="0"/>
              <w:keepLines w:val="0"/>
              <w:widowControl/>
              <w:suppressLineNumbers w:val="0"/>
              <w:jc w:val="left"/>
            </w:pPr>
          </w:p>
        </w:tc>
      </w:tr>
      <w:tr>
        <w:trPr>
          <w:tblCellSpacing w:w="15" w:type="dxa"/>
        </w:trPr>
        <w:tc>
          <w:tcPr>
            <w:tcW w:w="1159" w:type="dxa"/>
            <w:tcBorders>
              <w:top w:val="nil"/>
              <w:left w:val="nil"/>
              <w:bottom w:val="nil"/>
              <w:right w:val="nil"/>
            </w:tcBorders>
            <w:shd w:val="clear" w:color="auto" w:fill="auto"/>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sz w:val="21"/>
                <w:szCs w:val="21"/>
              </w:rPr>
              <w:t>备注</w:t>
            </w:r>
          </w:p>
        </w:tc>
        <w:tc>
          <w:tcPr>
            <w:tcW w:w="7268" w:type="dxa"/>
            <w:gridSpan w:val="7"/>
            <w:tcBorders>
              <w:top w:val="nil"/>
              <w:left w:val="nil"/>
              <w:bottom w:val="nil"/>
              <w:right w:val="nil"/>
            </w:tcBorders>
            <w:shd w:val="clear" w:color="auto" w:fill="auto"/>
            <w:tcMar>
              <w:top w:w="0" w:type="dxa"/>
              <w:left w:w="105" w:type="dxa"/>
              <w:bottom w:w="0" w:type="dxa"/>
              <w:right w:w="105" w:type="dxa"/>
            </w:tcMar>
            <w:vAlign w:val="top"/>
          </w:tcPr>
          <w:p>
            <w:pPr>
              <w:pStyle w:val="4"/>
              <w:keepNext w:val="0"/>
              <w:keepLines w:val="0"/>
              <w:widowControl/>
              <w:suppressLineNumbers w:val="0"/>
            </w:pPr>
            <w:r>
              <w:rPr>
                <w:rFonts w:hint="eastAsia" w:ascii="宋体" w:hAnsi="宋体" w:eastAsia="宋体" w:cs="宋体"/>
                <w:sz w:val="21"/>
                <w:szCs w:val="21"/>
              </w:rPr>
              <w:t>合同包内属于小型、微型企业产品等的报价总金额：</w:t>
            </w:r>
            <w:r>
              <w:rPr>
                <w:rFonts w:hint="eastAsia" w:ascii="宋体" w:hAnsi="宋体" w:eastAsia="宋体" w:cs="宋体"/>
                <w:sz w:val="21"/>
                <w:szCs w:val="21"/>
                <w:u w:val="single"/>
              </w:rPr>
              <w:t>              </w:t>
            </w:r>
            <w:r>
              <w:rPr>
                <w:rFonts w:hint="eastAsia" w:ascii="宋体" w:hAnsi="宋体" w:eastAsia="宋体" w:cs="宋体"/>
                <w:sz w:val="21"/>
                <w:szCs w:val="21"/>
              </w:rPr>
              <w:t>。</w:t>
            </w:r>
          </w:p>
        </w:tc>
      </w:tr>
    </w:tbl>
    <w:p>
      <w:pPr>
        <w:pStyle w:val="4"/>
        <w:keepNext w:val="0"/>
        <w:keepLines w:val="0"/>
        <w:widowControl/>
        <w:suppressLineNumbers w:val="0"/>
      </w:pPr>
      <w:r>
        <w:rPr>
          <w:rFonts w:hint="eastAsia" w:ascii="宋体" w:hAnsi="宋体" w:eastAsia="宋体" w:cs="宋体"/>
          <w:sz w:val="21"/>
          <w:szCs w:val="21"/>
        </w:rPr>
        <w:t>★注意：</w:t>
      </w:r>
    </w:p>
    <w:p>
      <w:pPr>
        <w:pStyle w:val="4"/>
        <w:keepNext w:val="0"/>
        <w:keepLines w:val="0"/>
        <w:widowControl/>
        <w:suppressLineNumbers w:val="0"/>
      </w:pPr>
      <w:r>
        <w:rPr>
          <w:rFonts w:hint="eastAsia" w:ascii="宋体" w:hAnsi="宋体" w:eastAsia="宋体" w:cs="宋体"/>
          <w:sz w:val="21"/>
          <w:szCs w:val="21"/>
        </w:rPr>
        <w:t>1、对小型、微型企业产品等计算价格扣除时，只依据投标文件</w:t>
      </w:r>
      <w:r>
        <w:rPr>
          <w:rStyle w:val="6"/>
          <w:rFonts w:hint="eastAsia" w:ascii="宋体" w:hAnsi="宋体" w:eastAsia="宋体" w:cs="宋体"/>
          <w:sz w:val="21"/>
          <w:szCs w:val="21"/>
        </w:rPr>
        <w:t>“三</w:t>
      </w:r>
      <w:r>
        <w:rPr>
          <w:rStyle w:val="6"/>
          <w:rFonts w:hint="default" w:ascii="Calibri" w:hAnsi="Calibri" w:eastAsia="宋体" w:cs="Calibri"/>
          <w:sz w:val="21"/>
          <w:szCs w:val="21"/>
        </w:rPr>
        <w:t>-2-</w:t>
      </w:r>
      <w:r>
        <w:rPr>
          <w:rStyle w:val="6"/>
          <w:rFonts w:hint="eastAsia" w:ascii="宋体" w:hAnsi="宋体" w:eastAsia="宋体" w:cs="宋体"/>
          <w:sz w:val="21"/>
          <w:szCs w:val="21"/>
        </w:rPr>
        <w:t>②中小企业声明函（价格扣除适用，若有）”及“三</w:t>
      </w:r>
      <w:r>
        <w:rPr>
          <w:rStyle w:val="6"/>
          <w:rFonts w:hint="default" w:ascii="Calibri" w:hAnsi="Calibri" w:eastAsia="宋体" w:cs="Calibri"/>
          <w:sz w:val="21"/>
          <w:szCs w:val="21"/>
        </w:rPr>
        <w:t>-2-</w:t>
      </w:r>
      <w:r>
        <w:rPr>
          <w:rStyle w:val="6"/>
          <w:rFonts w:hint="eastAsia" w:ascii="宋体" w:hAnsi="宋体" w:eastAsia="宋体" w:cs="宋体"/>
          <w:sz w:val="21"/>
          <w:szCs w:val="21"/>
        </w:rPr>
        <w:t>③小型、微型企业等证明材料（价格扣除适用，若有）”。</w:t>
      </w:r>
    </w:p>
    <w:p>
      <w:pPr>
        <w:pStyle w:val="4"/>
        <w:keepNext w:val="0"/>
        <w:keepLines w:val="0"/>
        <w:widowControl/>
        <w:suppressLineNumbers w:val="0"/>
      </w:pPr>
      <w:r>
        <w:rPr>
          <w:rFonts w:hint="eastAsia" w:ascii="宋体" w:hAnsi="宋体" w:eastAsia="宋体" w:cs="宋体"/>
          <w:sz w:val="21"/>
          <w:szCs w:val="21"/>
        </w:rPr>
        <w:t>2、本表以合同包为单位，不同合同包请分别填写；同一合同包请按照其品目号顺序分别填写。</w:t>
      </w:r>
    </w:p>
    <w:p>
      <w:pPr>
        <w:pStyle w:val="4"/>
        <w:keepNext w:val="0"/>
        <w:keepLines w:val="0"/>
        <w:widowControl/>
        <w:suppressLineNumbers w:val="0"/>
      </w:pPr>
      <w:r>
        <w:rPr>
          <w:rFonts w:hint="eastAsia" w:ascii="宋体" w:hAnsi="宋体" w:eastAsia="宋体" w:cs="宋体"/>
          <w:sz w:val="21"/>
          <w:szCs w:val="21"/>
        </w:rPr>
        <w:t>3、</w:t>
      </w:r>
      <w:r>
        <w:rPr>
          <w:rStyle w:val="6"/>
          <w:rFonts w:hint="eastAsia" w:ascii="宋体" w:hAnsi="宋体" w:eastAsia="宋体" w:cs="宋体"/>
          <w:sz w:val="21"/>
          <w:szCs w:val="21"/>
        </w:rPr>
        <w:t>除本表第4条规定情形外，小型、微型企业（含监狱企业）承担的工程或提供的服务不享受价格扣除。</w:t>
      </w:r>
    </w:p>
    <w:p>
      <w:pPr>
        <w:pStyle w:val="4"/>
        <w:keepNext w:val="0"/>
        <w:keepLines w:val="0"/>
        <w:widowControl/>
        <w:suppressLineNumbers w:val="0"/>
      </w:pPr>
      <w:r>
        <w:rPr>
          <w:rFonts w:hint="eastAsia" w:ascii="宋体" w:hAnsi="宋体" w:eastAsia="宋体" w:cs="宋体"/>
          <w:sz w:val="21"/>
          <w:szCs w:val="21"/>
        </w:rPr>
        <w:t>4、符合财政部、民政部、中国残联文件（财库</w:t>
      </w:r>
      <w:r>
        <w:rPr>
          <w:rFonts w:hint="default" w:ascii="Calibri" w:hAnsi="Calibri" w:eastAsia="宋体" w:cs="Calibri"/>
          <w:sz w:val="21"/>
          <w:szCs w:val="21"/>
        </w:rPr>
        <w:t>[2017]141</w:t>
      </w:r>
      <w:r>
        <w:rPr>
          <w:rFonts w:hint="eastAsia" w:ascii="宋体" w:hAnsi="宋体" w:eastAsia="宋体" w:cs="宋体"/>
          <w:sz w:val="21"/>
          <w:szCs w:val="21"/>
        </w:rPr>
        <w:t>号）规定的残疾人福利性单位提供本单位制造的货物、承担的工程或服务，或提供其他残疾人福利性单位制造的货物（不包括使用非残疾人福利性单位注册商标的货物）</w:t>
      </w:r>
      <w:r>
        <w:rPr>
          <w:rStyle w:val="6"/>
          <w:rFonts w:hint="eastAsia" w:ascii="宋体" w:hAnsi="宋体" w:eastAsia="宋体" w:cs="宋体"/>
          <w:sz w:val="21"/>
          <w:szCs w:val="21"/>
        </w:rPr>
        <w:t>可享受价格扣除。</w:t>
      </w:r>
    </w:p>
    <w:p>
      <w:pPr>
        <w:pStyle w:val="4"/>
        <w:keepNext w:val="0"/>
        <w:keepLines w:val="0"/>
        <w:widowControl/>
        <w:suppressLineNumbers w:val="0"/>
      </w:pPr>
      <w:r>
        <w:rPr>
          <w:rFonts w:hint="eastAsia" w:ascii="宋体" w:hAnsi="宋体" w:eastAsia="宋体" w:cs="宋体"/>
          <w:sz w:val="21"/>
          <w:szCs w:val="21"/>
        </w:rPr>
        <w:t>5、纸质投标文件正本中的本表（若有）应为原件。</w:t>
      </w:r>
    </w:p>
    <w:p>
      <w:pPr>
        <w:pStyle w:val="4"/>
        <w:keepNext w:val="0"/>
        <w:keepLines w:val="0"/>
        <w:widowControl/>
        <w:suppressLineNumbers w:val="0"/>
      </w:pPr>
      <w:r>
        <w:rPr>
          <w:rFonts w:hint="eastAsia" w:ascii="宋体" w:hAnsi="宋体" w:eastAsia="宋体" w:cs="宋体"/>
          <w:sz w:val="21"/>
          <w:szCs w:val="21"/>
        </w:rPr>
        <w:t> </w:t>
      </w:r>
    </w:p>
    <w:p>
      <w:pPr>
        <w:pStyle w:val="4"/>
        <w:keepNext w:val="0"/>
        <w:keepLines w:val="0"/>
        <w:widowControl/>
        <w:suppressLineNumbers w:val="0"/>
      </w:pPr>
      <w:r>
        <w:rPr>
          <w:rFonts w:hint="eastAsia" w:ascii="宋体" w:hAnsi="宋体" w:eastAsia="宋体" w:cs="宋体"/>
          <w:sz w:val="21"/>
          <w:szCs w:val="21"/>
        </w:rPr>
        <w:t> </w:t>
      </w:r>
    </w:p>
    <w:p>
      <w:pPr>
        <w:pStyle w:val="4"/>
        <w:keepNext w:val="0"/>
        <w:keepLines w:val="0"/>
        <w:widowControl/>
        <w:suppressLineNumbers w:val="0"/>
      </w:pPr>
      <w:r>
        <w:rPr>
          <w:rFonts w:hint="eastAsia" w:ascii="宋体" w:hAnsi="宋体" w:eastAsia="宋体" w:cs="宋体"/>
          <w:sz w:val="21"/>
          <w:szCs w:val="21"/>
        </w:rPr>
        <w:t>投标人：</w:t>
      </w:r>
      <w:r>
        <w:rPr>
          <w:rFonts w:hint="eastAsia" w:ascii="宋体" w:hAnsi="宋体" w:eastAsia="宋体" w:cs="宋体"/>
          <w:sz w:val="21"/>
          <w:szCs w:val="21"/>
          <w:u w:val="single"/>
        </w:rPr>
        <w:t>（全称并加盖单位公章）</w:t>
      </w:r>
    </w:p>
    <w:p>
      <w:pPr>
        <w:pStyle w:val="4"/>
        <w:keepNext w:val="0"/>
        <w:keepLines w:val="0"/>
        <w:widowControl/>
        <w:suppressLineNumbers w:val="0"/>
      </w:pPr>
      <w:r>
        <w:rPr>
          <w:rFonts w:hint="eastAsia" w:ascii="宋体" w:hAnsi="宋体" w:eastAsia="宋体" w:cs="宋体"/>
          <w:sz w:val="21"/>
          <w:szCs w:val="21"/>
        </w:rPr>
        <w:t>投标人代表签字：</w:t>
      </w:r>
      <w:r>
        <w:rPr>
          <w:rFonts w:hint="eastAsia" w:ascii="宋体" w:hAnsi="宋体" w:eastAsia="宋体" w:cs="宋体"/>
          <w:sz w:val="21"/>
          <w:szCs w:val="21"/>
          <w:u w:val="single"/>
        </w:rPr>
        <w:t>                   </w:t>
      </w:r>
    </w:p>
    <w:p>
      <w:pPr>
        <w:pStyle w:val="4"/>
        <w:keepNext w:val="0"/>
        <w:keepLines w:val="0"/>
        <w:widowControl/>
        <w:suppressLineNumbers w:val="0"/>
      </w:pPr>
      <w:r>
        <w:rPr>
          <w:rFonts w:hint="eastAsia" w:ascii="宋体" w:hAnsi="宋体" w:eastAsia="宋体" w:cs="宋体"/>
          <w:sz w:val="21"/>
          <w:szCs w:val="21"/>
        </w:rPr>
        <w:t>日期：</w:t>
      </w:r>
      <w:r>
        <w:rPr>
          <w:rFonts w:hint="eastAsia" w:ascii="宋体" w:hAnsi="宋体" w:eastAsia="宋体" w:cs="宋体"/>
          <w:sz w:val="21"/>
          <w:szCs w:val="21"/>
          <w:u w:val="single"/>
        </w:rPr>
        <w:t>    </w:t>
      </w:r>
      <w:r>
        <w:rPr>
          <w:rFonts w:hint="eastAsia" w:ascii="宋体" w:hAnsi="宋体" w:eastAsia="宋体" w:cs="宋体"/>
          <w:sz w:val="21"/>
          <w:szCs w:val="21"/>
        </w:rPr>
        <w:t>年</w:t>
      </w:r>
      <w:r>
        <w:rPr>
          <w:rFonts w:hint="eastAsia" w:ascii="宋体" w:hAnsi="宋体" w:eastAsia="宋体" w:cs="宋体"/>
          <w:sz w:val="21"/>
          <w:szCs w:val="21"/>
          <w:u w:val="single"/>
        </w:rPr>
        <w:t>   </w:t>
      </w:r>
      <w:r>
        <w:rPr>
          <w:rFonts w:hint="eastAsia" w:ascii="宋体" w:hAnsi="宋体" w:eastAsia="宋体" w:cs="宋体"/>
          <w:sz w:val="21"/>
          <w:szCs w:val="21"/>
        </w:rPr>
        <w:t>月</w:t>
      </w:r>
      <w:r>
        <w:rPr>
          <w:rFonts w:hint="eastAsia" w:ascii="宋体" w:hAnsi="宋体" w:eastAsia="宋体" w:cs="宋体"/>
          <w:sz w:val="21"/>
          <w:szCs w:val="21"/>
          <w:u w:val="single"/>
        </w:rPr>
        <w:t>   </w:t>
      </w:r>
      <w:r>
        <w:rPr>
          <w:rFonts w:hint="eastAsia" w:ascii="宋体" w:hAnsi="宋体" w:eastAsia="宋体" w:cs="宋体"/>
          <w:sz w:val="21"/>
          <w:szCs w:val="21"/>
        </w:rPr>
        <w:t>日</w:t>
      </w:r>
    </w:p>
    <w:p>
      <w:pPr>
        <w:pStyle w:val="4"/>
        <w:keepNext w:val="0"/>
        <w:keepLines w:val="0"/>
        <w:widowControl/>
        <w:suppressLineNumbers w:val="0"/>
      </w:pPr>
      <w:r>
        <w:rPr>
          <w:rFonts w:hint="eastAsia" w:ascii="宋体" w:hAnsi="宋体" w:eastAsia="宋体" w:cs="宋体"/>
          <w:sz w:val="21"/>
          <w:szCs w:val="21"/>
        </w:rPr>
        <w:t> </w:t>
      </w:r>
    </w:p>
    <w:p>
      <w:pPr>
        <w:pStyle w:val="4"/>
        <w:keepNext w:val="0"/>
        <w:keepLines w:val="0"/>
        <w:widowControl/>
        <w:suppressLineNumbers w:val="0"/>
      </w:pPr>
      <w:r>
        <w:rPr>
          <w:rFonts w:hint="eastAsia" w:ascii="宋体" w:hAnsi="宋体" w:eastAsia="宋体" w:cs="宋体"/>
          <w:sz w:val="21"/>
          <w:szCs w:val="21"/>
        </w:rPr>
        <w:t> </w:t>
      </w:r>
    </w:p>
    <w:p>
      <w:pPr>
        <w:pStyle w:val="4"/>
        <w:keepNext w:val="0"/>
        <w:keepLines w:val="0"/>
        <w:widowControl/>
        <w:suppressLineNumbers w:val="0"/>
        <w:jc w:val="center"/>
      </w:pPr>
      <w:r>
        <w:rPr>
          <w:rStyle w:val="6"/>
          <w:rFonts w:hint="default" w:ascii="Calibri" w:hAnsi="Calibri" w:cs="Calibri"/>
          <w:sz w:val="21"/>
          <w:szCs w:val="21"/>
        </w:rPr>
        <w:br w:type="textWrapping"/>
      </w:r>
      <w:r>
        <w:rPr>
          <w:rStyle w:val="6"/>
          <w:rFonts w:hint="eastAsia" w:ascii="宋体" w:hAnsi="宋体" w:eastAsia="宋体" w:cs="宋体"/>
          <w:sz w:val="21"/>
          <w:szCs w:val="21"/>
        </w:rPr>
        <w:t>三-2-②中小企业声明函（价格扣除适用，若有）</w:t>
      </w:r>
    </w:p>
    <w:p>
      <w:pPr>
        <w:pStyle w:val="4"/>
        <w:keepNext w:val="0"/>
        <w:keepLines w:val="0"/>
        <w:widowControl/>
        <w:suppressLineNumbers w:val="0"/>
      </w:pPr>
      <w:r>
        <w:rPr>
          <w:rStyle w:val="6"/>
          <w:rFonts w:hint="eastAsia" w:ascii="宋体" w:hAnsi="宋体" w:eastAsia="宋体" w:cs="宋体"/>
          <w:sz w:val="21"/>
          <w:szCs w:val="21"/>
        </w:rPr>
        <w:t> </w:t>
      </w:r>
    </w:p>
    <w:p>
      <w:pPr>
        <w:pStyle w:val="4"/>
        <w:keepNext w:val="0"/>
        <w:keepLines w:val="0"/>
        <w:widowControl/>
        <w:suppressLineNumbers w:val="0"/>
        <w:ind w:left="0" w:firstLine="420"/>
      </w:pPr>
      <w:r>
        <w:rPr>
          <w:rFonts w:hint="eastAsia" w:ascii="宋体" w:hAnsi="宋体" w:eastAsia="宋体" w:cs="宋体"/>
          <w:sz w:val="21"/>
          <w:szCs w:val="21"/>
        </w:rPr>
        <w:t>本投标人郑重声明，根据《政府采购促进中小企业发展暂行办法》（财库[2011]181号）的规定，本投标人为</w:t>
      </w:r>
      <w:r>
        <w:rPr>
          <w:rFonts w:hint="eastAsia" w:ascii="宋体" w:hAnsi="宋体" w:eastAsia="宋体" w:cs="宋体"/>
          <w:sz w:val="21"/>
          <w:szCs w:val="21"/>
          <w:u w:val="single"/>
        </w:rPr>
        <w:t>（填写“中型</w:t>
      </w:r>
      <w:r>
        <w:rPr>
          <w:rFonts w:hint="default" w:ascii="Calibri" w:hAnsi="Calibri" w:eastAsia="宋体" w:cs="Calibri"/>
          <w:sz w:val="21"/>
          <w:szCs w:val="21"/>
          <w:u w:val="single"/>
        </w:rPr>
        <w:t>/</w:t>
      </w:r>
      <w:r>
        <w:rPr>
          <w:rFonts w:hint="eastAsia" w:ascii="宋体" w:hAnsi="宋体" w:eastAsia="宋体" w:cs="宋体"/>
          <w:sz w:val="21"/>
          <w:szCs w:val="21"/>
          <w:u w:val="single"/>
        </w:rPr>
        <w:t>小型</w:t>
      </w:r>
      <w:r>
        <w:rPr>
          <w:rFonts w:hint="default" w:ascii="Calibri" w:hAnsi="Calibri" w:eastAsia="宋体" w:cs="Calibri"/>
          <w:sz w:val="21"/>
          <w:szCs w:val="21"/>
          <w:u w:val="single"/>
        </w:rPr>
        <w:t>/</w:t>
      </w:r>
      <w:r>
        <w:rPr>
          <w:rFonts w:hint="eastAsia" w:ascii="宋体" w:hAnsi="宋体" w:eastAsia="宋体" w:cs="宋体"/>
          <w:sz w:val="21"/>
          <w:szCs w:val="21"/>
          <w:u w:val="single"/>
        </w:rPr>
        <w:t>微型”）</w:t>
      </w:r>
      <w:r>
        <w:rPr>
          <w:rFonts w:hint="eastAsia" w:ascii="宋体" w:hAnsi="宋体" w:eastAsia="宋体" w:cs="宋体"/>
          <w:sz w:val="21"/>
          <w:szCs w:val="21"/>
        </w:rPr>
        <w:t>企业。即本投标人同时满足以下条件：</w:t>
      </w:r>
    </w:p>
    <w:p>
      <w:pPr>
        <w:pStyle w:val="4"/>
        <w:keepNext w:val="0"/>
        <w:keepLines w:val="0"/>
        <w:widowControl/>
        <w:suppressLineNumbers w:val="0"/>
        <w:ind w:left="0" w:firstLine="420"/>
      </w:pPr>
      <w:r>
        <w:rPr>
          <w:rFonts w:hint="eastAsia" w:ascii="宋体" w:hAnsi="宋体" w:eastAsia="宋体" w:cs="宋体"/>
          <w:sz w:val="21"/>
          <w:szCs w:val="21"/>
        </w:rPr>
        <w:t>1、根据《工业和信息化部、国家统计局、国家发展和改革委员会、财政部关于印发中小企业划型标准规定的通知》（工信部联企业</w:t>
      </w:r>
      <w:r>
        <w:rPr>
          <w:rFonts w:hint="default" w:ascii="Calibri" w:hAnsi="Calibri" w:eastAsia="宋体" w:cs="Calibri"/>
          <w:sz w:val="21"/>
          <w:szCs w:val="21"/>
        </w:rPr>
        <w:t>[2011]300</w:t>
      </w:r>
      <w:r>
        <w:rPr>
          <w:rFonts w:hint="eastAsia" w:ascii="宋体" w:hAnsi="宋体" w:eastAsia="宋体" w:cs="宋体"/>
          <w:sz w:val="21"/>
          <w:szCs w:val="21"/>
        </w:rPr>
        <w:t>号）规定的划分标准，本投标人为</w:t>
      </w:r>
      <w:r>
        <w:rPr>
          <w:rFonts w:hint="eastAsia" w:ascii="宋体" w:hAnsi="宋体" w:eastAsia="宋体" w:cs="宋体"/>
          <w:sz w:val="21"/>
          <w:szCs w:val="21"/>
          <w:u w:val="single"/>
        </w:rPr>
        <w:t>  （填写“中型</w:t>
      </w:r>
      <w:r>
        <w:rPr>
          <w:rFonts w:hint="default" w:ascii="Calibri" w:hAnsi="Calibri" w:eastAsia="宋体" w:cs="Calibri"/>
          <w:sz w:val="21"/>
          <w:szCs w:val="21"/>
          <w:u w:val="single"/>
        </w:rPr>
        <w:t>/</w:t>
      </w:r>
      <w:r>
        <w:rPr>
          <w:rFonts w:hint="eastAsia" w:ascii="宋体" w:hAnsi="宋体" w:eastAsia="宋体" w:cs="宋体"/>
          <w:sz w:val="21"/>
          <w:szCs w:val="21"/>
          <w:u w:val="single"/>
        </w:rPr>
        <w:t>小型</w:t>
      </w:r>
      <w:r>
        <w:rPr>
          <w:rFonts w:hint="default" w:ascii="Calibri" w:hAnsi="Calibri" w:eastAsia="宋体" w:cs="Calibri"/>
          <w:sz w:val="21"/>
          <w:szCs w:val="21"/>
          <w:u w:val="single"/>
        </w:rPr>
        <w:t>/</w:t>
      </w:r>
      <w:r>
        <w:rPr>
          <w:rFonts w:hint="eastAsia" w:ascii="宋体" w:hAnsi="宋体" w:eastAsia="宋体" w:cs="宋体"/>
          <w:sz w:val="21"/>
          <w:szCs w:val="21"/>
          <w:u w:val="single"/>
        </w:rPr>
        <w:t>微型”）</w:t>
      </w:r>
      <w:r>
        <w:rPr>
          <w:rFonts w:hint="eastAsia" w:ascii="宋体" w:hAnsi="宋体" w:eastAsia="宋体" w:cs="宋体"/>
          <w:sz w:val="21"/>
          <w:szCs w:val="21"/>
        </w:rPr>
        <w:t>企业。</w:t>
      </w:r>
    </w:p>
    <w:p>
      <w:pPr>
        <w:pStyle w:val="4"/>
        <w:keepNext w:val="0"/>
        <w:keepLines w:val="0"/>
        <w:widowControl/>
        <w:suppressLineNumbers w:val="0"/>
        <w:ind w:left="0" w:firstLine="420"/>
      </w:pPr>
      <w:r>
        <w:rPr>
          <w:rFonts w:hint="eastAsia" w:ascii="宋体" w:hAnsi="宋体" w:eastAsia="宋体" w:cs="宋体"/>
          <w:sz w:val="21"/>
          <w:szCs w:val="21"/>
        </w:rPr>
        <w:t>2、本投标人参加贵单位组织的</w:t>
      </w:r>
      <w:r>
        <w:rPr>
          <w:rFonts w:hint="eastAsia" w:ascii="宋体" w:hAnsi="宋体" w:eastAsia="宋体" w:cs="宋体"/>
          <w:sz w:val="21"/>
          <w:szCs w:val="21"/>
          <w:u w:val="single"/>
        </w:rPr>
        <w:t xml:space="preserve"> （填写“项目名称”） </w:t>
      </w:r>
      <w:r>
        <w:rPr>
          <w:rFonts w:hint="eastAsia" w:ascii="宋体" w:hAnsi="宋体" w:eastAsia="宋体" w:cs="宋体"/>
          <w:sz w:val="21"/>
          <w:szCs w:val="21"/>
        </w:rPr>
        <w:t>项目采购活动，其中：</w:t>
      </w:r>
    </w:p>
    <w:p>
      <w:pPr>
        <w:pStyle w:val="4"/>
        <w:keepNext w:val="0"/>
        <w:keepLines w:val="0"/>
        <w:widowControl/>
        <w:suppressLineNumbers w:val="0"/>
        <w:ind w:left="0" w:firstLine="420"/>
      </w:pPr>
      <w:r>
        <w:rPr>
          <w:rFonts w:hint="eastAsia" w:ascii="宋体" w:hAnsi="宋体" w:eastAsia="宋体" w:cs="宋体"/>
          <w:sz w:val="21"/>
          <w:szCs w:val="21"/>
        </w:rPr>
        <w:t>①货物（不包括使用大型企业注册商标的货物）：</w:t>
      </w:r>
    </w:p>
    <w:p>
      <w:pPr>
        <w:pStyle w:val="4"/>
        <w:keepNext w:val="0"/>
        <w:keepLines w:val="0"/>
        <w:widowControl/>
        <w:suppressLineNumbers w:val="0"/>
        <w:ind w:left="0" w:firstLine="420"/>
      </w:pPr>
      <w:r>
        <w:rPr>
          <w:rFonts w:hint="eastAsia" w:ascii="宋体" w:hAnsi="宋体" w:eastAsia="宋体" w:cs="宋体"/>
          <w:sz w:val="21"/>
          <w:szCs w:val="21"/>
        </w:rPr>
        <w:t>（ ）提供本投标人制造的</w:t>
      </w:r>
      <w:r>
        <w:rPr>
          <w:rFonts w:hint="eastAsia" w:ascii="宋体" w:hAnsi="宋体" w:eastAsia="宋体" w:cs="宋体"/>
          <w:sz w:val="21"/>
          <w:szCs w:val="21"/>
          <w:u w:val="single"/>
        </w:rPr>
        <w:t>（填写“所投合同包、品目号”）</w:t>
      </w:r>
      <w:r>
        <w:rPr>
          <w:rFonts w:hint="eastAsia" w:ascii="宋体" w:hAnsi="宋体" w:eastAsia="宋体" w:cs="宋体"/>
          <w:sz w:val="21"/>
          <w:szCs w:val="21"/>
        </w:rPr>
        <w:t>货物；或</w:t>
      </w:r>
    </w:p>
    <w:p>
      <w:pPr>
        <w:pStyle w:val="4"/>
        <w:keepNext w:val="0"/>
        <w:keepLines w:val="0"/>
        <w:widowControl/>
        <w:suppressLineNumbers w:val="0"/>
        <w:ind w:left="0" w:firstLine="420"/>
      </w:pPr>
      <w:r>
        <w:rPr>
          <w:rFonts w:hint="eastAsia" w:ascii="宋体" w:hAnsi="宋体" w:eastAsia="宋体" w:cs="宋体"/>
          <w:sz w:val="21"/>
          <w:szCs w:val="21"/>
        </w:rPr>
        <w:t>（ ）提供其他</w:t>
      </w:r>
      <w:r>
        <w:rPr>
          <w:rFonts w:hint="eastAsia" w:ascii="宋体" w:hAnsi="宋体" w:eastAsia="宋体" w:cs="宋体"/>
          <w:sz w:val="21"/>
          <w:szCs w:val="21"/>
          <w:u w:val="single"/>
        </w:rPr>
        <w:t>（填写“中型</w:t>
      </w:r>
      <w:r>
        <w:rPr>
          <w:rFonts w:hint="default" w:ascii="Calibri" w:hAnsi="Calibri" w:eastAsia="宋体" w:cs="Calibri"/>
          <w:sz w:val="21"/>
          <w:szCs w:val="21"/>
          <w:u w:val="single"/>
        </w:rPr>
        <w:t>/</w:t>
      </w:r>
      <w:r>
        <w:rPr>
          <w:rFonts w:hint="eastAsia" w:ascii="宋体" w:hAnsi="宋体" w:eastAsia="宋体" w:cs="宋体"/>
          <w:sz w:val="21"/>
          <w:szCs w:val="21"/>
          <w:u w:val="single"/>
        </w:rPr>
        <w:t>小型</w:t>
      </w:r>
      <w:r>
        <w:rPr>
          <w:rFonts w:hint="default" w:ascii="Calibri" w:hAnsi="Calibri" w:eastAsia="宋体" w:cs="Calibri"/>
          <w:sz w:val="21"/>
          <w:szCs w:val="21"/>
          <w:u w:val="single"/>
        </w:rPr>
        <w:t>/</w:t>
      </w:r>
      <w:r>
        <w:rPr>
          <w:rFonts w:hint="eastAsia" w:ascii="宋体" w:hAnsi="宋体" w:eastAsia="宋体" w:cs="宋体"/>
          <w:sz w:val="21"/>
          <w:szCs w:val="21"/>
          <w:u w:val="single"/>
        </w:rPr>
        <w:t>微型”）</w:t>
      </w:r>
      <w:r>
        <w:rPr>
          <w:rFonts w:hint="eastAsia" w:ascii="宋体" w:hAnsi="宋体" w:eastAsia="宋体" w:cs="宋体"/>
          <w:sz w:val="21"/>
          <w:szCs w:val="21"/>
        </w:rPr>
        <w:t>企业制造的</w:t>
      </w:r>
      <w:r>
        <w:rPr>
          <w:rFonts w:hint="eastAsia" w:ascii="宋体" w:hAnsi="宋体" w:eastAsia="宋体" w:cs="宋体"/>
          <w:sz w:val="21"/>
          <w:szCs w:val="21"/>
          <w:u w:val="single"/>
        </w:rPr>
        <w:t>（填写“所投合同包、品目号”）</w:t>
      </w:r>
      <w:r>
        <w:rPr>
          <w:rFonts w:hint="eastAsia" w:ascii="宋体" w:hAnsi="宋体" w:eastAsia="宋体" w:cs="宋体"/>
          <w:sz w:val="21"/>
          <w:szCs w:val="21"/>
        </w:rPr>
        <w:t>货物。</w:t>
      </w:r>
    </w:p>
    <w:p>
      <w:pPr>
        <w:pStyle w:val="4"/>
        <w:keepNext w:val="0"/>
        <w:keepLines w:val="0"/>
        <w:widowControl/>
        <w:suppressLineNumbers w:val="0"/>
        <w:ind w:left="0" w:firstLine="420"/>
      </w:pPr>
      <w:r>
        <w:rPr>
          <w:rFonts w:hint="eastAsia" w:ascii="宋体" w:hAnsi="宋体" w:eastAsia="宋体" w:cs="宋体"/>
          <w:sz w:val="21"/>
          <w:szCs w:val="21"/>
        </w:rPr>
        <w:t>②工程：</w:t>
      </w:r>
    </w:p>
    <w:p>
      <w:pPr>
        <w:pStyle w:val="4"/>
        <w:keepNext w:val="0"/>
        <w:keepLines w:val="0"/>
        <w:widowControl/>
        <w:suppressLineNumbers w:val="0"/>
        <w:ind w:left="0" w:firstLine="420"/>
      </w:pPr>
      <w:r>
        <w:rPr>
          <w:rFonts w:hint="eastAsia" w:ascii="宋体" w:hAnsi="宋体" w:eastAsia="宋体" w:cs="宋体"/>
          <w:sz w:val="21"/>
          <w:szCs w:val="21"/>
        </w:rPr>
        <w:t>（ ）由本投标人承担的</w:t>
      </w:r>
      <w:r>
        <w:rPr>
          <w:rFonts w:hint="eastAsia" w:ascii="宋体" w:hAnsi="宋体" w:eastAsia="宋体" w:cs="宋体"/>
          <w:sz w:val="21"/>
          <w:szCs w:val="21"/>
          <w:u w:val="single"/>
        </w:rPr>
        <w:t>（填写“所投合同包、品目号”）</w:t>
      </w:r>
      <w:r>
        <w:rPr>
          <w:rFonts w:hint="eastAsia" w:ascii="宋体" w:hAnsi="宋体" w:eastAsia="宋体" w:cs="宋体"/>
          <w:sz w:val="21"/>
          <w:szCs w:val="21"/>
        </w:rPr>
        <w:t>工程。</w:t>
      </w:r>
    </w:p>
    <w:p>
      <w:pPr>
        <w:pStyle w:val="4"/>
        <w:keepNext w:val="0"/>
        <w:keepLines w:val="0"/>
        <w:widowControl/>
        <w:suppressLineNumbers w:val="0"/>
        <w:ind w:left="0" w:firstLine="420"/>
      </w:pPr>
      <w:r>
        <w:rPr>
          <w:rFonts w:hint="eastAsia" w:ascii="宋体" w:hAnsi="宋体" w:eastAsia="宋体" w:cs="宋体"/>
          <w:sz w:val="21"/>
          <w:szCs w:val="21"/>
        </w:rPr>
        <w:t>③服务：</w:t>
      </w:r>
    </w:p>
    <w:p>
      <w:pPr>
        <w:pStyle w:val="4"/>
        <w:keepNext w:val="0"/>
        <w:keepLines w:val="0"/>
        <w:widowControl/>
        <w:suppressLineNumbers w:val="0"/>
        <w:ind w:left="0" w:firstLine="420"/>
      </w:pPr>
      <w:r>
        <w:rPr>
          <w:rFonts w:hint="eastAsia" w:ascii="宋体" w:hAnsi="宋体" w:eastAsia="宋体" w:cs="宋体"/>
          <w:sz w:val="21"/>
          <w:szCs w:val="21"/>
        </w:rPr>
        <w:t>（ ）由本投标人提供的</w:t>
      </w:r>
      <w:r>
        <w:rPr>
          <w:rFonts w:hint="eastAsia" w:ascii="宋体" w:hAnsi="宋体" w:eastAsia="宋体" w:cs="宋体"/>
          <w:sz w:val="21"/>
          <w:szCs w:val="21"/>
          <w:u w:val="single"/>
        </w:rPr>
        <w:t>（填写“所投合同包、品目号”）</w:t>
      </w:r>
      <w:r>
        <w:rPr>
          <w:rFonts w:hint="eastAsia" w:ascii="宋体" w:hAnsi="宋体" w:eastAsia="宋体" w:cs="宋体"/>
          <w:sz w:val="21"/>
          <w:szCs w:val="21"/>
        </w:rPr>
        <w:t>服务。</w:t>
      </w:r>
    </w:p>
    <w:p>
      <w:pPr>
        <w:pStyle w:val="4"/>
        <w:keepNext w:val="0"/>
        <w:keepLines w:val="0"/>
        <w:widowControl/>
        <w:suppressLineNumbers w:val="0"/>
        <w:ind w:left="0" w:firstLine="420"/>
      </w:pPr>
      <w:r>
        <w:rPr>
          <w:rFonts w:hint="eastAsia" w:ascii="宋体" w:hAnsi="宋体" w:eastAsia="宋体" w:cs="宋体"/>
          <w:sz w:val="21"/>
          <w:szCs w:val="21"/>
        </w:rPr>
        <w:t>本投标人对上述声明的真实性负责。如有虚假，将依法承担相应责任。</w:t>
      </w:r>
    </w:p>
    <w:p>
      <w:pPr>
        <w:pStyle w:val="4"/>
        <w:keepNext w:val="0"/>
        <w:keepLines w:val="0"/>
        <w:widowControl/>
        <w:suppressLineNumbers w:val="0"/>
        <w:ind w:left="0" w:firstLine="420"/>
      </w:pPr>
      <w:r>
        <w:rPr>
          <w:rFonts w:hint="default" w:ascii="Calibri" w:hAnsi="Calibri" w:cs="Calibri"/>
          <w:sz w:val="21"/>
          <w:szCs w:val="21"/>
        </w:rPr>
        <w:t> </w:t>
      </w:r>
    </w:p>
    <w:p>
      <w:pPr>
        <w:pStyle w:val="4"/>
        <w:keepNext w:val="0"/>
        <w:keepLines w:val="0"/>
        <w:widowControl/>
        <w:suppressLineNumbers w:val="0"/>
      </w:pPr>
      <w:r>
        <w:rPr>
          <w:rFonts w:hint="eastAsia" w:ascii="宋体" w:hAnsi="宋体" w:eastAsia="宋体" w:cs="宋体"/>
          <w:sz w:val="21"/>
          <w:szCs w:val="21"/>
        </w:rPr>
        <w:t>★注意：</w:t>
      </w:r>
    </w:p>
    <w:p>
      <w:pPr>
        <w:pStyle w:val="4"/>
        <w:keepNext w:val="0"/>
        <w:keepLines w:val="0"/>
        <w:widowControl/>
        <w:suppressLineNumbers w:val="0"/>
      </w:pPr>
      <w:r>
        <w:rPr>
          <w:rFonts w:hint="eastAsia" w:ascii="宋体" w:hAnsi="宋体" w:eastAsia="宋体" w:cs="宋体"/>
          <w:sz w:val="21"/>
          <w:szCs w:val="21"/>
        </w:rPr>
        <w:t>1、请投标人按照实际情况编制填写本声明函，并在相应的（）中打“√”。</w:t>
      </w:r>
    </w:p>
    <w:p>
      <w:pPr>
        <w:pStyle w:val="4"/>
        <w:keepNext w:val="0"/>
        <w:keepLines w:val="0"/>
        <w:widowControl/>
        <w:suppressLineNumbers w:val="0"/>
      </w:pPr>
      <w:r>
        <w:rPr>
          <w:rFonts w:hint="eastAsia" w:ascii="宋体" w:hAnsi="宋体" w:eastAsia="宋体" w:cs="宋体"/>
          <w:sz w:val="21"/>
          <w:szCs w:val="21"/>
        </w:rPr>
        <w:t>2、投标人应认真对照《工业和信息化部、国家统计局、国家发展和改革委员会、财政部关于印发中小企业划型标准规定的通知》（工信部联企业</w:t>
      </w:r>
      <w:r>
        <w:rPr>
          <w:rFonts w:hint="default" w:ascii="Calibri" w:hAnsi="Calibri" w:eastAsia="宋体" w:cs="Calibri"/>
          <w:sz w:val="21"/>
          <w:szCs w:val="21"/>
        </w:rPr>
        <w:t>[2011]300</w:t>
      </w:r>
      <w:r>
        <w:rPr>
          <w:rFonts w:hint="eastAsia" w:ascii="宋体" w:hAnsi="宋体" w:eastAsia="宋体" w:cs="宋体"/>
          <w:sz w:val="21"/>
          <w:szCs w:val="21"/>
        </w:rPr>
        <w:t>号）规定的划分标准，并按照国家统计局现行的关于统计上大中小微型企业划分办法的有关规定准确划分企业类型。</w:t>
      </w:r>
    </w:p>
    <w:p>
      <w:pPr>
        <w:pStyle w:val="4"/>
        <w:keepNext w:val="0"/>
        <w:keepLines w:val="0"/>
        <w:widowControl/>
        <w:suppressLineNumbers w:val="0"/>
      </w:pPr>
      <w:r>
        <w:rPr>
          <w:rFonts w:hint="eastAsia" w:ascii="宋体" w:hAnsi="宋体" w:eastAsia="宋体" w:cs="宋体"/>
          <w:sz w:val="21"/>
          <w:szCs w:val="21"/>
        </w:rPr>
        <w:t>3、若《中小企业声明函》内容不真实，</w:t>
      </w:r>
      <w:r>
        <w:rPr>
          <w:rStyle w:val="6"/>
          <w:rFonts w:hint="eastAsia" w:ascii="宋体" w:hAnsi="宋体" w:eastAsia="宋体" w:cs="宋体"/>
          <w:sz w:val="21"/>
          <w:szCs w:val="21"/>
        </w:rPr>
        <w:t>视为提供虚假材料</w:t>
      </w:r>
      <w:r>
        <w:rPr>
          <w:rFonts w:hint="eastAsia" w:ascii="宋体" w:hAnsi="宋体" w:eastAsia="宋体" w:cs="宋体"/>
          <w:sz w:val="21"/>
          <w:szCs w:val="21"/>
        </w:rPr>
        <w:t>。</w:t>
      </w:r>
    </w:p>
    <w:p>
      <w:pPr>
        <w:pStyle w:val="4"/>
        <w:keepNext w:val="0"/>
        <w:keepLines w:val="0"/>
        <w:widowControl/>
        <w:suppressLineNumbers w:val="0"/>
      </w:pPr>
      <w:r>
        <w:rPr>
          <w:rFonts w:hint="eastAsia" w:ascii="宋体" w:hAnsi="宋体" w:eastAsia="宋体" w:cs="宋体"/>
          <w:sz w:val="21"/>
          <w:szCs w:val="21"/>
        </w:rPr>
        <w:t>4、投标人为监狱企业的，可不填写本声明函。</w:t>
      </w:r>
    </w:p>
    <w:p>
      <w:pPr>
        <w:pStyle w:val="4"/>
        <w:keepNext w:val="0"/>
        <w:keepLines w:val="0"/>
        <w:widowControl/>
        <w:suppressLineNumbers w:val="0"/>
      </w:pPr>
      <w:r>
        <w:rPr>
          <w:rFonts w:hint="eastAsia" w:ascii="宋体" w:hAnsi="宋体" w:eastAsia="宋体" w:cs="宋体"/>
          <w:sz w:val="21"/>
          <w:szCs w:val="21"/>
        </w:rPr>
        <w:t>5、投标人为残疾人福利性单位的，可不填写本声明函。</w:t>
      </w:r>
    </w:p>
    <w:p>
      <w:pPr>
        <w:pStyle w:val="4"/>
        <w:keepNext w:val="0"/>
        <w:keepLines w:val="0"/>
        <w:widowControl/>
        <w:suppressLineNumbers w:val="0"/>
      </w:pPr>
      <w:r>
        <w:rPr>
          <w:rFonts w:hint="eastAsia" w:ascii="宋体" w:hAnsi="宋体" w:eastAsia="宋体" w:cs="宋体"/>
          <w:sz w:val="21"/>
          <w:szCs w:val="21"/>
        </w:rPr>
        <w:t>6、纸质投标文件正本中的本声明函（若有）应为原件。</w:t>
      </w:r>
    </w:p>
    <w:p>
      <w:pPr>
        <w:pStyle w:val="4"/>
        <w:keepNext w:val="0"/>
        <w:keepLines w:val="0"/>
        <w:widowControl/>
        <w:suppressLineNumbers w:val="0"/>
      </w:pPr>
      <w:r>
        <w:rPr>
          <w:rFonts w:hint="eastAsia" w:ascii="宋体" w:hAnsi="宋体" w:eastAsia="宋体" w:cs="宋体"/>
          <w:sz w:val="21"/>
          <w:szCs w:val="21"/>
        </w:rPr>
        <w:t> </w:t>
      </w:r>
    </w:p>
    <w:p>
      <w:pPr>
        <w:pStyle w:val="4"/>
        <w:keepNext w:val="0"/>
        <w:keepLines w:val="0"/>
        <w:widowControl/>
        <w:suppressLineNumbers w:val="0"/>
      </w:pPr>
      <w:r>
        <w:rPr>
          <w:rFonts w:hint="default" w:ascii="Calibri" w:hAnsi="Calibri" w:cs="Calibri"/>
          <w:sz w:val="21"/>
          <w:szCs w:val="21"/>
        </w:rPr>
        <w:t> </w:t>
      </w:r>
    </w:p>
    <w:p>
      <w:pPr>
        <w:pStyle w:val="4"/>
        <w:keepNext w:val="0"/>
        <w:keepLines w:val="0"/>
        <w:widowControl/>
        <w:suppressLineNumbers w:val="0"/>
      </w:pPr>
      <w:r>
        <w:rPr>
          <w:rFonts w:hint="eastAsia" w:ascii="宋体" w:hAnsi="宋体" w:eastAsia="宋体" w:cs="宋体"/>
          <w:sz w:val="21"/>
          <w:szCs w:val="21"/>
        </w:rPr>
        <w:t>投标人：</w:t>
      </w:r>
      <w:r>
        <w:rPr>
          <w:rFonts w:hint="eastAsia" w:ascii="宋体" w:hAnsi="宋体" w:eastAsia="宋体" w:cs="宋体"/>
          <w:sz w:val="21"/>
          <w:szCs w:val="21"/>
          <w:u w:val="single"/>
        </w:rPr>
        <w:t>（全称并加盖单位公章）</w:t>
      </w:r>
    </w:p>
    <w:p>
      <w:pPr>
        <w:pStyle w:val="4"/>
        <w:keepNext w:val="0"/>
        <w:keepLines w:val="0"/>
        <w:widowControl/>
        <w:suppressLineNumbers w:val="0"/>
      </w:pPr>
      <w:r>
        <w:rPr>
          <w:rFonts w:hint="eastAsia" w:ascii="宋体" w:hAnsi="宋体" w:eastAsia="宋体" w:cs="宋体"/>
          <w:sz w:val="21"/>
          <w:szCs w:val="21"/>
        </w:rPr>
        <w:t>投标人代表签字：</w:t>
      </w:r>
      <w:r>
        <w:rPr>
          <w:rFonts w:hint="eastAsia" w:ascii="宋体" w:hAnsi="宋体" w:eastAsia="宋体" w:cs="宋体"/>
          <w:sz w:val="21"/>
          <w:szCs w:val="21"/>
          <w:u w:val="single"/>
        </w:rPr>
        <w:t>                   </w:t>
      </w:r>
    </w:p>
    <w:p>
      <w:pPr>
        <w:pStyle w:val="4"/>
        <w:keepNext w:val="0"/>
        <w:keepLines w:val="0"/>
        <w:widowControl/>
        <w:suppressLineNumbers w:val="0"/>
      </w:pPr>
      <w:r>
        <w:rPr>
          <w:rFonts w:hint="eastAsia" w:ascii="宋体" w:hAnsi="宋体" w:eastAsia="宋体" w:cs="宋体"/>
          <w:sz w:val="21"/>
          <w:szCs w:val="21"/>
        </w:rPr>
        <w:t>日期：</w:t>
      </w:r>
      <w:r>
        <w:rPr>
          <w:rFonts w:hint="eastAsia" w:ascii="宋体" w:hAnsi="宋体" w:eastAsia="宋体" w:cs="宋体"/>
          <w:sz w:val="21"/>
          <w:szCs w:val="21"/>
          <w:u w:val="single"/>
        </w:rPr>
        <w:t>    </w:t>
      </w:r>
      <w:r>
        <w:rPr>
          <w:rFonts w:hint="eastAsia" w:ascii="宋体" w:hAnsi="宋体" w:eastAsia="宋体" w:cs="宋体"/>
          <w:sz w:val="21"/>
          <w:szCs w:val="21"/>
        </w:rPr>
        <w:t>年</w:t>
      </w:r>
      <w:r>
        <w:rPr>
          <w:rFonts w:hint="eastAsia" w:ascii="宋体" w:hAnsi="宋体" w:eastAsia="宋体" w:cs="宋体"/>
          <w:sz w:val="21"/>
          <w:szCs w:val="21"/>
          <w:u w:val="single"/>
        </w:rPr>
        <w:t>   </w:t>
      </w:r>
      <w:r>
        <w:rPr>
          <w:rFonts w:hint="eastAsia" w:ascii="宋体" w:hAnsi="宋体" w:eastAsia="宋体" w:cs="宋体"/>
          <w:sz w:val="21"/>
          <w:szCs w:val="21"/>
        </w:rPr>
        <w:t>月</w:t>
      </w:r>
      <w:r>
        <w:rPr>
          <w:rFonts w:hint="eastAsia" w:ascii="宋体" w:hAnsi="宋体" w:eastAsia="宋体" w:cs="宋体"/>
          <w:sz w:val="21"/>
          <w:szCs w:val="21"/>
          <w:u w:val="single"/>
        </w:rPr>
        <w:t>   </w:t>
      </w:r>
      <w:r>
        <w:rPr>
          <w:rFonts w:hint="eastAsia" w:ascii="宋体" w:hAnsi="宋体" w:eastAsia="宋体" w:cs="宋体"/>
          <w:sz w:val="21"/>
          <w:szCs w:val="21"/>
        </w:rPr>
        <w:t>日</w:t>
      </w:r>
    </w:p>
    <w:p>
      <w:pPr>
        <w:pStyle w:val="4"/>
        <w:keepNext w:val="0"/>
        <w:keepLines w:val="0"/>
        <w:widowControl/>
        <w:suppressLineNumbers w:val="0"/>
      </w:pPr>
      <w:r>
        <w:rPr>
          <w:rFonts w:hint="eastAsia" w:ascii="宋体" w:hAnsi="宋体" w:eastAsia="宋体" w:cs="宋体"/>
          <w:sz w:val="21"/>
          <w:szCs w:val="21"/>
        </w:rPr>
        <w:t> </w:t>
      </w:r>
    </w:p>
    <w:p>
      <w:pPr>
        <w:pStyle w:val="4"/>
        <w:keepNext w:val="0"/>
        <w:keepLines w:val="0"/>
        <w:widowControl/>
        <w:suppressLineNumbers w:val="0"/>
      </w:pPr>
      <w:r>
        <w:rPr>
          <w:rFonts w:hint="eastAsia" w:ascii="宋体" w:hAnsi="宋体" w:eastAsia="宋体" w:cs="宋体"/>
          <w:sz w:val="21"/>
          <w:szCs w:val="21"/>
        </w:rPr>
        <w:t> </w:t>
      </w:r>
    </w:p>
    <w:p>
      <w:pPr>
        <w:pStyle w:val="4"/>
        <w:keepNext w:val="0"/>
        <w:keepLines w:val="0"/>
        <w:widowControl/>
        <w:suppressLineNumbers w:val="0"/>
        <w:jc w:val="center"/>
      </w:pPr>
      <w:r>
        <w:rPr>
          <w:rFonts w:hint="default" w:ascii="Calibri" w:hAnsi="Calibri" w:cs="Calibri"/>
          <w:sz w:val="21"/>
          <w:szCs w:val="21"/>
        </w:rPr>
        <w:br w:type="textWrapping"/>
      </w:r>
      <w:r>
        <w:rPr>
          <w:rStyle w:val="6"/>
          <w:rFonts w:hint="eastAsia" w:ascii="宋体" w:hAnsi="宋体" w:eastAsia="宋体" w:cs="宋体"/>
          <w:sz w:val="21"/>
          <w:szCs w:val="21"/>
        </w:rPr>
        <w:t>三-2-③小型、微型企业等证明材料（价格扣除适用，若有）</w:t>
      </w:r>
    </w:p>
    <w:p>
      <w:pPr>
        <w:pStyle w:val="4"/>
        <w:keepNext w:val="0"/>
        <w:keepLines w:val="0"/>
        <w:widowControl/>
        <w:suppressLineNumbers w:val="0"/>
      </w:pPr>
      <w:r>
        <w:rPr>
          <w:rStyle w:val="6"/>
          <w:rFonts w:hint="eastAsia" w:ascii="宋体" w:hAnsi="宋体" w:eastAsia="宋体" w:cs="宋体"/>
          <w:sz w:val="21"/>
          <w:szCs w:val="21"/>
        </w:rPr>
        <w:t> </w:t>
      </w:r>
    </w:p>
    <w:p>
      <w:pPr>
        <w:pStyle w:val="4"/>
        <w:keepNext w:val="0"/>
        <w:keepLines w:val="0"/>
        <w:widowControl/>
        <w:suppressLineNumbers w:val="0"/>
      </w:pPr>
      <w:r>
        <w:rPr>
          <w:rStyle w:val="6"/>
          <w:rFonts w:hint="eastAsia" w:ascii="宋体" w:hAnsi="宋体" w:eastAsia="宋体" w:cs="宋体"/>
          <w:sz w:val="21"/>
          <w:szCs w:val="21"/>
        </w:rPr>
        <w:t> </w:t>
      </w:r>
    </w:p>
    <w:p>
      <w:pPr>
        <w:pStyle w:val="4"/>
        <w:keepNext w:val="0"/>
        <w:keepLines w:val="0"/>
        <w:widowControl/>
        <w:suppressLineNumbers w:val="0"/>
        <w:jc w:val="center"/>
      </w:pPr>
      <w:r>
        <w:rPr>
          <w:rFonts w:hint="eastAsia" w:ascii="宋体" w:hAnsi="宋体" w:eastAsia="宋体" w:cs="宋体"/>
          <w:sz w:val="21"/>
          <w:szCs w:val="21"/>
        </w:rPr>
        <w:t>编制说明</w:t>
      </w:r>
    </w:p>
    <w:p>
      <w:pPr>
        <w:pStyle w:val="4"/>
        <w:keepNext w:val="0"/>
        <w:keepLines w:val="0"/>
        <w:widowControl/>
        <w:suppressLineNumbers w:val="0"/>
        <w:jc w:val="center"/>
      </w:pPr>
      <w:r>
        <w:rPr>
          <w:rFonts w:hint="eastAsia" w:ascii="宋体" w:hAnsi="宋体" w:eastAsia="宋体" w:cs="宋体"/>
          <w:sz w:val="21"/>
          <w:szCs w:val="21"/>
        </w:rPr>
        <w:t> </w:t>
      </w:r>
    </w:p>
    <w:p>
      <w:pPr>
        <w:pStyle w:val="4"/>
        <w:keepNext w:val="0"/>
        <w:keepLines w:val="0"/>
        <w:widowControl/>
        <w:suppressLineNumbers w:val="0"/>
      </w:pPr>
      <w:r>
        <w:rPr>
          <w:rFonts w:hint="eastAsia" w:ascii="宋体" w:hAnsi="宋体" w:eastAsia="宋体" w:cs="宋体"/>
          <w:sz w:val="21"/>
          <w:szCs w:val="21"/>
        </w:rPr>
        <w:t>1、投标人应按照招标文件要求提供相应证明材料（包括但不限于：投标人或制造企业所在地的县级或以上中小企业主管部门的认定证明），证明材料应与《中小企业声明函》的内容相一致，否则视为《中小企业声明函》内容不真实。</w:t>
      </w:r>
    </w:p>
    <w:p>
      <w:pPr>
        <w:pStyle w:val="4"/>
        <w:keepNext w:val="0"/>
        <w:keepLines w:val="0"/>
        <w:widowControl/>
        <w:suppressLineNumbers w:val="0"/>
      </w:pPr>
      <w:r>
        <w:rPr>
          <w:rFonts w:hint="eastAsia" w:ascii="宋体" w:hAnsi="宋体" w:eastAsia="宋体" w:cs="宋体"/>
          <w:sz w:val="21"/>
          <w:szCs w:val="21"/>
        </w:rPr>
        <w:t>2、投标人为监狱企业的，根据其提供的由省级以上监狱管理局、戒毒管理局（含新疆生产建设兵团）出具的属于监狱企业的证明文件进行认定，监狱企业视同小型、微型企业。</w:t>
      </w:r>
    </w:p>
    <w:p>
      <w:pPr>
        <w:pStyle w:val="4"/>
        <w:keepNext w:val="0"/>
        <w:keepLines w:val="0"/>
        <w:widowControl/>
        <w:suppressLineNumbers w:val="0"/>
      </w:pPr>
      <w:r>
        <w:rPr>
          <w:rFonts w:hint="eastAsia" w:ascii="宋体" w:hAnsi="宋体" w:eastAsia="宋体" w:cs="宋体"/>
          <w:sz w:val="21"/>
          <w:szCs w:val="21"/>
        </w:rPr>
        <w:t>3、投标人为残疾人福利性单位的，根据其提供的《残疾人福利性单位声明函》（格式附后）进行认定，残疾人福利性单位视同小型、微型企业。残疾人福利性单位属于小型、微型企业的，不重复享受政策。</w:t>
      </w:r>
    </w:p>
    <w:p>
      <w:pPr>
        <w:pStyle w:val="4"/>
        <w:keepNext w:val="0"/>
        <w:keepLines w:val="0"/>
        <w:widowControl/>
        <w:suppressLineNumbers w:val="0"/>
      </w:pPr>
      <w:r>
        <w:rPr>
          <w:rFonts w:hint="eastAsia" w:ascii="宋体" w:hAnsi="宋体" w:eastAsia="宋体" w:cs="宋体"/>
          <w:sz w:val="21"/>
          <w:szCs w:val="21"/>
        </w:rPr>
        <w:t> </w:t>
      </w:r>
    </w:p>
    <w:p>
      <w:pPr>
        <w:pStyle w:val="4"/>
        <w:keepNext w:val="0"/>
        <w:keepLines w:val="0"/>
        <w:widowControl/>
        <w:suppressLineNumbers w:val="0"/>
      </w:pPr>
      <w:r>
        <w:rPr>
          <w:rFonts w:hint="eastAsia" w:ascii="宋体" w:hAnsi="宋体" w:eastAsia="宋体" w:cs="宋体"/>
          <w:sz w:val="21"/>
          <w:szCs w:val="21"/>
        </w:rPr>
        <w:t> </w:t>
      </w:r>
    </w:p>
    <w:p>
      <w:pPr>
        <w:pStyle w:val="4"/>
        <w:keepNext w:val="0"/>
        <w:keepLines w:val="0"/>
        <w:widowControl/>
        <w:suppressLineNumbers w:val="0"/>
      </w:pPr>
      <w:r>
        <w:rPr>
          <w:rFonts w:hint="default" w:ascii="Calibri" w:hAnsi="Calibri" w:cs="Calibri"/>
          <w:sz w:val="21"/>
          <w:szCs w:val="21"/>
        </w:rPr>
        <w:br w:type="textWrapping"/>
      </w:r>
      <w:r>
        <w:rPr>
          <w:rFonts w:hint="eastAsia" w:ascii="宋体" w:hAnsi="宋体" w:eastAsia="宋体" w:cs="宋体"/>
          <w:sz w:val="21"/>
          <w:szCs w:val="21"/>
        </w:rPr>
        <w:t>附：</w:t>
      </w:r>
    </w:p>
    <w:p>
      <w:pPr>
        <w:pStyle w:val="4"/>
        <w:keepNext w:val="0"/>
        <w:keepLines w:val="0"/>
        <w:widowControl/>
        <w:suppressLineNumbers w:val="0"/>
        <w:jc w:val="center"/>
      </w:pPr>
      <w:r>
        <w:rPr>
          <w:rStyle w:val="6"/>
          <w:rFonts w:hint="eastAsia" w:ascii="宋体" w:hAnsi="宋体" w:eastAsia="宋体" w:cs="宋体"/>
          <w:sz w:val="21"/>
          <w:szCs w:val="21"/>
        </w:rPr>
        <w:t>残疾人福利性单位声明函（价格扣除适用，若有）</w:t>
      </w:r>
    </w:p>
    <w:p>
      <w:pPr>
        <w:pStyle w:val="4"/>
        <w:keepNext w:val="0"/>
        <w:keepLines w:val="0"/>
        <w:widowControl/>
        <w:suppressLineNumbers w:val="0"/>
      </w:pPr>
      <w:r>
        <w:rPr>
          <w:rStyle w:val="6"/>
          <w:rFonts w:hint="eastAsia" w:ascii="宋体" w:hAnsi="宋体" w:eastAsia="宋体" w:cs="宋体"/>
          <w:sz w:val="21"/>
          <w:szCs w:val="21"/>
        </w:rPr>
        <w:t> </w:t>
      </w:r>
    </w:p>
    <w:p>
      <w:pPr>
        <w:pStyle w:val="4"/>
        <w:keepNext w:val="0"/>
        <w:keepLines w:val="0"/>
        <w:widowControl/>
        <w:suppressLineNumbers w:val="0"/>
        <w:ind w:left="0" w:firstLine="420"/>
      </w:pPr>
      <w:r>
        <w:rPr>
          <w:rFonts w:hint="eastAsia" w:ascii="宋体" w:hAnsi="宋体" w:eastAsia="宋体" w:cs="宋体"/>
          <w:sz w:val="21"/>
          <w:szCs w:val="21"/>
        </w:rPr>
        <w:t>本投标人郑重声明，根据《财政部 民政部 中国残疾人联合会关于促进残疾人就业政府采购政策的通知》（财库[2017]141号）的规定，本投标人为符合条件的残疾人福利性单位，且本投标人参加贵单位的</w:t>
      </w:r>
      <w:r>
        <w:rPr>
          <w:rFonts w:hint="eastAsia" w:ascii="宋体" w:hAnsi="宋体" w:eastAsia="宋体" w:cs="宋体"/>
          <w:sz w:val="21"/>
          <w:szCs w:val="21"/>
          <w:u w:val="single"/>
        </w:rPr>
        <w:t>（填写“项目名称”）</w:t>
      </w:r>
      <w:r>
        <w:rPr>
          <w:rFonts w:hint="eastAsia" w:ascii="宋体" w:hAnsi="宋体" w:eastAsia="宋体" w:cs="宋体"/>
          <w:sz w:val="21"/>
          <w:szCs w:val="21"/>
        </w:rPr>
        <w:t>项目采购活动：</w:t>
      </w:r>
    </w:p>
    <w:p>
      <w:pPr>
        <w:pStyle w:val="4"/>
        <w:keepNext w:val="0"/>
        <w:keepLines w:val="0"/>
        <w:widowControl/>
        <w:suppressLineNumbers w:val="0"/>
        <w:ind w:left="0" w:firstLine="420"/>
      </w:pPr>
      <w:r>
        <w:rPr>
          <w:rFonts w:hint="eastAsia" w:ascii="宋体" w:hAnsi="宋体" w:eastAsia="宋体" w:cs="宋体"/>
          <w:sz w:val="21"/>
          <w:szCs w:val="21"/>
        </w:rPr>
        <w:t>（ ）提供本投标人制造的</w:t>
      </w:r>
      <w:r>
        <w:rPr>
          <w:rFonts w:hint="eastAsia" w:ascii="宋体" w:hAnsi="宋体" w:eastAsia="宋体" w:cs="宋体"/>
          <w:sz w:val="21"/>
          <w:szCs w:val="21"/>
          <w:u w:val="single"/>
        </w:rPr>
        <w:t>（填写“所投合同包、品目号”）</w:t>
      </w:r>
      <w:r>
        <w:rPr>
          <w:rFonts w:hint="eastAsia" w:ascii="宋体" w:hAnsi="宋体" w:eastAsia="宋体" w:cs="宋体"/>
          <w:sz w:val="21"/>
          <w:szCs w:val="21"/>
        </w:rPr>
        <w:t>货物，</w:t>
      </w:r>
    </w:p>
    <w:p>
      <w:pPr>
        <w:pStyle w:val="4"/>
        <w:keepNext w:val="0"/>
        <w:keepLines w:val="0"/>
        <w:widowControl/>
        <w:suppressLineNumbers w:val="0"/>
        <w:ind w:left="0" w:firstLine="420"/>
      </w:pPr>
      <w:r>
        <w:rPr>
          <w:rFonts w:hint="eastAsia" w:ascii="宋体" w:hAnsi="宋体" w:eastAsia="宋体" w:cs="宋体"/>
          <w:sz w:val="21"/>
          <w:szCs w:val="21"/>
        </w:rPr>
        <w:t>（ ）由本投标人承担的</w:t>
      </w:r>
      <w:r>
        <w:rPr>
          <w:rFonts w:hint="eastAsia" w:ascii="宋体" w:hAnsi="宋体" w:eastAsia="宋体" w:cs="宋体"/>
          <w:sz w:val="21"/>
          <w:szCs w:val="21"/>
          <w:u w:val="single"/>
        </w:rPr>
        <w:t>（填写“所投合同包、品目号”）</w:t>
      </w:r>
      <w:r>
        <w:rPr>
          <w:rFonts w:hint="eastAsia" w:ascii="宋体" w:hAnsi="宋体" w:eastAsia="宋体" w:cs="宋体"/>
          <w:sz w:val="21"/>
          <w:szCs w:val="21"/>
        </w:rPr>
        <w:t>工程，</w:t>
      </w:r>
    </w:p>
    <w:p>
      <w:pPr>
        <w:pStyle w:val="4"/>
        <w:keepNext w:val="0"/>
        <w:keepLines w:val="0"/>
        <w:widowControl/>
        <w:suppressLineNumbers w:val="0"/>
        <w:ind w:left="0" w:firstLine="420"/>
      </w:pPr>
      <w:r>
        <w:rPr>
          <w:rFonts w:hint="eastAsia" w:ascii="宋体" w:hAnsi="宋体" w:eastAsia="宋体" w:cs="宋体"/>
          <w:sz w:val="21"/>
          <w:szCs w:val="21"/>
        </w:rPr>
        <w:t>（ ）由本投标人提供的</w:t>
      </w:r>
      <w:r>
        <w:rPr>
          <w:rFonts w:hint="eastAsia" w:ascii="宋体" w:hAnsi="宋体" w:eastAsia="宋体" w:cs="宋体"/>
          <w:sz w:val="21"/>
          <w:szCs w:val="21"/>
          <w:u w:val="single"/>
        </w:rPr>
        <w:t>（填写“所投合同包、品目号”）</w:t>
      </w:r>
      <w:r>
        <w:rPr>
          <w:rFonts w:hint="eastAsia" w:ascii="宋体" w:hAnsi="宋体" w:eastAsia="宋体" w:cs="宋体"/>
          <w:sz w:val="21"/>
          <w:szCs w:val="21"/>
        </w:rPr>
        <w:t>服务；或</w:t>
      </w:r>
    </w:p>
    <w:p>
      <w:pPr>
        <w:pStyle w:val="4"/>
        <w:keepNext w:val="0"/>
        <w:keepLines w:val="0"/>
        <w:widowControl/>
        <w:suppressLineNumbers w:val="0"/>
        <w:ind w:left="0" w:firstLine="420"/>
      </w:pPr>
      <w:r>
        <w:rPr>
          <w:rFonts w:hint="eastAsia" w:ascii="宋体" w:hAnsi="宋体" w:eastAsia="宋体" w:cs="宋体"/>
          <w:sz w:val="21"/>
          <w:szCs w:val="21"/>
        </w:rPr>
        <w:t>（ ）提供其他残疾人福利性单位制造的</w:t>
      </w:r>
      <w:r>
        <w:rPr>
          <w:rFonts w:hint="eastAsia" w:ascii="宋体" w:hAnsi="宋体" w:eastAsia="宋体" w:cs="宋体"/>
          <w:sz w:val="21"/>
          <w:szCs w:val="21"/>
          <w:u w:val="single"/>
        </w:rPr>
        <w:t>（填写“所投合同包、品目号”）</w:t>
      </w:r>
      <w:r>
        <w:rPr>
          <w:rFonts w:hint="eastAsia" w:ascii="宋体" w:hAnsi="宋体" w:eastAsia="宋体" w:cs="宋体"/>
          <w:sz w:val="21"/>
          <w:szCs w:val="21"/>
        </w:rPr>
        <w:t>货物（不包括使用非残疾人福利性单位注册商标的货物）。</w:t>
      </w:r>
    </w:p>
    <w:p>
      <w:pPr>
        <w:pStyle w:val="4"/>
        <w:keepNext w:val="0"/>
        <w:keepLines w:val="0"/>
        <w:widowControl/>
        <w:suppressLineNumbers w:val="0"/>
        <w:ind w:left="0" w:firstLine="420"/>
      </w:pPr>
      <w:r>
        <w:rPr>
          <w:rFonts w:hint="eastAsia" w:ascii="宋体" w:hAnsi="宋体" w:eastAsia="宋体" w:cs="宋体"/>
          <w:sz w:val="21"/>
          <w:szCs w:val="21"/>
        </w:rPr>
        <w:t>本投标人对上述声明的真实性负责。如有虚假，将依法承担相应责任。</w:t>
      </w:r>
    </w:p>
    <w:p>
      <w:pPr>
        <w:pStyle w:val="4"/>
        <w:keepNext w:val="0"/>
        <w:keepLines w:val="0"/>
        <w:widowControl/>
        <w:suppressLineNumbers w:val="0"/>
        <w:ind w:left="0" w:firstLine="420"/>
      </w:pPr>
      <w:r>
        <w:rPr>
          <w:rFonts w:hint="default" w:ascii="Calibri" w:hAnsi="Calibri" w:cs="Calibri"/>
          <w:sz w:val="21"/>
          <w:szCs w:val="21"/>
        </w:rPr>
        <w:t> </w:t>
      </w:r>
    </w:p>
    <w:p>
      <w:pPr>
        <w:pStyle w:val="4"/>
        <w:keepNext w:val="0"/>
        <w:keepLines w:val="0"/>
        <w:widowControl/>
        <w:suppressLineNumbers w:val="0"/>
      </w:pPr>
      <w:r>
        <w:rPr>
          <w:rFonts w:hint="eastAsia" w:ascii="宋体" w:hAnsi="宋体" w:eastAsia="宋体" w:cs="宋体"/>
          <w:sz w:val="21"/>
          <w:szCs w:val="21"/>
        </w:rPr>
        <w:t>★注意：</w:t>
      </w:r>
    </w:p>
    <w:p>
      <w:pPr>
        <w:pStyle w:val="4"/>
        <w:keepNext w:val="0"/>
        <w:keepLines w:val="0"/>
        <w:widowControl/>
        <w:suppressLineNumbers w:val="0"/>
      </w:pPr>
      <w:r>
        <w:rPr>
          <w:rFonts w:hint="eastAsia" w:ascii="宋体" w:hAnsi="宋体" w:eastAsia="宋体" w:cs="宋体"/>
          <w:sz w:val="21"/>
          <w:szCs w:val="21"/>
        </w:rPr>
        <w:t>1、请投标人按照实际情况编制填写本声明函，并在相应的（）中打“√”。</w:t>
      </w:r>
    </w:p>
    <w:p>
      <w:pPr>
        <w:pStyle w:val="4"/>
        <w:keepNext w:val="0"/>
        <w:keepLines w:val="0"/>
        <w:widowControl/>
        <w:suppressLineNumbers w:val="0"/>
      </w:pPr>
      <w:r>
        <w:rPr>
          <w:rFonts w:hint="eastAsia" w:ascii="宋体" w:hAnsi="宋体" w:eastAsia="宋体" w:cs="宋体"/>
          <w:sz w:val="21"/>
          <w:szCs w:val="21"/>
        </w:rPr>
        <w:t>2、纸质投标文件正本中的本声明函（若有）应为原件。</w:t>
      </w:r>
    </w:p>
    <w:p>
      <w:pPr>
        <w:pStyle w:val="4"/>
        <w:keepNext w:val="0"/>
        <w:keepLines w:val="0"/>
        <w:widowControl/>
        <w:suppressLineNumbers w:val="0"/>
      </w:pPr>
      <w:r>
        <w:rPr>
          <w:rFonts w:hint="eastAsia" w:ascii="宋体" w:hAnsi="宋体" w:eastAsia="宋体" w:cs="宋体"/>
          <w:sz w:val="21"/>
          <w:szCs w:val="21"/>
        </w:rPr>
        <w:t>3、若《残疾人福利性单位声明函》内容不真实，</w:t>
      </w:r>
      <w:r>
        <w:rPr>
          <w:rStyle w:val="6"/>
          <w:rFonts w:hint="eastAsia" w:ascii="宋体" w:hAnsi="宋体" w:eastAsia="宋体" w:cs="宋体"/>
          <w:sz w:val="21"/>
          <w:szCs w:val="21"/>
        </w:rPr>
        <w:t>视为提供虚假材料</w:t>
      </w:r>
      <w:r>
        <w:rPr>
          <w:rFonts w:hint="eastAsia" w:ascii="宋体" w:hAnsi="宋体" w:eastAsia="宋体" w:cs="宋体"/>
          <w:sz w:val="21"/>
          <w:szCs w:val="21"/>
        </w:rPr>
        <w:t>。</w:t>
      </w:r>
    </w:p>
    <w:p>
      <w:pPr>
        <w:pStyle w:val="4"/>
        <w:keepNext w:val="0"/>
        <w:keepLines w:val="0"/>
        <w:widowControl/>
        <w:suppressLineNumbers w:val="0"/>
      </w:pPr>
      <w:r>
        <w:rPr>
          <w:rFonts w:hint="eastAsia" w:ascii="宋体" w:hAnsi="宋体" w:eastAsia="宋体" w:cs="宋体"/>
          <w:sz w:val="21"/>
          <w:szCs w:val="21"/>
        </w:rPr>
        <w:t>4、符合财政部、民政部、中国残联文件（财库</w:t>
      </w:r>
      <w:r>
        <w:rPr>
          <w:rFonts w:hint="default" w:ascii="Calibri" w:hAnsi="Calibri" w:eastAsia="宋体" w:cs="Calibri"/>
          <w:sz w:val="21"/>
          <w:szCs w:val="21"/>
        </w:rPr>
        <w:t>[2017]141</w:t>
      </w:r>
      <w:r>
        <w:rPr>
          <w:rFonts w:hint="eastAsia" w:ascii="宋体" w:hAnsi="宋体" w:eastAsia="宋体" w:cs="宋体"/>
          <w:sz w:val="21"/>
          <w:szCs w:val="21"/>
        </w:rPr>
        <w:t>号）规定的残疾人福利性单位提供本单位制造的货物、承担的工程或服务，或提供其他残疾人福利性单位制造的货物（不包括使用非残疾人福利性单位注册商标的货物）</w:t>
      </w:r>
      <w:r>
        <w:rPr>
          <w:rStyle w:val="6"/>
          <w:rFonts w:hint="eastAsia" w:ascii="宋体" w:hAnsi="宋体" w:eastAsia="宋体" w:cs="宋体"/>
          <w:sz w:val="21"/>
          <w:szCs w:val="21"/>
        </w:rPr>
        <w:t>可享受价格扣除。</w:t>
      </w:r>
    </w:p>
    <w:p>
      <w:pPr>
        <w:pStyle w:val="4"/>
        <w:keepNext w:val="0"/>
        <w:keepLines w:val="0"/>
        <w:widowControl/>
        <w:suppressLineNumbers w:val="0"/>
      </w:pPr>
      <w:r>
        <w:rPr>
          <w:rFonts w:hint="eastAsia" w:ascii="宋体" w:hAnsi="宋体" w:eastAsia="宋体" w:cs="宋体"/>
          <w:sz w:val="21"/>
          <w:szCs w:val="21"/>
        </w:rPr>
        <w:t> </w:t>
      </w:r>
    </w:p>
    <w:p>
      <w:pPr>
        <w:pStyle w:val="4"/>
        <w:keepNext w:val="0"/>
        <w:keepLines w:val="0"/>
        <w:widowControl/>
        <w:suppressLineNumbers w:val="0"/>
      </w:pPr>
      <w:r>
        <w:rPr>
          <w:rFonts w:hint="default" w:ascii="Calibri" w:hAnsi="Calibri" w:cs="Calibri"/>
          <w:sz w:val="21"/>
          <w:szCs w:val="21"/>
        </w:rPr>
        <w:t> </w:t>
      </w:r>
    </w:p>
    <w:p>
      <w:pPr>
        <w:pStyle w:val="4"/>
        <w:keepNext w:val="0"/>
        <w:keepLines w:val="0"/>
        <w:widowControl/>
        <w:suppressLineNumbers w:val="0"/>
      </w:pPr>
      <w:r>
        <w:rPr>
          <w:rFonts w:hint="eastAsia" w:ascii="宋体" w:hAnsi="宋体" w:eastAsia="宋体" w:cs="宋体"/>
          <w:sz w:val="21"/>
          <w:szCs w:val="21"/>
        </w:rPr>
        <w:t>投标人：</w:t>
      </w:r>
      <w:r>
        <w:rPr>
          <w:rFonts w:hint="eastAsia" w:ascii="宋体" w:hAnsi="宋体" w:eastAsia="宋体" w:cs="宋体"/>
          <w:sz w:val="21"/>
          <w:szCs w:val="21"/>
          <w:u w:val="single"/>
        </w:rPr>
        <w:t>（全称并加盖单位公章）</w:t>
      </w:r>
    </w:p>
    <w:p>
      <w:pPr>
        <w:pStyle w:val="4"/>
        <w:keepNext w:val="0"/>
        <w:keepLines w:val="0"/>
        <w:widowControl/>
        <w:suppressLineNumbers w:val="0"/>
      </w:pPr>
      <w:r>
        <w:rPr>
          <w:rFonts w:hint="eastAsia" w:ascii="宋体" w:hAnsi="宋体" w:eastAsia="宋体" w:cs="宋体"/>
          <w:sz w:val="21"/>
          <w:szCs w:val="21"/>
        </w:rPr>
        <w:t>投标人代表签字：</w:t>
      </w:r>
      <w:r>
        <w:rPr>
          <w:rFonts w:hint="eastAsia" w:ascii="宋体" w:hAnsi="宋体" w:eastAsia="宋体" w:cs="宋体"/>
          <w:sz w:val="21"/>
          <w:szCs w:val="21"/>
          <w:u w:val="single"/>
        </w:rPr>
        <w:t>                   </w:t>
      </w:r>
    </w:p>
    <w:p>
      <w:pPr>
        <w:pStyle w:val="4"/>
        <w:keepNext w:val="0"/>
        <w:keepLines w:val="0"/>
        <w:widowControl/>
        <w:suppressLineNumbers w:val="0"/>
      </w:pPr>
      <w:r>
        <w:rPr>
          <w:rFonts w:hint="eastAsia" w:ascii="宋体" w:hAnsi="宋体" w:eastAsia="宋体" w:cs="宋体"/>
          <w:sz w:val="21"/>
          <w:szCs w:val="21"/>
        </w:rPr>
        <w:t>日期：</w:t>
      </w:r>
      <w:r>
        <w:rPr>
          <w:rFonts w:hint="eastAsia" w:ascii="宋体" w:hAnsi="宋体" w:eastAsia="宋体" w:cs="宋体"/>
          <w:sz w:val="21"/>
          <w:szCs w:val="21"/>
          <w:u w:val="single"/>
        </w:rPr>
        <w:t>    </w:t>
      </w:r>
      <w:r>
        <w:rPr>
          <w:rFonts w:hint="eastAsia" w:ascii="宋体" w:hAnsi="宋体" w:eastAsia="宋体" w:cs="宋体"/>
          <w:sz w:val="21"/>
          <w:szCs w:val="21"/>
        </w:rPr>
        <w:t>年</w:t>
      </w:r>
      <w:r>
        <w:rPr>
          <w:rFonts w:hint="eastAsia" w:ascii="宋体" w:hAnsi="宋体" w:eastAsia="宋体" w:cs="宋体"/>
          <w:sz w:val="21"/>
          <w:szCs w:val="21"/>
          <w:u w:val="single"/>
        </w:rPr>
        <w:t>   </w:t>
      </w:r>
      <w:r>
        <w:rPr>
          <w:rFonts w:hint="eastAsia" w:ascii="宋体" w:hAnsi="宋体" w:eastAsia="宋体" w:cs="宋体"/>
          <w:sz w:val="21"/>
          <w:szCs w:val="21"/>
        </w:rPr>
        <w:t>月</w:t>
      </w:r>
      <w:r>
        <w:rPr>
          <w:rFonts w:hint="eastAsia" w:ascii="宋体" w:hAnsi="宋体" w:eastAsia="宋体" w:cs="宋体"/>
          <w:sz w:val="21"/>
          <w:szCs w:val="21"/>
          <w:u w:val="single"/>
        </w:rPr>
        <w:t>   </w:t>
      </w:r>
      <w:r>
        <w:rPr>
          <w:rFonts w:hint="eastAsia" w:ascii="宋体" w:hAnsi="宋体" w:eastAsia="宋体" w:cs="宋体"/>
          <w:sz w:val="21"/>
          <w:szCs w:val="21"/>
        </w:rPr>
        <w:t>日</w:t>
      </w:r>
    </w:p>
    <w:p>
      <w:pPr>
        <w:pStyle w:val="4"/>
        <w:keepNext w:val="0"/>
        <w:keepLines w:val="0"/>
        <w:widowControl/>
        <w:suppressLineNumbers w:val="0"/>
        <w:jc w:val="center"/>
      </w:pPr>
      <w:r>
        <w:rPr>
          <w:rFonts w:hint="default" w:ascii="Calibri" w:hAnsi="Calibri" w:cs="Calibri"/>
          <w:sz w:val="21"/>
          <w:szCs w:val="21"/>
        </w:rPr>
        <w:br w:type="textWrapping"/>
      </w:r>
      <w:r>
        <w:rPr>
          <w:rStyle w:val="6"/>
          <w:rFonts w:hint="eastAsia" w:ascii="宋体" w:hAnsi="宋体" w:eastAsia="宋体" w:cs="宋体"/>
          <w:sz w:val="21"/>
          <w:szCs w:val="21"/>
        </w:rPr>
        <w:t>三-3招标文件规定的其他价格扣除证明材料（若有）</w:t>
      </w:r>
    </w:p>
    <w:p>
      <w:pPr>
        <w:pStyle w:val="4"/>
        <w:keepNext w:val="0"/>
        <w:keepLines w:val="0"/>
        <w:widowControl/>
        <w:suppressLineNumbers w:val="0"/>
      </w:pPr>
      <w:r>
        <w:rPr>
          <w:rFonts w:hint="eastAsia" w:ascii="宋体" w:hAnsi="宋体" w:eastAsia="宋体" w:cs="宋体"/>
          <w:sz w:val="21"/>
          <w:szCs w:val="21"/>
        </w:rPr>
        <w:t> </w:t>
      </w:r>
    </w:p>
    <w:p>
      <w:pPr>
        <w:pStyle w:val="4"/>
        <w:keepNext w:val="0"/>
        <w:keepLines w:val="0"/>
        <w:widowControl/>
        <w:suppressLineNumbers w:val="0"/>
      </w:pPr>
      <w:r>
        <w:rPr>
          <w:rFonts w:hint="eastAsia" w:ascii="宋体" w:hAnsi="宋体" w:eastAsia="宋体" w:cs="宋体"/>
          <w:sz w:val="21"/>
          <w:szCs w:val="21"/>
        </w:rPr>
        <w:t> </w:t>
      </w:r>
    </w:p>
    <w:p>
      <w:pPr>
        <w:pStyle w:val="4"/>
        <w:keepNext w:val="0"/>
        <w:keepLines w:val="0"/>
        <w:widowControl/>
        <w:suppressLineNumbers w:val="0"/>
        <w:jc w:val="center"/>
      </w:pPr>
      <w:r>
        <w:rPr>
          <w:rFonts w:hint="eastAsia" w:ascii="宋体" w:hAnsi="宋体" w:eastAsia="宋体" w:cs="宋体"/>
          <w:sz w:val="21"/>
          <w:szCs w:val="21"/>
        </w:rPr>
        <w:t>编制说明</w:t>
      </w:r>
    </w:p>
    <w:p>
      <w:pPr>
        <w:pStyle w:val="4"/>
        <w:keepNext w:val="0"/>
        <w:keepLines w:val="0"/>
        <w:widowControl/>
        <w:suppressLineNumbers w:val="0"/>
        <w:jc w:val="center"/>
      </w:pPr>
      <w:r>
        <w:rPr>
          <w:rFonts w:hint="eastAsia" w:ascii="宋体" w:hAnsi="宋体" w:eastAsia="宋体" w:cs="宋体"/>
          <w:sz w:val="21"/>
          <w:szCs w:val="21"/>
        </w:rPr>
        <w:t> </w:t>
      </w:r>
    </w:p>
    <w:p>
      <w:pPr>
        <w:pStyle w:val="4"/>
        <w:keepNext w:val="0"/>
        <w:keepLines w:val="0"/>
        <w:widowControl/>
        <w:suppressLineNumbers w:val="0"/>
        <w:ind w:left="0" w:firstLine="420"/>
      </w:pPr>
      <w:r>
        <w:rPr>
          <w:rFonts w:hint="eastAsia" w:ascii="宋体" w:hAnsi="宋体" w:eastAsia="宋体" w:cs="宋体"/>
          <w:sz w:val="21"/>
          <w:szCs w:val="21"/>
        </w:rPr>
        <w:t>若投标人可享受招标文件规定的除</w:t>
      </w:r>
      <w:r>
        <w:rPr>
          <w:rStyle w:val="6"/>
          <w:rFonts w:hint="eastAsia" w:ascii="宋体" w:hAnsi="宋体" w:eastAsia="宋体" w:cs="宋体"/>
          <w:sz w:val="21"/>
          <w:szCs w:val="21"/>
        </w:rPr>
        <w:t>“节能（非强制类）、环境标志产品价格扣除”及“小型、微型企业产品等价格扣除”</w:t>
      </w:r>
      <w:r>
        <w:rPr>
          <w:rFonts w:hint="eastAsia" w:ascii="宋体" w:hAnsi="宋体" w:eastAsia="宋体" w:cs="宋体"/>
          <w:sz w:val="21"/>
          <w:szCs w:val="21"/>
        </w:rPr>
        <w:t>外的其他价格扣除优惠，则投标人应按照招标文件要求提供相应证明材料。</w:t>
      </w:r>
    </w:p>
    <w:p>
      <w:pPr>
        <w:pStyle w:val="4"/>
        <w:keepNext w:val="0"/>
        <w:keepLines w:val="0"/>
        <w:widowControl/>
        <w:suppressLineNumbers w:val="0"/>
      </w:pPr>
      <w:r>
        <w:rPr>
          <w:rFonts w:hint="eastAsia" w:ascii="宋体" w:hAnsi="宋体" w:eastAsia="宋体" w:cs="宋体"/>
          <w:sz w:val="21"/>
          <w:szCs w:val="21"/>
        </w:rPr>
        <w:t> </w:t>
      </w:r>
    </w:p>
    <w:p>
      <w:pPr>
        <w:pStyle w:val="4"/>
        <w:keepNext w:val="0"/>
        <w:keepLines w:val="0"/>
        <w:widowControl/>
        <w:suppressLineNumbers w:val="0"/>
      </w:pPr>
      <w:r>
        <w:rPr>
          <w:rFonts w:hint="eastAsia" w:ascii="宋体" w:hAnsi="宋体" w:eastAsia="宋体" w:cs="宋体"/>
          <w:sz w:val="21"/>
          <w:szCs w:val="21"/>
        </w:rPr>
        <w:t> </w:t>
      </w:r>
    </w:p>
    <w:p>
      <w:pPr>
        <w:pStyle w:val="4"/>
        <w:keepNext w:val="0"/>
        <w:keepLines w:val="0"/>
        <w:widowControl/>
        <w:suppressLineNumbers w:val="0"/>
        <w:jc w:val="center"/>
      </w:pPr>
      <w:r>
        <w:rPr>
          <w:rFonts w:hint="default" w:ascii="Calibri" w:hAnsi="Calibri" w:cs="Calibri"/>
          <w:sz w:val="21"/>
          <w:szCs w:val="21"/>
        </w:rPr>
        <w:br w:type="textWrapping"/>
      </w:r>
      <w:r>
        <w:rPr>
          <w:rStyle w:val="6"/>
          <w:rFonts w:hint="eastAsia" w:ascii="宋体" w:hAnsi="宋体" w:eastAsia="宋体" w:cs="宋体"/>
          <w:sz w:val="21"/>
          <w:szCs w:val="21"/>
        </w:rPr>
        <w:t>四、招标文件规定的加分证明材料（若有）</w:t>
      </w:r>
    </w:p>
    <w:p>
      <w:pPr>
        <w:pStyle w:val="4"/>
        <w:keepNext w:val="0"/>
        <w:keepLines w:val="0"/>
        <w:widowControl/>
        <w:suppressLineNumbers w:val="0"/>
        <w:jc w:val="center"/>
      </w:pPr>
      <w:r>
        <w:rPr>
          <w:rFonts w:hint="eastAsia" w:ascii="宋体" w:hAnsi="宋体" w:eastAsia="宋体" w:cs="宋体"/>
          <w:sz w:val="21"/>
          <w:szCs w:val="21"/>
        </w:rPr>
        <w:t> </w:t>
      </w:r>
    </w:p>
    <w:p>
      <w:pPr>
        <w:pStyle w:val="4"/>
        <w:keepNext w:val="0"/>
        <w:keepLines w:val="0"/>
        <w:widowControl/>
        <w:suppressLineNumbers w:val="0"/>
        <w:jc w:val="center"/>
      </w:pPr>
      <w:r>
        <w:rPr>
          <w:rStyle w:val="6"/>
          <w:rFonts w:hint="eastAsia" w:ascii="宋体" w:hAnsi="宋体" w:eastAsia="宋体" w:cs="宋体"/>
          <w:sz w:val="21"/>
          <w:szCs w:val="21"/>
        </w:rPr>
        <w:t>四-1优先类节能产品、环境标志产品加分证明材料（若有）</w:t>
      </w:r>
    </w:p>
    <w:p>
      <w:pPr>
        <w:pStyle w:val="4"/>
        <w:keepNext w:val="0"/>
        <w:keepLines w:val="0"/>
        <w:widowControl/>
        <w:suppressLineNumbers w:val="0"/>
        <w:jc w:val="center"/>
      </w:pPr>
      <w:r>
        <w:rPr>
          <w:rStyle w:val="6"/>
          <w:rFonts w:hint="eastAsia" w:ascii="宋体" w:hAnsi="宋体" w:eastAsia="宋体" w:cs="宋体"/>
          <w:sz w:val="21"/>
          <w:szCs w:val="21"/>
        </w:rPr>
        <w:t> </w:t>
      </w:r>
    </w:p>
    <w:p>
      <w:pPr>
        <w:pStyle w:val="4"/>
        <w:keepNext w:val="0"/>
        <w:keepLines w:val="0"/>
        <w:widowControl/>
        <w:suppressLineNumbers w:val="0"/>
        <w:jc w:val="center"/>
      </w:pPr>
      <w:r>
        <w:rPr>
          <w:rStyle w:val="6"/>
          <w:rFonts w:hint="eastAsia" w:ascii="宋体" w:hAnsi="宋体" w:eastAsia="宋体" w:cs="宋体"/>
          <w:sz w:val="21"/>
          <w:szCs w:val="21"/>
        </w:rPr>
        <w:t>四-1-①优先类节能产品、环境标志产品统计表（加分适用，若有）</w:t>
      </w:r>
    </w:p>
    <w:p>
      <w:pPr>
        <w:pStyle w:val="4"/>
        <w:keepNext w:val="0"/>
        <w:keepLines w:val="0"/>
        <w:widowControl/>
        <w:suppressLineNumbers w:val="0"/>
      </w:pPr>
      <w:r>
        <w:rPr>
          <w:rFonts w:hint="eastAsia" w:ascii="宋体" w:hAnsi="宋体" w:eastAsia="宋体" w:cs="宋体"/>
          <w:sz w:val="21"/>
          <w:szCs w:val="21"/>
        </w:rPr>
        <w:t> </w:t>
      </w:r>
    </w:p>
    <w:p>
      <w:pPr>
        <w:pStyle w:val="4"/>
        <w:keepNext w:val="0"/>
        <w:keepLines w:val="0"/>
        <w:widowControl/>
        <w:suppressLineNumbers w:val="0"/>
      </w:pPr>
      <w:r>
        <w:rPr>
          <w:rFonts w:hint="eastAsia" w:ascii="宋体" w:hAnsi="宋体" w:eastAsia="宋体" w:cs="宋体"/>
          <w:sz w:val="21"/>
          <w:szCs w:val="21"/>
        </w:rPr>
        <w:t>招标编号：</w:t>
      </w:r>
      <w:r>
        <w:rPr>
          <w:rFonts w:hint="eastAsia" w:ascii="宋体" w:hAnsi="宋体" w:eastAsia="宋体" w:cs="宋体"/>
          <w:sz w:val="21"/>
          <w:szCs w:val="21"/>
          <w:u w:val="single"/>
        </w:rPr>
        <w:t>                   </w:t>
      </w:r>
    </w:p>
    <w:p>
      <w:pPr>
        <w:pStyle w:val="4"/>
        <w:keepNext w:val="0"/>
        <w:keepLines w:val="0"/>
        <w:widowControl/>
        <w:suppressLineNumbers w:val="0"/>
        <w:jc w:val="right"/>
      </w:pPr>
      <w:r>
        <w:rPr>
          <w:rFonts w:hint="eastAsia" w:ascii="宋体" w:hAnsi="宋体" w:eastAsia="宋体" w:cs="宋体"/>
          <w:sz w:val="21"/>
          <w:szCs w:val="21"/>
        </w:rPr>
        <w:t>货币及单位：人民币元</w:t>
      </w:r>
    </w:p>
    <w:tbl>
      <w:tblPr>
        <w:tblStyle w:val="9"/>
        <w:tblW w:w="8517" w:type="dxa"/>
        <w:tblCellSpacing w:w="15" w:type="dxa"/>
        <w:tblInd w:w="-15"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15" w:type="dxa"/>
          <w:left w:w="15" w:type="dxa"/>
          <w:bottom w:w="15" w:type="dxa"/>
          <w:right w:w="15" w:type="dxa"/>
        </w:tblCellMar>
      </w:tblPr>
      <w:tblGrid>
        <w:gridCol w:w="1211"/>
        <w:gridCol w:w="1211"/>
        <w:gridCol w:w="1211"/>
        <w:gridCol w:w="1211"/>
        <w:gridCol w:w="1211"/>
        <w:gridCol w:w="1211"/>
        <w:gridCol w:w="1251"/>
      </w:tblGrid>
      <w:tr>
        <w:trPr>
          <w:tblCellSpacing w:w="15" w:type="dxa"/>
        </w:trPr>
        <w:tc>
          <w:tcPr>
            <w:tcW w:w="1166" w:type="dxa"/>
            <w:tcBorders>
              <w:top w:val="nil"/>
              <w:left w:val="nil"/>
              <w:bottom w:val="nil"/>
              <w:right w:val="nil"/>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7261" w:type="dxa"/>
            <w:gridSpan w:val="6"/>
            <w:tcBorders>
              <w:top w:val="nil"/>
              <w:left w:val="nil"/>
              <w:bottom w:val="nil"/>
              <w:right w:val="nil"/>
            </w:tcBorders>
            <w:shd w:val="clear" w:color="auto" w:fill="auto"/>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sz w:val="21"/>
                <w:szCs w:val="21"/>
              </w:rPr>
              <w:t>本合同包内属于节能、环境标志产品的情况</w:t>
            </w:r>
          </w:p>
        </w:tc>
      </w:tr>
      <w:tr>
        <w:trPr>
          <w:tblCellSpacing w:w="15" w:type="dxa"/>
        </w:trPr>
        <w:tc>
          <w:tcPr>
            <w:tcW w:w="1166" w:type="dxa"/>
            <w:tcBorders>
              <w:top w:val="nil"/>
              <w:left w:val="nil"/>
              <w:bottom w:val="nil"/>
              <w:right w:val="nil"/>
            </w:tcBorders>
            <w:shd w:val="clear" w:color="auto" w:fill="auto"/>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sz w:val="21"/>
                <w:szCs w:val="21"/>
              </w:rPr>
              <w:t>合同包</w:t>
            </w:r>
          </w:p>
        </w:tc>
        <w:tc>
          <w:tcPr>
            <w:tcW w:w="1181" w:type="dxa"/>
            <w:tcBorders>
              <w:top w:val="nil"/>
              <w:left w:val="nil"/>
              <w:bottom w:val="nil"/>
              <w:right w:val="nil"/>
            </w:tcBorders>
            <w:shd w:val="clear" w:color="auto" w:fill="auto"/>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sz w:val="21"/>
                <w:szCs w:val="21"/>
              </w:rPr>
              <w:t>品目号</w:t>
            </w:r>
          </w:p>
        </w:tc>
        <w:tc>
          <w:tcPr>
            <w:tcW w:w="1181" w:type="dxa"/>
            <w:tcBorders>
              <w:top w:val="nil"/>
              <w:left w:val="nil"/>
              <w:bottom w:val="nil"/>
              <w:right w:val="nil"/>
            </w:tcBorders>
            <w:shd w:val="clear" w:color="auto" w:fill="auto"/>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sz w:val="21"/>
                <w:szCs w:val="21"/>
              </w:rPr>
              <w:t>货物名称</w:t>
            </w:r>
          </w:p>
        </w:tc>
        <w:tc>
          <w:tcPr>
            <w:tcW w:w="1181" w:type="dxa"/>
            <w:tcBorders>
              <w:top w:val="nil"/>
              <w:left w:val="nil"/>
              <w:bottom w:val="nil"/>
              <w:right w:val="nil"/>
            </w:tcBorders>
            <w:shd w:val="clear" w:color="auto" w:fill="auto"/>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sz w:val="21"/>
                <w:szCs w:val="21"/>
              </w:rPr>
              <w:t>单价</w:t>
            </w:r>
          </w:p>
          <w:p>
            <w:pPr>
              <w:pStyle w:val="4"/>
              <w:keepNext w:val="0"/>
              <w:keepLines w:val="0"/>
              <w:widowControl/>
              <w:suppressLineNumbers w:val="0"/>
              <w:jc w:val="center"/>
            </w:pPr>
            <w:r>
              <w:rPr>
                <w:rFonts w:hint="eastAsia" w:ascii="宋体" w:hAnsi="宋体" w:eastAsia="宋体" w:cs="宋体"/>
                <w:sz w:val="21"/>
                <w:szCs w:val="21"/>
              </w:rPr>
              <w:t>（现场）</w:t>
            </w:r>
          </w:p>
        </w:tc>
        <w:tc>
          <w:tcPr>
            <w:tcW w:w="1181" w:type="dxa"/>
            <w:tcBorders>
              <w:top w:val="nil"/>
              <w:left w:val="nil"/>
              <w:bottom w:val="nil"/>
              <w:right w:val="nil"/>
            </w:tcBorders>
            <w:shd w:val="clear" w:color="auto" w:fill="auto"/>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sz w:val="21"/>
                <w:szCs w:val="21"/>
              </w:rPr>
              <w:t>数量</w:t>
            </w:r>
          </w:p>
        </w:tc>
        <w:tc>
          <w:tcPr>
            <w:tcW w:w="1181" w:type="dxa"/>
            <w:tcBorders>
              <w:top w:val="nil"/>
              <w:left w:val="nil"/>
              <w:bottom w:val="nil"/>
              <w:right w:val="nil"/>
            </w:tcBorders>
            <w:shd w:val="clear" w:color="auto" w:fill="auto"/>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sz w:val="21"/>
                <w:szCs w:val="21"/>
              </w:rPr>
              <w:t>总价</w:t>
            </w:r>
          </w:p>
          <w:p>
            <w:pPr>
              <w:pStyle w:val="4"/>
              <w:keepNext w:val="0"/>
              <w:keepLines w:val="0"/>
              <w:widowControl/>
              <w:suppressLineNumbers w:val="0"/>
              <w:jc w:val="center"/>
            </w:pPr>
            <w:r>
              <w:rPr>
                <w:rFonts w:hint="eastAsia" w:ascii="宋体" w:hAnsi="宋体" w:eastAsia="宋体" w:cs="宋体"/>
                <w:sz w:val="21"/>
                <w:szCs w:val="21"/>
              </w:rPr>
              <w:t>（现场）</w:t>
            </w:r>
          </w:p>
        </w:tc>
        <w:tc>
          <w:tcPr>
            <w:tcW w:w="1206" w:type="dxa"/>
            <w:tcBorders>
              <w:top w:val="nil"/>
              <w:left w:val="nil"/>
              <w:bottom w:val="nil"/>
              <w:right w:val="nil"/>
            </w:tcBorders>
            <w:shd w:val="clear" w:color="auto" w:fill="auto"/>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sz w:val="21"/>
                <w:szCs w:val="21"/>
              </w:rPr>
              <w:t>认证种类</w:t>
            </w:r>
          </w:p>
        </w:tc>
      </w:tr>
      <w:tr>
        <w:trPr>
          <w:tblCellSpacing w:w="15" w:type="dxa"/>
        </w:trPr>
        <w:tc>
          <w:tcPr>
            <w:tcW w:w="1166" w:type="dxa"/>
            <w:vMerge w:val="restart"/>
            <w:tcBorders>
              <w:top w:val="nil"/>
              <w:left w:val="nil"/>
              <w:bottom w:val="nil"/>
              <w:right w:val="nil"/>
            </w:tcBorders>
            <w:shd w:val="clear" w:color="auto" w:fill="auto"/>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sz w:val="21"/>
                <w:szCs w:val="21"/>
              </w:rPr>
              <w:t>*</w:t>
            </w:r>
          </w:p>
        </w:tc>
        <w:tc>
          <w:tcPr>
            <w:tcW w:w="1181" w:type="dxa"/>
            <w:tcBorders>
              <w:top w:val="nil"/>
              <w:left w:val="nil"/>
              <w:bottom w:val="nil"/>
              <w:right w:val="nil"/>
            </w:tcBorders>
            <w:shd w:val="clear" w:color="auto" w:fill="auto"/>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sz w:val="21"/>
                <w:szCs w:val="21"/>
              </w:rPr>
              <w:t>*-1</w:t>
            </w:r>
          </w:p>
        </w:tc>
        <w:tc>
          <w:tcPr>
            <w:tcW w:w="1181" w:type="dxa"/>
            <w:tcBorders>
              <w:top w:val="nil"/>
              <w:left w:val="nil"/>
              <w:bottom w:val="nil"/>
              <w:right w:val="nil"/>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1181" w:type="dxa"/>
            <w:tcBorders>
              <w:top w:val="nil"/>
              <w:left w:val="nil"/>
              <w:bottom w:val="nil"/>
              <w:right w:val="nil"/>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1181" w:type="dxa"/>
            <w:tcBorders>
              <w:top w:val="nil"/>
              <w:left w:val="nil"/>
              <w:bottom w:val="nil"/>
              <w:right w:val="nil"/>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1181" w:type="dxa"/>
            <w:tcBorders>
              <w:top w:val="nil"/>
              <w:left w:val="nil"/>
              <w:bottom w:val="nil"/>
              <w:right w:val="nil"/>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1206" w:type="dxa"/>
            <w:tcBorders>
              <w:top w:val="nil"/>
              <w:left w:val="nil"/>
              <w:bottom w:val="nil"/>
              <w:right w:val="nil"/>
            </w:tcBorders>
            <w:shd w:val="clear" w:color="auto" w:fill="auto"/>
            <w:tcMar>
              <w:top w:w="0" w:type="dxa"/>
              <w:left w:w="105" w:type="dxa"/>
              <w:bottom w:w="0" w:type="dxa"/>
              <w:right w:w="105" w:type="dxa"/>
            </w:tcMar>
            <w:vAlign w:val="center"/>
          </w:tcPr>
          <w:p>
            <w:pPr>
              <w:keepNext w:val="0"/>
              <w:keepLines w:val="0"/>
              <w:widowControl/>
              <w:suppressLineNumbers w:val="0"/>
              <w:jc w:val="left"/>
            </w:pPr>
          </w:p>
        </w:tc>
      </w:tr>
      <w:tr>
        <w:trPr>
          <w:tblCellSpacing w:w="15" w:type="dxa"/>
        </w:trPr>
        <w:tc>
          <w:tcPr>
            <w:tcW w:w="1166" w:type="dxa"/>
            <w:vMerge w:val="continue"/>
            <w:tcBorders>
              <w:top w:val="nil"/>
              <w:left w:val="nil"/>
              <w:bottom w:val="nil"/>
              <w:right w:val="nil"/>
            </w:tcBorders>
            <w:shd w:val="clear" w:color="auto" w:fill="auto"/>
            <w:tcMar>
              <w:top w:w="0" w:type="dxa"/>
              <w:left w:w="105" w:type="dxa"/>
              <w:bottom w:w="0" w:type="dxa"/>
              <w:right w:w="105" w:type="dxa"/>
            </w:tcMar>
            <w:vAlign w:val="center"/>
          </w:tcPr>
          <w:p>
            <w:pPr>
              <w:rPr>
                <w:rFonts w:hint="eastAsia" w:ascii="宋体"/>
                <w:sz w:val="24"/>
                <w:szCs w:val="24"/>
              </w:rPr>
            </w:pPr>
          </w:p>
        </w:tc>
        <w:tc>
          <w:tcPr>
            <w:tcW w:w="1181" w:type="dxa"/>
            <w:tcBorders>
              <w:top w:val="nil"/>
              <w:left w:val="nil"/>
              <w:bottom w:val="nil"/>
              <w:right w:val="nil"/>
            </w:tcBorders>
            <w:shd w:val="clear" w:color="auto" w:fill="auto"/>
            <w:tcMar>
              <w:top w:w="0" w:type="dxa"/>
              <w:left w:w="105" w:type="dxa"/>
              <w:bottom w:w="0" w:type="dxa"/>
              <w:right w:w="105" w:type="dxa"/>
            </w:tcMar>
            <w:vAlign w:val="center"/>
          </w:tcPr>
          <w:p>
            <w:pPr>
              <w:pStyle w:val="4"/>
              <w:keepNext w:val="0"/>
              <w:keepLines w:val="0"/>
              <w:widowControl/>
              <w:suppressLineNumbers w:val="0"/>
              <w:jc w:val="center"/>
            </w:pPr>
            <w:r>
              <w:rPr>
                <w:rFonts w:hint="default" w:ascii="Calibri" w:hAnsi="Calibri" w:cs="Calibri"/>
                <w:sz w:val="21"/>
                <w:szCs w:val="21"/>
              </w:rPr>
              <w:t>…</w:t>
            </w:r>
          </w:p>
        </w:tc>
        <w:tc>
          <w:tcPr>
            <w:tcW w:w="1181" w:type="dxa"/>
            <w:tcBorders>
              <w:top w:val="nil"/>
              <w:left w:val="nil"/>
              <w:bottom w:val="nil"/>
              <w:right w:val="nil"/>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1181" w:type="dxa"/>
            <w:tcBorders>
              <w:top w:val="nil"/>
              <w:left w:val="nil"/>
              <w:bottom w:val="nil"/>
              <w:right w:val="nil"/>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1181" w:type="dxa"/>
            <w:tcBorders>
              <w:top w:val="nil"/>
              <w:left w:val="nil"/>
              <w:bottom w:val="nil"/>
              <w:right w:val="nil"/>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1181" w:type="dxa"/>
            <w:tcBorders>
              <w:top w:val="nil"/>
              <w:left w:val="nil"/>
              <w:bottom w:val="nil"/>
              <w:right w:val="nil"/>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1206" w:type="dxa"/>
            <w:tcBorders>
              <w:top w:val="nil"/>
              <w:left w:val="nil"/>
              <w:bottom w:val="nil"/>
              <w:right w:val="nil"/>
            </w:tcBorders>
            <w:shd w:val="clear" w:color="auto" w:fill="auto"/>
            <w:tcMar>
              <w:top w:w="0" w:type="dxa"/>
              <w:left w:w="105" w:type="dxa"/>
              <w:bottom w:w="0" w:type="dxa"/>
              <w:right w:w="105" w:type="dxa"/>
            </w:tcMar>
            <w:vAlign w:val="center"/>
          </w:tcPr>
          <w:p>
            <w:pPr>
              <w:keepNext w:val="0"/>
              <w:keepLines w:val="0"/>
              <w:widowControl/>
              <w:suppressLineNumbers w:val="0"/>
              <w:jc w:val="left"/>
            </w:pPr>
          </w:p>
        </w:tc>
      </w:tr>
      <w:tr>
        <w:trPr>
          <w:tblCellSpacing w:w="15" w:type="dxa"/>
        </w:trPr>
        <w:tc>
          <w:tcPr>
            <w:tcW w:w="1166" w:type="dxa"/>
            <w:tcBorders>
              <w:top w:val="nil"/>
              <w:left w:val="nil"/>
              <w:bottom w:val="nil"/>
              <w:right w:val="nil"/>
            </w:tcBorders>
            <w:shd w:val="clear" w:color="auto" w:fill="auto"/>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sz w:val="21"/>
                <w:szCs w:val="21"/>
              </w:rPr>
              <w:t>备注</w:t>
            </w:r>
          </w:p>
        </w:tc>
        <w:tc>
          <w:tcPr>
            <w:tcW w:w="7261" w:type="dxa"/>
            <w:gridSpan w:val="6"/>
            <w:tcBorders>
              <w:top w:val="nil"/>
              <w:left w:val="nil"/>
              <w:bottom w:val="nil"/>
              <w:right w:val="nil"/>
            </w:tcBorders>
            <w:shd w:val="clear" w:color="auto" w:fill="auto"/>
            <w:tcMar>
              <w:top w:w="0" w:type="dxa"/>
              <w:left w:w="105" w:type="dxa"/>
              <w:bottom w:w="0" w:type="dxa"/>
              <w:right w:w="105" w:type="dxa"/>
            </w:tcMar>
            <w:vAlign w:val="top"/>
          </w:tcPr>
          <w:p>
            <w:pPr>
              <w:pStyle w:val="4"/>
              <w:keepNext w:val="0"/>
              <w:keepLines w:val="0"/>
              <w:widowControl/>
              <w:suppressLineNumbers w:val="0"/>
            </w:pPr>
            <w:r>
              <w:rPr>
                <w:rFonts w:hint="eastAsia" w:ascii="宋体" w:hAnsi="宋体" w:eastAsia="宋体" w:cs="宋体"/>
                <w:sz w:val="21"/>
                <w:szCs w:val="21"/>
              </w:rPr>
              <w:t>a.合同包内属于节能、环境标志产品的报价总金额：</w:t>
            </w:r>
            <w:r>
              <w:rPr>
                <w:rFonts w:hint="eastAsia" w:ascii="宋体" w:hAnsi="宋体" w:eastAsia="宋体" w:cs="宋体"/>
                <w:sz w:val="21"/>
                <w:szCs w:val="21"/>
                <w:u w:val="single"/>
              </w:rPr>
              <w:t>              </w:t>
            </w:r>
            <w:r>
              <w:rPr>
                <w:rFonts w:hint="eastAsia" w:ascii="宋体" w:hAnsi="宋体" w:eastAsia="宋体" w:cs="宋体"/>
                <w:sz w:val="21"/>
                <w:szCs w:val="21"/>
              </w:rPr>
              <w:t>；</w:t>
            </w:r>
          </w:p>
          <w:p>
            <w:pPr>
              <w:pStyle w:val="4"/>
              <w:keepNext w:val="0"/>
              <w:keepLines w:val="0"/>
              <w:widowControl/>
              <w:suppressLineNumbers w:val="0"/>
            </w:pPr>
            <w:r>
              <w:rPr>
                <w:rFonts w:hint="eastAsia" w:ascii="宋体" w:hAnsi="宋体" w:eastAsia="宋体" w:cs="宋体"/>
                <w:sz w:val="21"/>
                <w:szCs w:val="21"/>
              </w:rPr>
              <w:t>b.合同包投标总价（报价总金额）：</w:t>
            </w:r>
            <w:r>
              <w:rPr>
                <w:rFonts w:hint="eastAsia" w:ascii="宋体" w:hAnsi="宋体" w:eastAsia="宋体" w:cs="宋体"/>
                <w:sz w:val="21"/>
                <w:szCs w:val="21"/>
                <w:u w:val="single"/>
              </w:rPr>
              <w:t>              </w:t>
            </w:r>
            <w:r>
              <w:rPr>
                <w:rFonts w:hint="eastAsia" w:ascii="宋体" w:hAnsi="宋体" w:eastAsia="宋体" w:cs="宋体"/>
                <w:sz w:val="21"/>
                <w:szCs w:val="21"/>
              </w:rPr>
              <w:t>；</w:t>
            </w:r>
          </w:p>
          <w:p>
            <w:pPr>
              <w:pStyle w:val="4"/>
              <w:keepNext w:val="0"/>
              <w:keepLines w:val="0"/>
              <w:widowControl/>
              <w:suppressLineNumbers w:val="0"/>
            </w:pPr>
            <w:r>
              <w:rPr>
                <w:rFonts w:hint="eastAsia" w:ascii="宋体" w:hAnsi="宋体" w:eastAsia="宋体" w:cs="宋体"/>
                <w:sz w:val="21"/>
                <w:szCs w:val="21"/>
              </w:rPr>
              <w:t>c.“合同包内属于节能、环境标志产品的报价总金额”占“合同包投标总价（报价总金额）”的比例（以</w:t>
            </w:r>
            <w:r>
              <w:rPr>
                <w:rFonts w:hint="default" w:ascii="Calibri" w:hAnsi="Calibri" w:eastAsia="宋体" w:cs="Calibri"/>
                <w:sz w:val="21"/>
                <w:szCs w:val="21"/>
              </w:rPr>
              <w:t>%</w:t>
            </w:r>
            <w:r>
              <w:rPr>
                <w:rFonts w:hint="eastAsia" w:ascii="宋体" w:hAnsi="宋体" w:eastAsia="宋体" w:cs="宋体"/>
                <w:sz w:val="21"/>
                <w:szCs w:val="21"/>
              </w:rPr>
              <w:t>列示）：</w:t>
            </w:r>
            <w:r>
              <w:rPr>
                <w:rFonts w:hint="eastAsia" w:ascii="宋体" w:hAnsi="宋体" w:eastAsia="宋体" w:cs="宋体"/>
                <w:sz w:val="21"/>
                <w:szCs w:val="21"/>
                <w:u w:val="single"/>
              </w:rPr>
              <w:t>              </w:t>
            </w:r>
            <w:r>
              <w:rPr>
                <w:rFonts w:hint="eastAsia" w:ascii="宋体" w:hAnsi="宋体" w:eastAsia="宋体" w:cs="宋体"/>
                <w:sz w:val="21"/>
                <w:szCs w:val="21"/>
              </w:rPr>
              <w:t>。</w:t>
            </w:r>
          </w:p>
        </w:tc>
      </w:tr>
    </w:tbl>
    <w:p>
      <w:pPr>
        <w:pStyle w:val="4"/>
        <w:keepNext w:val="0"/>
        <w:keepLines w:val="0"/>
        <w:widowControl/>
        <w:suppressLineNumbers w:val="0"/>
      </w:pPr>
      <w:r>
        <w:rPr>
          <w:rFonts w:hint="eastAsia" w:ascii="宋体" w:hAnsi="宋体" w:eastAsia="宋体" w:cs="宋体"/>
          <w:sz w:val="21"/>
          <w:szCs w:val="21"/>
        </w:rPr>
        <w:t>★注意：</w:t>
      </w:r>
    </w:p>
    <w:p>
      <w:pPr>
        <w:pStyle w:val="4"/>
        <w:keepNext w:val="0"/>
        <w:keepLines w:val="0"/>
        <w:widowControl/>
        <w:suppressLineNumbers w:val="0"/>
      </w:pPr>
      <w:r>
        <w:rPr>
          <w:rFonts w:hint="eastAsia" w:ascii="宋体" w:hAnsi="宋体" w:eastAsia="宋体" w:cs="宋体"/>
          <w:sz w:val="21"/>
          <w:szCs w:val="21"/>
        </w:rPr>
        <w:t>1、对节能、环境标志产品计算加分时，只依据投标文件</w:t>
      </w:r>
      <w:r>
        <w:rPr>
          <w:rStyle w:val="6"/>
          <w:rFonts w:hint="eastAsia" w:ascii="宋体" w:hAnsi="宋体" w:eastAsia="宋体" w:cs="宋体"/>
          <w:sz w:val="21"/>
          <w:szCs w:val="21"/>
        </w:rPr>
        <w:t>“四</w:t>
      </w:r>
      <w:r>
        <w:rPr>
          <w:rStyle w:val="6"/>
          <w:rFonts w:hint="default" w:ascii="Calibri" w:hAnsi="Calibri" w:eastAsia="宋体" w:cs="Calibri"/>
          <w:sz w:val="21"/>
          <w:szCs w:val="21"/>
        </w:rPr>
        <w:t>-1-</w:t>
      </w:r>
      <w:r>
        <w:rPr>
          <w:rStyle w:val="6"/>
          <w:rFonts w:hint="eastAsia" w:ascii="宋体" w:hAnsi="宋体" w:eastAsia="宋体" w:cs="宋体"/>
          <w:sz w:val="21"/>
          <w:szCs w:val="21"/>
        </w:rPr>
        <w:t>②优先类节能产品、环境标志产品加分证明材料（加分适用，若有）”。</w:t>
      </w:r>
    </w:p>
    <w:p>
      <w:pPr>
        <w:pStyle w:val="4"/>
        <w:keepNext w:val="0"/>
        <w:keepLines w:val="0"/>
        <w:widowControl/>
        <w:suppressLineNumbers w:val="0"/>
      </w:pPr>
      <w:r>
        <w:rPr>
          <w:rFonts w:hint="eastAsia" w:ascii="宋体" w:hAnsi="宋体" w:eastAsia="宋体" w:cs="宋体"/>
          <w:sz w:val="21"/>
          <w:szCs w:val="21"/>
        </w:rPr>
        <w:t>2、本表以合同包为单位，不同合同包请分别填写；同一合同包请按照其品目号顺序分别填写。</w:t>
      </w:r>
    </w:p>
    <w:p>
      <w:pPr>
        <w:pStyle w:val="4"/>
        <w:keepNext w:val="0"/>
        <w:keepLines w:val="0"/>
        <w:widowControl/>
        <w:suppressLineNumbers w:val="0"/>
      </w:pPr>
      <w:r>
        <w:rPr>
          <w:rFonts w:hint="eastAsia" w:ascii="宋体" w:hAnsi="宋体" w:eastAsia="宋体" w:cs="宋体"/>
          <w:sz w:val="21"/>
          <w:szCs w:val="21"/>
        </w:rPr>
        <w:t>3、具体统计、计算：</w:t>
      </w:r>
    </w:p>
    <w:p>
      <w:pPr>
        <w:pStyle w:val="4"/>
        <w:keepNext w:val="0"/>
        <w:keepLines w:val="0"/>
        <w:widowControl/>
        <w:suppressLineNumbers w:val="0"/>
      </w:pPr>
      <w:r>
        <w:rPr>
          <w:rFonts w:hint="eastAsia" w:ascii="宋体" w:hAnsi="宋体" w:eastAsia="宋体" w:cs="宋体"/>
          <w:sz w:val="21"/>
          <w:szCs w:val="21"/>
        </w:rPr>
        <w:t>3.1</w:t>
      </w:r>
      <w:r>
        <w:rPr>
          <w:rFonts w:hint="default" w:ascii="Calibri" w:hAnsi="Calibri" w:cs="Calibri"/>
          <w:sz w:val="21"/>
          <w:szCs w:val="21"/>
        </w:rPr>
        <w:t> </w:t>
      </w:r>
      <w:r>
        <w:rPr>
          <w:rFonts w:hint="eastAsia" w:ascii="宋体" w:hAnsi="宋体" w:eastAsia="宋体" w:cs="宋体"/>
          <w:sz w:val="21"/>
          <w:szCs w:val="21"/>
        </w:rPr>
        <w:t>若节能、环境标志产品仅是构成投标产品的部件、组件或零件，则该投标产品不享受鼓励优惠政策。同一品目中各认证证书不重复计算加分。强制类节能产品不享受加分。</w:t>
      </w:r>
    </w:p>
    <w:p>
      <w:pPr>
        <w:pStyle w:val="4"/>
        <w:keepNext w:val="0"/>
        <w:keepLines w:val="0"/>
        <w:widowControl/>
        <w:suppressLineNumbers w:val="0"/>
      </w:pPr>
      <w:r>
        <w:rPr>
          <w:rFonts w:hint="eastAsia" w:ascii="宋体" w:hAnsi="宋体" w:eastAsia="宋体" w:cs="宋体"/>
          <w:sz w:val="21"/>
          <w:szCs w:val="21"/>
        </w:rPr>
        <w:t>3.2计算结果若除不尽，可四舍五入保留到小数点后两位。</w:t>
      </w:r>
    </w:p>
    <w:p>
      <w:pPr>
        <w:pStyle w:val="4"/>
        <w:keepNext w:val="0"/>
        <w:keepLines w:val="0"/>
        <w:widowControl/>
        <w:suppressLineNumbers w:val="0"/>
      </w:pPr>
      <w:r>
        <w:rPr>
          <w:rFonts w:hint="eastAsia" w:ascii="宋体" w:hAnsi="宋体" w:eastAsia="宋体" w:cs="宋体"/>
          <w:sz w:val="21"/>
          <w:szCs w:val="21"/>
        </w:rPr>
        <w:t>3.3投标人应按照招标文件要求认真统计、计算，否则评标委员会不予认定。</w:t>
      </w:r>
    </w:p>
    <w:p>
      <w:pPr>
        <w:pStyle w:val="4"/>
        <w:keepNext w:val="0"/>
        <w:keepLines w:val="0"/>
        <w:widowControl/>
        <w:suppressLineNumbers w:val="0"/>
      </w:pPr>
      <w:r>
        <w:rPr>
          <w:rFonts w:hint="eastAsia" w:ascii="宋体" w:hAnsi="宋体" w:eastAsia="宋体" w:cs="宋体"/>
          <w:sz w:val="21"/>
          <w:szCs w:val="21"/>
        </w:rPr>
        <w:t>3.4若无节能、环境标志产品，不填写本表，否则，</w:t>
      </w:r>
      <w:r>
        <w:rPr>
          <w:rStyle w:val="6"/>
          <w:rFonts w:hint="eastAsia" w:ascii="宋体" w:hAnsi="宋体" w:eastAsia="宋体" w:cs="宋体"/>
          <w:sz w:val="21"/>
          <w:szCs w:val="21"/>
        </w:rPr>
        <w:t>视为提供虚假材料</w:t>
      </w:r>
      <w:r>
        <w:rPr>
          <w:rFonts w:hint="eastAsia" w:ascii="宋体" w:hAnsi="宋体" w:eastAsia="宋体" w:cs="宋体"/>
          <w:sz w:val="21"/>
          <w:szCs w:val="21"/>
        </w:rPr>
        <w:t>。</w:t>
      </w:r>
    </w:p>
    <w:p>
      <w:pPr>
        <w:pStyle w:val="4"/>
        <w:keepNext w:val="0"/>
        <w:keepLines w:val="0"/>
        <w:widowControl/>
        <w:suppressLineNumbers w:val="0"/>
      </w:pPr>
      <w:r>
        <w:rPr>
          <w:rFonts w:hint="eastAsia" w:ascii="宋体" w:hAnsi="宋体" w:eastAsia="宋体" w:cs="宋体"/>
          <w:sz w:val="21"/>
          <w:szCs w:val="21"/>
        </w:rPr>
        <w:t>4、纸质投标文件正本中的本表（若有）应为原件。</w:t>
      </w:r>
    </w:p>
    <w:p>
      <w:pPr>
        <w:pStyle w:val="4"/>
        <w:keepNext w:val="0"/>
        <w:keepLines w:val="0"/>
        <w:widowControl/>
        <w:suppressLineNumbers w:val="0"/>
      </w:pPr>
      <w:r>
        <w:rPr>
          <w:rFonts w:hint="eastAsia" w:ascii="宋体" w:hAnsi="宋体" w:eastAsia="宋体" w:cs="宋体"/>
          <w:sz w:val="21"/>
          <w:szCs w:val="21"/>
        </w:rPr>
        <w:t> </w:t>
      </w:r>
    </w:p>
    <w:p>
      <w:pPr>
        <w:pStyle w:val="4"/>
        <w:keepNext w:val="0"/>
        <w:keepLines w:val="0"/>
        <w:widowControl/>
        <w:suppressLineNumbers w:val="0"/>
      </w:pPr>
      <w:r>
        <w:rPr>
          <w:rFonts w:hint="eastAsia" w:ascii="宋体" w:hAnsi="宋体" w:eastAsia="宋体" w:cs="宋体"/>
          <w:sz w:val="21"/>
          <w:szCs w:val="21"/>
        </w:rPr>
        <w:t> </w:t>
      </w:r>
    </w:p>
    <w:p>
      <w:pPr>
        <w:pStyle w:val="4"/>
        <w:keepNext w:val="0"/>
        <w:keepLines w:val="0"/>
        <w:widowControl/>
        <w:suppressLineNumbers w:val="0"/>
      </w:pPr>
      <w:r>
        <w:rPr>
          <w:rFonts w:hint="eastAsia" w:ascii="宋体" w:hAnsi="宋体" w:eastAsia="宋体" w:cs="宋体"/>
          <w:sz w:val="21"/>
          <w:szCs w:val="21"/>
        </w:rPr>
        <w:t>投标人：</w:t>
      </w:r>
      <w:r>
        <w:rPr>
          <w:rFonts w:hint="eastAsia" w:ascii="宋体" w:hAnsi="宋体" w:eastAsia="宋体" w:cs="宋体"/>
          <w:sz w:val="21"/>
          <w:szCs w:val="21"/>
          <w:u w:val="single"/>
        </w:rPr>
        <w:t>（全称并加盖单位公章）</w:t>
      </w:r>
    </w:p>
    <w:p>
      <w:pPr>
        <w:pStyle w:val="4"/>
        <w:keepNext w:val="0"/>
        <w:keepLines w:val="0"/>
        <w:widowControl/>
        <w:suppressLineNumbers w:val="0"/>
      </w:pPr>
      <w:r>
        <w:rPr>
          <w:rFonts w:hint="eastAsia" w:ascii="宋体" w:hAnsi="宋体" w:eastAsia="宋体" w:cs="宋体"/>
          <w:sz w:val="21"/>
          <w:szCs w:val="21"/>
        </w:rPr>
        <w:t>投标人代表签字：</w:t>
      </w:r>
      <w:r>
        <w:rPr>
          <w:rFonts w:hint="eastAsia" w:ascii="宋体" w:hAnsi="宋体" w:eastAsia="宋体" w:cs="宋体"/>
          <w:sz w:val="21"/>
          <w:szCs w:val="21"/>
          <w:u w:val="single"/>
        </w:rPr>
        <w:t>                   </w:t>
      </w:r>
    </w:p>
    <w:p>
      <w:pPr>
        <w:pStyle w:val="4"/>
        <w:keepNext w:val="0"/>
        <w:keepLines w:val="0"/>
        <w:widowControl/>
        <w:suppressLineNumbers w:val="0"/>
      </w:pPr>
      <w:r>
        <w:rPr>
          <w:rFonts w:hint="eastAsia" w:ascii="宋体" w:hAnsi="宋体" w:eastAsia="宋体" w:cs="宋体"/>
          <w:sz w:val="21"/>
          <w:szCs w:val="21"/>
        </w:rPr>
        <w:t>日期：</w:t>
      </w:r>
      <w:r>
        <w:rPr>
          <w:rFonts w:hint="eastAsia" w:ascii="宋体" w:hAnsi="宋体" w:eastAsia="宋体" w:cs="宋体"/>
          <w:sz w:val="21"/>
          <w:szCs w:val="21"/>
          <w:u w:val="single"/>
        </w:rPr>
        <w:t>    </w:t>
      </w:r>
      <w:r>
        <w:rPr>
          <w:rFonts w:hint="eastAsia" w:ascii="宋体" w:hAnsi="宋体" w:eastAsia="宋体" w:cs="宋体"/>
          <w:sz w:val="21"/>
          <w:szCs w:val="21"/>
        </w:rPr>
        <w:t>年</w:t>
      </w:r>
      <w:r>
        <w:rPr>
          <w:rFonts w:hint="eastAsia" w:ascii="宋体" w:hAnsi="宋体" w:eastAsia="宋体" w:cs="宋体"/>
          <w:sz w:val="21"/>
          <w:szCs w:val="21"/>
          <w:u w:val="single"/>
        </w:rPr>
        <w:t>   </w:t>
      </w:r>
      <w:r>
        <w:rPr>
          <w:rFonts w:hint="eastAsia" w:ascii="宋体" w:hAnsi="宋体" w:eastAsia="宋体" w:cs="宋体"/>
          <w:sz w:val="21"/>
          <w:szCs w:val="21"/>
        </w:rPr>
        <w:t>月</w:t>
      </w:r>
      <w:r>
        <w:rPr>
          <w:rFonts w:hint="eastAsia" w:ascii="宋体" w:hAnsi="宋体" w:eastAsia="宋体" w:cs="宋体"/>
          <w:sz w:val="21"/>
          <w:szCs w:val="21"/>
          <w:u w:val="single"/>
        </w:rPr>
        <w:t>   </w:t>
      </w:r>
      <w:r>
        <w:rPr>
          <w:rFonts w:hint="eastAsia" w:ascii="宋体" w:hAnsi="宋体" w:eastAsia="宋体" w:cs="宋体"/>
          <w:sz w:val="21"/>
          <w:szCs w:val="21"/>
        </w:rPr>
        <w:t>日</w:t>
      </w:r>
    </w:p>
    <w:p>
      <w:pPr>
        <w:pStyle w:val="4"/>
        <w:keepNext w:val="0"/>
        <w:keepLines w:val="0"/>
        <w:widowControl/>
        <w:suppressLineNumbers w:val="0"/>
      </w:pPr>
      <w:r>
        <w:rPr>
          <w:rStyle w:val="6"/>
          <w:rFonts w:hint="eastAsia" w:ascii="宋体" w:hAnsi="宋体" w:eastAsia="宋体" w:cs="宋体"/>
          <w:sz w:val="21"/>
          <w:szCs w:val="21"/>
        </w:rPr>
        <w:t> </w:t>
      </w:r>
    </w:p>
    <w:p>
      <w:pPr>
        <w:pStyle w:val="4"/>
        <w:keepNext w:val="0"/>
        <w:keepLines w:val="0"/>
        <w:widowControl/>
        <w:suppressLineNumbers w:val="0"/>
      </w:pPr>
      <w:r>
        <w:rPr>
          <w:rStyle w:val="6"/>
          <w:rFonts w:hint="eastAsia" w:ascii="宋体" w:hAnsi="宋体" w:eastAsia="宋体" w:cs="宋体"/>
          <w:sz w:val="21"/>
          <w:szCs w:val="21"/>
        </w:rPr>
        <w:t> </w:t>
      </w:r>
    </w:p>
    <w:p>
      <w:pPr>
        <w:pStyle w:val="4"/>
        <w:keepNext w:val="0"/>
        <w:keepLines w:val="0"/>
        <w:widowControl/>
        <w:suppressLineNumbers w:val="0"/>
        <w:jc w:val="center"/>
      </w:pPr>
      <w:r>
        <w:rPr>
          <w:rStyle w:val="6"/>
          <w:rFonts w:hint="default" w:ascii="Calibri" w:hAnsi="Calibri" w:cs="Calibri"/>
          <w:sz w:val="21"/>
          <w:szCs w:val="21"/>
        </w:rPr>
        <w:br w:type="textWrapping"/>
      </w:r>
      <w:r>
        <w:rPr>
          <w:rStyle w:val="6"/>
          <w:rFonts w:hint="eastAsia" w:ascii="宋体" w:hAnsi="宋体" w:eastAsia="宋体" w:cs="宋体"/>
          <w:sz w:val="21"/>
          <w:szCs w:val="21"/>
        </w:rPr>
        <w:t>四-1-②优先类节能产品、环境标志产品证明材料（加分适用，若有）</w:t>
      </w:r>
    </w:p>
    <w:p>
      <w:pPr>
        <w:pStyle w:val="4"/>
        <w:keepNext w:val="0"/>
        <w:keepLines w:val="0"/>
        <w:widowControl/>
        <w:suppressLineNumbers w:val="0"/>
      </w:pPr>
      <w:r>
        <w:rPr>
          <w:rStyle w:val="6"/>
          <w:rFonts w:hint="eastAsia" w:ascii="宋体" w:hAnsi="宋体" w:eastAsia="宋体" w:cs="宋体"/>
          <w:sz w:val="21"/>
          <w:szCs w:val="21"/>
        </w:rPr>
        <w:t> </w:t>
      </w:r>
    </w:p>
    <w:p>
      <w:pPr>
        <w:pStyle w:val="4"/>
        <w:keepNext w:val="0"/>
        <w:keepLines w:val="0"/>
        <w:widowControl/>
        <w:suppressLineNumbers w:val="0"/>
      </w:pPr>
      <w:r>
        <w:rPr>
          <w:rStyle w:val="6"/>
          <w:rFonts w:hint="eastAsia" w:ascii="宋体" w:hAnsi="宋体" w:eastAsia="宋体" w:cs="宋体"/>
          <w:sz w:val="21"/>
          <w:szCs w:val="21"/>
        </w:rPr>
        <w:t> </w:t>
      </w:r>
    </w:p>
    <w:p>
      <w:pPr>
        <w:pStyle w:val="4"/>
        <w:keepNext w:val="0"/>
        <w:keepLines w:val="0"/>
        <w:widowControl/>
        <w:suppressLineNumbers w:val="0"/>
        <w:jc w:val="center"/>
      </w:pPr>
      <w:r>
        <w:rPr>
          <w:rFonts w:hint="eastAsia" w:ascii="宋体" w:hAnsi="宋体" w:eastAsia="宋体" w:cs="宋体"/>
          <w:sz w:val="21"/>
          <w:szCs w:val="21"/>
        </w:rPr>
        <w:t>编制说明</w:t>
      </w:r>
    </w:p>
    <w:p>
      <w:pPr>
        <w:pStyle w:val="4"/>
        <w:keepNext w:val="0"/>
        <w:keepLines w:val="0"/>
        <w:widowControl/>
        <w:suppressLineNumbers w:val="0"/>
        <w:jc w:val="center"/>
      </w:pPr>
      <w:r>
        <w:rPr>
          <w:rFonts w:hint="eastAsia" w:ascii="宋体" w:hAnsi="宋体" w:eastAsia="宋体" w:cs="宋体"/>
          <w:sz w:val="21"/>
          <w:szCs w:val="21"/>
        </w:rPr>
        <w:t> </w:t>
      </w:r>
    </w:p>
    <w:p>
      <w:pPr>
        <w:pStyle w:val="4"/>
        <w:keepNext w:val="0"/>
        <w:keepLines w:val="0"/>
        <w:widowControl/>
        <w:suppressLineNumbers w:val="0"/>
        <w:ind w:left="0" w:firstLine="420"/>
      </w:pPr>
      <w:r>
        <w:rPr>
          <w:rFonts w:hint="eastAsia" w:ascii="宋体" w:hAnsi="宋体" w:eastAsia="宋体" w:cs="宋体"/>
          <w:sz w:val="21"/>
          <w:szCs w:val="21"/>
        </w:rPr>
        <w:t>除招标文件另有规定外，投标人应按照招标文件第二章（表1）第</w:t>
      </w:r>
      <w:r>
        <w:rPr>
          <w:rFonts w:hint="default" w:ascii="Calibri" w:hAnsi="Calibri" w:eastAsia="宋体" w:cs="Calibri"/>
          <w:sz w:val="21"/>
          <w:szCs w:val="21"/>
        </w:rPr>
        <w:t>13</w:t>
      </w:r>
      <w:r>
        <w:rPr>
          <w:rFonts w:hint="eastAsia" w:ascii="宋体" w:hAnsi="宋体" w:eastAsia="宋体" w:cs="宋体"/>
          <w:sz w:val="21"/>
          <w:szCs w:val="21"/>
        </w:rPr>
        <w:t>项规定提供相应证明材料。</w:t>
      </w:r>
    </w:p>
    <w:p>
      <w:pPr>
        <w:pStyle w:val="4"/>
        <w:keepNext w:val="0"/>
        <w:keepLines w:val="0"/>
        <w:widowControl/>
        <w:suppressLineNumbers w:val="0"/>
      </w:pPr>
      <w:r>
        <w:rPr>
          <w:rFonts w:hint="eastAsia" w:ascii="宋体" w:hAnsi="宋体" w:eastAsia="宋体" w:cs="宋体"/>
          <w:sz w:val="21"/>
          <w:szCs w:val="21"/>
        </w:rPr>
        <w:t> </w:t>
      </w:r>
    </w:p>
    <w:p>
      <w:pPr>
        <w:pStyle w:val="4"/>
        <w:keepNext w:val="0"/>
        <w:keepLines w:val="0"/>
        <w:widowControl/>
        <w:suppressLineNumbers w:val="0"/>
      </w:pPr>
      <w:r>
        <w:rPr>
          <w:rFonts w:hint="eastAsia" w:ascii="宋体" w:hAnsi="宋体" w:eastAsia="宋体" w:cs="宋体"/>
          <w:sz w:val="21"/>
          <w:szCs w:val="21"/>
        </w:rPr>
        <w:t> </w:t>
      </w:r>
    </w:p>
    <w:p>
      <w:pPr>
        <w:pStyle w:val="4"/>
        <w:keepNext w:val="0"/>
        <w:keepLines w:val="0"/>
        <w:widowControl/>
        <w:suppressLineNumbers w:val="0"/>
        <w:jc w:val="center"/>
      </w:pPr>
      <w:r>
        <w:rPr>
          <w:rFonts w:hint="default" w:ascii="Calibri" w:hAnsi="Calibri" w:cs="Calibri"/>
          <w:sz w:val="21"/>
          <w:szCs w:val="21"/>
        </w:rPr>
        <w:br w:type="textWrapping"/>
      </w:r>
      <w:r>
        <w:rPr>
          <w:rFonts w:hint="eastAsia" w:ascii="宋体" w:hAnsi="宋体" w:eastAsia="宋体" w:cs="宋体"/>
          <w:sz w:val="21"/>
          <w:szCs w:val="21"/>
        </w:rPr>
        <w:t>四</w:t>
      </w:r>
      <w:r>
        <w:rPr>
          <w:rStyle w:val="6"/>
          <w:rFonts w:hint="eastAsia" w:ascii="宋体" w:hAnsi="宋体" w:eastAsia="宋体" w:cs="宋体"/>
          <w:sz w:val="21"/>
          <w:szCs w:val="21"/>
        </w:rPr>
        <w:t>-2招标文件规定的其他加分证明材料（若有）</w:t>
      </w:r>
    </w:p>
    <w:p>
      <w:pPr>
        <w:pStyle w:val="4"/>
        <w:keepNext w:val="0"/>
        <w:keepLines w:val="0"/>
        <w:widowControl/>
        <w:suppressLineNumbers w:val="0"/>
      </w:pPr>
      <w:r>
        <w:rPr>
          <w:rFonts w:hint="eastAsia" w:ascii="宋体" w:hAnsi="宋体" w:eastAsia="宋体" w:cs="宋体"/>
          <w:sz w:val="21"/>
          <w:szCs w:val="21"/>
        </w:rPr>
        <w:t> </w:t>
      </w:r>
    </w:p>
    <w:p>
      <w:pPr>
        <w:pStyle w:val="4"/>
        <w:keepNext w:val="0"/>
        <w:keepLines w:val="0"/>
        <w:widowControl/>
        <w:suppressLineNumbers w:val="0"/>
      </w:pPr>
      <w:r>
        <w:rPr>
          <w:rFonts w:hint="eastAsia" w:ascii="宋体" w:hAnsi="宋体" w:eastAsia="宋体" w:cs="宋体"/>
          <w:sz w:val="21"/>
          <w:szCs w:val="21"/>
        </w:rPr>
        <w:t> </w:t>
      </w:r>
    </w:p>
    <w:p>
      <w:pPr>
        <w:pStyle w:val="4"/>
        <w:keepNext w:val="0"/>
        <w:keepLines w:val="0"/>
        <w:widowControl/>
        <w:suppressLineNumbers w:val="0"/>
        <w:jc w:val="center"/>
      </w:pPr>
      <w:r>
        <w:rPr>
          <w:rFonts w:hint="eastAsia" w:ascii="宋体" w:hAnsi="宋体" w:eastAsia="宋体" w:cs="宋体"/>
          <w:sz w:val="21"/>
          <w:szCs w:val="21"/>
        </w:rPr>
        <w:t>编制说明</w:t>
      </w:r>
    </w:p>
    <w:p>
      <w:pPr>
        <w:pStyle w:val="4"/>
        <w:keepNext w:val="0"/>
        <w:keepLines w:val="0"/>
        <w:widowControl/>
        <w:suppressLineNumbers w:val="0"/>
        <w:jc w:val="center"/>
      </w:pPr>
      <w:r>
        <w:rPr>
          <w:rFonts w:hint="eastAsia" w:ascii="宋体" w:hAnsi="宋体" w:eastAsia="宋体" w:cs="宋体"/>
          <w:sz w:val="21"/>
          <w:szCs w:val="21"/>
        </w:rPr>
        <w:t> </w:t>
      </w:r>
    </w:p>
    <w:p>
      <w:pPr>
        <w:pStyle w:val="4"/>
        <w:keepNext w:val="0"/>
        <w:keepLines w:val="0"/>
        <w:widowControl/>
        <w:suppressLineNumbers w:val="0"/>
        <w:ind w:left="0" w:firstLine="420"/>
      </w:pPr>
      <w:r>
        <w:rPr>
          <w:rFonts w:hint="eastAsia" w:ascii="宋体" w:hAnsi="宋体" w:eastAsia="宋体" w:cs="宋体"/>
          <w:sz w:val="21"/>
          <w:szCs w:val="21"/>
        </w:rPr>
        <w:t>若投标人可享受招标文件规定的除</w:t>
      </w:r>
      <w:r>
        <w:rPr>
          <w:rStyle w:val="6"/>
          <w:rFonts w:hint="eastAsia" w:ascii="宋体" w:hAnsi="宋体" w:eastAsia="宋体" w:cs="宋体"/>
          <w:sz w:val="21"/>
          <w:szCs w:val="21"/>
        </w:rPr>
        <w:t>“优先类节能产品、环境标志产品加分”</w:t>
      </w:r>
      <w:r>
        <w:rPr>
          <w:rFonts w:hint="eastAsia" w:ascii="宋体" w:hAnsi="宋体" w:eastAsia="宋体" w:cs="宋体"/>
          <w:sz w:val="21"/>
          <w:szCs w:val="21"/>
        </w:rPr>
        <w:t>外的其他加分优惠，则投标人应按照招标文件要求提供相应证明材料。</w:t>
      </w:r>
    </w:p>
    <w:p>
      <w:pPr>
        <w:pStyle w:val="4"/>
        <w:keepNext w:val="0"/>
        <w:keepLines w:val="0"/>
        <w:widowControl/>
        <w:suppressLineNumbers w:val="0"/>
      </w:pPr>
      <w:r>
        <w:rPr>
          <w:rFonts w:hint="eastAsia" w:ascii="宋体" w:hAnsi="宋体" w:eastAsia="宋体" w:cs="宋体"/>
          <w:sz w:val="21"/>
          <w:szCs w:val="21"/>
        </w:rPr>
        <w:t> </w:t>
      </w:r>
    </w:p>
    <w:p>
      <w:pPr>
        <w:pStyle w:val="4"/>
        <w:keepNext w:val="0"/>
        <w:keepLines w:val="0"/>
        <w:widowControl/>
        <w:suppressLineNumbers w:val="0"/>
      </w:pPr>
      <w:r>
        <w:rPr>
          <w:rFonts w:hint="eastAsia" w:ascii="宋体" w:hAnsi="宋体" w:eastAsia="宋体" w:cs="宋体"/>
          <w:sz w:val="21"/>
          <w:szCs w:val="21"/>
        </w:rPr>
        <w:t> </w:t>
      </w:r>
    </w:p>
    <w:p>
      <w:pPr>
        <w:pStyle w:val="4"/>
        <w:keepNext w:val="0"/>
        <w:keepLines w:val="0"/>
        <w:widowControl/>
        <w:suppressLineNumbers w:val="0"/>
      </w:pPr>
    </w:p>
    <w:p>
      <w:pPr>
        <w:pStyle w:val="4"/>
        <w:keepNext w:val="0"/>
        <w:keepLines w:val="0"/>
        <w:widowControl/>
        <w:suppressLineNumbers w:val="0"/>
      </w:pPr>
      <w:r>
        <w:rPr>
          <w:rFonts w:hint="eastAsia" w:ascii="宋体" w:hAnsi="宋体" w:eastAsia="宋体" w:cs="宋体"/>
          <w:sz w:val="21"/>
          <w:szCs w:val="21"/>
        </w:rPr>
        <w:t> </w:t>
      </w:r>
    </w:p>
    <w:p>
      <w:pPr>
        <w:pStyle w:val="4"/>
        <w:keepNext w:val="0"/>
        <w:keepLines w:val="0"/>
        <w:widowControl/>
        <w:suppressLineNumbers w:val="0"/>
      </w:pPr>
      <w:r>
        <w:rPr>
          <w:rFonts w:hint="eastAsia" w:ascii="宋体" w:hAnsi="宋体" w:eastAsia="宋体" w:cs="宋体"/>
          <w:sz w:val="21"/>
          <w:szCs w:val="21"/>
        </w:rPr>
        <w:t> </w:t>
      </w:r>
    </w:p>
    <w:p>
      <w:pPr>
        <w:pStyle w:val="4"/>
        <w:keepNext w:val="0"/>
        <w:keepLines w:val="0"/>
        <w:widowControl/>
        <w:suppressLineNumbers w:val="0"/>
        <w:jc w:val="center"/>
      </w:pPr>
      <w:r>
        <w:rPr>
          <w:rStyle w:val="6"/>
          <w:rFonts w:hint="eastAsia" w:ascii="宋体" w:hAnsi="宋体" w:eastAsia="宋体" w:cs="宋体"/>
          <w:sz w:val="28"/>
          <w:szCs w:val="28"/>
        </w:rPr>
        <w:t>封面格式</w:t>
      </w:r>
    </w:p>
    <w:p>
      <w:pPr>
        <w:pStyle w:val="4"/>
        <w:keepNext w:val="0"/>
        <w:keepLines w:val="0"/>
        <w:widowControl/>
        <w:suppressLineNumbers w:val="0"/>
      </w:pPr>
      <w:r>
        <w:rPr>
          <w:rFonts w:hint="eastAsia" w:ascii="宋体" w:hAnsi="宋体" w:eastAsia="宋体" w:cs="宋体"/>
          <w:sz w:val="36"/>
          <w:szCs w:val="36"/>
        </w:rPr>
        <w:t> </w:t>
      </w:r>
    </w:p>
    <w:p>
      <w:pPr>
        <w:pStyle w:val="4"/>
        <w:keepNext w:val="0"/>
        <w:keepLines w:val="0"/>
        <w:widowControl/>
        <w:suppressLineNumbers w:val="0"/>
      </w:pPr>
      <w:r>
        <w:rPr>
          <w:rFonts w:hint="eastAsia" w:ascii="宋体" w:hAnsi="宋体" w:eastAsia="宋体" w:cs="宋体"/>
          <w:sz w:val="36"/>
          <w:szCs w:val="36"/>
        </w:rPr>
        <w:t> </w:t>
      </w:r>
    </w:p>
    <w:p>
      <w:pPr>
        <w:pStyle w:val="4"/>
        <w:keepNext w:val="0"/>
        <w:keepLines w:val="0"/>
        <w:widowControl/>
        <w:suppressLineNumbers w:val="0"/>
      </w:pPr>
      <w:r>
        <w:rPr>
          <w:rFonts w:hint="eastAsia" w:ascii="宋体" w:hAnsi="宋体" w:eastAsia="宋体" w:cs="宋体"/>
          <w:sz w:val="36"/>
          <w:szCs w:val="36"/>
        </w:rPr>
        <w:t> </w:t>
      </w:r>
    </w:p>
    <w:p>
      <w:pPr>
        <w:pStyle w:val="4"/>
        <w:keepNext w:val="0"/>
        <w:keepLines w:val="0"/>
        <w:widowControl/>
        <w:suppressLineNumbers w:val="0"/>
        <w:jc w:val="center"/>
      </w:pPr>
      <w:r>
        <w:rPr>
          <w:rStyle w:val="6"/>
          <w:rFonts w:hint="eastAsia" w:ascii="宋体" w:hAnsi="宋体" w:eastAsia="宋体" w:cs="宋体"/>
          <w:sz w:val="48"/>
          <w:szCs w:val="48"/>
        </w:rPr>
        <w:t>福建省政府采购投标文件</w:t>
      </w:r>
    </w:p>
    <w:p>
      <w:pPr>
        <w:pStyle w:val="4"/>
        <w:keepNext w:val="0"/>
        <w:keepLines w:val="0"/>
        <w:widowControl/>
        <w:suppressLineNumbers w:val="0"/>
        <w:jc w:val="center"/>
      </w:pPr>
      <w:r>
        <w:rPr>
          <w:rStyle w:val="6"/>
          <w:rFonts w:hint="eastAsia" w:ascii="宋体" w:hAnsi="宋体" w:eastAsia="宋体" w:cs="宋体"/>
          <w:sz w:val="48"/>
          <w:szCs w:val="48"/>
        </w:rPr>
        <w:t>（技术商务部分）</w:t>
      </w:r>
    </w:p>
    <w:p>
      <w:pPr>
        <w:pStyle w:val="4"/>
        <w:keepNext w:val="0"/>
        <w:keepLines w:val="0"/>
        <w:widowControl/>
        <w:suppressLineNumbers w:val="0"/>
      </w:pPr>
      <w:r>
        <w:rPr>
          <w:rFonts w:hint="eastAsia" w:ascii="宋体" w:hAnsi="宋体" w:eastAsia="宋体" w:cs="宋体"/>
          <w:sz w:val="36"/>
          <w:szCs w:val="36"/>
        </w:rPr>
        <w:t> </w:t>
      </w:r>
    </w:p>
    <w:p>
      <w:pPr>
        <w:pStyle w:val="4"/>
        <w:keepNext w:val="0"/>
        <w:keepLines w:val="0"/>
        <w:widowControl/>
        <w:suppressLineNumbers w:val="0"/>
        <w:jc w:val="center"/>
      </w:pPr>
      <w:r>
        <w:rPr>
          <w:rStyle w:val="6"/>
          <w:rFonts w:hint="eastAsia" w:ascii="宋体" w:hAnsi="宋体" w:eastAsia="宋体" w:cs="宋体"/>
          <w:sz w:val="36"/>
          <w:szCs w:val="36"/>
          <w:u w:val="single"/>
        </w:rPr>
        <w:t>（填写正本或副本）</w:t>
      </w:r>
    </w:p>
    <w:p>
      <w:pPr>
        <w:pStyle w:val="4"/>
        <w:keepNext w:val="0"/>
        <w:keepLines w:val="0"/>
        <w:widowControl/>
        <w:suppressLineNumbers w:val="0"/>
      </w:pPr>
      <w:r>
        <w:rPr>
          <w:rFonts w:hint="eastAsia" w:ascii="宋体" w:hAnsi="宋体" w:eastAsia="宋体" w:cs="宋体"/>
          <w:sz w:val="36"/>
          <w:szCs w:val="36"/>
        </w:rPr>
        <w:t> </w:t>
      </w:r>
    </w:p>
    <w:p>
      <w:pPr>
        <w:pStyle w:val="4"/>
        <w:keepNext w:val="0"/>
        <w:keepLines w:val="0"/>
        <w:widowControl/>
        <w:suppressLineNumbers w:val="0"/>
        <w:ind w:left="0" w:firstLine="1920"/>
      </w:pPr>
      <w:r>
        <w:rPr>
          <w:rStyle w:val="6"/>
          <w:rFonts w:hint="eastAsia" w:ascii="宋体" w:hAnsi="宋体" w:eastAsia="宋体" w:cs="宋体"/>
          <w:sz w:val="31"/>
          <w:szCs w:val="31"/>
        </w:rPr>
        <w:t>项目名称：</w:t>
      </w:r>
      <w:r>
        <w:rPr>
          <w:rStyle w:val="6"/>
          <w:rFonts w:hint="eastAsia" w:ascii="宋体" w:hAnsi="宋体" w:eastAsia="宋体" w:cs="宋体"/>
          <w:sz w:val="31"/>
          <w:szCs w:val="31"/>
          <w:u w:val="single"/>
        </w:rPr>
        <w:t>（由投标人填写）</w:t>
      </w:r>
    </w:p>
    <w:p>
      <w:pPr>
        <w:pStyle w:val="4"/>
        <w:keepNext w:val="0"/>
        <w:keepLines w:val="0"/>
        <w:widowControl/>
        <w:suppressLineNumbers w:val="0"/>
        <w:ind w:left="0" w:firstLine="1920"/>
      </w:pPr>
      <w:r>
        <w:rPr>
          <w:rStyle w:val="6"/>
          <w:rFonts w:hint="eastAsia" w:ascii="宋体" w:hAnsi="宋体" w:eastAsia="宋体" w:cs="宋体"/>
          <w:sz w:val="31"/>
          <w:szCs w:val="31"/>
        </w:rPr>
        <w:t>备案编号：</w:t>
      </w:r>
      <w:r>
        <w:rPr>
          <w:rStyle w:val="6"/>
          <w:rFonts w:hint="eastAsia" w:ascii="宋体" w:hAnsi="宋体" w:eastAsia="宋体" w:cs="宋体"/>
          <w:sz w:val="31"/>
          <w:szCs w:val="31"/>
          <w:u w:val="single"/>
        </w:rPr>
        <w:t>（由投标人填写）</w:t>
      </w:r>
    </w:p>
    <w:p>
      <w:pPr>
        <w:pStyle w:val="4"/>
        <w:keepNext w:val="0"/>
        <w:keepLines w:val="0"/>
        <w:widowControl/>
        <w:suppressLineNumbers w:val="0"/>
        <w:ind w:left="0" w:firstLine="1920"/>
      </w:pPr>
      <w:r>
        <w:rPr>
          <w:rStyle w:val="6"/>
          <w:rFonts w:hint="eastAsia" w:ascii="宋体" w:hAnsi="宋体" w:eastAsia="宋体" w:cs="宋体"/>
          <w:sz w:val="31"/>
          <w:szCs w:val="31"/>
        </w:rPr>
        <w:t>招标编号：</w:t>
      </w:r>
      <w:r>
        <w:rPr>
          <w:rStyle w:val="6"/>
          <w:rFonts w:hint="eastAsia" w:ascii="宋体" w:hAnsi="宋体" w:eastAsia="宋体" w:cs="宋体"/>
          <w:sz w:val="31"/>
          <w:szCs w:val="31"/>
          <w:u w:val="single"/>
        </w:rPr>
        <w:t>（由投标人填写）</w:t>
      </w:r>
    </w:p>
    <w:p>
      <w:pPr>
        <w:pStyle w:val="4"/>
        <w:keepNext w:val="0"/>
        <w:keepLines w:val="0"/>
        <w:widowControl/>
        <w:suppressLineNumbers w:val="0"/>
        <w:ind w:left="0" w:firstLine="1920"/>
      </w:pPr>
      <w:r>
        <w:rPr>
          <w:rStyle w:val="6"/>
          <w:rFonts w:hint="eastAsia" w:ascii="宋体" w:hAnsi="宋体" w:eastAsia="宋体" w:cs="宋体"/>
          <w:sz w:val="31"/>
          <w:szCs w:val="31"/>
        </w:rPr>
        <w:t>所投合同包：</w:t>
      </w:r>
      <w:r>
        <w:rPr>
          <w:rStyle w:val="6"/>
          <w:rFonts w:hint="eastAsia" w:ascii="宋体" w:hAnsi="宋体" w:eastAsia="宋体" w:cs="宋体"/>
          <w:sz w:val="31"/>
          <w:szCs w:val="31"/>
          <w:u w:val="single"/>
        </w:rPr>
        <w:t>（由投标人填写）</w:t>
      </w:r>
    </w:p>
    <w:p>
      <w:pPr>
        <w:pStyle w:val="4"/>
        <w:keepNext w:val="0"/>
        <w:keepLines w:val="0"/>
        <w:widowControl/>
        <w:suppressLineNumbers w:val="0"/>
      </w:pPr>
      <w:r>
        <w:rPr>
          <w:rFonts w:hint="eastAsia" w:ascii="宋体" w:hAnsi="宋体" w:eastAsia="宋体" w:cs="宋体"/>
          <w:sz w:val="36"/>
          <w:szCs w:val="36"/>
        </w:rPr>
        <w:t> </w:t>
      </w:r>
    </w:p>
    <w:p>
      <w:pPr>
        <w:pStyle w:val="4"/>
        <w:keepNext w:val="0"/>
        <w:keepLines w:val="0"/>
        <w:widowControl/>
        <w:suppressLineNumbers w:val="0"/>
      </w:pPr>
      <w:r>
        <w:rPr>
          <w:rFonts w:hint="eastAsia" w:ascii="宋体" w:hAnsi="宋体" w:eastAsia="宋体" w:cs="宋体"/>
          <w:sz w:val="36"/>
          <w:szCs w:val="36"/>
        </w:rPr>
        <w:t> </w:t>
      </w:r>
    </w:p>
    <w:p>
      <w:pPr>
        <w:pStyle w:val="4"/>
        <w:keepNext w:val="0"/>
        <w:keepLines w:val="0"/>
        <w:widowControl/>
        <w:suppressLineNumbers w:val="0"/>
      </w:pPr>
      <w:r>
        <w:rPr>
          <w:rFonts w:hint="eastAsia" w:ascii="宋体" w:hAnsi="宋体" w:eastAsia="宋体" w:cs="宋体"/>
          <w:sz w:val="36"/>
          <w:szCs w:val="36"/>
        </w:rPr>
        <w:t> </w:t>
      </w:r>
    </w:p>
    <w:p>
      <w:pPr>
        <w:pStyle w:val="4"/>
        <w:keepNext w:val="0"/>
        <w:keepLines w:val="0"/>
        <w:widowControl/>
        <w:suppressLineNumbers w:val="0"/>
      </w:pPr>
      <w:r>
        <w:rPr>
          <w:rFonts w:hint="eastAsia" w:ascii="宋体" w:hAnsi="宋体" w:eastAsia="宋体" w:cs="宋体"/>
          <w:sz w:val="36"/>
          <w:szCs w:val="36"/>
        </w:rPr>
        <w:t> </w:t>
      </w:r>
    </w:p>
    <w:p>
      <w:pPr>
        <w:pStyle w:val="4"/>
        <w:keepNext w:val="0"/>
        <w:keepLines w:val="0"/>
        <w:widowControl/>
        <w:suppressLineNumbers w:val="0"/>
        <w:jc w:val="center"/>
      </w:pPr>
      <w:r>
        <w:rPr>
          <w:rStyle w:val="6"/>
          <w:rFonts w:hint="eastAsia" w:ascii="宋体" w:hAnsi="宋体" w:eastAsia="宋体" w:cs="宋体"/>
          <w:sz w:val="31"/>
          <w:szCs w:val="31"/>
        </w:rPr>
        <w:t>投标人：</w:t>
      </w:r>
      <w:r>
        <w:rPr>
          <w:rStyle w:val="6"/>
          <w:rFonts w:hint="eastAsia" w:ascii="宋体" w:hAnsi="宋体" w:eastAsia="宋体" w:cs="宋体"/>
          <w:sz w:val="31"/>
          <w:szCs w:val="31"/>
          <w:u w:val="single"/>
        </w:rPr>
        <w:t>（填写“全称”）</w:t>
      </w:r>
    </w:p>
    <w:p>
      <w:pPr>
        <w:pStyle w:val="4"/>
        <w:keepNext w:val="0"/>
        <w:keepLines w:val="0"/>
        <w:widowControl/>
        <w:suppressLineNumbers w:val="0"/>
        <w:jc w:val="center"/>
      </w:pPr>
      <w:r>
        <w:rPr>
          <w:rStyle w:val="6"/>
          <w:rFonts w:hint="eastAsia" w:ascii="宋体" w:hAnsi="宋体" w:eastAsia="宋体" w:cs="宋体"/>
          <w:sz w:val="31"/>
          <w:szCs w:val="31"/>
          <w:u w:val="single"/>
        </w:rPr>
        <w:t>（由投标人填写）</w:t>
      </w:r>
      <w:r>
        <w:rPr>
          <w:rStyle w:val="6"/>
          <w:rFonts w:hint="eastAsia" w:ascii="宋体" w:hAnsi="宋体" w:eastAsia="宋体" w:cs="宋体"/>
          <w:sz w:val="31"/>
          <w:szCs w:val="31"/>
        </w:rPr>
        <w:t>年</w:t>
      </w:r>
      <w:r>
        <w:rPr>
          <w:rStyle w:val="6"/>
          <w:rFonts w:hint="eastAsia" w:ascii="宋体" w:hAnsi="宋体" w:eastAsia="宋体" w:cs="宋体"/>
          <w:sz w:val="31"/>
          <w:szCs w:val="31"/>
          <w:u w:val="single"/>
        </w:rPr>
        <w:t>（由投标人填写）</w:t>
      </w:r>
      <w:r>
        <w:rPr>
          <w:rStyle w:val="6"/>
          <w:rFonts w:hint="eastAsia" w:ascii="宋体" w:hAnsi="宋体" w:eastAsia="宋体" w:cs="宋体"/>
          <w:sz w:val="31"/>
          <w:szCs w:val="31"/>
        </w:rPr>
        <w:t>月</w:t>
      </w:r>
    </w:p>
    <w:p>
      <w:pPr>
        <w:pStyle w:val="4"/>
        <w:keepNext w:val="0"/>
        <w:keepLines w:val="0"/>
        <w:widowControl/>
        <w:suppressLineNumbers w:val="0"/>
      </w:pPr>
      <w:r>
        <w:rPr>
          <w:rFonts w:hint="eastAsia" w:ascii="宋体" w:hAnsi="宋体" w:eastAsia="宋体" w:cs="宋体"/>
          <w:sz w:val="21"/>
          <w:szCs w:val="21"/>
        </w:rPr>
        <w:t> </w:t>
      </w:r>
    </w:p>
    <w:p>
      <w:pPr>
        <w:pStyle w:val="4"/>
        <w:keepNext w:val="0"/>
        <w:keepLines w:val="0"/>
        <w:widowControl/>
        <w:suppressLineNumbers w:val="0"/>
      </w:pPr>
      <w:r>
        <w:rPr>
          <w:rFonts w:hint="eastAsia" w:ascii="宋体" w:hAnsi="宋体" w:eastAsia="宋体" w:cs="宋体"/>
          <w:sz w:val="21"/>
          <w:szCs w:val="21"/>
        </w:rPr>
        <w:t> </w:t>
      </w:r>
    </w:p>
    <w:p>
      <w:pPr>
        <w:pStyle w:val="4"/>
        <w:keepNext w:val="0"/>
        <w:keepLines w:val="0"/>
        <w:widowControl/>
        <w:suppressLineNumbers w:val="0"/>
        <w:jc w:val="center"/>
      </w:pPr>
      <w:r>
        <w:rPr>
          <w:rFonts w:hint="default" w:ascii="Calibri" w:hAnsi="Calibri" w:cs="Calibri"/>
          <w:sz w:val="21"/>
          <w:szCs w:val="21"/>
        </w:rPr>
        <w:br w:type="textWrapping"/>
      </w:r>
      <w:r>
        <w:rPr>
          <w:rStyle w:val="6"/>
          <w:rFonts w:hint="eastAsia" w:ascii="宋体" w:hAnsi="宋体" w:eastAsia="宋体" w:cs="宋体"/>
          <w:sz w:val="28"/>
          <w:szCs w:val="28"/>
        </w:rPr>
        <w:t>索引</w:t>
      </w:r>
    </w:p>
    <w:p>
      <w:pPr>
        <w:pStyle w:val="4"/>
        <w:keepNext w:val="0"/>
        <w:keepLines w:val="0"/>
        <w:widowControl/>
        <w:suppressLineNumbers w:val="0"/>
      </w:pPr>
      <w:r>
        <w:rPr>
          <w:rFonts w:hint="eastAsia" w:ascii="宋体" w:hAnsi="宋体" w:eastAsia="宋体" w:cs="宋体"/>
          <w:sz w:val="28"/>
          <w:szCs w:val="28"/>
        </w:rPr>
        <w:t>一、标的说明一览表</w:t>
      </w:r>
    </w:p>
    <w:p>
      <w:pPr>
        <w:pStyle w:val="4"/>
        <w:keepNext w:val="0"/>
        <w:keepLines w:val="0"/>
        <w:widowControl/>
        <w:suppressLineNumbers w:val="0"/>
      </w:pPr>
      <w:r>
        <w:rPr>
          <w:rFonts w:hint="eastAsia" w:ascii="宋体" w:hAnsi="宋体" w:eastAsia="宋体" w:cs="宋体"/>
          <w:sz w:val="28"/>
          <w:szCs w:val="28"/>
        </w:rPr>
        <w:t>二、技术和服务要求响应表</w:t>
      </w:r>
    </w:p>
    <w:p>
      <w:pPr>
        <w:pStyle w:val="4"/>
        <w:keepNext w:val="0"/>
        <w:keepLines w:val="0"/>
        <w:widowControl/>
        <w:suppressLineNumbers w:val="0"/>
      </w:pPr>
      <w:r>
        <w:rPr>
          <w:rFonts w:hint="eastAsia" w:ascii="宋体" w:hAnsi="宋体" w:eastAsia="宋体" w:cs="宋体"/>
          <w:sz w:val="28"/>
          <w:szCs w:val="28"/>
        </w:rPr>
        <w:t>三、商务条件响应表</w:t>
      </w:r>
    </w:p>
    <w:p>
      <w:pPr>
        <w:pStyle w:val="4"/>
        <w:keepNext w:val="0"/>
        <w:keepLines w:val="0"/>
        <w:widowControl/>
        <w:suppressLineNumbers w:val="0"/>
      </w:pPr>
      <w:r>
        <w:rPr>
          <w:rFonts w:hint="eastAsia" w:ascii="宋体" w:hAnsi="宋体" w:eastAsia="宋体" w:cs="宋体"/>
          <w:sz w:val="28"/>
          <w:szCs w:val="28"/>
        </w:rPr>
        <w:t>四、投标人提交的其他资料（若有）</w:t>
      </w:r>
    </w:p>
    <w:p>
      <w:pPr>
        <w:pStyle w:val="4"/>
        <w:keepNext w:val="0"/>
        <w:keepLines w:val="0"/>
        <w:widowControl/>
        <w:suppressLineNumbers w:val="0"/>
      </w:pPr>
      <w:r>
        <w:rPr>
          <w:rFonts w:hint="eastAsia" w:ascii="宋体" w:hAnsi="宋体" w:eastAsia="宋体" w:cs="宋体"/>
          <w:sz w:val="21"/>
          <w:szCs w:val="21"/>
        </w:rPr>
        <w:t> </w:t>
      </w:r>
    </w:p>
    <w:p>
      <w:pPr>
        <w:pStyle w:val="4"/>
        <w:keepNext w:val="0"/>
        <w:keepLines w:val="0"/>
        <w:widowControl/>
        <w:suppressLineNumbers w:val="0"/>
      </w:pPr>
      <w:r>
        <w:rPr>
          <w:rFonts w:hint="eastAsia" w:ascii="宋体" w:hAnsi="宋体" w:eastAsia="宋体" w:cs="宋体"/>
          <w:sz w:val="21"/>
          <w:szCs w:val="21"/>
        </w:rPr>
        <w:t> </w:t>
      </w:r>
    </w:p>
    <w:p>
      <w:pPr>
        <w:pStyle w:val="4"/>
        <w:keepNext w:val="0"/>
        <w:keepLines w:val="0"/>
        <w:widowControl/>
        <w:suppressLineNumbers w:val="0"/>
        <w:jc w:val="center"/>
      </w:pPr>
      <w:r>
        <w:rPr>
          <w:rFonts w:hint="eastAsia" w:ascii="宋体" w:hAnsi="宋体" w:eastAsia="宋体" w:cs="宋体"/>
          <w:sz w:val="21"/>
          <w:szCs w:val="21"/>
        </w:rPr>
        <w:t>★注意</w:t>
      </w:r>
    </w:p>
    <w:p>
      <w:pPr>
        <w:pStyle w:val="4"/>
        <w:keepNext w:val="0"/>
        <w:keepLines w:val="0"/>
        <w:widowControl/>
        <w:suppressLineNumbers w:val="0"/>
        <w:ind w:left="0" w:firstLine="420"/>
      </w:pPr>
      <w:r>
        <w:rPr>
          <w:rFonts w:hint="eastAsia" w:ascii="宋体" w:hAnsi="宋体" w:eastAsia="宋体" w:cs="宋体"/>
          <w:sz w:val="21"/>
          <w:szCs w:val="21"/>
        </w:rPr>
        <w:t>技术商务部分中不得出现报价部分的全部或部分的投标报价信息（或组成资料），否则</w:t>
      </w:r>
      <w:r>
        <w:rPr>
          <w:rStyle w:val="6"/>
          <w:rFonts w:hint="eastAsia" w:ascii="宋体" w:hAnsi="宋体" w:eastAsia="宋体" w:cs="宋体"/>
          <w:sz w:val="21"/>
          <w:szCs w:val="21"/>
        </w:rPr>
        <w:t>符合性审查不合格</w:t>
      </w:r>
      <w:r>
        <w:rPr>
          <w:rFonts w:hint="eastAsia" w:ascii="宋体" w:hAnsi="宋体" w:eastAsia="宋体" w:cs="宋体"/>
          <w:sz w:val="21"/>
          <w:szCs w:val="21"/>
        </w:rPr>
        <w:t>。</w:t>
      </w:r>
    </w:p>
    <w:p>
      <w:pPr>
        <w:pStyle w:val="4"/>
        <w:keepNext w:val="0"/>
        <w:keepLines w:val="0"/>
        <w:widowControl/>
        <w:suppressLineNumbers w:val="0"/>
        <w:ind w:left="0" w:firstLine="420"/>
      </w:pPr>
      <w:r>
        <w:rPr>
          <w:rFonts w:hint="eastAsia" w:ascii="宋体" w:hAnsi="宋体" w:eastAsia="宋体" w:cs="宋体"/>
          <w:sz w:val="21"/>
          <w:szCs w:val="21"/>
        </w:rPr>
        <w:t> </w:t>
      </w:r>
    </w:p>
    <w:p>
      <w:pPr>
        <w:pStyle w:val="4"/>
        <w:keepNext w:val="0"/>
        <w:keepLines w:val="0"/>
        <w:widowControl/>
        <w:suppressLineNumbers w:val="0"/>
        <w:ind w:left="0" w:firstLine="420"/>
      </w:pPr>
      <w:r>
        <w:rPr>
          <w:rFonts w:hint="eastAsia" w:ascii="宋体" w:hAnsi="宋体" w:eastAsia="宋体" w:cs="宋体"/>
          <w:sz w:val="21"/>
          <w:szCs w:val="21"/>
        </w:rPr>
        <w:t> </w:t>
      </w:r>
    </w:p>
    <w:p>
      <w:pPr>
        <w:pStyle w:val="4"/>
        <w:keepNext w:val="0"/>
        <w:keepLines w:val="0"/>
        <w:widowControl/>
        <w:suppressLineNumbers w:val="0"/>
        <w:jc w:val="center"/>
      </w:pPr>
      <w:r>
        <w:rPr>
          <w:rFonts w:hint="default" w:ascii="Calibri" w:hAnsi="Calibri" w:cs="Calibri"/>
          <w:sz w:val="21"/>
          <w:szCs w:val="21"/>
        </w:rPr>
        <w:br w:type="textWrapping"/>
      </w:r>
      <w:r>
        <w:rPr>
          <w:rStyle w:val="6"/>
          <w:rFonts w:hint="eastAsia" w:ascii="宋体" w:hAnsi="宋体" w:eastAsia="宋体" w:cs="宋体"/>
          <w:sz w:val="21"/>
          <w:szCs w:val="21"/>
        </w:rPr>
        <w:t>一、标的说明一览表</w:t>
      </w:r>
    </w:p>
    <w:p>
      <w:pPr>
        <w:pStyle w:val="4"/>
        <w:keepNext w:val="0"/>
        <w:keepLines w:val="0"/>
        <w:widowControl/>
        <w:suppressLineNumbers w:val="0"/>
      </w:pPr>
      <w:r>
        <w:rPr>
          <w:rFonts w:hint="eastAsia" w:ascii="宋体" w:hAnsi="宋体" w:eastAsia="宋体" w:cs="宋体"/>
          <w:sz w:val="21"/>
          <w:szCs w:val="21"/>
        </w:rPr>
        <w:t> </w:t>
      </w:r>
    </w:p>
    <w:p>
      <w:pPr>
        <w:pStyle w:val="4"/>
        <w:keepNext w:val="0"/>
        <w:keepLines w:val="0"/>
        <w:widowControl/>
        <w:suppressLineNumbers w:val="0"/>
      </w:pPr>
      <w:r>
        <w:rPr>
          <w:rFonts w:hint="eastAsia" w:ascii="宋体" w:hAnsi="宋体" w:eastAsia="宋体" w:cs="宋体"/>
          <w:sz w:val="21"/>
          <w:szCs w:val="21"/>
        </w:rPr>
        <w:t>招标编号：</w:t>
      </w:r>
      <w:r>
        <w:rPr>
          <w:rFonts w:hint="eastAsia" w:ascii="宋体" w:hAnsi="宋体" w:eastAsia="宋体" w:cs="宋体"/>
          <w:sz w:val="21"/>
          <w:szCs w:val="21"/>
          <w:u w:val="single"/>
        </w:rPr>
        <w:t>                   </w:t>
      </w:r>
    </w:p>
    <w:tbl>
      <w:tblPr>
        <w:tblStyle w:val="9"/>
        <w:tblW w:w="8515" w:type="dxa"/>
        <w:tblCellSpacing w:w="15" w:type="dxa"/>
        <w:tblInd w:w="-15"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15" w:type="dxa"/>
          <w:left w:w="15" w:type="dxa"/>
          <w:bottom w:w="15" w:type="dxa"/>
          <w:right w:w="15" w:type="dxa"/>
        </w:tblCellMar>
      </w:tblPr>
      <w:tblGrid>
        <w:gridCol w:w="983"/>
        <w:gridCol w:w="872"/>
        <w:gridCol w:w="1674"/>
        <w:gridCol w:w="867"/>
        <w:gridCol w:w="1141"/>
        <w:gridCol w:w="1141"/>
        <w:gridCol w:w="1837"/>
      </w:tblGrid>
      <w:tr>
        <w:trPr>
          <w:tblCellSpacing w:w="15" w:type="dxa"/>
        </w:trPr>
        <w:tc>
          <w:tcPr>
            <w:tcW w:w="938" w:type="dxa"/>
            <w:tcBorders>
              <w:top w:val="nil"/>
              <w:left w:val="nil"/>
              <w:bottom w:val="nil"/>
              <w:right w:val="nil"/>
            </w:tcBorders>
            <w:shd w:val="clear" w:color="auto" w:fill="auto"/>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sz w:val="21"/>
                <w:szCs w:val="21"/>
              </w:rPr>
              <w:t>合同包</w:t>
            </w:r>
          </w:p>
        </w:tc>
        <w:tc>
          <w:tcPr>
            <w:tcW w:w="842" w:type="dxa"/>
            <w:tcBorders>
              <w:top w:val="nil"/>
              <w:left w:val="nil"/>
              <w:bottom w:val="nil"/>
              <w:right w:val="nil"/>
            </w:tcBorders>
            <w:shd w:val="clear" w:color="auto" w:fill="auto"/>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sz w:val="21"/>
                <w:szCs w:val="21"/>
              </w:rPr>
              <w:t>品目号</w:t>
            </w:r>
          </w:p>
        </w:tc>
        <w:tc>
          <w:tcPr>
            <w:tcW w:w="1644" w:type="dxa"/>
            <w:tcBorders>
              <w:top w:val="nil"/>
              <w:left w:val="nil"/>
              <w:bottom w:val="nil"/>
              <w:right w:val="nil"/>
            </w:tcBorders>
            <w:shd w:val="clear" w:color="auto" w:fill="auto"/>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sz w:val="21"/>
                <w:szCs w:val="21"/>
              </w:rPr>
              <w:t>投标标的</w:t>
            </w:r>
          </w:p>
        </w:tc>
        <w:tc>
          <w:tcPr>
            <w:tcW w:w="837" w:type="dxa"/>
            <w:tcBorders>
              <w:top w:val="nil"/>
              <w:left w:val="nil"/>
              <w:bottom w:val="nil"/>
              <w:right w:val="nil"/>
            </w:tcBorders>
            <w:shd w:val="clear" w:color="auto" w:fill="auto"/>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sz w:val="21"/>
                <w:szCs w:val="21"/>
              </w:rPr>
              <w:t>数量</w:t>
            </w:r>
          </w:p>
        </w:tc>
        <w:tc>
          <w:tcPr>
            <w:tcW w:w="1111" w:type="dxa"/>
            <w:tcBorders>
              <w:top w:val="nil"/>
              <w:left w:val="nil"/>
              <w:bottom w:val="nil"/>
              <w:right w:val="nil"/>
            </w:tcBorders>
            <w:shd w:val="clear" w:color="auto" w:fill="auto"/>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sz w:val="21"/>
                <w:szCs w:val="21"/>
              </w:rPr>
              <w:t>规格</w:t>
            </w:r>
          </w:p>
        </w:tc>
        <w:tc>
          <w:tcPr>
            <w:tcW w:w="1111" w:type="dxa"/>
            <w:tcBorders>
              <w:top w:val="nil"/>
              <w:left w:val="nil"/>
              <w:bottom w:val="nil"/>
              <w:right w:val="nil"/>
            </w:tcBorders>
            <w:shd w:val="clear" w:color="auto" w:fill="auto"/>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sz w:val="21"/>
                <w:szCs w:val="21"/>
              </w:rPr>
              <w:t>来源地</w:t>
            </w:r>
          </w:p>
        </w:tc>
        <w:tc>
          <w:tcPr>
            <w:tcW w:w="1792" w:type="dxa"/>
            <w:tcBorders>
              <w:top w:val="nil"/>
              <w:left w:val="nil"/>
              <w:bottom w:val="nil"/>
              <w:right w:val="nil"/>
            </w:tcBorders>
            <w:shd w:val="clear" w:color="auto" w:fill="auto"/>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sz w:val="21"/>
                <w:szCs w:val="21"/>
              </w:rPr>
              <w:t>备注</w:t>
            </w:r>
          </w:p>
        </w:tc>
      </w:tr>
      <w:tr>
        <w:trPr>
          <w:tblCellSpacing w:w="15" w:type="dxa"/>
        </w:trPr>
        <w:tc>
          <w:tcPr>
            <w:tcW w:w="938" w:type="dxa"/>
            <w:vMerge w:val="restart"/>
            <w:tcBorders>
              <w:top w:val="nil"/>
              <w:left w:val="nil"/>
              <w:bottom w:val="nil"/>
              <w:right w:val="nil"/>
            </w:tcBorders>
            <w:shd w:val="clear" w:color="auto" w:fill="auto"/>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sz w:val="21"/>
                <w:szCs w:val="21"/>
              </w:rPr>
              <w:t>*</w:t>
            </w:r>
          </w:p>
        </w:tc>
        <w:tc>
          <w:tcPr>
            <w:tcW w:w="842" w:type="dxa"/>
            <w:tcBorders>
              <w:top w:val="nil"/>
              <w:left w:val="nil"/>
              <w:bottom w:val="nil"/>
              <w:right w:val="nil"/>
            </w:tcBorders>
            <w:shd w:val="clear" w:color="auto" w:fill="auto"/>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sz w:val="21"/>
                <w:szCs w:val="21"/>
              </w:rPr>
              <w:t>*-1</w:t>
            </w:r>
          </w:p>
        </w:tc>
        <w:tc>
          <w:tcPr>
            <w:tcW w:w="1644" w:type="dxa"/>
            <w:tcBorders>
              <w:top w:val="nil"/>
              <w:left w:val="nil"/>
              <w:bottom w:val="nil"/>
              <w:right w:val="nil"/>
            </w:tcBorders>
            <w:shd w:val="clear" w:color="auto" w:fill="auto"/>
            <w:tcMar>
              <w:top w:w="0" w:type="dxa"/>
              <w:left w:w="105" w:type="dxa"/>
              <w:bottom w:w="0" w:type="dxa"/>
              <w:right w:w="105" w:type="dxa"/>
            </w:tcMar>
            <w:vAlign w:val="top"/>
          </w:tcPr>
          <w:p>
            <w:pPr>
              <w:keepNext w:val="0"/>
              <w:keepLines w:val="0"/>
              <w:widowControl/>
              <w:suppressLineNumbers w:val="0"/>
              <w:jc w:val="left"/>
            </w:pPr>
          </w:p>
        </w:tc>
        <w:tc>
          <w:tcPr>
            <w:tcW w:w="837" w:type="dxa"/>
            <w:tcBorders>
              <w:top w:val="nil"/>
              <w:left w:val="nil"/>
              <w:bottom w:val="nil"/>
              <w:right w:val="nil"/>
            </w:tcBorders>
            <w:shd w:val="clear" w:color="auto" w:fill="auto"/>
            <w:tcMar>
              <w:top w:w="0" w:type="dxa"/>
              <w:left w:w="105" w:type="dxa"/>
              <w:bottom w:w="0" w:type="dxa"/>
              <w:right w:w="105" w:type="dxa"/>
            </w:tcMar>
            <w:vAlign w:val="top"/>
          </w:tcPr>
          <w:p>
            <w:pPr>
              <w:keepNext w:val="0"/>
              <w:keepLines w:val="0"/>
              <w:widowControl/>
              <w:suppressLineNumbers w:val="0"/>
              <w:jc w:val="left"/>
            </w:pPr>
          </w:p>
        </w:tc>
        <w:tc>
          <w:tcPr>
            <w:tcW w:w="1111" w:type="dxa"/>
            <w:tcBorders>
              <w:top w:val="nil"/>
              <w:left w:val="nil"/>
              <w:bottom w:val="nil"/>
              <w:right w:val="nil"/>
            </w:tcBorders>
            <w:shd w:val="clear" w:color="auto" w:fill="auto"/>
            <w:tcMar>
              <w:top w:w="0" w:type="dxa"/>
              <w:left w:w="105" w:type="dxa"/>
              <w:bottom w:w="0" w:type="dxa"/>
              <w:right w:w="105" w:type="dxa"/>
            </w:tcMar>
            <w:vAlign w:val="top"/>
          </w:tcPr>
          <w:p>
            <w:pPr>
              <w:keepNext w:val="0"/>
              <w:keepLines w:val="0"/>
              <w:widowControl/>
              <w:suppressLineNumbers w:val="0"/>
              <w:jc w:val="left"/>
            </w:pPr>
          </w:p>
        </w:tc>
        <w:tc>
          <w:tcPr>
            <w:tcW w:w="1111" w:type="dxa"/>
            <w:tcBorders>
              <w:top w:val="nil"/>
              <w:left w:val="nil"/>
              <w:bottom w:val="nil"/>
              <w:right w:val="nil"/>
            </w:tcBorders>
            <w:shd w:val="clear" w:color="auto" w:fill="auto"/>
            <w:tcMar>
              <w:top w:w="0" w:type="dxa"/>
              <w:left w:w="105" w:type="dxa"/>
              <w:bottom w:w="0" w:type="dxa"/>
              <w:right w:w="105" w:type="dxa"/>
            </w:tcMar>
            <w:vAlign w:val="top"/>
          </w:tcPr>
          <w:p>
            <w:pPr>
              <w:keepNext w:val="0"/>
              <w:keepLines w:val="0"/>
              <w:widowControl/>
              <w:suppressLineNumbers w:val="0"/>
              <w:jc w:val="left"/>
            </w:pPr>
          </w:p>
        </w:tc>
        <w:tc>
          <w:tcPr>
            <w:tcW w:w="1792" w:type="dxa"/>
            <w:tcBorders>
              <w:top w:val="nil"/>
              <w:left w:val="nil"/>
              <w:bottom w:val="nil"/>
              <w:right w:val="nil"/>
            </w:tcBorders>
            <w:shd w:val="clear" w:color="auto" w:fill="auto"/>
            <w:tcMar>
              <w:top w:w="0" w:type="dxa"/>
              <w:left w:w="105" w:type="dxa"/>
              <w:bottom w:w="0" w:type="dxa"/>
              <w:right w:w="105" w:type="dxa"/>
            </w:tcMar>
            <w:vAlign w:val="top"/>
          </w:tcPr>
          <w:p>
            <w:pPr>
              <w:keepNext w:val="0"/>
              <w:keepLines w:val="0"/>
              <w:widowControl/>
              <w:suppressLineNumbers w:val="0"/>
              <w:jc w:val="left"/>
            </w:pPr>
          </w:p>
        </w:tc>
      </w:tr>
      <w:tr>
        <w:trPr>
          <w:tblCellSpacing w:w="15" w:type="dxa"/>
        </w:trPr>
        <w:tc>
          <w:tcPr>
            <w:tcW w:w="938" w:type="dxa"/>
            <w:vMerge w:val="continue"/>
            <w:tcBorders>
              <w:top w:val="nil"/>
              <w:left w:val="nil"/>
              <w:bottom w:val="nil"/>
              <w:right w:val="nil"/>
            </w:tcBorders>
            <w:shd w:val="clear" w:color="auto" w:fill="auto"/>
            <w:tcMar>
              <w:top w:w="0" w:type="dxa"/>
              <w:left w:w="105" w:type="dxa"/>
              <w:bottom w:w="0" w:type="dxa"/>
              <w:right w:w="105" w:type="dxa"/>
            </w:tcMar>
            <w:vAlign w:val="center"/>
          </w:tcPr>
          <w:p>
            <w:pPr>
              <w:rPr>
                <w:rFonts w:hint="eastAsia" w:ascii="宋体"/>
                <w:sz w:val="24"/>
                <w:szCs w:val="24"/>
              </w:rPr>
            </w:pPr>
          </w:p>
        </w:tc>
        <w:tc>
          <w:tcPr>
            <w:tcW w:w="842" w:type="dxa"/>
            <w:tcBorders>
              <w:top w:val="nil"/>
              <w:left w:val="nil"/>
              <w:bottom w:val="nil"/>
              <w:right w:val="nil"/>
            </w:tcBorders>
            <w:shd w:val="clear" w:color="auto" w:fill="auto"/>
            <w:tcMar>
              <w:top w:w="0" w:type="dxa"/>
              <w:left w:w="105" w:type="dxa"/>
              <w:bottom w:w="0" w:type="dxa"/>
              <w:right w:w="105" w:type="dxa"/>
            </w:tcMar>
            <w:vAlign w:val="center"/>
          </w:tcPr>
          <w:p>
            <w:pPr>
              <w:pStyle w:val="4"/>
              <w:keepNext w:val="0"/>
              <w:keepLines w:val="0"/>
              <w:widowControl/>
              <w:suppressLineNumbers w:val="0"/>
              <w:jc w:val="center"/>
            </w:pPr>
            <w:r>
              <w:rPr>
                <w:rFonts w:hint="default" w:ascii="Calibri" w:hAnsi="Calibri" w:cs="Calibri"/>
                <w:sz w:val="21"/>
                <w:szCs w:val="21"/>
              </w:rPr>
              <w:t>…</w:t>
            </w:r>
          </w:p>
        </w:tc>
        <w:tc>
          <w:tcPr>
            <w:tcW w:w="1644" w:type="dxa"/>
            <w:tcBorders>
              <w:top w:val="nil"/>
              <w:left w:val="nil"/>
              <w:bottom w:val="nil"/>
              <w:right w:val="nil"/>
            </w:tcBorders>
            <w:shd w:val="clear" w:color="auto" w:fill="auto"/>
            <w:tcMar>
              <w:top w:w="0" w:type="dxa"/>
              <w:left w:w="105" w:type="dxa"/>
              <w:bottom w:w="0" w:type="dxa"/>
              <w:right w:w="105" w:type="dxa"/>
            </w:tcMar>
            <w:vAlign w:val="top"/>
          </w:tcPr>
          <w:p>
            <w:pPr>
              <w:keepNext w:val="0"/>
              <w:keepLines w:val="0"/>
              <w:widowControl/>
              <w:suppressLineNumbers w:val="0"/>
              <w:jc w:val="left"/>
            </w:pPr>
          </w:p>
        </w:tc>
        <w:tc>
          <w:tcPr>
            <w:tcW w:w="837" w:type="dxa"/>
            <w:tcBorders>
              <w:top w:val="nil"/>
              <w:left w:val="nil"/>
              <w:bottom w:val="nil"/>
              <w:right w:val="nil"/>
            </w:tcBorders>
            <w:shd w:val="clear" w:color="auto" w:fill="auto"/>
            <w:tcMar>
              <w:top w:w="0" w:type="dxa"/>
              <w:left w:w="105" w:type="dxa"/>
              <w:bottom w:w="0" w:type="dxa"/>
              <w:right w:w="105" w:type="dxa"/>
            </w:tcMar>
            <w:vAlign w:val="top"/>
          </w:tcPr>
          <w:p>
            <w:pPr>
              <w:keepNext w:val="0"/>
              <w:keepLines w:val="0"/>
              <w:widowControl/>
              <w:suppressLineNumbers w:val="0"/>
              <w:jc w:val="left"/>
            </w:pPr>
          </w:p>
        </w:tc>
        <w:tc>
          <w:tcPr>
            <w:tcW w:w="1111" w:type="dxa"/>
            <w:tcBorders>
              <w:top w:val="nil"/>
              <w:left w:val="nil"/>
              <w:bottom w:val="nil"/>
              <w:right w:val="nil"/>
            </w:tcBorders>
            <w:shd w:val="clear" w:color="auto" w:fill="auto"/>
            <w:tcMar>
              <w:top w:w="0" w:type="dxa"/>
              <w:left w:w="105" w:type="dxa"/>
              <w:bottom w:w="0" w:type="dxa"/>
              <w:right w:w="105" w:type="dxa"/>
            </w:tcMar>
            <w:vAlign w:val="top"/>
          </w:tcPr>
          <w:p>
            <w:pPr>
              <w:keepNext w:val="0"/>
              <w:keepLines w:val="0"/>
              <w:widowControl/>
              <w:suppressLineNumbers w:val="0"/>
              <w:jc w:val="left"/>
            </w:pPr>
          </w:p>
        </w:tc>
        <w:tc>
          <w:tcPr>
            <w:tcW w:w="1111" w:type="dxa"/>
            <w:tcBorders>
              <w:top w:val="nil"/>
              <w:left w:val="nil"/>
              <w:bottom w:val="nil"/>
              <w:right w:val="nil"/>
            </w:tcBorders>
            <w:shd w:val="clear" w:color="auto" w:fill="auto"/>
            <w:tcMar>
              <w:top w:w="0" w:type="dxa"/>
              <w:left w:w="105" w:type="dxa"/>
              <w:bottom w:w="0" w:type="dxa"/>
              <w:right w:w="105" w:type="dxa"/>
            </w:tcMar>
            <w:vAlign w:val="top"/>
          </w:tcPr>
          <w:p>
            <w:pPr>
              <w:keepNext w:val="0"/>
              <w:keepLines w:val="0"/>
              <w:widowControl/>
              <w:suppressLineNumbers w:val="0"/>
              <w:jc w:val="left"/>
            </w:pPr>
          </w:p>
        </w:tc>
        <w:tc>
          <w:tcPr>
            <w:tcW w:w="1792" w:type="dxa"/>
            <w:tcBorders>
              <w:top w:val="nil"/>
              <w:left w:val="nil"/>
              <w:bottom w:val="nil"/>
              <w:right w:val="nil"/>
            </w:tcBorders>
            <w:shd w:val="clear" w:color="auto" w:fill="auto"/>
            <w:tcMar>
              <w:top w:w="0" w:type="dxa"/>
              <w:left w:w="105" w:type="dxa"/>
              <w:bottom w:w="0" w:type="dxa"/>
              <w:right w:w="105" w:type="dxa"/>
            </w:tcMar>
            <w:vAlign w:val="top"/>
          </w:tcPr>
          <w:p>
            <w:pPr>
              <w:keepNext w:val="0"/>
              <w:keepLines w:val="0"/>
              <w:widowControl/>
              <w:suppressLineNumbers w:val="0"/>
              <w:jc w:val="left"/>
            </w:pPr>
          </w:p>
        </w:tc>
      </w:tr>
      <w:tr>
        <w:trPr>
          <w:tblCellSpacing w:w="15" w:type="dxa"/>
        </w:trPr>
        <w:tc>
          <w:tcPr>
            <w:tcW w:w="938" w:type="dxa"/>
            <w:tcBorders>
              <w:top w:val="nil"/>
              <w:left w:val="nil"/>
              <w:bottom w:val="nil"/>
              <w:right w:val="nil"/>
            </w:tcBorders>
            <w:shd w:val="clear" w:color="auto" w:fill="auto"/>
            <w:tcMar>
              <w:top w:w="0" w:type="dxa"/>
              <w:left w:w="105" w:type="dxa"/>
              <w:bottom w:w="0" w:type="dxa"/>
              <w:right w:w="105" w:type="dxa"/>
            </w:tcMar>
            <w:vAlign w:val="center"/>
          </w:tcPr>
          <w:p>
            <w:pPr>
              <w:pStyle w:val="4"/>
              <w:keepNext w:val="0"/>
              <w:keepLines w:val="0"/>
              <w:widowControl/>
              <w:suppressLineNumbers w:val="0"/>
              <w:jc w:val="center"/>
            </w:pPr>
            <w:r>
              <w:rPr>
                <w:rFonts w:hint="default" w:ascii="Calibri" w:hAnsi="Calibri" w:cs="Calibri"/>
                <w:sz w:val="21"/>
                <w:szCs w:val="21"/>
              </w:rPr>
              <w:t>…</w:t>
            </w:r>
          </w:p>
        </w:tc>
        <w:tc>
          <w:tcPr>
            <w:tcW w:w="842" w:type="dxa"/>
            <w:tcBorders>
              <w:top w:val="nil"/>
              <w:left w:val="nil"/>
              <w:bottom w:val="nil"/>
              <w:right w:val="nil"/>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1644" w:type="dxa"/>
            <w:tcBorders>
              <w:top w:val="nil"/>
              <w:left w:val="nil"/>
              <w:bottom w:val="nil"/>
              <w:right w:val="nil"/>
            </w:tcBorders>
            <w:shd w:val="clear" w:color="auto" w:fill="auto"/>
            <w:tcMar>
              <w:top w:w="0" w:type="dxa"/>
              <w:left w:w="105" w:type="dxa"/>
              <w:bottom w:w="0" w:type="dxa"/>
              <w:right w:w="105" w:type="dxa"/>
            </w:tcMar>
            <w:vAlign w:val="top"/>
          </w:tcPr>
          <w:p>
            <w:pPr>
              <w:keepNext w:val="0"/>
              <w:keepLines w:val="0"/>
              <w:widowControl/>
              <w:suppressLineNumbers w:val="0"/>
              <w:jc w:val="left"/>
            </w:pPr>
          </w:p>
        </w:tc>
        <w:tc>
          <w:tcPr>
            <w:tcW w:w="837" w:type="dxa"/>
            <w:tcBorders>
              <w:top w:val="nil"/>
              <w:left w:val="nil"/>
              <w:bottom w:val="nil"/>
              <w:right w:val="nil"/>
            </w:tcBorders>
            <w:shd w:val="clear" w:color="auto" w:fill="auto"/>
            <w:tcMar>
              <w:top w:w="0" w:type="dxa"/>
              <w:left w:w="105" w:type="dxa"/>
              <w:bottom w:w="0" w:type="dxa"/>
              <w:right w:w="105" w:type="dxa"/>
            </w:tcMar>
            <w:vAlign w:val="top"/>
          </w:tcPr>
          <w:p>
            <w:pPr>
              <w:keepNext w:val="0"/>
              <w:keepLines w:val="0"/>
              <w:widowControl/>
              <w:suppressLineNumbers w:val="0"/>
              <w:jc w:val="left"/>
            </w:pPr>
          </w:p>
        </w:tc>
        <w:tc>
          <w:tcPr>
            <w:tcW w:w="1111" w:type="dxa"/>
            <w:tcBorders>
              <w:top w:val="nil"/>
              <w:left w:val="nil"/>
              <w:bottom w:val="nil"/>
              <w:right w:val="nil"/>
            </w:tcBorders>
            <w:shd w:val="clear" w:color="auto" w:fill="auto"/>
            <w:tcMar>
              <w:top w:w="0" w:type="dxa"/>
              <w:left w:w="105" w:type="dxa"/>
              <w:bottom w:w="0" w:type="dxa"/>
              <w:right w:w="105" w:type="dxa"/>
            </w:tcMar>
            <w:vAlign w:val="top"/>
          </w:tcPr>
          <w:p>
            <w:pPr>
              <w:keepNext w:val="0"/>
              <w:keepLines w:val="0"/>
              <w:widowControl/>
              <w:suppressLineNumbers w:val="0"/>
              <w:jc w:val="left"/>
            </w:pPr>
          </w:p>
        </w:tc>
        <w:tc>
          <w:tcPr>
            <w:tcW w:w="1111" w:type="dxa"/>
            <w:tcBorders>
              <w:top w:val="nil"/>
              <w:left w:val="nil"/>
              <w:bottom w:val="nil"/>
              <w:right w:val="nil"/>
            </w:tcBorders>
            <w:shd w:val="clear" w:color="auto" w:fill="auto"/>
            <w:tcMar>
              <w:top w:w="0" w:type="dxa"/>
              <w:left w:w="105" w:type="dxa"/>
              <w:bottom w:w="0" w:type="dxa"/>
              <w:right w:w="105" w:type="dxa"/>
            </w:tcMar>
            <w:vAlign w:val="top"/>
          </w:tcPr>
          <w:p>
            <w:pPr>
              <w:keepNext w:val="0"/>
              <w:keepLines w:val="0"/>
              <w:widowControl/>
              <w:suppressLineNumbers w:val="0"/>
              <w:jc w:val="left"/>
            </w:pPr>
          </w:p>
        </w:tc>
        <w:tc>
          <w:tcPr>
            <w:tcW w:w="1792" w:type="dxa"/>
            <w:tcBorders>
              <w:top w:val="nil"/>
              <w:left w:val="nil"/>
              <w:bottom w:val="nil"/>
              <w:right w:val="nil"/>
            </w:tcBorders>
            <w:shd w:val="clear" w:color="auto" w:fill="auto"/>
            <w:tcMar>
              <w:top w:w="0" w:type="dxa"/>
              <w:left w:w="105" w:type="dxa"/>
              <w:bottom w:w="0" w:type="dxa"/>
              <w:right w:w="105" w:type="dxa"/>
            </w:tcMar>
            <w:vAlign w:val="top"/>
          </w:tcPr>
          <w:p>
            <w:pPr>
              <w:keepNext w:val="0"/>
              <w:keepLines w:val="0"/>
              <w:widowControl/>
              <w:suppressLineNumbers w:val="0"/>
              <w:jc w:val="left"/>
            </w:pPr>
          </w:p>
        </w:tc>
      </w:tr>
    </w:tbl>
    <w:p>
      <w:pPr>
        <w:pStyle w:val="4"/>
        <w:keepNext w:val="0"/>
        <w:keepLines w:val="0"/>
        <w:widowControl/>
        <w:suppressLineNumbers w:val="0"/>
      </w:pPr>
      <w:r>
        <w:rPr>
          <w:rFonts w:hint="eastAsia" w:ascii="宋体" w:hAnsi="宋体" w:eastAsia="宋体" w:cs="宋体"/>
          <w:sz w:val="21"/>
          <w:szCs w:val="21"/>
        </w:rPr>
        <w:t>★注意：</w:t>
      </w:r>
    </w:p>
    <w:p>
      <w:pPr>
        <w:pStyle w:val="4"/>
        <w:keepNext w:val="0"/>
        <w:keepLines w:val="0"/>
        <w:widowControl/>
        <w:suppressLineNumbers w:val="0"/>
      </w:pPr>
      <w:r>
        <w:rPr>
          <w:rFonts w:hint="eastAsia" w:ascii="宋体" w:hAnsi="宋体" w:eastAsia="宋体" w:cs="宋体"/>
          <w:sz w:val="21"/>
          <w:szCs w:val="21"/>
        </w:rPr>
        <w:t>1、本表应按照下列规定填写：</w:t>
      </w:r>
    </w:p>
    <w:p>
      <w:pPr>
        <w:pStyle w:val="4"/>
        <w:keepNext w:val="0"/>
        <w:keepLines w:val="0"/>
        <w:widowControl/>
        <w:suppressLineNumbers w:val="0"/>
      </w:pPr>
      <w:r>
        <w:rPr>
          <w:rFonts w:hint="eastAsia" w:ascii="宋体" w:hAnsi="宋体" w:eastAsia="宋体" w:cs="宋体"/>
          <w:sz w:val="21"/>
          <w:szCs w:val="21"/>
        </w:rPr>
        <w:t>1.1“合同包”、“品目号”、“投标标的”及“数量”应与招标文件《采购标的一览表》中的有关内容（“合同包”、“品目号”、“采购标的”及“数量”）保持一致。</w:t>
      </w:r>
    </w:p>
    <w:p>
      <w:pPr>
        <w:pStyle w:val="4"/>
        <w:keepNext w:val="0"/>
        <w:keepLines w:val="0"/>
        <w:widowControl/>
        <w:suppressLineNumbers w:val="0"/>
      </w:pPr>
      <w:r>
        <w:rPr>
          <w:rFonts w:hint="eastAsia" w:ascii="宋体" w:hAnsi="宋体" w:eastAsia="宋体" w:cs="宋体"/>
          <w:sz w:val="21"/>
          <w:szCs w:val="21"/>
        </w:rPr>
        <w:t>1.2“投标标的”为货物的：</w:t>
      </w:r>
      <w:r>
        <w:rPr>
          <w:rStyle w:val="6"/>
          <w:rFonts w:hint="eastAsia" w:ascii="宋体" w:hAnsi="宋体" w:eastAsia="宋体" w:cs="宋体"/>
          <w:sz w:val="21"/>
          <w:szCs w:val="21"/>
        </w:rPr>
        <w:t>“规格”</w:t>
      </w:r>
      <w:r>
        <w:rPr>
          <w:rFonts w:hint="eastAsia" w:ascii="宋体" w:hAnsi="宋体" w:eastAsia="宋体" w:cs="宋体"/>
          <w:sz w:val="21"/>
          <w:szCs w:val="21"/>
        </w:rPr>
        <w:t>项下应填写货物制造厂商赋予的品牌（属于节能、环保清单产品的货物，填写的品牌名称应与清单载明的品牌名称保持一致）及具体型号。</w:t>
      </w:r>
      <w:r>
        <w:rPr>
          <w:rStyle w:val="6"/>
          <w:rFonts w:hint="eastAsia" w:ascii="宋体" w:hAnsi="宋体" w:eastAsia="宋体" w:cs="宋体"/>
          <w:sz w:val="21"/>
          <w:szCs w:val="21"/>
        </w:rPr>
        <w:t>“来源地”</w:t>
      </w:r>
      <w:r>
        <w:rPr>
          <w:rFonts w:hint="eastAsia" w:ascii="宋体" w:hAnsi="宋体" w:eastAsia="宋体" w:cs="宋体"/>
          <w:sz w:val="21"/>
          <w:szCs w:val="21"/>
        </w:rPr>
        <w:t>应填写货物的原产地。</w:t>
      </w:r>
      <w:r>
        <w:rPr>
          <w:rStyle w:val="6"/>
          <w:rFonts w:hint="eastAsia" w:ascii="宋体" w:hAnsi="宋体" w:eastAsia="宋体" w:cs="宋体"/>
          <w:sz w:val="21"/>
          <w:szCs w:val="21"/>
        </w:rPr>
        <w:t>“备注”</w:t>
      </w:r>
      <w:r>
        <w:rPr>
          <w:rFonts w:hint="eastAsia" w:ascii="宋体" w:hAnsi="宋体" w:eastAsia="宋体" w:cs="宋体"/>
          <w:sz w:val="21"/>
          <w:szCs w:val="21"/>
        </w:rPr>
        <w:t>项下应填写货物的详细性能说明及供货范围清单（若有），其中供货范围清单包括但不限于：组成货物的主要件和关键件的名称、数量、原产地，专用工具（若有）的名称、数量、原产地，备品备件（若有）的名称、数量、原产地等。</w:t>
      </w:r>
    </w:p>
    <w:p>
      <w:pPr>
        <w:pStyle w:val="4"/>
        <w:keepNext w:val="0"/>
        <w:keepLines w:val="0"/>
        <w:widowControl/>
        <w:suppressLineNumbers w:val="0"/>
      </w:pPr>
      <w:r>
        <w:rPr>
          <w:rFonts w:hint="eastAsia" w:ascii="宋体" w:hAnsi="宋体" w:eastAsia="宋体" w:cs="宋体"/>
          <w:sz w:val="21"/>
          <w:szCs w:val="21"/>
        </w:rPr>
        <w:t>1.3“投标标的”为服务的：</w:t>
      </w:r>
      <w:r>
        <w:rPr>
          <w:rStyle w:val="6"/>
          <w:rFonts w:hint="eastAsia" w:ascii="宋体" w:hAnsi="宋体" w:eastAsia="宋体" w:cs="宋体"/>
          <w:sz w:val="21"/>
          <w:szCs w:val="21"/>
        </w:rPr>
        <w:t>“规格”</w:t>
      </w:r>
      <w:r>
        <w:rPr>
          <w:rFonts w:hint="eastAsia" w:ascii="宋体" w:hAnsi="宋体" w:eastAsia="宋体" w:cs="宋体"/>
          <w:sz w:val="21"/>
          <w:szCs w:val="21"/>
        </w:rPr>
        <w:t>项下应填写服务提供者提供的服务标准及品牌（若有）。</w:t>
      </w:r>
      <w:r>
        <w:rPr>
          <w:rStyle w:val="6"/>
          <w:rFonts w:hint="eastAsia" w:ascii="宋体" w:hAnsi="宋体" w:eastAsia="宋体" w:cs="宋体"/>
          <w:sz w:val="21"/>
          <w:szCs w:val="21"/>
        </w:rPr>
        <w:t>“来源地”</w:t>
      </w:r>
      <w:r>
        <w:rPr>
          <w:rFonts w:hint="eastAsia" w:ascii="宋体" w:hAnsi="宋体" w:eastAsia="宋体" w:cs="宋体"/>
          <w:sz w:val="21"/>
          <w:szCs w:val="21"/>
        </w:rPr>
        <w:t>应填写服务提供者的所在地。</w:t>
      </w:r>
      <w:r>
        <w:rPr>
          <w:rStyle w:val="6"/>
          <w:rFonts w:hint="eastAsia" w:ascii="宋体" w:hAnsi="宋体" w:eastAsia="宋体" w:cs="宋体"/>
          <w:sz w:val="21"/>
          <w:szCs w:val="21"/>
        </w:rPr>
        <w:t>“备注”</w:t>
      </w:r>
      <w:r>
        <w:rPr>
          <w:rFonts w:hint="eastAsia" w:ascii="宋体" w:hAnsi="宋体" w:eastAsia="宋体" w:cs="宋体"/>
          <w:sz w:val="21"/>
          <w:szCs w:val="21"/>
        </w:rPr>
        <w:t>项下应填写关于服务标准所涵盖的具体项目或内容的说明等。</w:t>
      </w:r>
    </w:p>
    <w:p>
      <w:pPr>
        <w:pStyle w:val="4"/>
        <w:keepNext w:val="0"/>
        <w:keepLines w:val="0"/>
        <w:widowControl/>
        <w:suppressLineNumbers w:val="0"/>
      </w:pPr>
      <w:r>
        <w:rPr>
          <w:rFonts w:hint="eastAsia" w:ascii="宋体" w:hAnsi="宋体" w:eastAsia="宋体" w:cs="宋体"/>
          <w:sz w:val="21"/>
          <w:szCs w:val="21"/>
        </w:rPr>
        <w:t>2、投标人需要说明的内容若需特殊表达，应先在本表中进行相应说明，再另页应答，否则</w:t>
      </w:r>
      <w:r>
        <w:rPr>
          <w:rStyle w:val="6"/>
          <w:rFonts w:hint="eastAsia" w:ascii="宋体" w:hAnsi="宋体" w:eastAsia="宋体" w:cs="宋体"/>
          <w:sz w:val="21"/>
          <w:szCs w:val="21"/>
        </w:rPr>
        <w:t>投标无效</w:t>
      </w:r>
      <w:r>
        <w:rPr>
          <w:rFonts w:hint="eastAsia" w:ascii="宋体" w:hAnsi="宋体" w:eastAsia="宋体" w:cs="宋体"/>
          <w:sz w:val="21"/>
          <w:szCs w:val="21"/>
        </w:rPr>
        <w:t>。</w:t>
      </w:r>
    </w:p>
    <w:p>
      <w:pPr>
        <w:pStyle w:val="4"/>
        <w:keepNext w:val="0"/>
        <w:keepLines w:val="0"/>
        <w:widowControl/>
        <w:suppressLineNumbers w:val="0"/>
      </w:pPr>
      <w:r>
        <w:rPr>
          <w:rFonts w:hint="eastAsia" w:ascii="宋体" w:hAnsi="宋体" w:eastAsia="宋体" w:cs="宋体"/>
          <w:sz w:val="21"/>
          <w:szCs w:val="21"/>
        </w:rPr>
        <w:t>3、投标文件中涉及</w:t>
      </w:r>
      <w:r>
        <w:rPr>
          <w:rStyle w:val="6"/>
          <w:rFonts w:hint="eastAsia" w:ascii="宋体" w:hAnsi="宋体" w:eastAsia="宋体" w:cs="宋体"/>
          <w:sz w:val="21"/>
          <w:szCs w:val="21"/>
        </w:rPr>
        <w:t>“投标标的”、“数量”、“规格”、“来源地”</w:t>
      </w:r>
      <w:r>
        <w:rPr>
          <w:rFonts w:hint="eastAsia" w:ascii="宋体" w:hAnsi="宋体" w:eastAsia="宋体" w:cs="宋体"/>
          <w:sz w:val="21"/>
          <w:szCs w:val="21"/>
        </w:rPr>
        <w:t>的内容若不一致，</w:t>
      </w:r>
      <w:r>
        <w:rPr>
          <w:rStyle w:val="6"/>
          <w:rFonts w:hint="eastAsia" w:ascii="宋体" w:hAnsi="宋体" w:eastAsia="宋体" w:cs="宋体"/>
          <w:sz w:val="21"/>
          <w:szCs w:val="21"/>
        </w:rPr>
        <w:t>应以本表为准</w:t>
      </w:r>
      <w:r>
        <w:rPr>
          <w:rFonts w:hint="eastAsia" w:ascii="宋体" w:hAnsi="宋体" w:eastAsia="宋体" w:cs="宋体"/>
          <w:sz w:val="21"/>
          <w:szCs w:val="21"/>
        </w:rPr>
        <w:t>。</w:t>
      </w:r>
    </w:p>
    <w:p>
      <w:pPr>
        <w:pStyle w:val="4"/>
        <w:keepNext w:val="0"/>
        <w:keepLines w:val="0"/>
        <w:widowControl/>
        <w:suppressLineNumbers w:val="0"/>
      </w:pPr>
      <w:r>
        <w:rPr>
          <w:rFonts w:hint="eastAsia" w:ascii="宋体" w:hAnsi="宋体" w:eastAsia="宋体" w:cs="宋体"/>
          <w:sz w:val="21"/>
          <w:szCs w:val="21"/>
        </w:rPr>
        <w:t>4、纸质投标文件正本中的本表应为原件。</w:t>
      </w:r>
    </w:p>
    <w:p>
      <w:pPr>
        <w:pStyle w:val="4"/>
        <w:keepNext w:val="0"/>
        <w:keepLines w:val="0"/>
        <w:widowControl/>
        <w:suppressLineNumbers w:val="0"/>
      </w:pPr>
      <w:r>
        <w:rPr>
          <w:rFonts w:hint="eastAsia" w:ascii="宋体" w:hAnsi="宋体" w:eastAsia="宋体" w:cs="宋体"/>
          <w:sz w:val="21"/>
          <w:szCs w:val="21"/>
        </w:rPr>
        <w:t> </w:t>
      </w:r>
    </w:p>
    <w:p>
      <w:pPr>
        <w:pStyle w:val="4"/>
        <w:keepNext w:val="0"/>
        <w:keepLines w:val="0"/>
        <w:widowControl/>
        <w:suppressLineNumbers w:val="0"/>
      </w:pPr>
      <w:r>
        <w:rPr>
          <w:rFonts w:hint="eastAsia" w:ascii="宋体" w:hAnsi="宋体" w:eastAsia="宋体" w:cs="宋体"/>
          <w:sz w:val="21"/>
          <w:szCs w:val="21"/>
        </w:rPr>
        <w:t> </w:t>
      </w:r>
    </w:p>
    <w:p>
      <w:pPr>
        <w:pStyle w:val="4"/>
        <w:keepNext w:val="0"/>
        <w:keepLines w:val="0"/>
        <w:widowControl/>
        <w:suppressLineNumbers w:val="0"/>
      </w:pPr>
      <w:r>
        <w:rPr>
          <w:rFonts w:hint="eastAsia" w:ascii="宋体" w:hAnsi="宋体" w:eastAsia="宋体" w:cs="宋体"/>
          <w:sz w:val="21"/>
          <w:szCs w:val="21"/>
        </w:rPr>
        <w:t>投标人：</w:t>
      </w:r>
      <w:r>
        <w:rPr>
          <w:rFonts w:hint="eastAsia" w:ascii="宋体" w:hAnsi="宋体" w:eastAsia="宋体" w:cs="宋体"/>
          <w:sz w:val="21"/>
          <w:szCs w:val="21"/>
          <w:u w:val="single"/>
        </w:rPr>
        <w:t>（全称并加盖单位公章）</w:t>
      </w:r>
    </w:p>
    <w:p>
      <w:pPr>
        <w:pStyle w:val="4"/>
        <w:keepNext w:val="0"/>
        <w:keepLines w:val="0"/>
        <w:widowControl/>
        <w:suppressLineNumbers w:val="0"/>
      </w:pPr>
      <w:r>
        <w:rPr>
          <w:rFonts w:hint="eastAsia" w:ascii="宋体" w:hAnsi="宋体" w:eastAsia="宋体" w:cs="宋体"/>
          <w:sz w:val="21"/>
          <w:szCs w:val="21"/>
        </w:rPr>
        <w:t>投标人代表签字：</w:t>
      </w:r>
      <w:r>
        <w:rPr>
          <w:rFonts w:hint="eastAsia" w:ascii="宋体" w:hAnsi="宋体" w:eastAsia="宋体" w:cs="宋体"/>
          <w:sz w:val="21"/>
          <w:szCs w:val="21"/>
          <w:u w:val="single"/>
        </w:rPr>
        <w:t>                   </w:t>
      </w:r>
    </w:p>
    <w:p>
      <w:pPr>
        <w:pStyle w:val="4"/>
        <w:keepNext w:val="0"/>
        <w:keepLines w:val="0"/>
        <w:widowControl/>
        <w:suppressLineNumbers w:val="0"/>
      </w:pPr>
      <w:r>
        <w:rPr>
          <w:rFonts w:hint="eastAsia" w:ascii="宋体" w:hAnsi="宋体" w:eastAsia="宋体" w:cs="宋体"/>
          <w:sz w:val="21"/>
          <w:szCs w:val="21"/>
        </w:rPr>
        <w:t>日期：</w:t>
      </w:r>
      <w:r>
        <w:rPr>
          <w:rFonts w:hint="eastAsia" w:ascii="宋体" w:hAnsi="宋体" w:eastAsia="宋体" w:cs="宋体"/>
          <w:sz w:val="21"/>
          <w:szCs w:val="21"/>
          <w:u w:val="single"/>
        </w:rPr>
        <w:t>    </w:t>
      </w:r>
      <w:r>
        <w:rPr>
          <w:rFonts w:hint="eastAsia" w:ascii="宋体" w:hAnsi="宋体" w:eastAsia="宋体" w:cs="宋体"/>
          <w:sz w:val="21"/>
          <w:szCs w:val="21"/>
        </w:rPr>
        <w:t>年</w:t>
      </w:r>
      <w:r>
        <w:rPr>
          <w:rFonts w:hint="eastAsia" w:ascii="宋体" w:hAnsi="宋体" w:eastAsia="宋体" w:cs="宋体"/>
          <w:sz w:val="21"/>
          <w:szCs w:val="21"/>
          <w:u w:val="single"/>
        </w:rPr>
        <w:t>   </w:t>
      </w:r>
      <w:r>
        <w:rPr>
          <w:rFonts w:hint="eastAsia" w:ascii="宋体" w:hAnsi="宋体" w:eastAsia="宋体" w:cs="宋体"/>
          <w:sz w:val="21"/>
          <w:szCs w:val="21"/>
        </w:rPr>
        <w:t>月</w:t>
      </w:r>
      <w:r>
        <w:rPr>
          <w:rFonts w:hint="eastAsia" w:ascii="宋体" w:hAnsi="宋体" w:eastAsia="宋体" w:cs="宋体"/>
          <w:sz w:val="21"/>
          <w:szCs w:val="21"/>
          <w:u w:val="single"/>
        </w:rPr>
        <w:t>   </w:t>
      </w:r>
      <w:r>
        <w:rPr>
          <w:rFonts w:hint="eastAsia" w:ascii="宋体" w:hAnsi="宋体" w:eastAsia="宋体" w:cs="宋体"/>
          <w:sz w:val="21"/>
          <w:szCs w:val="21"/>
        </w:rPr>
        <w:t>日</w:t>
      </w:r>
    </w:p>
    <w:p>
      <w:pPr>
        <w:pStyle w:val="4"/>
        <w:keepNext w:val="0"/>
        <w:keepLines w:val="0"/>
        <w:widowControl/>
        <w:suppressLineNumbers w:val="0"/>
      </w:pPr>
      <w:r>
        <w:rPr>
          <w:rFonts w:hint="eastAsia" w:ascii="宋体" w:hAnsi="宋体" w:eastAsia="宋体" w:cs="宋体"/>
          <w:sz w:val="21"/>
          <w:szCs w:val="21"/>
        </w:rPr>
        <w:t> </w:t>
      </w:r>
    </w:p>
    <w:p>
      <w:pPr>
        <w:pStyle w:val="4"/>
        <w:keepNext w:val="0"/>
        <w:keepLines w:val="0"/>
        <w:widowControl/>
        <w:suppressLineNumbers w:val="0"/>
      </w:pPr>
      <w:r>
        <w:rPr>
          <w:rFonts w:hint="eastAsia" w:ascii="宋体" w:hAnsi="宋体" w:eastAsia="宋体" w:cs="宋体"/>
          <w:sz w:val="21"/>
          <w:szCs w:val="21"/>
        </w:rPr>
        <w:t> </w:t>
      </w:r>
    </w:p>
    <w:p>
      <w:pPr>
        <w:pStyle w:val="4"/>
        <w:keepNext w:val="0"/>
        <w:keepLines w:val="0"/>
        <w:widowControl/>
        <w:suppressLineNumbers w:val="0"/>
        <w:jc w:val="center"/>
      </w:pPr>
      <w:r>
        <w:rPr>
          <w:rStyle w:val="6"/>
          <w:rFonts w:hint="default" w:ascii="Calibri" w:hAnsi="Calibri" w:cs="Calibri"/>
          <w:sz w:val="21"/>
          <w:szCs w:val="21"/>
        </w:rPr>
        <w:br w:type="textWrapping"/>
      </w:r>
      <w:r>
        <w:rPr>
          <w:rStyle w:val="6"/>
          <w:rFonts w:hint="eastAsia" w:ascii="宋体" w:hAnsi="宋体" w:eastAsia="宋体" w:cs="宋体"/>
          <w:sz w:val="21"/>
          <w:szCs w:val="21"/>
        </w:rPr>
        <w:t>二、技术和服务要求响应表</w:t>
      </w:r>
    </w:p>
    <w:p>
      <w:pPr>
        <w:pStyle w:val="4"/>
        <w:keepNext w:val="0"/>
        <w:keepLines w:val="0"/>
        <w:widowControl/>
        <w:suppressLineNumbers w:val="0"/>
      </w:pPr>
      <w:r>
        <w:rPr>
          <w:rFonts w:hint="eastAsia" w:ascii="宋体" w:hAnsi="宋体" w:eastAsia="宋体" w:cs="宋体"/>
          <w:sz w:val="21"/>
          <w:szCs w:val="21"/>
        </w:rPr>
        <w:t> </w:t>
      </w:r>
    </w:p>
    <w:p>
      <w:pPr>
        <w:pStyle w:val="4"/>
        <w:keepNext w:val="0"/>
        <w:keepLines w:val="0"/>
        <w:widowControl/>
        <w:suppressLineNumbers w:val="0"/>
      </w:pPr>
      <w:r>
        <w:rPr>
          <w:rFonts w:hint="eastAsia" w:ascii="宋体" w:hAnsi="宋体" w:eastAsia="宋体" w:cs="宋体"/>
          <w:sz w:val="21"/>
          <w:szCs w:val="21"/>
        </w:rPr>
        <w:t>招标编号：</w:t>
      </w:r>
      <w:r>
        <w:rPr>
          <w:rFonts w:hint="eastAsia" w:ascii="宋体" w:hAnsi="宋体" w:eastAsia="宋体" w:cs="宋体"/>
          <w:sz w:val="21"/>
          <w:szCs w:val="21"/>
          <w:u w:val="single"/>
        </w:rPr>
        <w:t>                   </w:t>
      </w:r>
    </w:p>
    <w:tbl>
      <w:tblPr>
        <w:tblStyle w:val="9"/>
        <w:tblW w:w="8518" w:type="dxa"/>
        <w:tblCellSpacing w:w="15" w:type="dxa"/>
        <w:tblInd w:w="-15"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15" w:type="dxa"/>
          <w:left w:w="15" w:type="dxa"/>
          <w:bottom w:w="15" w:type="dxa"/>
          <w:right w:w="15" w:type="dxa"/>
        </w:tblCellMar>
      </w:tblPr>
      <w:tblGrid>
        <w:gridCol w:w="989"/>
        <w:gridCol w:w="875"/>
        <w:gridCol w:w="2925"/>
        <w:gridCol w:w="1833"/>
        <w:gridCol w:w="1896"/>
      </w:tblGrid>
      <w:tr>
        <w:trPr>
          <w:trHeight w:val="255" w:hRule="atLeast"/>
          <w:tblCellSpacing w:w="15" w:type="dxa"/>
        </w:trPr>
        <w:tc>
          <w:tcPr>
            <w:tcW w:w="944" w:type="dxa"/>
            <w:tcBorders>
              <w:top w:val="nil"/>
              <w:left w:val="nil"/>
              <w:bottom w:val="nil"/>
              <w:right w:val="nil"/>
            </w:tcBorders>
            <w:shd w:val="clear" w:color="auto" w:fill="auto"/>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sz w:val="21"/>
                <w:szCs w:val="21"/>
              </w:rPr>
              <w:t>合同包</w:t>
            </w:r>
          </w:p>
        </w:tc>
        <w:tc>
          <w:tcPr>
            <w:tcW w:w="845" w:type="dxa"/>
            <w:tcBorders>
              <w:top w:val="nil"/>
              <w:left w:val="nil"/>
              <w:bottom w:val="nil"/>
              <w:right w:val="nil"/>
            </w:tcBorders>
            <w:shd w:val="clear" w:color="auto" w:fill="auto"/>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sz w:val="21"/>
                <w:szCs w:val="21"/>
              </w:rPr>
              <w:t>品目号</w:t>
            </w:r>
          </w:p>
        </w:tc>
        <w:tc>
          <w:tcPr>
            <w:tcW w:w="2895" w:type="dxa"/>
            <w:tcBorders>
              <w:top w:val="nil"/>
              <w:left w:val="nil"/>
              <w:bottom w:val="nil"/>
              <w:right w:val="nil"/>
            </w:tcBorders>
            <w:shd w:val="clear" w:color="auto" w:fill="auto"/>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sz w:val="21"/>
                <w:szCs w:val="21"/>
              </w:rPr>
              <w:t>技术和服务要求</w:t>
            </w:r>
          </w:p>
        </w:tc>
        <w:tc>
          <w:tcPr>
            <w:tcW w:w="1803" w:type="dxa"/>
            <w:tcBorders>
              <w:top w:val="nil"/>
              <w:left w:val="nil"/>
              <w:bottom w:val="nil"/>
              <w:right w:val="nil"/>
            </w:tcBorders>
            <w:shd w:val="clear" w:color="auto" w:fill="auto"/>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sz w:val="21"/>
                <w:szCs w:val="21"/>
              </w:rPr>
              <w:t>投标响应</w:t>
            </w:r>
          </w:p>
        </w:tc>
        <w:tc>
          <w:tcPr>
            <w:tcW w:w="1851" w:type="dxa"/>
            <w:tcBorders>
              <w:top w:val="nil"/>
              <w:left w:val="nil"/>
              <w:bottom w:val="nil"/>
              <w:right w:val="nil"/>
            </w:tcBorders>
            <w:shd w:val="clear" w:color="auto" w:fill="auto"/>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sz w:val="21"/>
                <w:szCs w:val="21"/>
              </w:rPr>
              <w:t>是否偏离及说明</w:t>
            </w:r>
          </w:p>
        </w:tc>
      </w:tr>
      <w:tr>
        <w:trPr>
          <w:tblCellSpacing w:w="15" w:type="dxa"/>
        </w:trPr>
        <w:tc>
          <w:tcPr>
            <w:tcW w:w="944" w:type="dxa"/>
            <w:vMerge w:val="restart"/>
            <w:tcBorders>
              <w:top w:val="nil"/>
              <w:left w:val="nil"/>
              <w:bottom w:val="nil"/>
              <w:right w:val="nil"/>
            </w:tcBorders>
            <w:shd w:val="clear" w:color="auto" w:fill="auto"/>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sz w:val="21"/>
                <w:szCs w:val="21"/>
              </w:rPr>
              <w:t>*</w:t>
            </w:r>
          </w:p>
        </w:tc>
        <w:tc>
          <w:tcPr>
            <w:tcW w:w="845" w:type="dxa"/>
            <w:tcBorders>
              <w:top w:val="nil"/>
              <w:left w:val="nil"/>
              <w:bottom w:val="nil"/>
              <w:right w:val="nil"/>
            </w:tcBorders>
            <w:shd w:val="clear" w:color="auto" w:fill="auto"/>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sz w:val="21"/>
                <w:szCs w:val="21"/>
              </w:rPr>
              <w:t>*-1</w:t>
            </w:r>
          </w:p>
        </w:tc>
        <w:tc>
          <w:tcPr>
            <w:tcW w:w="2895" w:type="dxa"/>
            <w:tcBorders>
              <w:top w:val="nil"/>
              <w:left w:val="nil"/>
              <w:bottom w:val="nil"/>
              <w:right w:val="nil"/>
            </w:tcBorders>
            <w:shd w:val="clear" w:color="auto" w:fill="auto"/>
            <w:tcMar>
              <w:top w:w="0" w:type="dxa"/>
              <w:left w:w="105" w:type="dxa"/>
              <w:bottom w:w="0" w:type="dxa"/>
              <w:right w:w="105" w:type="dxa"/>
            </w:tcMar>
            <w:vAlign w:val="top"/>
          </w:tcPr>
          <w:p>
            <w:pPr>
              <w:keepNext w:val="0"/>
              <w:keepLines w:val="0"/>
              <w:widowControl/>
              <w:suppressLineNumbers w:val="0"/>
              <w:jc w:val="left"/>
            </w:pPr>
          </w:p>
        </w:tc>
        <w:tc>
          <w:tcPr>
            <w:tcW w:w="1803" w:type="dxa"/>
            <w:tcBorders>
              <w:top w:val="nil"/>
              <w:left w:val="nil"/>
              <w:bottom w:val="nil"/>
              <w:right w:val="nil"/>
            </w:tcBorders>
            <w:shd w:val="clear" w:color="auto" w:fill="auto"/>
            <w:tcMar>
              <w:top w:w="0" w:type="dxa"/>
              <w:left w:w="105" w:type="dxa"/>
              <w:bottom w:w="0" w:type="dxa"/>
              <w:right w:w="105" w:type="dxa"/>
            </w:tcMar>
            <w:vAlign w:val="top"/>
          </w:tcPr>
          <w:p>
            <w:pPr>
              <w:keepNext w:val="0"/>
              <w:keepLines w:val="0"/>
              <w:widowControl/>
              <w:suppressLineNumbers w:val="0"/>
              <w:jc w:val="left"/>
            </w:pPr>
          </w:p>
        </w:tc>
        <w:tc>
          <w:tcPr>
            <w:tcW w:w="1851" w:type="dxa"/>
            <w:tcBorders>
              <w:top w:val="nil"/>
              <w:left w:val="nil"/>
              <w:bottom w:val="nil"/>
              <w:right w:val="nil"/>
            </w:tcBorders>
            <w:shd w:val="clear" w:color="auto" w:fill="auto"/>
            <w:tcMar>
              <w:top w:w="0" w:type="dxa"/>
              <w:left w:w="105" w:type="dxa"/>
              <w:bottom w:w="0" w:type="dxa"/>
              <w:right w:w="105" w:type="dxa"/>
            </w:tcMar>
            <w:vAlign w:val="top"/>
          </w:tcPr>
          <w:p>
            <w:pPr>
              <w:keepNext w:val="0"/>
              <w:keepLines w:val="0"/>
              <w:widowControl/>
              <w:suppressLineNumbers w:val="0"/>
              <w:jc w:val="left"/>
            </w:pPr>
          </w:p>
        </w:tc>
      </w:tr>
      <w:tr>
        <w:trPr>
          <w:tblCellSpacing w:w="15" w:type="dxa"/>
        </w:trPr>
        <w:tc>
          <w:tcPr>
            <w:tcW w:w="944" w:type="dxa"/>
            <w:vMerge w:val="continue"/>
            <w:tcBorders>
              <w:top w:val="nil"/>
              <w:left w:val="nil"/>
              <w:bottom w:val="nil"/>
              <w:right w:val="nil"/>
            </w:tcBorders>
            <w:shd w:val="clear" w:color="auto" w:fill="auto"/>
            <w:tcMar>
              <w:top w:w="0" w:type="dxa"/>
              <w:left w:w="105" w:type="dxa"/>
              <w:bottom w:w="0" w:type="dxa"/>
              <w:right w:w="105" w:type="dxa"/>
            </w:tcMar>
            <w:vAlign w:val="center"/>
          </w:tcPr>
          <w:p>
            <w:pPr>
              <w:rPr>
                <w:rFonts w:hint="eastAsia" w:ascii="宋体"/>
                <w:sz w:val="24"/>
                <w:szCs w:val="24"/>
              </w:rPr>
            </w:pPr>
          </w:p>
        </w:tc>
        <w:tc>
          <w:tcPr>
            <w:tcW w:w="845" w:type="dxa"/>
            <w:tcBorders>
              <w:top w:val="nil"/>
              <w:left w:val="nil"/>
              <w:bottom w:val="nil"/>
              <w:right w:val="nil"/>
            </w:tcBorders>
            <w:shd w:val="clear" w:color="auto" w:fill="auto"/>
            <w:tcMar>
              <w:top w:w="0" w:type="dxa"/>
              <w:left w:w="105" w:type="dxa"/>
              <w:bottom w:w="0" w:type="dxa"/>
              <w:right w:w="105" w:type="dxa"/>
            </w:tcMar>
            <w:vAlign w:val="center"/>
          </w:tcPr>
          <w:p>
            <w:pPr>
              <w:pStyle w:val="4"/>
              <w:keepNext w:val="0"/>
              <w:keepLines w:val="0"/>
              <w:widowControl/>
              <w:suppressLineNumbers w:val="0"/>
              <w:jc w:val="center"/>
            </w:pPr>
            <w:r>
              <w:rPr>
                <w:rFonts w:hint="default" w:ascii="Calibri" w:hAnsi="Calibri" w:cs="Calibri"/>
                <w:sz w:val="21"/>
                <w:szCs w:val="21"/>
              </w:rPr>
              <w:t>…</w:t>
            </w:r>
          </w:p>
        </w:tc>
        <w:tc>
          <w:tcPr>
            <w:tcW w:w="2895" w:type="dxa"/>
            <w:tcBorders>
              <w:top w:val="nil"/>
              <w:left w:val="nil"/>
              <w:bottom w:val="nil"/>
              <w:right w:val="nil"/>
            </w:tcBorders>
            <w:shd w:val="clear" w:color="auto" w:fill="auto"/>
            <w:tcMar>
              <w:top w:w="0" w:type="dxa"/>
              <w:left w:w="105" w:type="dxa"/>
              <w:bottom w:w="0" w:type="dxa"/>
              <w:right w:w="105" w:type="dxa"/>
            </w:tcMar>
            <w:vAlign w:val="top"/>
          </w:tcPr>
          <w:p>
            <w:pPr>
              <w:keepNext w:val="0"/>
              <w:keepLines w:val="0"/>
              <w:widowControl/>
              <w:suppressLineNumbers w:val="0"/>
              <w:jc w:val="left"/>
            </w:pPr>
          </w:p>
        </w:tc>
        <w:tc>
          <w:tcPr>
            <w:tcW w:w="1803" w:type="dxa"/>
            <w:tcBorders>
              <w:top w:val="nil"/>
              <w:left w:val="nil"/>
              <w:bottom w:val="nil"/>
              <w:right w:val="nil"/>
            </w:tcBorders>
            <w:shd w:val="clear" w:color="auto" w:fill="auto"/>
            <w:tcMar>
              <w:top w:w="0" w:type="dxa"/>
              <w:left w:w="105" w:type="dxa"/>
              <w:bottom w:w="0" w:type="dxa"/>
              <w:right w:w="105" w:type="dxa"/>
            </w:tcMar>
            <w:vAlign w:val="top"/>
          </w:tcPr>
          <w:p>
            <w:pPr>
              <w:keepNext w:val="0"/>
              <w:keepLines w:val="0"/>
              <w:widowControl/>
              <w:suppressLineNumbers w:val="0"/>
              <w:jc w:val="left"/>
            </w:pPr>
          </w:p>
        </w:tc>
        <w:tc>
          <w:tcPr>
            <w:tcW w:w="1851" w:type="dxa"/>
            <w:tcBorders>
              <w:top w:val="nil"/>
              <w:left w:val="nil"/>
              <w:bottom w:val="nil"/>
              <w:right w:val="nil"/>
            </w:tcBorders>
            <w:shd w:val="clear" w:color="auto" w:fill="auto"/>
            <w:tcMar>
              <w:top w:w="0" w:type="dxa"/>
              <w:left w:w="105" w:type="dxa"/>
              <w:bottom w:w="0" w:type="dxa"/>
              <w:right w:w="105" w:type="dxa"/>
            </w:tcMar>
            <w:vAlign w:val="top"/>
          </w:tcPr>
          <w:p>
            <w:pPr>
              <w:keepNext w:val="0"/>
              <w:keepLines w:val="0"/>
              <w:widowControl/>
              <w:suppressLineNumbers w:val="0"/>
              <w:jc w:val="left"/>
            </w:pPr>
          </w:p>
        </w:tc>
      </w:tr>
      <w:tr>
        <w:trPr>
          <w:tblCellSpacing w:w="15" w:type="dxa"/>
        </w:trPr>
        <w:tc>
          <w:tcPr>
            <w:tcW w:w="944" w:type="dxa"/>
            <w:tcBorders>
              <w:top w:val="nil"/>
              <w:left w:val="nil"/>
              <w:bottom w:val="nil"/>
              <w:right w:val="nil"/>
            </w:tcBorders>
            <w:shd w:val="clear" w:color="auto" w:fill="auto"/>
            <w:tcMar>
              <w:top w:w="0" w:type="dxa"/>
              <w:left w:w="105" w:type="dxa"/>
              <w:bottom w:w="0" w:type="dxa"/>
              <w:right w:w="105" w:type="dxa"/>
            </w:tcMar>
            <w:vAlign w:val="center"/>
          </w:tcPr>
          <w:p>
            <w:pPr>
              <w:pStyle w:val="4"/>
              <w:keepNext w:val="0"/>
              <w:keepLines w:val="0"/>
              <w:widowControl/>
              <w:suppressLineNumbers w:val="0"/>
              <w:jc w:val="center"/>
            </w:pPr>
            <w:r>
              <w:rPr>
                <w:rFonts w:hint="default" w:ascii="Calibri" w:hAnsi="Calibri" w:cs="Calibri"/>
                <w:sz w:val="21"/>
                <w:szCs w:val="21"/>
              </w:rPr>
              <w:t>…</w:t>
            </w:r>
          </w:p>
        </w:tc>
        <w:tc>
          <w:tcPr>
            <w:tcW w:w="845" w:type="dxa"/>
            <w:tcBorders>
              <w:top w:val="nil"/>
              <w:left w:val="nil"/>
              <w:bottom w:val="nil"/>
              <w:right w:val="nil"/>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2895" w:type="dxa"/>
            <w:tcBorders>
              <w:top w:val="nil"/>
              <w:left w:val="nil"/>
              <w:bottom w:val="nil"/>
              <w:right w:val="nil"/>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1803" w:type="dxa"/>
            <w:tcBorders>
              <w:top w:val="nil"/>
              <w:left w:val="nil"/>
              <w:bottom w:val="nil"/>
              <w:right w:val="nil"/>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1851" w:type="dxa"/>
            <w:tcBorders>
              <w:top w:val="nil"/>
              <w:left w:val="nil"/>
              <w:bottom w:val="nil"/>
              <w:right w:val="nil"/>
            </w:tcBorders>
            <w:shd w:val="clear" w:color="auto" w:fill="auto"/>
            <w:tcMar>
              <w:top w:w="0" w:type="dxa"/>
              <w:left w:w="105" w:type="dxa"/>
              <w:bottom w:w="0" w:type="dxa"/>
              <w:right w:w="105" w:type="dxa"/>
            </w:tcMar>
            <w:vAlign w:val="center"/>
          </w:tcPr>
          <w:p>
            <w:pPr>
              <w:keepNext w:val="0"/>
              <w:keepLines w:val="0"/>
              <w:widowControl/>
              <w:suppressLineNumbers w:val="0"/>
              <w:jc w:val="left"/>
            </w:pPr>
          </w:p>
        </w:tc>
      </w:tr>
    </w:tbl>
    <w:p>
      <w:pPr>
        <w:pStyle w:val="4"/>
        <w:keepNext w:val="0"/>
        <w:keepLines w:val="0"/>
        <w:widowControl/>
        <w:suppressLineNumbers w:val="0"/>
      </w:pPr>
      <w:r>
        <w:rPr>
          <w:rFonts w:hint="eastAsia" w:ascii="宋体" w:hAnsi="宋体" w:eastAsia="宋体" w:cs="宋体"/>
          <w:sz w:val="21"/>
          <w:szCs w:val="21"/>
        </w:rPr>
        <w:t>★注意：</w:t>
      </w:r>
    </w:p>
    <w:p>
      <w:pPr>
        <w:pStyle w:val="4"/>
        <w:keepNext w:val="0"/>
        <w:keepLines w:val="0"/>
        <w:widowControl/>
        <w:suppressLineNumbers w:val="0"/>
      </w:pPr>
      <w:r>
        <w:rPr>
          <w:rFonts w:hint="eastAsia" w:ascii="宋体" w:hAnsi="宋体" w:eastAsia="宋体" w:cs="宋体"/>
          <w:sz w:val="21"/>
          <w:szCs w:val="21"/>
        </w:rPr>
        <w:t>1、本表应按照下列规定填写：</w:t>
      </w:r>
    </w:p>
    <w:p>
      <w:pPr>
        <w:pStyle w:val="4"/>
        <w:keepNext w:val="0"/>
        <w:keepLines w:val="0"/>
        <w:widowControl/>
        <w:suppressLineNumbers w:val="0"/>
      </w:pPr>
      <w:r>
        <w:rPr>
          <w:rFonts w:hint="eastAsia" w:ascii="宋体" w:hAnsi="宋体" w:eastAsia="宋体" w:cs="宋体"/>
          <w:sz w:val="21"/>
          <w:szCs w:val="21"/>
        </w:rPr>
        <w:t>1.1“技术和服务要求”项下填写的内容应与招标文件第五章“技术和服务要求”的内容保持一致。</w:t>
      </w:r>
    </w:p>
    <w:p>
      <w:pPr>
        <w:pStyle w:val="4"/>
        <w:keepNext w:val="0"/>
        <w:keepLines w:val="0"/>
        <w:widowControl/>
        <w:suppressLineNumbers w:val="0"/>
      </w:pPr>
      <w:r>
        <w:rPr>
          <w:rFonts w:hint="eastAsia" w:ascii="宋体" w:hAnsi="宋体" w:eastAsia="宋体" w:cs="宋体"/>
          <w:sz w:val="21"/>
          <w:szCs w:val="21"/>
        </w:rPr>
        <w:t>1.2“投标响应”项下应填写具体的响应内容并与“技术和服务要求”项下填写的内容逐项对应；对“技术和服务要求”项下涉及“≥或＞”、“≤或＜”及某个区间值范围内的内容，应填写具体的数值。</w:t>
      </w:r>
    </w:p>
    <w:p>
      <w:pPr>
        <w:pStyle w:val="4"/>
        <w:keepNext w:val="0"/>
        <w:keepLines w:val="0"/>
        <w:widowControl/>
        <w:suppressLineNumbers w:val="0"/>
      </w:pPr>
      <w:r>
        <w:rPr>
          <w:rFonts w:hint="eastAsia" w:ascii="宋体" w:hAnsi="宋体" w:eastAsia="宋体" w:cs="宋体"/>
          <w:sz w:val="21"/>
          <w:szCs w:val="21"/>
        </w:rPr>
        <w:t>1.3“是否偏离及说明”项下应按下列规定填写：优于的，填写“正偏离”；符合的，填写“无偏离”；低于的，填写“负偏离”。</w:t>
      </w:r>
    </w:p>
    <w:p>
      <w:pPr>
        <w:pStyle w:val="4"/>
        <w:keepNext w:val="0"/>
        <w:keepLines w:val="0"/>
        <w:widowControl/>
        <w:suppressLineNumbers w:val="0"/>
      </w:pPr>
      <w:r>
        <w:rPr>
          <w:rFonts w:hint="eastAsia" w:ascii="宋体" w:hAnsi="宋体" w:eastAsia="宋体" w:cs="宋体"/>
          <w:sz w:val="21"/>
          <w:szCs w:val="21"/>
        </w:rPr>
        <w:t>2、投标人需要说明的内容若需特殊表达，应先在本表中进行相应说明，再    另页应答，否则</w:t>
      </w:r>
      <w:r>
        <w:rPr>
          <w:rStyle w:val="6"/>
          <w:rFonts w:hint="eastAsia" w:ascii="宋体" w:hAnsi="宋体" w:eastAsia="宋体" w:cs="宋体"/>
          <w:sz w:val="21"/>
          <w:szCs w:val="21"/>
        </w:rPr>
        <w:t>投标无效</w:t>
      </w:r>
      <w:r>
        <w:rPr>
          <w:rFonts w:hint="eastAsia" w:ascii="宋体" w:hAnsi="宋体" w:eastAsia="宋体" w:cs="宋体"/>
          <w:sz w:val="21"/>
          <w:szCs w:val="21"/>
        </w:rPr>
        <w:t>。</w:t>
      </w:r>
    </w:p>
    <w:p>
      <w:pPr>
        <w:pStyle w:val="4"/>
        <w:keepNext w:val="0"/>
        <w:keepLines w:val="0"/>
        <w:widowControl/>
        <w:suppressLineNumbers w:val="0"/>
      </w:pPr>
      <w:r>
        <w:rPr>
          <w:rFonts w:hint="eastAsia" w:ascii="宋体" w:hAnsi="宋体" w:eastAsia="宋体" w:cs="宋体"/>
          <w:sz w:val="21"/>
          <w:szCs w:val="21"/>
        </w:rPr>
        <w:t>3、纸质投标文件正本中的本表应为原件。</w:t>
      </w:r>
    </w:p>
    <w:p>
      <w:pPr>
        <w:pStyle w:val="4"/>
        <w:keepNext w:val="0"/>
        <w:keepLines w:val="0"/>
        <w:widowControl/>
        <w:suppressLineNumbers w:val="0"/>
      </w:pPr>
      <w:r>
        <w:rPr>
          <w:rFonts w:hint="eastAsia" w:ascii="宋体" w:hAnsi="宋体" w:eastAsia="宋体" w:cs="宋体"/>
          <w:sz w:val="21"/>
          <w:szCs w:val="21"/>
        </w:rPr>
        <w:t> </w:t>
      </w:r>
    </w:p>
    <w:p>
      <w:pPr>
        <w:pStyle w:val="4"/>
        <w:keepNext w:val="0"/>
        <w:keepLines w:val="0"/>
        <w:widowControl/>
        <w:suppressLineNumbers w:val="0"/>
      </w:pPr>
      <w:r>
        <w:rPr>
          <w:rFonts w:hint="eastAsia" w:ascii="宋体" w:hAnsi="宋体" w:eastAsia="宋体" w:cs="宋体"/>
          <w:sz w:val="21"/>
          <w:szCs w:val="21"/>
        </w:rPr>
        <w:t> </w:t>
      </w:r>
    </w:p>
    <w:p>
      <w:pPr>
        <w:pStyle w:val="4"/>
        <w:keepNext w:val="0"/>
        <w:keepLines w:val="0"/>
        <w:widowControl/>
        <w:suppressLineNumbers w:val="0"/>
      </w:pPr>
      <w:r>
        <w:rPr>
          <w:rFonts w:hint="eastAsia" w:ascii="宋体" w:hAnsi="宋体" w:eastAsia="宋体" w:cs="宋体"/>
          <w:sz w:val="21"/>
          <w:szCs w:val="21"/>
        </w:rPr>
        <w:t>投标人：</w:t>
      </w:r>
      <w:r>
        <w:rPr>
          <w:rFonts w:hint="eastAsia" w:ascii="宋体" w:hAnsi="宋体" w:eastAsia="宋体" w:cs="宋体"/>
          <w:sz w:val="21"/>
          <w:szCs w:val="21"/>
          <w:u w:val="single"/>
        </w:rPr>
        <w:t>（全称并加盖单位公章）</w:t>
      </w:r>
    </w:p>
    <w:p>
      <w:pPr>
        <w:pStyle w:val="4"/>
        <w:keepNext w:val="0"/>
        <w:keepLines w:val="0"/>
        <w:widowControl/>
        <w:suppressLineNumbers w:val="0"/>
      </w:pPr>
      <w:r>
        <w:rPr>
          <w:rFonts w:hint="eastAsia" w:ascii="宋体" w:hAnsi="宋体" w:eastAsia="宋体" w:cs="宋体"/>
          <w:sz w:val="21"/>
          <w:szCs w:val="21"/>
        </w:rPr>
        <w:t>投标人代表签字：</w:t>
      </w:r>
      <w:r>
        <w:rPr>
          <w:rFonts w:hint="eastAsia" w:ascii="宋体" w:hAnsi="宋体" w:eastAsia="宋体" w:cs="宋体"/>
          <w:sz w:val="21"/>
          <w:szCs w:val="21"/>
          <w:u w:val="single"/>
        </w:rPr>
        <w:t>                   </w:t>
      </w:r>
    </w:p>
    <w:p>
      <w:pPr>
        <w:pStyle w:val="4"/>
        <w:keepNext w:val="0"/>
        <w:keepLines w:val="0"/>
        <w:widowControl/>
        <w:suppressLineNumbers w:val="0"/>
      </w:pPr>
      <w:r>
        <w:rPr>
          <w:rFonts w:hint="eastAsia" w:ascii="宋体" w:hAnsi="宋体" w:eastAsia="宋体" w:cs="宋体"/>
          <w:sz w:val="21"/>
          <w:szCs w:val="21"/>
        </w:rPr>
        <w:t>日期：</w:t>
      </w:r>
      <w:r>
        <w:rPr>
          <w:rFonts w:hint="eastAsia" w:ascii="宋体" w:hAnsi="宋体" w:eastAsia="宋体" w:cs="宋体"/>
          <w:sz w:val="21"/>
          <w:szCs w:val="21"/>
          <w:u w:val="single"/>
        </w:rPr>
        <w:t>    </w:t>
      </w:r>
      <w:r>
        <w:rPr>
          <w:rFonts w:hint="eastAsia" w:ascii="宋体" w:hAnsi="宋体" w:eastAsia="宋体" w:cs="宋体"/>
          <w:sz w:val="21"/>
          <w:szCs w:val="21"/>
        </w:rPr>
        <w:t>年</w:t>
      </w:r>
      <w:r>
        <w:rPr>
          <w:rFonts w:hint="eastAsia" w:ascii="宋体" w:hAnsi="宋体" w:eastAsia="宋体" w:cs="宋体"/>
          <w:sz w:val="21"/>
          <w:szCs w:val="21"/>
          <w:u w:val="single"/>
        </w:rPr>
        <w:t>   </w:t>
      </w:r>
      <w:r>
        <w:rPr>
          <w:rFonts w:hint="eastAsia" w:ascii="宋体" w:hAnsi="宋体" w:eastAsia="宋体" w:cs="宋体"/>
          <w:sz w:val="21"/>
          <w:szCs w:val="21"/>
        </w:rPr>
        <w:t>月</w:t>
      </w:r>
      <w:r>
        <w:rPr>
          <w:rFonts w:hint="eastAsia" w:ascii="宋体" w:hAnsi="宋体" w:eastAsia="宋体" w:cs="宋体"/>
          <w:sz w:val="21"/>
          <w:szCs w:val="21"/>
          <w:u w:val="single"/>
        </w:rPr>
        <w:t>   </w:t>
      </w:r>
      <w:r>
        <w:rPr>
          <w:rFonts w:hint="eastAsia" w:ascii="宋体" w:hAnsi="宋体" w:eastAsia="宋体" w:cs="宋体"/>
          <w:sz w:val="21"/>
          <w:szCs w:val="21"/>
        </w:rPr>
        <w:t>日</w:t>
      </w:r>
    </w:p>
    <w:p>
      <w:pPr>
        <w:pStyle w:val="4"/>
        <w:keepNext w:val="0"/>
        <w:keepLines w:val="0"/>
        <w:widowControl/>
        <w:suppressLineNumbers w:val="0"/>
      </w:pPr>
      <w:r>
        <w:rPr>
          <w:rFonts w:hint="eastAsia" w:ascii="宋体" w:hAnsi="宋体" w:eastAsia="宋体" w:cs="宋体"/>
          <w:sz w:val="21"/>
          <w:szCs w:val="21"/>
        </w:rPr>
        <w:t> </w:t>
      </w:r>
    </w:p>
    <w:p>
      <w:pPr>
        <w:pStyle w:val="4"/>
        <w:keepNext w:val="0"/>
        <w:keepLines w:val="0"/>
        <w:widowControl/>
        <w:suppressLineNumbers w:val="0"/>
      </w:pPr>
      <w:r>
        <w:rPr>
          <w:rFonts w:hint="eastAsia" w:ascii="宋体" w:hAnsi="宋体" w:eastAsia="宋体" w:cs="宋体"/>
          <w:sz w:val="21"/>
          <w:szCs w:val="21"/>
        </w:rPr>
        <w:t> </w:t>
      </w:r>
    </w:p>
    <w:p>
      <w:pPr>
        <w:pStyle w:val="4"/>
        <w:keepNext w:val="0"/>
        <w:keepLines w:val="0"/>
        <w:widowControl/>
        <w:suppressLineNumbers w:val="0"/>
        <w:jc w:val="center"/>
      </w:pPr>
      <w:r>
        <w:rPr>
          <w:rFonts w:hint="default" w:ascii="Calibri" w:hAnsi="Calibri" w:cs="Calibri"/>
          <w:sz w:val="21"/>
          <w:szCs w:val="21"/>
        </w:rPr>
        <w:br w:type="textWrapping"/>
      </w:r>
      <w:r>
        <w:rPr>
          <w:rStyle w:val="6"/>
          <w:rFonts w:hint="eastAsia" w:ascii="宋体" w:hAnsi="宋体" w:eastAsia="宋体" w:cs="宋体"/>
          <w:sz w:val="21"/>
          <w:szCs w:val="21"/>
        </w:rPr>
        <w:t>三、商务条件响应表</w:t>
      </w:r>
    </w:p>
    <w:p>
      <w:pPr>
        <w:pStyle w:val="4"/>
        <w:keepNext w:val="0"/>
        <w:keepLines w:val="0"/>
        <w:widowControl/>
        <w:suppressLineNumbers w:val="0"/>
      </w:pPr>
      <w:r>
        <w:rPr>
          <w:rFonts w:hint="eastAsia" w:ascii="宋体" w:hAnsi="宋体" w:eastAsia="宋体" w:cs="宋体"/>
          <w:sz w:val="21"/>
          <w:szCs w:val="21"/>
        </w:rPr>
        <w:t> </w:t>
      </w:r>
    </w:p>
    <w:p>
      <w:pPr>
        <w:pStyle w:val="4"/>
        <w:keepNext w:val="0"/>
        <w:keepLines w:val="0"/>
        <w:widowControl/>
        <w:suppressLineNumbers w:val="0"/>
      </w:pPr>
      <w:r>
        <w:rPr>
          <w:rFonts w:hint="eastAsia" w:ascii="宋体" w:hAnsi="宋体" w:eastAsia="宋体" w:cs="宋体"/>
          <w:sz w:val="21"/>
          <w:szCs w:val="21"/>
        </w:rPr>
        <w:t>招标编号：</w:t>
      </w:r>
      <w:r>
        <w:rPr>
          <w:rFonts w:hint="eastAsia" w:ascii="宋体" w:hAnsi="宋体" w:eastAsia="宋体" w:cs="宋体"/>
          <w:sz w:val="21"/>
          <w:szCs w:val="21"/>
          <w:u w:val="single"/>
        </w:rPr>
        <w:t>                   </w:t>
      </w:r>
    </w:p>
    <w:tbl>
      <w:tblPr>
        <w:tblStyle w:val="9"/>
        <w:tblW w:w="8518" w:type="dxa"/>
        <w:tblCellSpacing w:w="15" w:type="dxa"/>
        <w:tblInd w:w="-15"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15" w:type="dxa"/>
          <w:left w:w="15" w:type="dxa"/>
          <w:bottom w:w="15" w:type="dxa"/>
          <w:right w:w="15" w:type="dxa"/>
        </w:tblCellMar>
      </w:tblPr>
      <w:tblGrid>
        <w:gridCol w:w="989"/>
        <w:gridCol w:w="875"/>
        <w:gridCol w:w="2925"/>
        <w:gridCol w:w="1833"/>
        <w:gridCol w:w="1896"/>
      </w:tblGrid>
      <w:tr>
        <w:trPr>
          <w:tblCellSpacing w:w="15" w:type="dxa"/>
        </w:trPr>
        <w:tc>
          <w:tcPr>
            <w:tcW w:w="944" w:type="dxa"/>
            <w:tcBorders>
              <w:top w:val="nil"/>
              <w:left w:val="nil"/>
              <w:bottom w:val="nil"/>
              <w:right w:val="nil"/>
            </w:tcBorders>
            <w:shd w:val="clear" w:color="auto" w:fill="auto"/>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sz w:val="21"/>
                <w:szCs w:val="21"/>
              </w:rPr>
              <w:t>合同包</w:t>
            </w:r>
          </w:p>
        </w:tc>
        <w:tc>
          <w:tcPr>
            <w:tcW w:w="845" w:type="dxa"/>
            <w:tcBorders>
              <w:top w:val="nil"/>
              <w:left w:val="nil"/>
              <w:bottom w:val="nil"/>
              <w:right w:val="nil"/>
            </w:tcBorders>
            <w:shd w:val="clear" w:color="auto" w:fill="auto"/>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sz w:val="21"/>
                <w:szCs w:val="21"/>
              </w:rPr>
              <w:t>品目号</w:t>
            </w:r>
          </w:p>
        </w:tc>
        <w:tc>
          <w:tcPr>
            <w:tcW w:w="2895" w:type="dxa"/>
            <w:tcBorders>
              <w:top w:val="nil"/>
              <w:left w:val="nil"/>
              <w:bottom w:val="nil"/>
              <w:right w:val="nil"/>
            </w:tcBorders>
            <w:shd w:val="clear" w:color="auto" w:fill="auto"/>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sz w:val="21"/>
                <w:szCs w:val="21"/>
              </w:rPr>
              <w:t>商务条件</w:t>
            </w:r>
          </w:p>
        </w:tc>
        <w:tc>
          <w:tcPr>
            <w:tcW w:w="1803" w:type="dxa"/>
            <w:tcBorders>
              <w:top w:val="nil"/>
              <w:left w:val="nil"/>
              <w:bottom w:val="nil"/>
              <w:right w:val="nil"/>
            </w:tcBorders>
            <w:shd w:val="clear" w:color="auto" w:fill="auto"/>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sz w:val="21"/>
                <w:szCs w:val="21"/>
              </w:rPr>
              <w:t>投标响应</w:t>
            </w:r>
          </w:p>
        </w:tc>
        <w:tc>
          <w:tcPr>
            <w:tcW w:w="1851" w:type="dxa"/>
            <w:tcBorders>
              <w:top w:val="nil"/>
              <w:left w:val="nil"/>
              <w:bottom w:val="nil"/>
              <w:right w:val="nil"/>
            </w:tcBorders>
            <w:shd w:val="clear" w:color="auto" w:fill="auto"/>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sz w:val="21"/>
                <w:szCs w:val="21"/>
              </w:rPr>
              <w:t>是否偏离及说明</w:t>
            </w:r>
          </w:p>
        </w:tc>
      </w:tr>
      <w:tr>
        <w:trPr>
          <w:tblCellSpacing w:w="15" w:type="dxa"/>
        </w:trPr>
        <w:tc>
          <w:tcPr>
            <w:tcW w:w="944" w:type="dxa"/>
            <w:vMerge w:val="restart"/>
            <w:tcBorders>
              <w:top w:val="nil"/>
              <w:left w:val="nil"/>
              <w:bottom w:val="nil"/>
              <w:right w:val="nil"/>
            </w:tcBorders>
            <w:shd w:val="clear" w:color="auto" w:fill="auto"/>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sz w:val="21"/>
                <w:szCs w:val="21"/>
              </w:rPr>
              <w:t>*</w:t>
            </w:r>
          </w:p>
        </w:tc>
        <w:tc>
          <w:tcPr>
            <w:tcW w:w="845" w:type="dxa"/>
            <w:tcBorders>
              <w:top w:val="nil"/>
              <w:left w:val="nil"/>
              <w:bottom w:val="nil"/>
              <w:right w:val="nil"/>
            </w:tcBorders>
            <w:shd w:val="clear" w:color="auto" w:fill="auto"/>
            <w:tcMar>
              <w:top w:w="0" w:type="dxa"/>
              <w:left w:w="105" w:type="dxa"/>
              <w:bottom w:w="0" w:type="dxa"/>
              <w:right w:w="105" w:type="dxa"/>
            </w:tcMar>
            <w:vAlign w:val="center"/>
          </w:tcPr>
          <w:p>
            <w:pPr>
              <w:pStyle w:val="4"/>
              <w:keepNext w:val="0"/>
              <w:keepLines w:val="0"/>
              <w:widowControl/>
              <w:suppressLineNumbers w:val="0"/>
              <w:jc w:val="center"/>
            </w:pPr>
            <w:r>
              <w:rPr>
                <w:rFonts w:hint="eastAsia" w:ascii="宋体" w:hAnsi="宋体" w:eastAsia="宋体" w:cs="宋体"/>
                <w:sz w:val="21"/>
                <w:szCs w:val="21"/>
              </w:rPr>
              <w:t>*-1</w:t>
            </w:r>
          </w:p>
        </w:tc>
        <w:tc>
          <w:tcPr>
            <w:tcW w:w="2895" w:type="dxa"/>
            <w:tcBorders>
              <w:top w:val="nil"/>
              <w:left w:val="nil"/>
              <w:bottom w:val="nil"/>
              <w:right w:val="nil"/>
            </w:tcBorders>
            <w:shd w:val="clear" w:color="auto" w:fill="auto"/>
            <w:tcMar>
              <w:top w:w="0" w:type="dxa"/>
              <w:left w:w="105" w:type="dxa"/>
              <w:bottom w:w="0" w:type="dxa"/>
              <w:right w:w="105" w:type="dxa"/>
            </w:tcMar>
            <w:vAlign w:val="top"/>
          </w:tcPr>
          <w:p>
            <w:pPr>
              <w:keepNext w:val="0"/>
              <w:keepLines w:val="0"/>
              <w:widowControl/>
              <w:suppressLineNumbers w:val="0"/>
              <w:jc w:val="left"/>
            </w:pPr>
          </w:p>
        </w:tc>
        <w:tc>
          <w:tcPr>
            <w:tcW w:w="1803" w:type="dxa"/>
            <w:tcBorders>
              <w:top w:val="nil"/>
              <w:left w:val="nil"/>
              <w:bottom w:val="nil"/>
              <w:right w:val="nil"/>
            </w:tcBorders>
            <w:shd w:val="clear" w:color="auto" w:fill="auto"/>
            <w:tcMar>
              <w:top w:w="0" w:type="dxa"/>
              <w:left w:w="105" w:type="dxa"/>
              <w:bottom w:w="0" w:type="dxa"/>
              <w:right w:w="105" w:type="dxa"/>
            </w:tcMar>
            <w:vAlign w:val="top"/>
          </w:tcPr>
          <w:p>
            <w:pPr>
              <w:keepNext w:val="0"/>
              <w:keepLines w:val="0"/>
              <w:widowControl/>
              <w:suppressLineNumbers w:val="0"/>
              <w:jc w:val="left"/>
            </w:pPr>
          </w:p>
        </w:tc>
        <w:tc>
          <w:tcPr>
            <w:tcW w:w="1851" w:type="dxa"/>
            <w:tcBorders>
              <w:top w:val="nil"/>
              <w:left w:val="nil"/>
              <w:bottom w:val="nil"/>
              <w:right w:val="nil"/>
            </w:tcBorders>
            <w:shd w:val="clear" w:color="auto" w:fill="auto"/>
            <w:tcMar>
              <w:top w:w="0" w:type="dxa"/>
              <w:left w:w="105" w:type="dxa"/>
              <w:bottom w:w="0" w:type="dxa"/>
              <w:right w:w="105" w:type="dxa"/>
            </w:tcMar>
            <w:vAlign w:val="top"/>
          </w:tcPr>
          <w:p>
            <w:pPr>
              <w:keepNext w:val="0"/>
              <w:keepLines w:val="0"/>
              <w:widowControl/>
              <w:suppressLineNumbers w:val="0"/>
              <w:jc w:val="left"/>
            </w:pPr>
          </w:p>
        </w:tc>
      </w:tr>
      <w:tr>
        <w:trPr>
          <w:tblCellSpacing w:w="15" w:type="dxa"/>
        </w:trPr>
        <w:tc>
          <w:tcPr>
            <w:tcW w:w="944" w:type="dxa"/>
            <w:vMerge w:val="continue"/>
            <w:tcBorders>
              <w:top w:val="nil"/>
              <w:left w:val="nil"/>
              <w:bottom w:val="nil"/>
              <w:right w:val="nil"/>
            </w:tcBorders>
            <w:shd w:val="clear" w:color="auto" w:fill="auto"/>
            <w:tcMar>
              <w:top w:w="0" w:type="dxa"/>
              <w:left w:w="105" w:type="dxa"/>
              <w:bottom w:w="0" w:type="dxa"/>
              <w:right w:w="105" w:type="dxa"/>
            </w:tcMar>
            <w:vAlign w:val="center"/>
          </w:tcPr>
          <w:p>
            <w:pPr>
              <w:rPr>
                <w:rFonts w:hint="eastAsia" w:ascii="宋体"/>
                <w:sz w:val="24"/>
                <w:szCs w:val="24"/>
              </w:rPr>
            </w:pPr>
          </w:p>
        </w:tc>
        <w:tc>
          <w:tcPr>
            <w:tcW w:w="845" w:type="dxa"/>
            <w:tcBorders>
              <w:top w:val="nil"/>
              <w:left w:val="nil"/>
              <w:bottom w:val="nil"/>
              <w:right w:val="nil"/>
            </w:tcBorders>
            <w:shd w:val="clear" w:color="auto" w:fill="auto"/>
            <w:tcMar>
              <w:top w:w="0" w:type="dxa"/>
              <w:left w:w="105" w:type="dxa"/>
              <w:bottom w:w="0" w:type="dxa"/>
              <w:right w:w="105" w:type="dxa"/>
            </w:tcMar>
            <w:vAlign w:val="center"/>
          </w:tcPr>
          <w:p>
            <w:pPr>
              <w:pStyle w:val="4"/>
              <w:keepNext w:val="0"/>
              <w:keepLines w:val="0"/>
              <w:widowControl/>
              <w:suppressLineNumbers w:val="0"/>
              <w:jc w:val="center"/>
            </w:pPr>
            <w:r>
              <w:rPr>
                <w:rFonts w:hint="default" w:ascii="Calibri" w:hAnsi="Calibri" w:cs="Calibri"/>
                <w:sz w:val="21"/>
                <w:szCs w:val="21"/>
              </w:rPr>
              <w:t>…</w:t>
            </w:r>
          </w:p>
        </w:tc>
        <w:tc>
          <w:tcPr>
            <w:tcW w:w="2895" w:type="dxa"/>
            <w:tcBorders>
              <w:top w:val="nil"/>
              <w:left w:val="nil"/>
              <w:bottom w:val="nil"/>
              <w:right w:val="nil"/>
            </w:tcBorders>
            <w:shd w:val="clear" w:color="auto" w:fill="auto"/>
            <w:tcMar>
              <w:top w:w="0" w:type="dxa"/>
              <w:left w:w="105" w:type="dxa"/>
              <w:bottom w:w="0" w:type="dxa"/>
              <w:right w:w="105" w:type="dxa"/>
            </w:tcMar>
            <w:vAlign w:val="top"/>
          </w:tcPr>
          <w:p>
            <w:pPr>
              <w:keepNext w:val="0"/>
              <w:keepLines w:val="0"/>
              <w:widowControl/>
              <w:suppressLineNumbers w:val="0"/>
              <w:jc w:val="left"/>
            </w:pPr>
          </w:p>
        </w:tc>
        <w:tc>
          <w:tcPr>
            <w:tcW w:w="1803" w:type="dxa"/>
            <w:tcBorders>
              <w:top w:val="nil"/>
              <w:left w:val="nil"/>
              <w:bottom w:val="nil"/>
              <w:right w:val="nil"/>
            </w:tcBorders>
            <w:shd w:val="clear" w:color="auto" w:fill="auto"/>
            <w:tcMar>
              <w:top w:w="0" w:type="dxa"/>
              <w:left w:w="105" w:type="dxa"/>
              <w:bottom w:w="0" w:type="dxa"/>
              <w:right w:w="105" w:type="dxa"/>
            </w:tcMar>
            <w:vAlign w:val="top"/>
          </w:tcPr>
          <w:p>
            <w:pPr>
              <w:keepNext w:val="0"/>
              <w:keepLines w:val="0"/>
              <w:widowControl/>
              <w:suppressLineNumbers w:val="0"/>
              <w:jc w:val="left"/>
            </w:pPr>
          </w:p>
        </w:tc>
        <w:tc>
          <w:tcPr>
            <w:tcW w:w="1851" w:type="dxa"/>
            <w:tcBorders>
              <w:top w:val="nil"/>
              <w:left w:val="nil"/>
              <w:bottom w:val="nil"/>
              <w:right w:val="nil"/>
            </w:tcBorders>
            <w:shd w:val="clear" w:color="auto" w:fill="auto"/>
            <w:tcMar>
              <w:top w:w="0" w:type="dxa"/>
              <w:left w:w="105" w:type="dxa"/>
              <w:bottom w:w="0" w:type="dxa"/>
              <w:right w:w="105" w:type="dxa"/>
            </w:tcMar>
            <w:vAlign w:val="top"/>
          </w:tcPr>
          <w:p>
            <w:pPr>
              <w:keepNext w:val="0"/>
              <w:keepLines w:val="0"/>
              <w:widowControl/>
              <w:suppressLineNumbers w:val="0"/>
              <w:jc w:val="left"/>
            </w:pPr>
          </w:p>
        </w:tc>
      </w:tr>
      <w:tr>
        <w:trPr>
          <w:tblCellSpacing w:w="15" w:type="dxa"/>
        </w:trPr>
        <w:tc>
          <w:tcPr>
            <w:tcW w:w="944" w:type="dxa"/>
            <w:tcBorders>
              <w:top w:val="nil"/>
              <w:left w:val="nil"/>
              <w:bottom w:val="nil"/>
              <w:right w:val="nil"/>
            </w:tcBorders>
            <w:shd w:val="clear" w:color="auto" w:fill="auto"/>
            <w:tcMar>
              <w:top w:w="0" w:type="dxa"/>
              <w:left w:w="105" w:type="dxa"/>
              <w:bottom w:w="0" w:type="dxa"/>
              <w:right w:w="105" w:type="dxa"/>
            </w:tcMar>
            <w:vAlign w:val="center"/>
          </w:tcPr>
          <w:p>
            <w:pPr>
              <w:pStyle w:val="4"/>
              <w:keepNext w:val="0"/>
              <w:keepLines w:val="0"/>
              <w:widowControl/>
              <w:suppressLineNumbers w:val="0"/>
              <w:jc w:val="center"/>
            </w:pPr>
            <w:r>
              <w:rPr>
                <w:rFonts w:hint="default" w:ascii="Calibri" w:hAnsi="Calibri" w:cs="Calibri"/>
                <w:sz w:val="21"/>
                <w:szCs w:val="21"/>
              </w:rPr>
              <w:t>…</w:t>
            </w:r>
          </w:p>
        </w:tc>
        <w:tc>
          <w:tcPr>
            <w:tcW w:w="845" w:type="dxa"/>
            <w:tcBorders>
              <w:top w:val="nil"/>
              <w:left w:val="nil"/>
              <w:bottom w:val="nil"/>
              <w:right w:val="nil"/>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2895" w:type="dxa"/>
            <w:tcBorders>
              <w:top w:val="nil"/>
              <w:left w:val="nil"/>
              <w:bottom w:val="nil"/>
              <w:right w:val="nil"/>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1803" w:type="dxa"/>
            <w:tcBorders>
              <w:top w:val="nil"/>
              <w:left w:val="nil"/>
              <w:bottom w:val="nil"/>
              <w:right w:val="nil"/>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1851" w:type="dxa"/>
            <w:tcBorders>
              <w:top w:val="nil"/>
              <w:left w:val="nil"/>
              <w:bottom w:val="nil"/>
              <w:right w:val="nil"/>
            </w:tcBorders>
            <w:shd w:val="clear" w:color="auto" w:fill="auto"/>
            <w:tcMar>
              <w:top w:w="0" w:type="dxa"/>
              <w:left w:w="105" w:type="dxa"/>
              <w:bottom w:w="0" w:type="dxa"/>
              <w:right w:w="105" w:type="dxa"/>
            </w:tcMar>
            <w:vAlign w:val="center"/>
          </w:tcPr>
          <w:p>
            <w:pPr>
              <w:keepNext w:val="0"/>
              <w:keepLines w:val="0"/>
              <w:widowControl/>
              <w:suppressLineNumbers w:val="0"/>
              <w:jc w:val="left"/>
            </w:pPr>
          </w:p>
        </w:tc>
      </w:tr>
    </w:tbl>
    <w:p>
      <w:pPr>
        <w:pStyle w:val="4"/>
        <w:keepNext w:val="0"/>
        <w:keepLines w:val="0"/>
        <w:widowControl/>
        <w:suppressLineNumbers w:val="0"/>
      </w:pPr>
      <w:r>
        <w:rPr>
          <w:rFonts w:hint="eastAsia" w:ascii="宋体" w:hAnsi="宋体" w:eastAsia="宋体" w:cs="宋体"/>
          <w:sz w:val="21"/>
          <w:szCs w:val="21"/>
        </w:rPr>
        <w:t>★注意：</w:t>
      </w:r>
    </w:p>
    <w:p>
      <w:pPr>
        <w:pStyle w:val="4"/>
        <w:keepNext w:val="0"/>
        <w:keepLines w:val="0"/>
        <w:widowControl/>
        <w:suppressLineNumbers w:val="0"/>
      </w:pPr>
      <w:r>
        <w:rPr>
          <w:rFonts w:hint="eastAsia" w:ascii="宋体" w:hAnsi="宋体" w:eastAsia="宋体" w:cs="宋体"/>
          <w:sz w:val="21"/>
          <w:szCs w:val="21"/>
        </w:rPr>
        <w:t>1、本表应按照下列规定填写：</w:t>
      </w:r>
    </w:p>
    <w:p>
      <w:pPr>
        <w:pStyle w:val="4"/>
        <w:keepNext w:val="0"/>
        <w:keepLines w:val="0"/>
        <w:widowControl/>
        <w:suppressLineNumbers w:val="0"/>
      </w:pPr>
      <w:r>
        <w:rPr>
          <w:rFonts w:hint="eastAsia" w:ascii="宋体" w:hAnsi="宋体" w:eastAsia="宋体" w:cs="宋体"/>
          <w:sz w:val="21"/>
          <w:szCs w:val="21"/>
        </w:rPr>
        <w:t>1.1“商务条件”项下填写的内容应与招标文件第五章“商务条件”的内容保持一致。</w:t>
      </w:r>
    </w:p>
    <w:p>
      <w:pPr>
        <w:pStyle w:val="4"/>
        <w:keepNext w:val="0"/>
        <w:keepLines w:val="0"/>
        <w:widowControl/>
        <w:suppressLineNumbers w:val="0"/>
      </w:pPr>
      <w:r>
        <w:rPr>
          <w:rFonts w:hint="eastAsia" w:ascii="宋体" w:hAnsi="宋体" w:eastAsia="宋体" w:cs="宋体"/>
          <w:sz w:val="21"/>
          <w:szCs w:val="21"/>
        </w:rPr>
        <w:t>1.2“投标响应”项下应填写具体的响应内容并与“商务条件”项下填写的内容逐项对应；对“商务条件”项下涉及“≥或＞”、“≤或＜”及某个区间值范围内的内容，应填写具体的数值。</w:t>
      </w:r>
    </w:p>
    <w:p>
      <w:pPr>
        <w:pStyle w:val="4"/>
        <w:keepNext w:val="0"/>
        <w:keepLines w:val="0"/>
        <w:widowControl/>
        <w:suppressLineNumbers w:val="0"/>
      </w:pPr>
      <w:r>
        <w:rPr>
          <w:rFonts w:hint="eastAsia" w:ascii="宋体" w:hAnsi="宋体" w:eastAsia="宋体" w:cs="宋体"/>
          <w:sz w:val="21"/>
          <w:szCs w:val="21"/>
        </w:rPr>
        <w:t>1.3“是否偏离及说明”项下应按下列规定填写：优于的，填写“正偏离”；符合的，填写“无偏离”；低于的，填写“负偏离”。</w:t>
      </w:r>
    </w:p>
    <w:p>
      <w:pPr>
        <w:pStyle w:val="4"/>
        <w:keepNext w:val="0"/>
        <w:keepLines w:val="0"/>
        <w:widowControl/>
        <w:suppressLineNumbers w:val="0"/>
      </w:pPr>
      <w:r>
        <w:rPr>
          <w:rFonts w:hint="eastAsia" w:ascii="宋体" w:hAnsi="宋体" w:eastAsia="宋体" w:cs="宋体"/>
          <w:sz w:val="21"/>
          <w:szCs w:val="21"/>
        </w:rPr>
        <w:t>2、投标人需要说明的内容若需特殊表达，应先在本表中进行相应说明，再另页应答，否则</w:t>
      </w:r>
      <w:r>
        <w:rPr>
          <w:rStyle w:val="6"/>
          <w:rFonts w:hint="eastAsia" w:ascii="宋体" w:hAnsi="宋体" w:eastAsia="宋体" w:cs="宋体"/>
          <w:sz w:val="21"/>
          <w:szCs w:val="21"/>
        </w:rPr>
        <w:t>投标无效</w:t>
      </w:r>
      <w:r>
        <w:rPr>
          <w:rFonts w:hint="eastAsia" w:ascii="宋体" w:hAnsi="宋体" w:eastAsia="宋体" w:cs="宋体"/>
          <w:sz w:val="21"/>
          <w:szCs w:val="21"/>
        </w:rPr>
        <w:t>。</w:t>
      </w:r>
    </w:p>
    <w:p>
      <w:pPr>
        <w:pStyle w:val="4"/>
        <w:keepNext w:val="0"/>
        <w:keepLines w:val="0"/>
        <w:widowControl/>
        <w:suppressLineNumbers w:val="0"/>
      </w:pPr>
      <w:r>
        <w:rPr>
          <w:rFonts w:hint="eastAsia" w:ascii="宋体" w:hAnsi="宋体" w:eastAsia="宋体" w:cs="宋体"/>
          <w:sz w:val="21"/>
          <w:szCs w:val="21"/>
        </w:rPr>
        <w:t>3、纸质投标文件正本中的本表应为原件。</w:t>
      </w:r>
    </w:p>
    <w:p>
      <w:pPr>
        <w:pStyle w:val="4"/>
        <w:keepNext w:val="0"/>
        <w:keepLines w:val="0"/>
        <w:widowControl/>
        <w:suppressLineNumbers w:val="0"/>
      </w:pPr>
      <w:r>
        <w:rPr>
          <w:rFonts w:hint="eastAsia" w:ascii="宋体" w:hAnsi="宋体" w:eastAsia="宋体" w:cs="宋体"/>
          <w:sz w:val="21"/>
          <w:szCs w:val="21"/>
        </w:rPr>
        <w:t> </w:t>
      </w:r>
    </w:p>
    <w:p>
      <w:pPr>
        <w:pStyle w:val="4"/>
        <w:keepNext w:val="0"/>
        <w:keepLines w:val="0"/>
        <w:widowControl/>
        <w:suppressLineNumbers w:val="0"/>
      </w:pPr>
      <w:r>
        <w:rPr>
          <w:rFonts w:hint="eastAsia" w:ascii="宋体" w:hAnsi="宋体" w:eastAsia="宋体" w:cs="宋体"/>
          <w:sz w:val="21"/>
          <w:szCs w:val="21"/>
        </w:rPr>
        <w:t> </w:t>
      </w:r>
    </w:p>
    <w:p>
      <w:pPr>
        <w:pStyle w:val="4"/>
        <w:keepNext w:val="0"/>
        <w:keepLines w:val="0"/>
        <w:widowControl/>
        <w:suppressLineNumbers w:val="0"/>
      </w:pPr>
      <w:r>
        <w:rPr>
          <w:rFonts w:hint="eastAsia" w:ascii="宋体" w:hAnsi="宋体" w:eastAsia="宋体" w:cs="宋体"/>
          <w:sz w:val="21"/>
          <w:szCs w:val="21"/>
        </w:rPr>
        <w:t>投标人：</w:t>
      </w:r>
      <w:r>
        <w:rPr>
          <w:rFonts w:hint="eastAsia" w:ascii="宋体" w:hAnsi="宋体" w:eastAsia="宋体" w:cs="宋体"/>
          <w:sz w:val="21"/>
          <w:szCs w:val="21"/>
          <w:u w:val="single"/>
        </w:rPr>
        <w:t>（全称并加盖单位公章）</w:t>
      </w:r>
    </w:p>
    <w:p>
      <w:pPr>
        <w:pStyle w:val="4"/>
        <w:keepNext w:val="0"/>
        <w:keepLines w:val="0"/>
        <w:widowControl/>
        <w:suppressLineNumbers w:val="0"/>
      </w:pPr>
      <w:r>
        <w:rPr>
          <w:rFonts w:hint="eastAsia" w:ascii="宋体" w:hAnsi="宋体" w:eastAsia="宋体" w:cs="宋体"/>
          <w:sz w:val="21"/>
          <w:szCs w:val="21"/>
        </w:rPr>
        <w:t>投标人代表签字：</w:t>
      </w:r>
      <w:r>
        <w:rPr>
          <w:rFonts w:hint="eastAsia" w:ascii="宋体" w:hAnsi="宋体" w:eastAsia="宋体" w:cs="宋体"/>
          <w:sz w:val="21"/>
          <w:szCs w:val="21"/>
          <w:u w:val="single"/>
        </w:rPr>
        <w:t>                   </w:t>
      </w:r>
    </w:p>
    <w:p>
      <w:pPr>
        <w:pStyle w:val="4"/>
        <w:keepNext w:val="0"/>
        <w:keepLines w:val="0"/>
        <w:widowControl/>
        <w:suppressLineNumbers w:val="0"/>
      </w:pPr>
      <w:r>
        <w:rPr>
          <w:rFonts w:hint="eastAsia" w:ascii="宋体" w:hAnsi="宋体" w:eastAsia="宋体" w:cs="宋体"/>
          <w:sz w:val="21"/>
          <w:szCs w:val="21"/>
        </w:rPr>
        <w:t>日期：</w:t>
      </w:r>
      <w:r>
        <w:rPr>
          <w:rFonts w:hint="eastAsia" w:ascii="宋体" w:hAnsi="宋体" w:eastAsia="宋体" w:cs="宋体"/>
          <w:sz w:val="21"/>
          <w:szCs w:val="21"/>
          <w:u w:val="single"/>
        </w:rPr>
        <w:t>    </w:t>
      </w:r>
      <w:r>
        <w:rPr>
          <w:rFonts w:hint="eastAsia" w:ascii="宋体" w:hAnsi="宋体" w:eastAsia="宋体" w:cs="宋体"/>
          <w:sz w:val="21"/>
          <w:szCs w:val="21"/>
        </w:rPr>
        <w:t>年</w:t>
      </w:r>
      <w:r>
        <w:rPr>
          <w:rFonts w:hint="eastAsia" w:ascii="宋体" w:hAnsi="宋体" w:eastAsia="宋体" w:cs="宋体"/>
          <w:sz w:val="21"/>
          <w:szCs w:val="21"/>
          <w:u w:val="single"/>
        </w:rPr>
        <w:t>   </w:t>
      </w:r>
      <w:r>
        <w:rPr>
          <w:rFonts w:hint="eastAsia" w:ascii="宋体" w:hAnsi="宋体" w:eastAsia="宋体" w:cs="宋体"/>
          <w:sz w:val="21"/>
          <w:szCs w:val="21"/>
        </w:rPr>
        <w:t>月</w:t>
      </w:r>
      <w:r>
        <w:rPr>
          <w:rFonts w:hint="eastAsia" w:ascii="宋体" w:hAnsi="宋体" w:eastAsia="宋体" w:cs="宋体"/>
          <w:sz w:val="21"/>
          <w:szCs w:val="21"/>
          <w:u w:val="single"/>
        </w:rPr>
        <w:t>   </w:t>
      </w:r>
      <w:r>
        <w:rPr>
          <w:rFonts w:hint="eastAsia" w:ascii="宋体" w:hAnsi="宋体" w:eastAsia="宋体" w:cs="宋体"/>
          <w:sz w:val="21"/>
          <w:szCs w:val="21"/>
        </w:rPr>
        <w:t>日</w:t>
      </w:r>
    </w:p>
    <w:p>
      <w:pPr>
        <w:pStyle w:val="4"/>
        <w:keepNext w:val="0"/>
        <w:keepLines w:val="0"/>
        <w:widowControl/>
        <w:suppressLineNumbers w:val="0"/>
      </w:pPr>
      <w:r>
        <w:rPr>
          <w:rFonts w:hint="eastAsia" w:ascii="宋体" w:hAnsi="宋体" w:eastAsia="宋体" w:cs="宋体"/>
          <w:sz w:val="21"/>
          <w:szCs w:val="21"/>
        </w:rPr>
        <w:t> </w:t>
      </w:r>
    </w:p>
    <w:p>
      <w:pPr>
        <w:pStyle w:val="4"/>
        <w:keepNext w:val="0"/>
        <w:keepLines w:val="0"/>
        <w:widowControl/>
        <w:suppressLineNumbers w:val="0"/>
      </w:pPr>
      <w:r>
        <w:rPr>
          <w:rFonts w:hint="eastAsia" w:ascii="宋体" w:hAnsi="宋体" w:eastAsia="宋体" w:cs="宋体"/>
          <w:sz w:val="21"/>
          <w:szCs w:val="21"/>
        </w:rPr>
        <w:t> </w:t>
      </w:r>
    </w:p>
    <w:p>
      <w:pPr>
        <w:pStyle w:val="4"/>
        <w:keepNext w:val="0"/>
        <w:keepLines w:val="0"/>
        <w:widowControl/>
        <w:suppressLineNumbers w:val="0"/>
        <w:jc w:val="center"/>
      </w:pPr>
      <w:r>
        <w:rPr>
          <w:rFonts w:hint="eastAsia" w:ascii="宋体" w:hAnsi="宋体" w:eastAsia="宋体" w:cs="宋体"/>
          <w:sz w:val="21"/>
          <w:szCs w:val="21"/>
        </w:rPr>
        <w:br w:type="textWrapping"/>
      </w:r>
      <w:r>
        <w:rPr>
          <w:rStyle w:val="6"/>
          <w:rFonts w:hint="eastAsia" w:ascii="宋体" w:hAnsi="宋体" w:eastAsia="宋体" w:cs="宋体"/>
          <w:sz w:val="21"/>
          <w:szCs w:val="21"/>
        </w:rPr>
        <w:t>四、投标人提交的其他资料（若有）</w:t>
      </w:r>
    </w:p>
    <w:p>
      <w:pPr>
        <w:pStyle w:val="4"/>
        <w:keepNext w:val="0"/>
        <w:keepLines w:val="0"/>
        <w:widowControl/>
        <w:suppressLineNumbers w:val="0"/>
      </w:pPr>
      <w:r>
        <w:rPr>
          <w:rFonts w:hint="eastAsia" w:ascii="宋体" w:hAnsi="宋体" w:eastAsia="宋体" w:cs="宋体"/>
          <w:sz w:val="21"/>
          <w:szCs w:val="21"/>
        </w:rPr>
        <w:t> </w:t>
      </w:r>
    </w:p>
    <w:p>
      <w:pPr>
        <w:pStyle w:val="4"/>
        <w:keepNext w:val="0"/>
        <w:keepLines w:val="0"/>
        <w:widowControl/>
        <w:suppressLineNumbers w:val="0"/>
      </w:pPr>
      <w:r>
        <w:rPr>
          <w:rFonts w:hint="eastAsia" w:ascii="宋体" w:hAnsi="宋体" w:eastAsia="宋体" w:cs="宋体"/>
          <w:sz w:val="21"/>
          <w:szCs w:val="21"/>
        </w:rPr>
        <w:t> </w:t>
      </w:r>
    </w:p>
    <w:p>
      <w:pPr>
        <w:pStyle w:val="4"/>
        <w:keepNext w:val="0"/>
        <w:keepLines w:val="0"/>
        <w:widowControl/>
        <w:suppressLineNumbers w:val="0"/>
        <w:jc w:val="center"/>
      </w:pPr>
      <w:r>
        <w:rPr>
          <w:rFonts w:hint="eastAsia" w:ascii="宋体" w:hAnsi="宋体" w:eastAsia="宋体" w:cs="宋体"/>
          <w:sz w:val="21"/>
          <w:szCs w:val="21"/>
        </w:rPr>
        <w:t>编制说明</w:t>
      </w:r>
    </w:p>
    <w:p>
      <w:pPr>
        <w:pStyle w:val="4"/>
        <w:keepNext w:val="0"/>
        <w:keepLines w:val="0"/>
        <w:widowControl/>
        <w:suppressLineNumbers w:val="0"/>
      </w:pPr>
      <w:r>
        <w:rPr>
          <w:rFonts w:hint="eastAsia" w:ascii="宋体" w:hAnsi="宋体" w:eastAsia="宋体" w:cs="宋体"/>
          <w:sz w:val="21"/>
          <w:szCs w:val="21"/>
        </w:rPr>
        <w:t> </w:t>
      </w:r>
    </w:p>
    <w:p>
      <w:pPr>
        <w:pStyle w:val="4"/>
        <w:keepNext w:val="0"/>
        <w:keepLines w:val="0"/>
        <w:widowControl/>
        <w:suppressLineNumbers w:val="0"/>
      </w:pPr>
      <w:r>
        <w:rPr>
          <w:rFonts w:hint="eastAsia" w:ascii="宋体" w:hAnsi="宋体" w:eastAsia="宋体" w:cs="宋体"/>
          <w:sz w:val="21"/>
          <w:szCs w:val="21"/>
        </w:rPr>
        <w:t>1、招标文件要求提交的除</w:t>
      </w:r>
      <w:r>
        <w:rPr>
          <w:rStyle w:val="6"/>
          <w:rFonts w:hint="eastAsia" w:ascii="宋体" w:hAnsi="宋体" w:eastAsia="宋体" w:cs="宋体"/>
          <w:sz w:val="21"/>
          <w:szCs w:val="21"/>
        </w:rPr>
        <w:t>“资格及资信证明部分”、“报价部分”</w:t>
      </w:r>
      <w:r>
        <w:rPr>
          <w:rFonts w:hint="eastAsia" w:ascii="宋体" w:hAnsi="宋体" w:eastAsia="宋体" w:cs="宋体"/>
          <w:sz w:val="21"/>
          <w:szCs w:val="21"/>
        </w:rPr>
        <w:t>外的其他证明材料或资料加盖投标人的单位公章后应在此项下提交。</w:t>
      </w:r>
    </w:p>
    <w:p>
      <w:pPr>
        <w:pStyle w:val="4"/>
        <w:keepNext w:val="0"/>
        <w:keepLines w:val="0"/>
        <w:widowControl/>
        <w:suppressLineNumbers w:val="0"/>
      </w:pPr>
      <w:r>
        <w:rPr>
          <w:rFonts w:hint="eastAsia" w:ascii="宋体" w:hAnsi="宋体" w:eastAsia="宋体" w:cs="宋体"/>
          <w:sz w:val="21"/>
          <w:szCs w:val="21"/>
        </w:rPr>
        <w:t>2、招标文件要求投标人提供方案（包括但不限于：组织、实施、技术、服务方案等）的，投标人应在此项下提交。</w:t>
      </w:r>
    </w:p>
    <w:p>
      <w:pPr>
        <w:pStyle w:val="4"/>
        <w:keepNext w:val="0"/>
        <w:keepLines w:val="0"/>
        <w:widowControl/>
        <w:suppressLineNumbers w:val="0"/>
      </w:pPr>
      <w:r>
        <w:rPr>
          <w:rFonts w:hint="eastAsia" w:ascii="宋体" w:hAnsi="宋体" w:eastAsia="宋体" w:cs="宋体"/>
          <w:sz w:val="21"/>
          <w:szCs w:val="21"/>
        </w:rPr>
        <w:t>3、除招标文件另有规定外，投标人认为需要提交的其他证明材料或资料加盖投标人的单位公章后应在此项下提交。</w:t>
      </w:r>
    </w:p>
    <w:p>
      <w:pPr>
        <w:pStyle w:val="4"/>
        <w:keepNext w:val="0"/>
        <w:keepLines w:val="0"/>
        <w:widowControl/>
        <w:suppressLineNumbers w:val="0"/>
      </w:pPr>
      <w:r>
        <w:rPr>
          <w:rFonts w:hint="eastAsia" w:ascii="宋体" w:hAnsi="宋体" w:eastAsia="宋体" w:cs="宋体"/>
          <w:sz w:val="21"/>
          <w:szCs w:val="21"/>
        </w:rPr>
        <w:t> </w:t>
      </w:r>
    </w:p>
    <w:p>
      <w:pPr>
        <w:pStyle w:val="4"/>
        <w:keepNext w:val="0"/>
        <w:keepLines w:val="0"/>
        <w:widowControl/>
        <w:suppressLineNumbers w:val="0"/>
      </w:pPr>
      <w:r>
        <w:rPr>
          <w:rFonts w:hint="eastAsia" w:ascii="宋体" w:hAnsi="宋体" w:eastAsia="宋体" w:cs="宋体"/>
          <w:sz w:val="21"/>
          <w:szCs w:val="21"/>
        </w:rPr>
        <w:t> </w:t>
      </w:r>
    </w:p>
    <w:p>
      <w:pPr>
        <w:pStyle w:val="4"/>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1"/>
          <w:szCs w:val="21"/>
        </w:rPr>
        <w:t> </w:t>
      </w:r>
    </w:p>
    <w:p>
      <w:pPr>
        <w:pStyle w:val="3"/>
        <w:keepNext w:val="0"/>
        <w:keepLines w:val="0"/>
        <w:widowControl/>
        <w:suppressLineNumbers w:val="0"/>
      </w:pPr>
      <w:r>
        <w:t>采购文件相关附件</w:t>
      </w:r>
    </w:p>
    <w:p>
      <w:pPr>
        <w:keepNext w:val="0"/>
        <w:keepLines w:val="0"/>
        <w:widowControl/>
        <w:suppressLineNumbers w:val="0"/>
        <w:jc w:val="left"/>
      </w:pPr>
      <w:r>
        <w:rPr>
          <w:rFonts w:hint="default" w:ascii="Calibri" w:hAnsi="Calibri" w:eastAsia="宋体" w:cs="Calibri"/>
          <w:spacing w:val="0"/>
          <w:kern w:val="0"/>
          <w:sz w:val="21"/>
          <w:szCs w:val="21"/>
          <w:lang w:val="en-US" w:eastAsia="zh-CN" w:bidi="ar"/>
        </w:rPr>
        <w:t> </w:t>
      </w:r>
    </w:p>
    <w:p>
      <w:pPr>
        <w:pStyle w:val="4"/>
        <w:keepNext w:val="0"/>
        <w:keepLines w:val="0"/>
        <w:widowControl/>
        <w:suppressLineNumbers w:val="0"/>
        <w:spacing w:before="75" w:beforeAutospacing="0" w:after="75" w:afterAutospacing="0"/>
        <w:ind w:left="0" w:right="0" w:firstLine="0"/>
      </w:pPr>
      <w:r>
        <w:rPr>
          <w:rFonts w:hint="default" w:ascii="Calibri" w:hAnsi="Calibri" w:cs="Calibri"/>
          <w:spacing w:val="0"/>
          <w:sz w:val="21"/>
          <w:szCs w:val="21"/>
        </w:rPr>
        <w:t> </w:t>
      </w:r>
    </w:p>
    <w:p>
      <w:pPr>
        <w:pStyle w:val="4"/>
        <w:keepNext w:val="0"/>
        <w:keepLines w:val="0"/>
        <w:widowControl/>
        <w:suppressLineNumbers w:val="0"/>
      </w:pPr>
      <w:r>
        <w:rPr>
          <w:rFonts w:hint="default" w:ascii="Calibri" w:hAnsi="Calibri" w:cs="Calibri"/>
          <w:sz w:val="21"/>
          <w:szCs w:val="21"/>
        </w:rPr>
        <w:t> </w:t>
      </w:r>
    </w:p>
    <w:p>
      <w:pPr>
        <w:pStyle w:val="4"/>
        <w:keepNext w:val="0"/>
        <w:keepLines w:val="0"/>
        <w:widowControl/>
        <w:suppressLineNumbers w:val="0"/>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DejaVu Sans">
    <w:altName w:val="苹方-简"/>
    <w:panose1 w:val="02020603050405020304"/>
    <w:charset w:val="00"/>
    <w:family w:val="roman"/>
    <w:pitch w:val="default"/>
    <w:sig w:usb0="20007A87" w:usb1="80000000" w:usb2="00000008" w:usb3="00000000" w:csb0="000001FF" w:csb1="00000000"/>
  </w:font>
  <w:font w:name="方正书宋_GBK">
    <w:panose1 w:val="02000000000000000000"/>
    <w:charset w:val="86"/>
    <w:family w:val="auto"/>
    <w:pitch w:val="default"/>
    <w:sig w:usb0="A00002BF" w:usb1="38CF7CFA" w:usb2="00082016" w:usb3="00000000" w:csb0="00040001" w:csb1="00000000"/>
  </w:font>
  <w:font w:name="方正黑体_GBK">
    <w:altName w:val="苹方-简"/>
    <w:panose1 w:val="02000000000000000000"/>
    <w:charset w:val="00"/>
    <w:family w:val="auto"/>
    <w:pitch w:val="default"/>
    <w:sig w:usb0="00000001" w:usb1="08000000" w:usb2="00000000" w:usb3="00000000" w:csb0="00040000" w:csb1="00000000"/>
  </w:font>
  <w:font w:name="Cambria">
    <w:altName w:val="苹方-简"/>
    <w:panose1 w:val="02040503050406030204"/>
    <w:charset w:val="00"/>
    <w:family w:val="roman"/>
    <w:pitch w:val="default"/>
    <w:sig w:usb0="00000000" w:usb1="00000000" w:usb2="00000000" w:usb3="00000000" w:csb0="0000019F" w:csb1="00000000"/>
  </w:font>
  <w:font w:name="Calibri">
    <w:altName w:val="Helvetica Neue"/>
    <w:panose1 w:val="020F0502020204030204"/>
    <w:charset w:val="00"/>
    <w:family w:val="swiss"/>
    <w:pitch w:val="default"/>
    <w:sig w:usb0="00000000" w:usb1="00000000" w:usb2="00000001" w:usb3="00000000" w:csb0="0000019F"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00000000" w:usb1="00000000"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微软雅黑">
    <w:altName w:val="汉仪旗黑"/>
    <w:panose1 w:val="020B0503020204020204"/>
    <w:charset w:val="86"/>
    <w:family w:val="auto"/>
    <w:pitch w:val="default"/>
    <w:sig w:usb0="00000000" w:usb1="00000000" w:usb2="00000016" w:usb3="00000000" w:csb0="0004001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旗黑">
    <w:panose1 w:val="00020600040101010101"/>
    <w:charset w:val="86"/>
    <w:family w:val="auto"/>
    <w:pitch w:val="default"/>
    <w:sig w:usb0="A00002BF" w:usb1="1ACF7CFA" w:usb2="00000016" w:usb3="00000000" w:csb0="0004009F" w:csb1="DFD7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苹方-简">
    <w:panose1 w:val="020B0400000000000000"/>
    <w:charset w:val="86"/>
    <w:family w:val="auto"/>
    <w:pitch w:val="default"/>
    <w:sig w:usb0="A00002FF" w:usb1="7ACFFDFB" w:usb2="00000017"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val="0"/>
  <w:bordersDoNotSurroundFooter w:val="0"/>
  <w:attachedTemplate r:id="rId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8890C98"/>
    <w:rsid w:val="08890C98"/>
    <w:rsid w:val="228D1060"/>
    <w:rsid w:val="422D71E5"/>
    <w:rsid w:val="4B67CE9E"/>
    <w:rsid w:val="57C6BCC5"/>
    <w:rsid w:val="674C0637"/>
    <w:rsid w:val="6D535020"/>
    <w:rsid w:val="7F8FE5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paragraph" w:styleId="3">
    <w:name w:val="heading 3"/>
    <w:basedOn w:val="1"/>
    <w:next w:val="1"/>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5">
    <w:name w:val="Default Paragraph Font"/>
    <w:semiHidden/>
    <w:uiPriority w:val="0"/>
  </w:style>
  <w:style w:type="table" w:default="1" w:styleId="9">
    <w:name w:val="Normal Table"/>
    <w:semiHidden/>
    <w:uiPriority w:val="0"/>
    <w:tblPr>
      <w:tblCellMar>
        <w:top w:w="0" w:type="dxa"/>
        <w:left w:w="108" w:type="dxa"/>
        <w:bottom w:w="0" w:type="dxa"/>
        <w:right w:w="108" w:type="dxa"/>
      </w:tblCellMar>
    </w:tblPr>
  </w:style>
  <w:style w:type="paragraph" w:styleId="4">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 w:type="character" w:styleId="7">
    <w:name w:val="FollowedHyperlink"/>
    <w:basedOn w:val="5"/>
    <w:uiPriority w:val="0"/>
    <w:rPr>
      <w:color w:val="800080"/>
      <w:u w:val="single"/>
    </w:rPr>
  </w:style>
  <w:style w:type="character" w:styleId="8">
    <w:name w:val="Hyperlink"/>
    <w:basedOn w:val="5"/>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2" Type="http://schemas.openxmlformats.org/officeDocument/2006/relationships/fontTable" Target="fontTable.xml"/><Relationship Id="rId31" Type="http://schemas.openxmlformats.org/officeDocument/2006/relationships/customXml" Target="../customXml/item1.xml"/><Relationship Id="rId30" Type="http://schemas.openxmlformats.org/officeDocument/2006/relationships/image" Target="media/image27.png"/><Relationship Id="rId3" Type="http://schemas.openxmlformats.org/officeDocument/2006/relationships/theme" Target="theme/theme1.xml"/><Relationship Id="rId29" Type="http://schemas.openxmlformats.org/officeDocument/2006/relationships/image" Target="media/image26.png"/><Relationship Id="rId28" Type="http://schemas.openxmlformats.org/officeDocument/2006/relationships/image" Target="media/image25.png"/><Relationship Id="rId27" Type="http://schemas.openxmlformats.org/officeDocument/2006/relationships/image" Target="media/image24.png"/><Relationship Id="rId26" Type="http://schemas.openxmlformats.org/officeDocument/2006/relationships/image" Target="media/image23.GIF"/><Relationship Id="rId25" Type="http://schemas.openxmlformats.org/officeDocument/2006/relationships/image" Target="media/image22.png"/><Relationship Id="rId24" Type="http://schemas.openxmlformats.org/officeDocument/2006/relationships/image" Target="media/image21.png"/><Relationship Id="rId23" Type="http://schemas.openxmlformats.org/officeDocument/2006/relationships/image" Target="media/image20.png"/><Relationship Id="rId22" Type="http://schemas.openxmlformats.org/officeDocument/2006/relationships/image" Target="media/image19.png"/><Relationship Id="rId21" Type="http://schemas.openxmlformats.org/officeDocument/2006/relationships/image" Target="media/image18.png"/><Relationship Id="rId20" Type="http://schemas.openxmlformats.org/officeDocument/2006/relationships/image" Target="media/image17.png"/><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wangwei/Library/Containers/com.kingsoft.wpsoffice.mac/Data/C:\Users\Administrato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Pages>211</Pages>
  <Words>964</Words>
  <Characters>1095</Characters>
  <Lines>0</Lines>
  <Paragraphs>0</Paragraphs>
  <TotalTime>0</TotalTime>
  <ScaleCrop>false</ScaleCrop>
  <LinksUpToDate>false</LinksUpToDate>
  <CharactersWithSpaces>1221</CharactersWithSpaces>
  <Application>WPS Office_3.7.0.5920_F1E327BC-269C-435d-A152-05C5408002CA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2018-08-28T11:35:00Z</dcterms:created>
  <dc:creator>。</dc:creator>
  <cp:lastModifiedBy>wangwei</cp:lastModifiedBy>
  <dcterms:modified xsi:type="dcterms:W3CDTF">2026-07-09T05:40:37Z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2052-3.7.0.5920</vt:lpwstr>
  </property>
  <property fmtid="{D5CDD505-2E9C-101B-9397-08002B2CF9AE}" pid="3" name="KSOTemplateDocerSaveRecord">
    <vt:lpwstr>eyJoZGlkIjoiMzY3YzZkNzBhYTljZDIxMDNjNjIzNzdiNjY5ODI0NDciLCJ1c2VySWQiOiI0MDk2NjM0MjIifQ==</vt:lpwstr>
  </property>
  <property fmtid="{D5CDD505-2E9C-101B-9397-08002B2CF9AE}" pid="4" name="ICV">
    <vt:lpwstr>BCB3B47BF08E4A1FB2AEB14573D084EC_12</vt:lpwstr>
  </property>
</Properties>
</file>