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ascii="宋体" w:hAnsi="宋体" w:eastAsia="宋体" w:cs="宋体"/>
          <w:b/>
          <w:i w:val="0"/>
          <w:caps w:val="0"/>
          <w:color w:val="393939"/>
          <w:spacing w:val="0"/>
          <w:sz w:val="72"/>
          <w:szCs w:val="72"/>
          <w:shd w:val="clear" w:fill="FFFFFF"/>
        </w:rPr>
        <w:t>福建省政府采购</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货物和服务项目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公开招标文件</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72"/>
          <w:szCs w:val="72"/>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1050"/>
        <w:rPr>
          <w:rStyle w:val="9"/>
          <w:rFonts w:hint="eastAsia" w:ascii="宋体" w:hAnsi="宋体" w:eastAsia="宋体" w:cs="宋体"/>
          <w:b/>
          <w:i w:val="0"/>
          <w:caps w:val="0"/>
          <w:color w:val="393939"/>
          <w:spacing w:val="0"/>
          <w:sz w:val="30"/>
          <w:szCs w:val="30"/>
          <w:shd w:val="clear" w:fill="FFFFFF"/>
        </w:rPr>
      </w:pPr>
      <w:r>
        <w:rPr>
          <w:rFonts w:hint="eastAsia" w:ascii="微软雅黑" w:hAnsi="微软雅黑" w:eastAsia="微软雅黑" w:cs="微软雅黑"/>
          <w:i w:val="0"/>
          <w:caps w:val="0"/>
          <w:color w:val="393939"/>
          <w:spacing w:val="0"/>
          <w:sz w:val="24"/>
          <w:szCs w:val="24"/>
          <w:shd w:val="clear" w:fill="FFFFFF"/>
        </w:rPr>
        <w:t> </w:t>
      </w:r>
      <w:r>
        <w:rPr>
          <w:rStyle w:val="9"/>
          <w:rFonts w:hint="eastAsia" w:ascii="宋体" w:hAnsi="宋体" w:eastAsia="宋体" w:cs="宋体"/>
          <w:b/>
          <w:i w:val="0"/>
          <w:caps w:val="0"/>
          <w:color w:val="393939"/>
          <w:spacing w:val="0"/>
          <w:sz w:val="30"/>
          <w:szCs w:val="30"/>
          <w:shd w:val="clear" w:fill="FFFFFF"/>
        </w:rPr>
        <w:t>项目名称：福州高新技术产业开发区增设信号灯</w:t>
      </w:r>
    </w:p>
    <w:p>
      <w:pPr>
        <w:pStyle w:val="6"/>
        <w:keepNext w:val="0"/>
        <w:keepLines w:val="0"/>
        <w:widowControl/>
        <w:suppressLineNumbers w:val="0"/>
        <w:shd w:val="clear" w:fill="FFFFFF"/>
        <w:spacing w:before="75" w:beforeAutospacing="0" w:after="75" w:afterAutospacing="0"/>
        <w:ind w:left="0" w:right="0" w:firstLine="2711" w:firstLineChars="900"/>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30"/>
          <w:szCs w:val="30"/>
          <w:shd w:val="clear" w:fill="FFFFFF"/>
        </w:rPr>
        <w:t>及校园周边安全设施采购项目</w:t>
      </w:r>
    </w:p>
    <w:p>
      <w:pPr>
        <w:pStyle w:val="6"/>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9"/>
          <w:rFonts w:hint="eastAsia" w:ascii="宋体" w:hAnsi="宋体" w:eastAsia="宋体" w:cs="宋体"/>
          <w:b/>
          <w:i w:val="0"/>
          <w:caps w:val="0"/>
          <w:color w:val="393939"/>
          <w:spacing w:val="0"/>
          <w:sz w:val="30"/>
          <w:szCs w:val="30"/>
          <w:shd w:val="clear" w:fill="FFFFFF"/>
        </w:rPr>
        <w:t>备案编号：A13-JS-GK-202003-B2066-GK</w:t>
      </w:r>
    </w:p>
    <w:p>
      <w:pPr>
        <w:pStyle w:val="6"/>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9"/>
          <w:rFonts w:hint="eastAsia" w:ascii="宋体" w:hAnsi="宋体" w:eastAsia="宋体" w:cs="宋体"/>
          <w:b/>
          <w:i w:val="0"/>
          <w:caps w:val="0"/>
          <w:color w:val="393939"/>
          <w:spacing w:val="0"/>
          <w:sz w:val="30"/>
          <w:szCs w:val="30"/>
          <w:shd w:val="clear" w:fill="FFFFFF"/>
        </w:rPr>
        <w:t>招标编号：[350191]GK[GK]2020002</w:t>
      </w:r>
      <w:r>
        <w:rPr>
          <w:rStyle w:val="9"/>
          <w:rFonts w:hint="eastAsia" w:ascii="宋体" w:hAnsi="宋体" w:eastAsia="宋体" w:cs="宋体"/>
          <w:b/>
          <w:i w:val="0"/>
          <w:caps w:val="0"/>
          <w:color w:val="393939"/>
          <w:spacing w:val="0"/>
          <w:sz w:val="30"/>
          <w:szCs w:val="30"/>
          <w:shd w:val="clear" w:fill="FFFFFF"/>
        </w:rPr>
        <w:br w:type="textWrapping"/>
      </w:r>
      <w:r>
        <w:rPr>
          <w:rStyle w:val="9"/>
          <w:rFonts w:hint="eastAsia" w:ascii="宋体" w:hAnsi="宋体" w:eastAsia="宋体" w:cs="宋体"/>
          <w:b/>
          <w:i w:val="0"/>
          <w:caps w:val="0"/>
          <w:color w:val="393939"/>
          <w:spacing w:val="0"/>
          <w:sz w:val="30"/>
          <w:szCs w:val="30"/>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8"/>
          <w:szCs w:val="28"/>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9"/>
          <w:rFonts w:hint="eastAsia" w:ascii="宋体" w:hAnsi="宋体" w:eastAsia="宋体" w:cs="宋体"/>
          <w:b/>
          <w:i w:val="0"/>
          <w:caps w:val="0"/>
          <w:color w:val="393939"/>
          <w:spacing w:val="0"/>
          <w:sz w:val="28"/>
          <w:szCs w:val="28"/>
          <w:shd w:val="clear" w:fill="FFFFFF"/>
        </w:rPr>
        <w:t>福州高新技术产业开发区城乡建设局</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8"/>
          <w:szCs w:val="28"/>
          <w:shd w:val="clear" w:fill="FFFFFF"/>
        </w:rPr>
        <w:t>代理机构：福建省顺鑫招标代理有限公司</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9"/>
          <w:rFonts w:hint="eastAsia" w:ascii="宋体" w:hAnsi="宋体" w:eastAsia="宋体" w:cs="宋体"/>
          <w:b/>
          <w:i w:val="0"/>
          <w:caps w:val="0"/>
          <w:color w:val="393939"/>
          <w:spacing w:val="0"/>
          <w:sz w:val="28"/>
          <w:szCs w:val="28"/>
          <w:shd w:val="clear" w:fill="FFFFFF"/>
        </w:rPr>
        <w:t>2020年03月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第一章</w:t>
      </w:r>
      <w:r>
        <w:rPr>
          <w:rStyle w:val="9"/>
          <w:b/>
          <w:spacing w:val="0"/>
          <w:sz w:val="31"/>
          <w:szCs w:val="31"/>
        </w:rPr>
        <w:t>   </w:t>
      </w:r>
      <w:r>
        <w:rPr>
          <w:rStyle w:val="9"/>
          <w:rFonts w:hint="eastAsia" w:ascii="宋体" w:hAnsi="宋体" w:eastAsia="宋体" w:cs="宋体"/>
          <w:b/>
          <w:spacing w:val="0"/>
          <w:sz w:val="31"/>
          <w:szCs w:val="31"/>
        </w:rPr>
        <w:t>投标邀请</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福州高新技术产业开发区增设信号灯及校园周边安全设施采购项目</w:t>
      </w:r>
      <w:r>
        <w:rPr>
          <w:rFonts w:hint="eastAsia" w:ascii="宋体" w:hAnsi="宋体" w:eastAsia="宋体" w:cs="宋体"/>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A13-JS-GK-202003-B2066-GK</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[350191]GK[GK]2020002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5、需要落实的政府采购政策：节能产品，适用于（合同包1），按照财政部 发展改革委 生态环境部 市场监管总局印发《关于调整优化节能产品、环境标志产品政府采购执行机制的通知》(财库〔2019〕9号)以及《关于印发节能产品政府采购品目清单的通知》(财库〔2019〕19号)执行；环境标志产品，适用于（合同包1），按照财政部 发展改革委 生态环境部 市场监管总局印发《关于调整优化节能产品、环境标志产品政府采购执行机制的通知》(财库〔2019〕9号)以及《关于印发环境标志产品政府采购品目清单的通知》(财库〔2019〕18号)执行。小型、微型企业，适用于（合同包1）。监狱企业，适用于（合同包1）。促进残疾人就业 ，适用于（合同包1）。信用记录，适用于（合同包1），按照下列规定执行：（1）投标人应在（本项目招标公告发布时间至递交投标文件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b/>
          <w:spacing w:val="0"/>
          <w:sz w:val="24"/>
          <w:szCs w:val="24"/>
        </w:rPr>
        <w:t>包：1</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具备履行合同所必需的设备和专业技术能力的证明材料； a.具备履行合同所必需的设备，是指提供具备履行合同所必须的办公场所的场地证明（属于自有产权的提供产权证复印件；非自有产权的提供产地租赁合同复印件）。 b.专业技术能力的证明材料，是指为本项目提供人员情况汇总表。</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9"/>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9"/>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12、采购人：福州高新技术产业开发区城乡建设局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地址：闽侯县上街镇科技东路3号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联系方法：13706970690</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13、代理机构：福建省顺鑫招标代理有限公司</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地址：福州市仓山区建新镇杨周路21号1#701</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联系方法：0591-83273126</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Style w:val="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4" w:hRule="atLeast"/>
        </w:trPr>
        <w:tc>
          <w:tcPr>
            <w:tcW w:w="920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9200"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福建省顺鑫招标代理有限公司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9200"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2" w:hRule="atLeast"/>
        </w:trPr>
        <w:tc>
          <w:tcPr>
            <w:tcW w:w="9200"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trPr>
        <w:tc>
          <w:tcPr>
            <w:tcW w:w="920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6" w:hRule="atLeast"/>
        </w:trPr>
        <w:tc>
          <w:tcPr>
            <w:tcW w:w="9200" w:type="dxa"/>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7"/>
        <w:tblW w:w="503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9"/>
        <w:gridCol w:w="747"/>
        <w:gridCol w:w="1656"/>
        <w:gridCol w:w="747"/>
        <w:gridCol w:w="718"/>
        <w:gridCol w:w="1723"/>
        <w:gridCol w:w="931"/>
        <w:gridCol w:w="9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4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98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4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2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02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7"/>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4"/>
              <w:gridCol w:w="1660"/>
              <w:gridCol w:w="734"/>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政法、检测专用设备零部件</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5,734,850.0000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交通管理设备</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1,575,600.0000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7310450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146209</w:t>
            </w:r>
          </w:p>
        </w:tc>
      </w:tr>
    </w:tbl>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第二章</w:t>
      </w:r>
      <w:r>
        <w:rPr>
          <w:rStyle w:val="9"/>
          <w:b/>
          <w:spacing w:val="0"/>
          <w:sz w:val="31"/>
          <w:szCs w:val="31"/>
        </w:rPr>
        <w:t>   </w:t>
      </w:r>
      <w:r>
        <w:rPr>
          <w:rStyle w:val="9"/>
          <w:rFonts w:hint="eastAsia" w:ascii="宋体" w:hAnsi="宋体" w:eastAsia="宋体" w:cs="宋体"/>
          <w:b/>
          <w:spacing w:val="0"/>
          <w:sz w:val="31"/>
          <w:szCs w:val="31"/>
        </w:rPr>
        <w:t>投标人须知前附表（表1、</w:t>
      </w:r>
      <w:r>
        <w:rPr>
          <w:rStyle w:val="9"/>
          <w:rFonts w:hint="default" w:ascii="Times New Roman" w:hAnsi="Times New Roman" w:cs="Times New Roman"/>
          <w:b/>
          <w:spacing w:val="0"/>
          <w:sz w:val="31"/>
          <w:szCs w:val="31"/>
        </w:rPr>
        <w:t>2</w:t>
      </w:r>
      <w:r>
        <w:rPr>
          <w:rStyle w:val="9"/>
          <w:rFonts w:hint="eastAsia" w:ascii="宋体" w:hAnsi="宋体" w:eastAsia="宋体" w:cs="宋体"/>
          <w:b/>
          <w:spacing w:val="0"/>
          <w:sz w:val="31"/>
          <w:szCs w:val="31"/>
        </w:rPr>
        <w:t>）</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96"/>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710" w:type="dxa"/>
            <w:gridSpan w:val="3"/>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投标文件的份数：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密封及其标记的具体形式：</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不承担责任。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所有投标文件必须用A4幅面纸张打印装订，应编制封面、目录、页码，须用胶装（为永久性、无破坏不可拆分）装订成册，在制作投标文件须盖章的部分盖章并加盖骑缝章，封面须加盖公章，副本可以用正本的完整复印件，并在封面标明“正本”、“副本”字样。正本与副本、电子文本如有不一致，则以正本为准。投标人应将投标文件的报价部分的正本和全部副本分别用信封密封，并分别标明招标编号、投标人名称、投标项目名称及“报价部分正本”或“报价部分副本”字样。投标文件的技术商务部分和资格及资信证明部分密封同报价部分。投标人投标时须提交报价部分正本、报价部分副本、技术商务部分正本、技术商务部分副本、资格及资信证明部分正本、资格及资信证明部分副本至少六个密封袋。投标文件未密封将导致投标被拒绝。 每一信封密封处应注明“于 之前（指投标邀请中规定的开标日期及时间）不准启封”的字样，并加盖投标人公章。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6"/>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招标文件的质疑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※除上述规定外，对招标文件提出的质疑还应符合招标文件第三章第</w:t>
            </w:r>
            <w:r>
              <w:rPr>
                <w:rStyle w:val="9"/>
                <w:rFonts w:hint="default" w:ascii="Times New Roman" w:hAnsi="Times New Roman" w:cs="Times New Roman"/>
                <w:b/>
                <w:spacing w:val="0"/>
                <w:sz w:val="24"/>
                <w:szCs w:val="24"/>
              </w:rPr>
              <w:t>15.1</w:t>
            </w:r>
            <w:r>
              <w:rPr>
                <w:rStyle w:val="9"/>
                <w:rFonts w:hint="eastAsia" w:ascii="宋体" w:hAnsi="宋体" w:eastAsia="宋体" w:cs="宋体"/>
                <w:b/>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福州高新技术产业开发区财政金融局</w:t>
            </w:r>
            <w:r>
              <w:rPr>
                <w:rStyle w:val="9"/>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※除招标文件第一章第</w:t>
            </w:r>
            <w:r>
              <w:rPr>
                <w:rStyle w:val="9"/>
                <w:rFonts w:hint="default" w:ascii="Times New Roman" w:hAnsi="Times New Roman" w:cs="Times New Roman"/>
                <w:b/>
                <w:spacing w:val="0"/>
                <w:sz w:val="24"/>
                <w:szCs w:val="24"/>
              </w:rPr>
              <w:t>11.1</w:t>
            </w:r>
            <w:r>
              <w:rPr>
                <w:rStyle w:val="9"/>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其他事项：</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中标人</w:t>
            </w:r>
            <w:r>
              <w:rPr>
                <w:rStyle w:val="9"/>
                <w:rFonts w:hint="eastAsia" w:ascii="宋体" w:hAnsi="宋体" w:eastAsia="宋体" w:cs="宋体"/>
                <w:b/>
                <w:spacing w:val="0"/>
                <w:sz w:val="24"/>
                <w:szCs w:val="24"/>
              </w:rPr>
              <w:t>支付。</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(2)其他：</w:t>
            </w:r>
            <w:r>
              <w:rPr>
                <w:rFonts w:hint="eastAsia" w:ascii="宋体" w:hAnsi="宋体" w:eastAsia="宋体" w:cs="宋体"/>
                <w:b/>
                <w:spacing w:val="0"/>
                <w:sz w:val="24"/>
                <w:szCs w:val="24"/>
              </w:rPr>
              <w:t>一、招标服务费：1、按国家计划委员会（计价格[2002]1980号文规定的招标收费标准，以差额定率累计法计算。本项目的招标代理服务费由中标人支付，招标文件内若有冲突条款的，以本条规定为准。 2、中标人应在领取中标通知书的同时以转帐、电汇付款方式一次性向招标代理人缴纳中标服务费。 开户行:华夏银行股份有限公司福州晋安支行 账 号：12255000000186362 开户名称：福建省顺鑫招标代理有限公司。 二、投标文件将被拒收、投标将被拒绝、投标无效及废标条款：具体内容详见招标文件各章节，请各投标人认真查看对照。 ①　第一章投标邀请第7.2、9.2条款； ②　第二章投标人须知前附表序号6的编列内容，第二章投标人须知表2关于投标无效的规定； ③　第三章投标人须知第9.2、9.3、9.4、9.5、9.6、9.7、10.6（1）、10.6（3）、10.8（2）、10.9、10.12、10.11（2）条款； 除第三章第10.5条第（2）款第③点规定情形外，投标文件散装或活页装订将导致投标无效。④　第四章资格审查与评标中第1.4、6.2（6）、6.3（3）、6.4、6.7、6.9、6.10条款及7.2评标标准中关于投标无效的规定； ⑤　出现第五章招标内容及要求中投标无效规定的； ⑥　出现第七章投标文件格式中投标无效规定的。⑦ 以及招标文件其他地方规定的条款；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070" w:type="dxa"/>
            <w:gridSpan w:val="2"/>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l2br w:val="nil"/>
              <w:tr2bl w:val="nil"/>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b/>
                <w:spacing w:val="0"/>
                <w:sz w:val="24"/>
                <w:szCs w:val="24"/>
              </w:rPr>
              <w:t>后有表</w:t>
            </w:r>
            <w:r>
              <w:rPr>
                <w:rStyle w:val="9"/>
                <w:rFonts w:hint="default" w:ascii="Times New Roman" w:hAnsi="Times New Roman" w:cs="Times New Roman"/>
                <w:b/>
                <w:spacing w:val="0"/>
                <w:sz w:val="24"/>
                <w:szCs w:val="24"/>
              </w:rPr>
              <w:t>2</w:t>
            </w:r>
            <w:r>
              <w:rPr>
                <w:rStyle w:val="9"/>
                <w:rFonts w:hint="eastAsia" w:ascii="宋体" w:hAnsi="宋体" w:eastAsia="宋体" w:cs="宋体"/>
                <w:b/>
                <w:spacing w:val="0"/>
                <w:sz w:val="24"/>
                <w:szCs w:val="24"/>
              </w:rPr>
              <w:t>，请勿遗漏。</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1115" w:type="dxa"/>
            <w:gridSpan w:val="2"/>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 </w:t>
            </w:r>
            <w:r>
              <w:rPr>
                <w:rFonts w:hint="eastAsia" w:ascii="宋体" w:hAnsi="宋体" w:eastAsia="宋体" w:cs="宋体"/>
                <w:spacing w:val="0"/>
                <w:sz w:val="24"/>
                <w:szCs w:val="24"/>
              </w:rPr>
              <w:t>的内容</w:t>
            </w:r>
            <w:r>
              <w:rPr>
                <w:rStyle w:val="9"/>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1、投标人提供的财务报告复印件（成立年限按照投标截止时间推算）应符合下列规定：1.1成立年限满1年及以上的投标人，提供经审计的上一年度或2018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r>
              <w:rPr>
                <w:rFonts w:hint="eastAsia" w:ascii="宋体" w:hAnsi="宋体" w:eastAsia="宋体" w:cs="宋体"/>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b/>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b/>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9"/>
                <w:rFonts w:hint="eastAsia" w:ascii="宋体" w:hAnsi="宋体" w:eastAsia="宋体" w:cs="宋体"/>
                <w:b/>
                <w:sz w:val="24"/>
                <w:szCs w:val="24"/>
              </w:rPr>
              <w:t>投标无效。</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b/>
                <w:sz w:val="24"/>
                <w:szCs w:val="24"/>
              </w:rPr>
              <w:t>均视同有效。</w:t>
            </w:r>
          </w:p>
          <w:p>
            <w:pPr>
              <w:pStyle w:val="6"/>
              <w:keepNext w:val="0"/>
              <w:keepLines w:val="0"/>
              <w:widowControl/>
              <w:suppressLineNumbers w:val="0"/>
              <w:wordWrap w:val="0"/>
              <w:spacing w:before="0" w:beforeAutospacing="0" w:after="0" w:afterAutospacing="0"/>
              <w:ind w:left="0" w:right="0"/>
            </w:pP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b/>
                <w:spacing w:val="0"/>
                <w:sz w:val="24"/>
                <w:szCs w:val="24"/>
              </w:rPr>
              <w:t>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b/>
                <w:spacing w:val="0"/>
                <w:sz w:val="24"/>
                <w:szCs w:val="24"/>
              </w:rPr>
              <w:t>不视为投标无效。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9"/>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b/>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第三章   投标人须知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一、总则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二、投标人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24"/>
          <w:szCs w:val="24"/>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24"/>
          <w:szCs w:val="24"/>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24"/>
          <w:szCs w:val="24"/>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三、招标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福建省顺鑫招标代理有限公司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福建省顺鑫招标代理有限公司可终止招标并发布终止公告。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8.2终止公告作为福建省顺鑫招标代理有限公司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24"/>
          <w:szCs w:val="24"/>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四、投标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b/>
          <w:spacing w:val="0"/>
          <w:sz w:val="24"/>
          <w:szCs w:val="24"/>
        </w:rPr>
        <w:t>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※除本章第</w:t>
      </w:r>
      <w:r>
        <w:rPr>
          <w:rStyle w:val="9"/>
          <w:rFonts w:hint="default" w:ascii="Calibri" w:hAnsi="Calibri" w:cs="Calibri"/>
          <w:b/>
          <w:spacing w:val="0"/>
          <w:sz w:val="24"/>
          <w:szCs w:val="24"/>
        </w:rPr>
        <w:t>10.5</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2</w:t>
      </w:r>
      <w:r>
        <w:rPr>
          <w:rStyle w:val="9"/>
          <w:rFonts w:hint="eastAsia" w:ascii="宋体" w:hAnsi="宋体" w:eastAsia="宋体" w:cs="宋体"/>
          <w:b/>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9"/>
          <w:rFonts w:hint="eastAsia" w:ascii="宋体" w:hAnsi="宋体" w:eastAsia="宋体" w:cs="宋体"/>
          <w:b/>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※本章第</w:t>
      </w:r>
      <w:r>
        <w:rPr>
          <w:rStyle w:val="9"/>
          <w:rFonts w:hint="default" w:ascii="Calibri" w:hAnsi="Calibri" w:cs="Calibri"/>
          <w:b/>
          <w:spacing w:val="0"/>
          <w:sz w:val="24"/>
          <w:szCs w:val="24"/>
        </w:rPr>
        <w:t>10.9</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4</w:t>
      </w:r>
      <w:r>
        <w:rPr>
          <w:rStyle w:val="9"/>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b/>
          <w:spacing w:val="0"/>
          <w:sz w:val="24"/>
          <w:szCs w:val="24"/>
        </w:rPr>
        <w:t>否则将被拒收。</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五、开标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※若出现本章第</w:t>
      </w:r>
      <w:r>
        <w:rPr>
          <w:rStyle w:val="9"/>
          <w:rFonts w:hint="default" w:ascii="Calibri" w:hAnsi="Calibri" w:cs="Calibri"/>
          <w:b/>
          <w:spacing w:val="0"/>
          <w:sz w:val="24"/>
          <w:szCs w:val="24"/>
        </w:rPr>
        <w:t>11.4</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4</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5</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6</w:t>
      </w:r>
      <w:r>
        <w:rPr>
          <w:rStyle w:val="9"/>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福建省顺鑫招标代理有限公司</w:t>
      </w:r>
      <w:r>
        <w:rPr>
          <w:rStyle w:val="9"/>
          <w:rFonts w:hint="eastAsia" w:ascii="宋体" w:hAnsi="宋体" w:eastAsia="宋体" w:cs="宋体"/>
          <w:b/>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七、询问、质疑与投诉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14.1潜在投标人或投标人对本次采购活动的有关事项若有疑问，可向福建省顺鑫招标代理有限公司提出询问，福建省顺鑫招标代理有限公司将按照政府采购法及实施条例的有关规定进行答复。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顺鑫招标代理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6"/>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八、政府采购政策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9"/>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9"/>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9"/>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九、本项目的有关信息</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十、其他事项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一、资格审查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的工作人员。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rFonts w:hint="eastAsia" w:ascii="宋体" w:hAnsi="宋体" w:eastAsia="宋体" w:cs="宋体"/>
          <w:spacing w:val="0"/>
          <w:kern w:val="0"/>
          <w:sz w:val="24"/>
          <w:szCs w:val="24"/>
          <w:lang w:val="en-US" w:eastAsia="zh-CN" w:bidi="ar"/>
        </w:rPr>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w:t>
      </w:r>
    </w:p>
    <w:p>
      <w:pPr>
        <w:keepNext w:val="0"/>
        <w:keepLines w:val="0"/>
        <w:widowControl/>
        <w:suppressLineNumbers w:val="0"/>
        <w:jc w:val="left"/>
        <w:rPr>
          <w:rFonts w:hint="eastAsia" w:ascii="宋体" w:hAnsi="宋体" w:eastAsia="宋体" w:cs="宋体"/>
          <w:spacing w:val="0"/>
          <w:kern w:val="0"/>
          <w:sz w:val="24"/>
          <w:szCs w:val="24"/>
          <w:lang w:val="en-US" w:eastAsia="zh-CN" w:bidi="ar"/>
        </w:rPr>
      </w:pPr>
    </w:p>
    <w:p>
      <w:pPr>
        <w:keepNext w:val="0"/>
        <w:keepLines w:val="0"/>
        <w:widowControl/>
        <w:suppressLineNumbers w:val="0"/>
        <w:jc w:val="left"/>
      </w:pPr>
      <w:r>
        <w:rPr>
          <w:rFonts w:hint="eastAsia" w:ascii="宋体" w:hAnsi="宋体" w:eastAsia="宋体" w:cs="宋体"/>
          <w:spacing w:val="0"/>
          <w:kern w:val="0"/>
          <w:sz w:val="24"/>
          <w:szCs w:val="24"/>
          <w:lang w:val="en-US" w:eastAsia="zh-CN" w:bidi="ar"/>
        </w:rPr>
        <w:t>②.其他资格证明文件：</w:t>
      </w:r>
    </w:p>
    <w:p>
      <w:pPr>
        <w:pStyle w:val="6"/>
        <w:keepNext w:val="0"/>
        <w:keepLines w:val="0"/>
        <w:widowControl/>
        <w:suppressLineNumbers w:val="0"/>
        <w:spacing w:before="75" w:beforeAutospacing="0" w:after="75" w:afterAutospacing="0"/>
        <w:ind w:left="0" w:right="0" w:firstLine="480"/>
      </w:pPr>
      <w:r>
        <w:rPr>
          <w:rStyle w:val="9"/>
          <w:b/>
          <w:spacing w:val="0"/>
          <w:sz w:val="24"/>
          <w:szCs w:val="24"/>
        </w:rPr>
        <w:t>包：1</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具备履行合同所必需的设备和专业技术能力的证明材料； a.具备履行合同所必需的设备，是指提供具备履行合同所必须的办公场所的场地证明（属于自有产权的提供产权证复印件；非自有产权的提供产地租赁合同复印件）。 b.专业技术能力的证明材料，是指为本项目提供人员情况汇总表。</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b/>
          <w:spacing w:val="0"/>
          <w:sz w:val="24"/>
          <w:szCs w:val="24"/>
        </w:rPr>
        <w:t>资格审查不合格：</w:t>
      </w:r>
      <w:r>
        <w:rPr>
          <w:rStyle w:val="9"/>
          <w:rFonts w:hint="eastAsia" w:ascii="宋体" w:hAnsi="宋体" w:eastAsia="宋体" w:cs="宋体"/>
          <w:b/>
          <w:spacing w:val="0"/>
          <w:sz w:val="24"/>
          <w:szCs w:val="24"/>
        </w:rPr>
        <w:br w:type="textWrapping"/>
      </w:r>
      <w:r>
        <w:rPr>
          <w:rFonts w:hint="eastAsia" w:ascii="宋体" w:hAnsi="宋体" w:eastAsia="宋体" w:cs="宋体"/>
        </w:rPr>
        <w:t>  （1）一般情形：</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6"/>
        <w:keepNext w:val="0"/>
        <w:keepLines w:val="0"/>
        <w:widowControl/>
        <w:suppressLineNumbers w:val="0"/>
        <w:spacing w:before="0" w:beforeAutospacing="0" w:after="150" w:afterAutospacing="0"/>
        <w:ind w:left="0" w:right="0" w:firstLine="480"/>
      </w:pPr>
      <w:r>
        <w:rPr>
          <w:rStyle w:val="9"/>
          <w:b/>
        </w:rPr>
        <w:t>包：1</w:t>
      </w:r>
      <w:r>
        <w:br w:type="textWrapping"/>
      </w:r>
      <w:r>
        <w:rPr>
          <w:rStyle w:val="9"/>
          <w:b/>
          <w:sz w:val="24"/>
          <w:szCs w:val="24"/>
        </w:rPr>
        <w:t>         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二、评标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福建省顺鑫招标代理有限公司负责评标委员会的组建及评标工作的组织。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福建省顺鑫招标代理有限公司</w:t>
      </w:r>
      <w:r>
        <w:rPr>
          <w:rFonts w:hint="eastAsia" w:ascii="宋体" w:hAnsi="宋体" w:eastAsia="宋体" w:cs="宋体"/>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b/>
          <w:spacing w:val="0"/>
          <w:sz w:val="24"/>
          <w:szCs w:val="24"/>
        </w:rPr>
        <w:t>符合性审查不合格：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1、节能产品。根据《财政部 发展改革委 生态环境部 市场监管总局 关于调整优化节能产品、环境标志产品政府采购执行机制的通知》（财库〔2019〕9号）规定，采购人拟采购的产品属于财库〔2019〕19号节能产品政府采购品目清单范围的，依据国家确定的认证机构出具的、处于有效期之内的节能产品认证证书，对实施政府强制采购的产品（以“★”标注的为政府强制采购产品），必须在投标文件技术部分提供相关节能产品认证证书并加盖投标人公章，否则投标无效。认证机构名录以市场监管总局关于发布参与实施政府采购节能产品、环境标志产品认证机构名录的公告（2019年第16号）为准。以上品目清单及认证机构名录若有新的版本，则以新的版本为准。（招标文件中与财库〔2019〕9号等文件规定不一致的地方，均以此处说明的最新文件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2、所投产品如有国家强制性要求或认证的(如3C、节能产品政府采购品目清单、信息安全认证等)，必须提供相关的证明文件或证书，否则视为无效投标。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1、投标人对“第五章 招标内容及要求”中“二、技术和服务要求”的响应出现负偏离或者未响应的，视为投标无效。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交付地点、交付时间、交付条件、验收方式、支付方式、保修期等有不满足招标文件商务条件要求的，按投标无效处理。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b/>
          <w:kern w:val="0"/>
          <w:sz w:val="24"/>
          <w:szCs w:val="24"/>
          <w:lang w:val="en-US" w:eastAsia="zh-CN" w:bidi="ar"/>
        </w:rPr>
        <w:t>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※同时出现两种以上不一致的，按照前款规定的顺序修正。修正后的报价应按照本章第</w:t>
      </w:r>
      <w:r>
        <w:rPr>
          <w:rStyle w:val="9"/>
          <w:rFonts w:hint="default" w:ascii="Calibri" w:hAnsi="Calibri" w:cs="Calibri"/>
          <w:b/>
          <w:spacing w:val="0"/>
          <w:sz w:val="24"/>
          <w:szCs w:val="24"/>
        </w:rPr>
        <w:t>6.3</w:t>
      </w:r>
      <w:r>
        <w:rPr>
          <w:rStyle w:val="9"/>
          <w:rFonts w:hint="eastAsia" w:ascii="宋体" w:hAnsi="宋体" w:eastAsia="宋体" w:cs="宋体"/>
          <w:b/>
          <w:spacing w:val="0"/>
          <w:sz w:val="24"/>
          <w:szCs w:val="24"/>
        </w:rPr>
        <w:t>条第（</w:t>
      </w:r>
      <w:r>
        <w:rPr>
          <w:rStyle w:val="9"/>
          <w:rFonts w:hint="default" w:ascii="Calibri" w:hAnsi="Calibri" w:cs="Calibri"/>
          <w:b/>
          <w:spacing w:val="0"/>
          <w:sz w:val="24"/>
          <w:szCs w:val="24"/>
        </w:rPr>
        <w:t>1</w:t>
      </w:r>
      <w:r>
        <w:rPr>
          <w:rStyle w:val="9"/>
          <w:rFonts w:hint="eastAsia" w:ascii="宋体" w:hAnsi="宋体" w:eastAsia="宋体" w:cs="宋体"/>
          <w:b/>
          <w:spacing w:val="0"/>
          <w:sz w:val="24"/>
          <w:szCs w:val="24"/>
        </w:rPr>
        <w:t>）、（</w:t>
      </w:r>
      <w:r>
        <w:rPr>
          <w:rStyle w:val="9"/>
          <w:rFonts w:hint="default" w:ascii="Calibri" w:hAnsi="Calibri" w:cs="Calibri"/>
          <w:b/>
          <w:spacing w:val="0"/>
          <w:sz w:val="24"/>
          <w:szCs w:val="24"/>
        </w:rPr>
        <w:t>2</w:t>
      </w:r>
      <w:r>
        <w:rPr>
          <w:rStyle w:val="9"/>
          <w:rFonts w:hint="eastAsia" w:ascii="宋体" w:hAnsi="宋体" w:eastAsia="宋体" w:cs="宋体"/>
          <w:b/>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b/>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b/>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b/>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福建省顺鑫招标代理有限公司</w:t>
      </w:r>
      <w:r>
        <w:rPr>
          <w:rStyle w:val="9"/>
          <w:rFonts w:hint="eastAsia" w:ascii="宋体" w:hAnsi="宋体" w:eastAsia="宋体" w:cs="宋体"/>
          <w:b/>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合同包1采用最低评标价法。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6"/>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9"/>
          <w:rFonts w:hint="eastAsia" w:ascii="宋体" w:hAnsi="宋体" w:eastAsia="宋体" w:cs="宋体"/>
          <w:b/>
          <w:color w:val="393939"/>
          <w:sz w:val="24"/>
          <w:szCs w:val="24"/>
          <w:shd w:val="clear" w:fill="FFFFFF"/>
        </w:rPr>
        <w:t>合同包</w:t>
      </w:r>
      <w:r>
        <w:rPr>
          <w:rStyle w:val="9"/>
          <w:rFonts w:hint="default" w:ascii="Times New Roman" w:hAnsi="Times New Roman" w:eastAsia="宋体" w:cs="Times New Roman"/>
          <w:b/>
          <w:color w:val="393939"/>
          <w:sz w:val="24"/>
          <w:szCs w:val="24"/>
          <w:shd w:val="clear" w:fill="FFFFFF"/>
        </w:rPr>
        <w:t>1</w:t>
      </w:r>
      <w:r>
        <w:rPr>
          <w:rStyle w:val="9"/>
          <w:rFonts w:hint="eastAsia" w:ascii="宋体" w:hAnsi="宋体" w:eastAsia="宋体" w:cs="宋体"/>
          <w:b/>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（1）投标文件满足招标文件全部实质性要求，且投标报价最低的投标人为中标候选人。</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（2）价格扣除的规则如下：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b.小型、微型企业产品等：</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3"/>
        <w:gridCol w:w="7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9"/>
                <w:rFonts w:ascii="宋体" w:hAnsi="宋体" w:eastAsia="宋体" w:cs="宋体"/>
                <w:b/>
                <w:kern w:val="0"/>
                <w:sz w:val="24"/>
                <w:szCs w:val="24"/>
                <w:lang w:val="en-US" w:eastAsia="zh-CN" w:bidi="ar"/>
              </w:rPr>
              <w:t>根据财政部，工信部印发的《政府采购促进中小企业发展暂行办法》(财库【2011】181号)，凡参加此次投标的小型和微型企业提供本企业制造的或者提供其他小型、微型企业制造的产品，其报价部分给予6%的价格扣除优惠，但必须同时提供如下证明材料，否则不予价格扣除。若同一合同包内的小型、微型企业产品仅是构成报价产品的部件、组件或零件的，则该报价产品不给予价格扣除。 ①中小企业声明函(格式附后)。 ②由企业所在地的县级以上中小企业主管部门出具的属于小型、微型企业的证明文件(格式附后)，时间须为上一年度或本年度。中小企业划分标准详见工信部联企业【2011】300号文件和《国家统计局关于印发统计上大中小微型企业划分办法的通知》（国统字[2011]75号）执行）。 ③符合中小企业划分标准(投标供应商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2018年度财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残疾人福利性单位价格扣除： 根据《财政部 民政部 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及《残疾人福利性单位声明函》详见《财政部 民政部 中国残疾人联合会关于促进残疾人就业政府采购政策的通知》（财库〔2017〕141号） （网址： http://www.ccgp.gov.cn/zcfg/mof/201709/t20170904_8787205.htm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9"/>
                <w:rFonts w:ascii="宋体" w:hAnsi="宋体" w:eastAsia="宋体" w:cs="宋体"/>
                <w:b/>
                <w:kern w:val="0"/>
                <w:sz w:val="24"/>
                <w:szCs w:val="24"/>
                <w:lang w:val="en-US" w:eastAsia="zh-CN" w:bidi="ar"/>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 同一合同包内的节能、环境标志产品报价总金额占本合同包报价总金额10%(含10%)以下:给予每个单项报价3%的价格扣除;同一合同包内的节能、环境标志产品报价总金额占本合同包报价总金额10%—30%(不含10%含30%)：给予每个单项报价6%的价格扣除;同一合同包内的节能、环境标志产品报价总金额占本合同包报价总金额30%—50%(不含30%含50%)：给予每个单项报价8%的价格扣除；同一合同包内的节能、环境标志产品报价总金额占本合同包报价总金额50%(不含50%)以上:给予每个单项报价10%的价格扣除。注：投标人在投标报价时必须对节能（非强制类产品）、环境标志产品单独分项报价，并于投标文件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价格扣除只对属于清单内的非强制类产品进行价格扣除，强制类产品不给予价格扣除。③若同一合同包内的节能、环境标志产品仅是构成投标产品的部件、组件或零件的，则不给予价格扣除。获得上述认证的产品在投标时应提供有效证明材料）。同一品目中各认证证书不重复计算。</w:t>
            </w:r>
          </w:p>
        </w:tc>
      </w:tr>
    </w:tbl>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c.其他：无</w:t>
      </w:r>
    </w:p>
    <w:p>
      <w:pPr>
        <w:pStyle w:val="6"/>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sz w:val="24"/>
          <w:szCs w:val="24"/>
        </w:rPr>
        <w:t>※除本章第</w:t>
      </w:r>
      <w:r>
        <w:rPr>
          <w:rStyle w:val="9"/>
          <w:rFonts w:hint="default" w:ascii="Calibri" w:hAnsi="Calibri" w:eastAsia="宋体" w:cs="Calibri"/>
          <w:b/>
          <w:sz w:val="24"/>
          <w:szCs w:val="24"/>
        </w:rPr>
        <w:t>6.3</w:t>
      </w:r>
      <w:r>
        <w:rPr>
          <w:rStyle w:val="9"/>
          <w:rFonts w:hint="eastAsia" w:ascii="宋体" w:hAnsi="宋体" w:eastAsia="宋体" w:cs="宋体"/>
          <w:b/>
          <w:sz w:val="24"/>
          <w:szCs w:val="24"/>
        </w:rPr>
        <w:t>条第（</w:t>
      </w:r>
      <w:r>
        <w:rPr>
          <w:rStyle w:val="9"/>
          <w:rFonts w:hint="default" w:ascii="Calibri" w:hAnsi="Calibri" w:eastAsia="宋体" w:cs="Calibri"/>
          <w:b/>
          <w:sz w:val="24"/>
          <w:szCs w:val="24"/>
        </w:rPr>
        <w:t>3</w:t>
      </w:r>
      <w:r>
        <w:rPr>
          <w:rStyle w:val="9"/>
          <w:rFonts w:hint="eastAsia" w:ascii="宋体" w:hAnsi="宋体" w:eastAsia="宋体" w:cs="宋体"/>
          <w:b/>
          <w:sz w:val="24"/>
          <w:szCs w:val="24"/>
        </w:rPr>
        <w:t>）款规定情形和落实政府采购政策需进行的价格扣除情形外，不能对投标人的投标报价进行任何调整。</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（3）中标候选人排列规则顺序如下：</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a.按照评标价（即价格扣除后的投标报价）由低到高顺序排列。</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b.评标价相同的并列。</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第五章</w:t>
      </w:r>
      <w:r>
        <w:rPr>
          <w:rStyle w:val="9"/>
          <w:b/>
          <w:spacing w:val="0"/>
          <w:sz w:val="31"/>
          <w:szCs w:val="31"/>
        </w:rPr>
        <w:t>   </w:t>
      </w:r>
      <w:r>
        <w:rPr>
          <w:rStyle w:val="9"/>
          <w:rFonts w:hint="eastAsia" w:ascii="宋体" w:hAnsi="宋体" w:eastAsia="宋体" w:cs="宋体"/>
          <w:b/>
          <w:spacing w:val="0"/>
          <w:sz w:val="31"/>
          <w:szCs w:val="31"/>
        </w:rPr>
        <w:t>招标内容及要求</w:t>
      </w:r>
    </w:p>
    <w:p>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（1）本次采购项目要求投标人提供的货物必须是全新的原厂原包装，通过合法渠道获得的货物。</w:t>
      </w:r>
      <w:r>
        <w:rPr>
          <w:rFonts w:hint="eastAsia" w:ascii="宋体" w:hAnsi="宋体" w:eastAsia="宋体" w:cs="宋体"/>
          <w:sz w:val="21"/>
          <w:szCs w:val="21"/>
        </w:rPr>
        <w:br w:type="textWrapping"/>
      </w:r>
      <w:r>
        <w:rPr>
          <w:rStyle w:val="9"/>
          <w:rFonts w:hint="eastAsia" w:ascii="宋体" w:hAnsi="宋体" w:eastAsia="宋体" w:cs="宋体"/>
          <w:b/>
          <w:sz w:val="27"/>
          <w:szCs w:val="27"/>
        </w:rPr>
        <w:br w:type="textWrapping"/>
      </w:r>
      <w:r>
        <w:rPr>
          <w:rStyle w:val="9"/>
          <w:rFonts w:hint="eastAsia" w:ascii="宋体" w:hAnsi="宋体" w:eastAsia="宋体" w:cs="宋体"/>
          <w:b/>
          <w:sz w:val="27"/>
          <w:szCs w:val="27"/>
        </w:rPr>
        <w:t>（2）本项目“品目号1-11：全景摄像机”和“品目号2-9：全景监控球机”为核心产品。</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b/>
          <w:spacing w:val="0"/>
          <w:sz w:val="24"/>
          <w:szCs w:val="24"/>
        </w:rPr>
        <w:t>（以“★”标示的内容为不允许负偏离的实质性要求）</w:t>
      </w:r>
    </w:p>
    <w:tbl>
      <w:tblPr>
        <w:tblStyle w:val="7"/>
        <w:tblW w:w="6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14"/>
        <w:gridCol w:w="619"/>
        <w:gridCol w:w="824"/>
        <w:gridCol w:w="583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合同包号</w:t>
            </w: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品目号</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货物名 称</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技术参数要求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6505" w:type="dxa"/>
            <w:gridSpan w:val="4"/>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品目号1：政法、检测专用设备零部件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400万全自动违停抓拍球机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（1）摄像机具有两个图像传感器，靶面尺寸≥1/1.8英寸，视频图像分辨率≥2592×1520。</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（2）内置GPU芯片；</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（3）支持最低照度可达彩色≤0.0002 lx，黑白≤0.0001 lx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（4）支持≥35倍光学变倍；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（5）水平旋转范围为360°连续旋转，垂直旋转范围为-20°~90°，支持≥7路报警输入，≥2路报警输出，支持≥1路音频输入和输出接口。支持≥512GB SD卡；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（6）室外球机应具备较好防护性能，支持≥IP67；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（7）支持快速聚焦功能，当设备跟踪行人或机动车等移动目标并录像时，单帧回放录像文件，每1帧画面均应清晰可见。</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（8）支持违法停车抓拍功能，且白天和晚上违法停车捕获率、捕获有效率均大于99%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（9）支持车牌语音播报功能，可通过客户端软件语音播报进入检测区域的机动车辆车牌号码；</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（10）支持语音联动功能，当有停车、逆行、压线、变道、掉头、拥堵、机动车占用非机动车道现象被触发时，样机可分别发出不同的语音提示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（11）设备运动结束静止时，其水平和垂直角度方向受到外力作用发生偏移时，能够检测角度改变并产生报警信息，报警信息可在OSD上叠加。</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（12）设备具备偏移自动校正功能。设备运动结束静止时，其水平和垂直角度方向受到外力作用发生偏移时，设备可进行偏移自动校正，校正后与原位置偏差角度应≤0.05°</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户外通信机箱</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点位控制和通信中心机箱，内含空气开关，电源，电源防雷模块及防盗报警模块。</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监控杆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 圆柱形；杆体热镀锌；杆高4米，主杆壁厚8mm；横杆臂长1米，横杆壁厚5mm。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满屏灯</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（1）包含：灯具、帽檐、装饰边、背杆支架、U型抱箍（直径：170mm）；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（2）产品尺寸：1380×455×130mm；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（3）面罩规格：φ400mm；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（4）面罩材质：玻璃；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（5）表面处理：黑色喷塑哑光；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（6）LED数量：红156，黄170，绿156；倒计时：红140，绿140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（7）LED波长：红：625nm；黄：590nm；绿：505nm；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（8）LED直径：φ5mm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（9）倒计时：黄圆盘灯嵌入双8倒计时；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（10）计时方式：学习/触发/RS485通信；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（11）单管电流：＜18mA；</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（12）LED寿命：≥70000小时；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（13）绝缘电阻：≥500MΩ；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（14）介电强度：≥1440V；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（15）中心光强：400 ~1000 cd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（16）可视距离：＞450m；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（17）可视角度：＞30°；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（18）工作电压：AC 220V±44V，50HZ；</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（19）功率：≤20W；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（20）工作温度：-40 ~ +80℃；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（21）相对湿度：≤93%；</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（22）防护等级：≥IP53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左转信号灯 【左转箭头灯】【双8倒计时】【竖装】</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（1）包含：灯具、帽檐、装饰边、背杆支架、U型抱箍 （直径：120mm）；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（2）产品尺寸：1380×455×130mm；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（3）面罩规格：φ400mm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（4）面罩材质：玻璃；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（5）表面处理：黑色喷塑哑光；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（6）LED数量：红90，黄90，绿90；倒计时：红140，绿140；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（7）LED波长：红：625nm；黄：590nm；绿：505nm；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（8）LED直径：φ5mm；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（9）倒计时：黄箭头灯嵌入双8倒计时；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（10）计时方式：学习/触发/RS485通信；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（11）单管电流：＜18mA；</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（12）LED寿命：≥70000小时；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（13）绝缘电阻：≥500MΩ；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（14）介电强度：≥1440V；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（15）中心亮度：5000 ~15000 cd/m2；</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（16）可视距离：＞450m；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（17）可视角度：＞30°；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（18）工作电压：AC 220V±44V，50HZ；</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（19）功率：功率≤20W；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（20）工作温度：-40 ~ +80℃；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（21）相对湿度：≤93%；</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（22）防护等级：≥IP53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人行灯</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（1）包含：灯具、帽檐、装饰边、横连杆抱箍（直径：89mm）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（2）产品尺寸：1065×350×120mm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（3）面罩规格：φ300mm；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（4）面罩材质：玻璃；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（5）表面处理：黑色喷塑哑光；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（6）LED数量：红60，绿56；倒计时：红140，绿140；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（7）LED波长：红：625nm；绿：505nm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（8）LED直径：φ5mm；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（9）单管电流：＜18mA；</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（10）LED寿命：≥70000小时；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（11）绝缘电阻：≥500MΩ；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（12）介电强度：≥1440V；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（13）中心光强：150~400 cd；</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（14）可视距离：＞300m；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（15）可视角度：＞30°；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（16）工作电压：AC 220V±44V，50HZ；</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（17）功率：功率≤15W；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（18）工作温度：-40 ~ +80℃；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（19）相对湿度：≤93%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（20）防护等级：≥IP53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14套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信号机（道路交通信号控制机）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（1）包含：控制主机、配电单元、机柜、无线遥控器、GPS。 （2）相位：支持16主相位+16跟随相位；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（3）灯控输出：≥44路输出，单通道负载800W；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（4）灯控板：4块，每块支持≥11路；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（5）车检板：无，可选配；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（6）网络接口：≥1个RJ45接口；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（7）其他接口：≥1个RS232接口，≥2个RS485接口，≥1个USB接口；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（8）外部输入：≥8路行人按钮输入；</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（9）外部输出：无；</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（10）无线遥控：支持；</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（11）无线接入：可选配4G/WIFI模块；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（12）工作电压： AC220V±44V，50Hz±2Hz；</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（13）温度：-40℃～+70℃；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（14）功耗：35W；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（15）绝缘强度：＞500 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（16）防护等级：≥IP54；</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（17）新建信号机需无缝对接交警大队现有信控平台，实现统一管理，统一调度。（含对接及接口开发所有费用）；</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不礼让行人抓拍单元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（1）包含高清一体化嵌入式摄像机、高清镜头、室外防护罩、相机内置网络信号防雷器、电源适配器等；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（2）图像传感器：采用≥1英寸GMOS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（3）支持主码流同时输出≥30路≥4096×2160、2Mbps的25帧/s图像以提供客户端浏览；</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（4）最大图像尺寸：≥4096×2160像素；字符叠加时最大可支持≥4096×2800；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（5）视频帧率：在1～25fps可调；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（6）分辨力：彩色≥2100TVL（分辨率为4096×2160，码率为8Mbps，帧率为25帧/s）；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（7）亮度（灰度）鉴别等级≥13级；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（8）支持数字降噪、信噪比、宽动态、快门自适应等功能；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（9）支持透雾、强光抑制、图像增强、区域裁剪、坏点校正、视频防抖、顺逆光亮度补偿等功能；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（10）支持流量整形、曝光补偿、OSD颜色自定义、自动开启补光设备、信息发布、断电保护、区域曝光、IP地址过滤等功能；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（11）护罩玻璃透光率≥99%；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（12）视频压缩支持H.265、H.264、M-JPEG；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（13）支持机动车、二轮车（摩托车、自行车、电动二轮车）、三轮车和行人分类检测；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（14）支持车辆捕获抓拍功能，在天气晴朗无雾，号牌无遮挡、无污损，白天环境光照度不低于200lx，晚上辅助光照度不高于30lx的条件下测试，白天和晚上的捕获率均≥99%；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（15）支持二轮车和行人捕获抓拍功能，在天气晴朗无雾，号牌无遮挡、无污损，白天环境光照度不低于200lx，晚上辅助光照度不高于30lx的条件下测试，白天和晚上的捕获率均≥99%；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（16）支持车牌识别功能，在天气晴朗无雾，号牌无遮挡、无污损，白天环境光照度不低于200lx，晚上辅助光照度不高于30lx的条件下测试，白天和晚上的识别准确率均≥99% 支持异常车牌检测功能，可对故意遮挡及污损车牌进行判断和识别；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对违法变道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（20）支持绿灯路口违法停车、占用专用车道、车道内倒车等违法行为抓拍；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（21）支持闯红灯抓拍功能，在天气晴朗无雾，号牌无遮挡、无污损，白天环境光照度不低于200lx，晚上辅助光照度不高于30lx的条件下测试，白天和晚上闯红灯的捕获率均≥99%；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13种车身颜色识别，包括黑、白、灰、红、绿、蓝、黄、粉、紫、棕、青、金、橙；在天气晴朗无雾，号牌无遮挡、无污损，白天环境光照度不低于200lx，晚上辅助光照度不高于30lx的条件下测试，白天识别准确率≥99%，晚上识别准确率≥97%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（23）支持≥250种车标识别，在天气晴朗无雾，号牌无遮挡、无污损，白天环境光照度不低于200lx，晚上辅助光照度不高于30lx的条件下测试，白天准确率≥99%，晚上准确率≥99%；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（24）支持黑名单功能，在黑名单模式中，悬挂添加在黑名单中车牌的车辆通过监控区域应触发报警并进行图片抓拍，黑名单中可添加≥20000个车牌</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（25）支持对主程序和智能算法分别进行升级，可对多台设备同时进行批量升级，升级过程中视频画面不应丢失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（26）支持对设定区域内的天窗开启露出人部分身体、未交替让行、双车挤入单车道等行为进行图片抓拍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（27）支持识别车头≥6600种车辆子品 牌，车尾≥3600种车辆子品 牌，在天气晴朗无雾，号牌无遮挡、无污损，白天环境光照度不低于200lx，晚上辅助光照度不高于30lx的条件下测试，白天识别准确率均98%，晚上的识别准确率均≥96%</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（28）支持通过手机APP对视频画面进行预览</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（29）可显示设定区域内各像素点的RGB分量值</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（30）支持对设定区域内的机动车、非机动车是否悬挂车牌的情况进行检测并显示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（31）样机抓拍JPEG格式的图片后，可查看抓拍图片的压缩因子</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（32）支持越线停车、不礼让非机动车/行人、左转不让直行、右转不让左转、掉头不让直行等行为抓拍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（33）支持三轮车/二轮车载人、非机动车逆行、摩托车/非机动车不带头盔等功能检测</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（34）支持非机动车不戴头盔，载人，逆行，闯红灯，越线停车等检测抓拍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（35）支持摩托车闯红灯、不按导向、闯禁令等违法行抓拍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（36）支持多拍过滤功能，可设置多拍过滤时间段为0-320000ms，在此时间段内多次经过的车辆只抓拍一次</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（37）支持安全接入功能，开启此功能后，设备只能被管理平台控制，不能通过其他方式登录或者控制设备</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（38）支持连续闯红灯事件检测功能，对某一时间段内连续闯红灯事件进行检测，并自动上传报警信息</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（39）设备护罩应支持后端开启模式</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（40）电源引入端子与外壳裸露金属部件之间的绝缘电阻在正常大气条件下应≥100MΩ，湿热条件下应≥10MΩ；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（41）高低温试验应满足﹣45℃～90℃；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（42）外壳防护等级应不低于IP66；</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（43）设备须无缝接入交警大队现有智能交通平台以及相关应用系统中，实现地图应用、违法应用、视频追踪管理应用等。</w:t>
            </w:r>
            <w:r>
              <w:rPr>
                <w:rStyle w:val="9"/>
                <w:rFonts w:hint="eastAsia" w:ascii="宋体" w:hAnsi="宋体" w:eastAsia="宋体" w:cs="宋体"/>
                <w:b/>
              </w:rPr>
              <w:t>（投标人须针对此项要求提供专项承诺函，加盖投标人公章佐证，同时还须提供系统对接方案。）</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频闪灯</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（1）光源类型：大功率LED，单车道环境补光；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（2）LED灯珠数量：≥16颗；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（3）发光角度：≥10°；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（4）最佳补光距离：16米-25米；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（5）触发方式：电平量触发(可选配开关量触发)；</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（6）响应时间：&lt;20us；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（7）日夜功能：支持环境亮度监测,低照度下自动开启(可选配)；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（8）触发信号电平：4V-6V；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（9）防护等级：≥IP67；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（10）外形尺寸：128mm(W)×216mm(H)×159mm(D)；</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（11）整体重量：2.72Kg；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（12）功率：最大功率36W(实际功率与控制方式有关)；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（13）色温：5000K-7000K</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终端服务器</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（1）可设置图片的存储空间，在规定的空间内自动循环覆盖，剩余空间为录像存储空间。</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（3）对于在记录过程中出现的系统死机或意外故障，设备能够在规定的时间内自动恢复其正常工作状态并使故障前的信息不丢失。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（4）设备内的录像、图片文件无法直接删除或者修改，只能通过循环覆盖和硬盘格式化操作。</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（5）支持套牌车检测，可将抓拍图片与本地历史数据进行车辆特征比对分析，检测出套牌车辆，同时给出告警提示。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（7）设备采用嵌入式linux实时操作系统,内存容量≥2GB。 设备具有≥2个RS-232接口、≥2个RS-485接口、≥1个USB3.0接口、≥2路报警输入接口、≥2路报警输出接口、≥1个音频输入接口、≥1个音频输出接口、≥4个SATA接口、≥4个状态指示灯、≥1个接地端子、≥1个复位按键、≥1个GPS天线接口、≥1个4G全网通天线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（8）可添加≥12路IP摄像机(单路码率10M)，进行录像与图片的实时预览和存储并可将IP摄像机的视频图像通过网络传输至客户端。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（9）支持≥4块3.5或2.5英寸硬盘接入，可兼容≥6TB硬盘，支持硬盘自动切换，当块硬盘损坏后，能自动切换至其它硬盘进行存储。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（10）当数据库文件由于断电等原因损坏后，可以通过网页手动控制数据库修复，恢复过车数据査询功能。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（11）可显示系统已运行时间、主板温度、终端运行状态。</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（12）可通过USB外接存储介质进行数据备份，备份数据类型、存储目录及文件命名可配置。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（13）支持对视频进行质量诊断并输出报警信息。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（14）可实时显示接入的摄像机、线圈、车检器、红绿灯检测器等前端设备的工作状态、样机内部温度、工作时间等信息；外接机柜门时具有机柜门状态实时显示与查询功能。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（15）可通过长按复位键恢复系统的出厂默认参数。</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（16）设备须无缝接入交警大队现有智能交通平台以及相关应用系统中，实现地图应用、违法应用、视频追踪管理应用等。</w:t>
            </w:r>
            <w:r>
              <w:rPr>
                <w:rStyle w:val="9"/>
                <w:rFonts w:hint="eastAsia" w:ascii="宋体" w:hAnsi="宋体" w:eastAsia="宋体" w:cs="宋体"/>
                <w:b/>
              </w:rPr>
              <w:t>（投标人须针对此项要求提供专项承诺函，加盖投标人公章佐证，同时还须提供系统对接方案。）</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◆全景摄像机（核心产品）</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（1）支持深度学习算法，提供精准的人车分类侦测、报警、联动跟踪；</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（2）支持声光警戒：报警联动暖光闪烁报警和声音报警.声音内容可选；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（3）支持区域入侵侦测、越界侦测、进入区域侦测和离开区域侦等智能侦测并联动跟踪；</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（4）内置扬声器：功率5w。30m≥60dB；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（5）支持混合补光，采用高效补光阵列，低功耗，暖光补光≥30m、红外补光≥150m；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（6）图像传感器:1/2.8＂ progressive scan CMOS；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（7）最低照度:彩色：0.002Lux @ (F1.2，AGC ON)；黑白：0.0001Lux @(F1.2，AGC ON) ；0 Lux with IR；</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（8）分辨率及帧率:主码流 50Hz:25fps (1920×1080);60Hz:30fps(1920×1080)；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（9）视频压缩:H.265/H.264/MJPEG，H.264支持Baseline Profile/Main Profile/High Profile；</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（10）可见光照射距离:≥30米；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（11）红外照射距离:≥150米；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（12）焦距:4.8 - 110 mm,≥23倍光学变焦；</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（13）水平视角:58.4-2.8度(广角-望远)；</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（14）警戒功能:支持区域入侵、越界侦测、进入区域侦测、离开区域侦测报警联动可见光闪烁警戒及声音警戒；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（15）Smart图像增强:≥120dB超宽动态、透雾、强光抑制、电子防抖、Smart IR；</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（16）水平及垂直范围:水平360°；垂直-15°-90°（自动翻转）；</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（17）水平速度:水平键控速度：0.1°-160°/s,速度可设;水平预置点速度：≥240°/s；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（18）垂直速度:垂直键控速度：0.1°-120°/s,速度可设;垂直预置点速度：≥200°/s；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（19）支持萤石协议接入；</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（20）电源接口:AC24V；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（21）网络接口:RJ45网口，自适应10M/100M网络数据；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（22）音频输入/输出:≥1路音频输入；≥1路音频输出；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（23）报警输入/输出:≥2路报警输入；≥1路报警输出；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（24）SD卡接口:内置Micro SD卡插槽，支持Micro SD(即TF卡)/Micro SDHC/Micro SDXC卡（支持≥256G）；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（25）功耗:40W max（其中红外灯15W max）；</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（26）工作温度和湿度:-30℃-65℃；湿度小于90%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（27）防护等级:≥IP66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900万违法抓拍摄像机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（1）包含高清一体化嵌入式摄像机、高清镜头、室外防护罩、相机内置网络信号防雷器、电源适配器等；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（2）图像传感器：采用≥1英寸GMOS；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（3）支持主码流同时输出≥30路4096×2160、2Mbps的25帧/s图像以提供客户端浏览；</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（4）最大图像尺寸：≥4096×2160像素；字符叠加时最大可支持4096×2800；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（5）视频帧率：在1～25fps可调；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（6）分辨力：彩色≥2100TVL（分辨率为4096×2160，码率为8Mbps，帧率为25帧/s）；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（7）亮度（灰度）鉴别等级≥13级；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（8）支持数字降噪、信噪比、宽动态、快门自适应等功能；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（9）支持透雾、强光抑制、图像增强、区域裁剪、坏点校正、视频防抖、顺逆光亮度补偿等功能；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（10）支持流量整形、曝光补偿、OSD颜色自定义、自动开启补光设备、信息发布、断电保护、区域曝光、IP地址过滤等功能；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（11）护罩玻璃透光率≥99%；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（12）视频压缩支持H.265、H.264、M-JPEG；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（13）支持机动车、二轮车（摩托车、自行车、电动二轮车）、三轮车和行人分类检测；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（14）支持车辆捕获抓拍功能，在天气晴朗无雾，号牌无遮挡、无污损，白天环境光照度不低于200lx，晚上辅助光照度不高于30lx的条件下测试，白天和晚上的捕获率均≥99%；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（15）支持二轮车和行人捕获抓拍功能，在天气晴朗无雾，号牌无遮挡、无污损，白天环境光照度不低于200lx，晚上辅助光照度不高于30lx的条件下测试，白天和晚上的捕获率均≥99%；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（16）支持车牌识别功能，在天气晴朗无雾，号牌无遮挡、无污损，白天环境光照度不低于200lx，晚上辅助光照度不高于30lx的条件下测试，白天和晚上的识别准确率均≥99% 支持异常车牌检测功能，可对故意遮挡及污损车牌进行判断和识别；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对违法变道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（20）支持绿灯路口违法停车、占用专用车道、车道内倒车等违法行为抓拍；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（21）支持闯红灯抓拍功能，在天气晴朗无雾，号牌无遮挡、无污损，白天环境光照度不低于200lx，晚上辅助光照度不高于30lx的条件下测试，白天和晚上闯红灯的捕获率均≥99%；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13种车身颜色识别，包括黑、白、灰、红、绿、蓝、黄、粉、紫、棕、青、金、橙；在天气晴朗无雾，号牌无遮挡、无污损，白天环境光照度不低于200lx，晚上辅助光照度不高于30lx的条件下测试，白天识别准确率≥99%，晚上识别准确率≥97%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（23）支持≥250种车标识别，在天气晴朗无雾，号牌无遮挡、无污损，白天环境光照度不低于200lx，晚上辅助光照度不高于30lx的条件下测试，白天准确率≥99%，晚上准确率≥99%；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（24）支持黑名单功能，在黑名单模式中，悬挂添加在黑名单中车牌的车辆通过监控区域应触发报警并进行图片抓拍，黑名单中可添加≥20000个车牌。</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（25）支持对主程序和智能算法分别进行升级，可对多台设备同时进行批量升级，升级过程中视频画面不应丢失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（26）支持对设定区域内的天窗开启露出人部分身体、未交替让行、双车挤入单车道等行为进行图片抓拍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（27）支持识别车头≥6600种车辆子品 牌，车尾≥3600种车辆子品 牌，在天气晴朗无雾，号牌无遮挡、无污损，白天环境光照度不低于200lx，晚上辅助光照度不高于30lx的条件下测试，白天识别准确率均98%，晚上的识别准确率均≥96%</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（28）支持通过手机APP对视频画面进行预览</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（29）可显示设定区域内各像素点的RGB分量值</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（30）支持对设定区域内的机动车、非机动车是否悬挂车牌的情况进行检测并显示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（31）样机抓拍JPEG格式的图片后，可查看抓拍图片的压缩因子</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（32）支持越线停车、不礼让非机动车/行人、左转不让直行、右转不让左转、掉头不让直行等行为抓拍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（33）支持三轮车/二轮车载人、非机动车逆行、摩托车/非机动车不带头盔等功能检测</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（34）支持非机动车不戴头盔，载人，逆行，闯红灯，越线停车等检测抓拍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（35）支持摩托车闯红灯、不按导向、闯禁令等违法行抓拍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（36）支持多拍过滤功能，可设置多拍过滤时间段为0-320000ms，在此时间段内多次经过的车辆只抓拍一次</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（37）支持安全接入功能，开启此功能后，设备只能被管理平台控制，不能通过其他方式登录或者控制设备</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（38）支持连续闯红灯事件检测功能，对某一时间段内连续闯红灯事件进行检测，并自动上传报警信息</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（39）设备护罩应支持后端开启模式</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（40）电源引入端子与外壳裸露金属部件之间的绝缘电阻在正常大气条件下应≥100MΩ，湿热条件下应≥10MΩ 41.高低温试验应满足﹣45℃～90℃；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（41）外壳防护等级应≥IP66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 900万卡口抓拍单元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（1）包含高清一体化嵌入式摄像机、高清镜头、室外防护罩、相机内置网络信号防雷器、电源适配器等；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（2）图像传感器：采用≥1英寸GMOS；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（3）设备应采用深度学习芯片；</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（4）支持主码流同时输出≥30路4096×2160、2Mbps的25帧/s图像以提供客户端浏览；</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（5）最大图像尺寸：≥4096×2160像素；字符叠加时最大可支持4096×2800；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（6）视频帧率：在1～25fps可调；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（7）分辨力：彩色≥2100TVL（分辨率为4096×2160，码率为8Mbps，帧率为25帧/s）；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（8）支持数字降噪、信噪比、宽动态、快门自适应等功能；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（9）支持流量整形、曝光补偿、OSD颜色自定义、自动开启补光设备、信息发布、断电保护、区域曝光、IP地址过滤等功能；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（10）支持透雾、强光抑制、图像增强、区域裁剪、坏点校正、视频防抖、顺逆光亮度补偿等功能；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（11）支持有雾情况能见度检测，能见度等级：无雾，薄雾，大雾和浓雾</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（12）支持驾驶员打电话、抽烟、未系安全带检测，支持车前窗香水盒、遮阳板等检测功能；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（13）支持在25%丢包率的网络环境下，正常显示监控画面 护罩玻璃透光率≥99%；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（14）视频压缩支持H.265、H.264、M-JPEG；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（15）支持机动车、二轮车（摩托车、自行车、电动二轮车）、三轮车和行人分类检测；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（16）支持车辆捕获抓拍功能，在天气晴朗无雾，号牌无遮挡、无污损，白天环境光照度不低于200lx，晚上辅助光照度不高于30lx的条件下测试，白天和晚上的捕获率均≥99%；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（17）支持二轮车和行人捕获抓拍功能，在天气晴朗无雾，号牌无遮挡、无污损，白天环境光照度不低于200lx，晚上辅助光照度不高于30lx的条件下测试，白天和晚上的捕获率均≥99%；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（18）支持车牌识别功能，在天气晴朗无雾，号牌无遮挡、无污损，白天环境光照度不低于200lx，晚上辅助光照度不高于30lx的条件下测试，白天和晚上的识别准确率均≥99%；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（19）支持异常车牌检测功能，可对故意遮挡及污损车牌进行判断和识别；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（20）支持黄标车、危险品车、超速、低速、压线、逆行、占用应急车道、黄网格违停、加塞等检测功能；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（21）支持驾驶员打手机检测，夜间补光正常情况下，白天和晚上的检出率和识别准确率均≥95%；</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对违法变道行驶的车辆进行违法检测抓拍，在天气晴朗无雾，号牌无遮挡、无污损，白天环境光照度不低于200lx，晚上辅助光照度不高于30lx的条件下测试，白天和晚上的捕获率准确均≥98%，白天和晚上的识别准确率均≥98%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支持≥13种车身颜色识别，包括黑、白、灰、红、绿、蓝、黄、粉、紫、棕、青、金、橙；在天气晴朗无雾，号牌无遮挡、无污损，白天环境光照度不低于200lx，晚上辅助光照度不高于30lx的条件下测试，白天识别准确率≥99%，晚上识别准确率≥97%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（25）支持不少于250种车标识别，在天气晴朗无雾，号牌无遮挡、无污损，白天环境光照度不低于200lx，晚上辅助光照度不高于30lx的条件下测试，白天准确率≥99%，晚上准确率≥99%；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（26）支持黑名单功能，在黑名单模式中，悬挂添加在黑名单中车牌的车辆通过监控区域应触发报警并进行图片抓拍，黑名单中可添加≥20000个车牌</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（27）可对主程序和智能算法分别进行升级，可对多台设备同时进行批量升级，升级过程中视频画面不应丢失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（28）可对设定区域内的天窗开启露出人部分身体、未交替让行、双车挤入单车道等行为进行图片抓拍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（29）支持识别车头≥6600种车辆子品 牌，车尾≥3600种车辆子品 牌，在天气晴朗无雾，号牌无遮挡、无污损，白天环境光照度不低于200lx，晚上辅助光照度不高于30lx的条件下测试，白天识别准确率均98%，晚上的识别准确率均≥96%</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（30）可显示设定区域内各像素点的RGB分量值</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（31）支持对设定区域内的机动车、非机动车是否悬挂车牌的情况进行检测并显示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（32）样机抓拍JPEG格式的图片后，可查看抓拍图片的压缩因子</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（33）支持民用车牌，警用车牌，军牌和武警车牌及2002式新车民用车双行尾牌、使馆车牌、农用车牌；民航、SPIA等特殊车牌；</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（34）支持检测机动车是否打开远光灯功能；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（35）支持人体着装颜色、运动方向、年龄段、性别、是否戴眼镜、是否骑车、是否背包、是否拎东西识别；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（36）支持非机动车占用机动车道违法抓拍；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（37）支持根据黄牌、蓝牌、危化品车辆分别设置限速值</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（38）支持车前窗挂坠、年检标识、抽烟、驾驶员人脸识别、驾驶室人脸抠图、遮阳板识别等检测功能；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（39）支持三轮车/二轮车载人、非机动车逆行、摩托车/非机动车不带头盔等功能检测</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（40）支持非机动车/行人人体和人脸扣取上传；</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（41）支持人体特征识别，包括上下身颜色、年龄段、性别、戴眼镜、戴帽子、戴口罩、是否骑车、背包、拎东西、衣袖（长袖、短袖）、裙裤、骑车、朝向、骑车人数、发型（长发、短发）；</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（42）支持机动车闯导流鱼腹线违章抓拍；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（43）支持车辆抓拍位置到立杆架设距离叠加功能；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（44）支持smart JPEG编码，能够有效减小抓拍图片大小，压缩比0-100可设置，压缩区域个数1-6可配置；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45）支持≥23种车型检测，包括小型客车、中型客车、大型客车、微型轿车、小型轿车、两厢轿车、三厢轿车、轿跑、SUV、MPV、面包车、皮卡车、货车、小货车、二轮车、三轮车、集装箱卡车、微卡/栏板车、渣土车、吊车/工程车、油罐车、混凝土搅拌车、平板拖车，准确率≥99%，支持录像文件篡改提升功能，当录像文件被篡改后，可通过专用播放软件提出提示信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（46）支持通过浏览器设置场景模式为普通/背光/顺光/低照度/自定义1/自定义2；支持≥4个场景模式，并可按时间段进行自动切换</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（47）支持专业场景模式设置功能，包括普通道路、高速路、园区、隧道、人车混行、高速票停卡口多种道路场景抓拍模式</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（48）支持多拍过滤功能，可设置多拍过滤时间段为0-320000ms，在此时间段内多次经过的车辆只抓拍一次</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（49）支持安全接入功能，开启此功能后，设备只能被管理平台控制，不能通过其他方式登录或者控制设备</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（50）支持主副驾驶人脸抠图功能，单车道场景下，主副驾驶员人脸抠图像素点≥120像素点×120像素点</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（51）支持设置多帧识别功能开启/关闭</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（52）电源引入端子与外壳裸露金属部件之间的绝缘电阻在正常大气条件下应≥100MΩ，湿热条件下应≥10MΩ；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（53）电源插头与电源引入端与外壳裸露金属部件之间，应能承受1.5KV交流电压，历时1min的抗电强度试验，应无击穿和飞弧现象；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（54）高低温试验应满足﹣45℃～90℃；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（55）外壳防护等级应≥1IP66 ；</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爆闪灯</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（1）光源类型：大功率LED，单车道环境补光；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（2）LED灯珠数量：≥16颗；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（3）发光角度：10°；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（4）最佳补光距离：16米-25米；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（5）触发方式：电平量触发(可选配开关量触发)；</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（6）响应时间：&lt;20us；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（7）日夜功能：支持环境亮度监测,低照度下自动开启(可选配)；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（8）触发信号电平：4V-6V；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（9）防护等级：≥IP67；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（10）外形尺寸：128mm(W)×216mm(H)×159mm(D)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（11）整体重量：2.72Kg；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（12）功率：最大功率36W(实际功率与控制方式有关)；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（13）色温：5000K-7000K</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智能交通平台扩容</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（1）对已建设的交警大队智能交通平台进行前端接入扩容，实现本项目新增前端设备的接入管理、存储管理、图片管理等功能。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（2）系统支持已建前端和新建前端的统一管理，实现在平台客户端对所有的前端设备进行系统配置、视频预览、过程图片预览等功能。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（3）系统支持新建前端摄像机可进行码流直存，可直接将视频流和过车图片流直存到云存储服务器中，无需新增流媒体服务器。</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84路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云存储扩容</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（1）单设备应配置≥64位多核处理器，≥4GB内存，内存支持扩展到≥64GB；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（2）单设备应标配≥2个千兆网口，可增扩≥4个万兆口或≥8个光纤接口或增配≥4个HDMI接口或≥2个SAS3.0接口；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（3）可扩展≥2个SSD固态硬盘；</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（4）应支持FCSAN、IPSAN、NAS存储功能；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（5）可接入2T/3T/4T/6T/8T/10TSATA磁盘，支持磁盘交错启动和漫游，并支持在线热插拔；</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（6）可接入硬盘≥36块，支持SATA和SAS混插，并支持≥12级扩展柜级联扩展；</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（8）支持云存储系统一键部署，一键部署微视云、标准云环境，一键部署包含组建集群、创建域、自动创建资源池等</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（9）一套云存储系统可对外提供多种类型数据混合存储，同时支持分布式流式存储，分布式对象存储、分布式文件存储、分布式块存储。</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（10）支持前端设备和存储设备之间直接存储，采用块级存储，不生成文件（即不使用文件系统），无碎片。</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（11）支持聚合下载，即并发从多台存储节点中下载某一个时间段录像、图片、智能结构化数据、文件。</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（12）支持整个集群维度的修改IP操作，其中包含硬件资源IP和虚拟IP的修改；支持单服务的网闸配置，支持Port段配置；支持集群内服务配置数据清空操作；</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（13）统一命名空间，将所有物理存储资源虚拟化成统一的存储空间，以唯一业务IP地址对外提供存储服务。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（14）数据分散存储到存储节点上，数据呈离散式分布。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（15）支持按照设备可用容量实现负载均衡，各存储节点上存储的数据量在稳 定状态下保持均衡，差距小于5%；</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（16）云存储支持双控设备双active的工作方式，存储任务和压力平均分摊到两个控制器上面</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（17）支持按照接入任务数实现自动负载均衡，支持前端设备自动分配到存储节点。各节点间读写任务数差距±1。</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（18）视音频流能直接在云系统上进行存储，支持采用流媒体直存转发方式，由云存储服务器本机直接对流媒体进行存储转发，无需配置存储转发/流媒体服务器。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（19）支持按毫秒级自定义时间段进行视频精准检索、回放、下载，回放支持豪秒级定位回放、关键帧回放、回放暂停、倍速快放、慢放等。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（20）云存储支持补录（包括历史流计划补录、手动补录、云间历史流回传等）流控，支持针对不同的通道设置不同的流控速度。</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（21）业务平台支持和省视频监控共享平台通过GB/T28181-2016协议对接，支持业务平台向共享平台订阅设备信息，共享平台反馈设备信息给业务平台。</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（22）支持回收站功能， 防止数据误删， 支持回收时间配置。</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（23）支持录像隐藏功能，对选定视频片段做标签并设定周期后，在周期内录像隐藏不可见且不被覆盖。</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（24）支持录像正放切换为倒放，及倒放切换为正放；支持正放1/16、1/8、1/4、1/2、2、4、8、16、32、64、128、256倍速切换为倒放的对应倍速。</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（25）支持采用RESTful协议直存图片到云存储系统中。支持图片写入后1s内回显及下载。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（26）支持图片文件以缩略图和裁剪图的形式下载；支持图片按URL单张下载；支持图片批量下载；图片按URL地址下载或按时间段批量下载时，均支持按压缩比例、按缩放比例、按区域（坐标、指 定宽高）进行裁剪、按指 定宽高下载；支持对图片指 定区域加马赛克处理。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（27）图片下载时支持对图片进行旋转；</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（28）支持自定义时间段锁定图片，锁定时间可设置，可执行手动解锁或锁定时间到期后自动执行解锁，在锁定时间段内，图片不会被覆盖。</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（29）支持图片数据在SSD盘中存储，实现热数据从SSD中高速提取，实现即存即取，且图片数据可设置按周期或容量进行覆盖。</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（30）支持存储节点及硬盘即插即用，原数据无需迁移，无需任何配置，一分钟内完成扩容。支持在线增加和移除存储节点、硬盘，扩容后新写入的数据可自动被分配到新的节点上，支持自动负载均衡。</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（31）由2台管理节点构成的HA（主备模式）集群可在线无缝扩充为3台；并支持3台管理节点集群在线扩充为5 台，系统业务均不受影响。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（32）云存储系统采用模块化结构，业务系统可根据需要对配额进行调整，而不需要管理新增空间。</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（33）支持云存储系统一键部署，一键部署微视云、标准云环境，一键部署包含组建集群、创建域、自动创建资源池等。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（34）支持时区设置，支持客户端与云存储设备在不同的时区，录像时间段不受异地时区影响。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（35）一个控制器内支持双系统，当主系统异常时，能从备系统启动；支持控制器热插拔。</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（36）支持业务数据的存储周期管理。可按策略对业务数据进行自动清理，存储周期可以按容量或时间方式进行配置。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（37）云存储系统支持分域管理，当单个域中设备接入到同一个交换机时，可实现数据流分域控制管理，域内业务不受其他域影响。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（38）支持同一个资源池中创建不同的存储级别，可根据业务类别不同分别创建视频池、图片池、通用池、文件池；</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（39）支持对多套云同时进行管理，支持对添加多套云、修改、查看多套云的信息。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（40）支持两朵云的数据灾备，可通过同一图片、对象的URL对主、备云上的数据进行访问，客户端无感。</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（41）支持云存储容量自动检测功能，支持当前云存储容量不足时视频录像可根据策略自动切换到其它云存储中进行存储。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（42）存储运维精细化：支持在运维监测功能页面显示存储硬盘的健康状态，便于存储硬盘的生命周期管理。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（43）支持对管理节点和存储节点的硬件信息、云服务进程、服务软件版本、磁盘信息、系统容量进行实时监控，并对存储节点的风扇、温度、块设备信息进行实时监控。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（44）支持通过统一运维一键式部署整个云存储系统，一键升级、格式化系统；支持设备自动发现，支持无需登录设备，即可远程配置IP地址；支持单服务、服务集群一键升级，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（45）支持升级包的hash签名加密认证。</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（46）设备具备与现有交警大队云存储无缝对接，实现存储集群部署，可通过已建设控制节点实现负载均衡、在线扩容、冗余备份等功能。</w:t>
            </w:r>
            <w:r>
              <w:rPr>
                <w:rStyle w:val="9"/>
                <w:rFonts w:hint="eastAsia" w:ascii="宋体" w:hAnsi="宋体" w:eastAsia="宋体" w:cs="宋体"/>
                <w:b/>
              </w:rPr>
              <w:t>（投标人须针对此项要求提供专项承诺函，加盖投标人公章佐证，同时还须提供系统对接方案。）</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服务器单元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（1）2U双路标准机架式服务器；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（2）CPU：1颗 HG7163(≥16核，≥2.4GHz)；</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（3）内存≥2*32G DDR4，≥16根内存插槽，支持扩展至≥2TB内存；</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（4）硬盘：≥2块≥600G，10K，2.5英寸SAS盘，可支持≥12块3.5寸(兼容2.5寸)热插拔SAS/SATA硬盘；</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（5）可选支持≥2块后置2.5寸热插拔SAS/SATA硬盘；</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（6）可选支持≥4块NVME U.2热插拔硬盘；</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（7）支持≥1个M.2插槽；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（8）支持≥1个TF插槽；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（9）阵列卡：标配SAS_HBA卡，支持RAID0/1/10；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（10）可选RAID_2G卡，支持0/1/5/6/10/50/60，可选支持断电保护；</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（11）PCIE扩展：可支持≥6个PCIE扩展插槽；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（12）网口：≥4个千兆电口；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（13）其他接口：≥1个千兆RJ-45管理接口，≥4个USB 3.0接口，≥2个位于机箱后部，≥2个位于机箱前部；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（14）≥1个VGA口，位于机箱后部；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（15）电源：标配550W（1+1）白金冗余电源；</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（16）支持200-240V 50/60Hz AC/HVDC</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流量检测单元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（1）一体化，包含摄像机、高清镜头、室外防护罩、风扇、相机内置防雷模块、电源适配器、安装万向节等；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（2）传感器类型：≥1/1.8"ProgressiveScanCMOS；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（3）分辨率可设置为≥1920*1080，帧率≥25fps，且码率4Mbps时网络延时≤80ms；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（4）宽动态范围可达106dB；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（5）最低照度试验，彩色：≤0.0003lx（AGCON、RJ45输出、应能分辨反射式视频矩阵测试卡中彩色色块）黑白：≤0.0001x（AGCON、RJ45输出、应能分辨反射式视频矩阵测试卡中圆形轮廓）。</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（6）支持IP地址过滤功能，黑白名单最多可添加≥200个IP地址；</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（7）支持对车辆违法逆行的行为抓拍，图片模式应符合《GA_T832_2014道路交通安全违法行为图像取证技术规范》中模的规定；</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（8）支持违法停车抓拍功能；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（9）支持无线终端信息采集功能；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（10）具有人脸侦测和抓拍、绊线入侵、区域入侵、徘徊检测、快速移动侦测、物品遗留、物品转移、快速移动等多种行为检测，支持按配置条件过滤。支持多种触发规则联动动作。</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（11）在25%的网络丢包环境下可正常显示实时视频</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（12）可支持：TCP/IP,HTTP,HTTPS,FTP,DNS,RTP,RTSP,RTCP,NTP,UpnP,IPv6；ICMP、DHCP、PPPoE、SMTP、SNMP、IGMP、802.1x等网络协议，且支持无线拨号（提供具有公安部授权的第三方机构出具的检测报告复印件佐证该项要求</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（13）摄像机支持内部网络交换功能，支持将串口设备和指 定IP网络设备进行数据透明传输的功能。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（14）在静止场景下，相同图像质量时，样机开启Smart264功能后，码流可节约1/3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（15）支持分辨率1920×1080，全分辨率下视频帧率1-50fps可调。</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（16）可支持≥16行字符叠加，字体对齐方式和叠加位置可设，需具有图片叠加到视频画面功能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（17）设备可配合外接补光灯控制使用，支持自动模式配置（时控，光控），视频补光；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（18）支持无线接入设备，可通过wifi无线接入设备。</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（19）支持基于场景环境自适应功能，具备昼夜光线及环境背景变化的适应能力，且能在逆光、强光等光照条件下清晰成像；</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（20）支持主码流同时输出≥30路1920*1080、2Mbps的25帧/s图像以提供客户端浏览；</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（21）在IE浏览器下，具有可通过框选放大该监控区域的视频图像功能。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（22）支持自定义配置车道方向参数，并可按照时段配置不同车道方向。；</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（23）支持时段车辆信息的热度图功能，并支持热度图导出。 具有强光抑制设置；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（24）通过客户端可恢复设备出厂设置，设备掉电或重新启动后，应能保存掉电前或重启前的配置信息；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（25）支持按机动车类型区分大货车、大客车、中巴车、面包车、小轿车、小货车、SUV7种车型；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（26）检测范围为车流量方向16m-225m；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（27）工作温度－40℃～80℃；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（28）电源电压在AC55V~310V范围内变化时，设备能正常工作能正常工作。</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网络转IO输出设备</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（1）网络转IO输出设备，含电源。</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悬臂杆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（1）L型悬臂杆；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（2）电子警察标杆，悬臂L=6m，钢管厚度6mm；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（3）钢管立柱L=6.5m，D=340mm，d=280mm，壁厚8mm；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悬臂杆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（1）L型悬臂杆；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（2）电子警察标杆，悬臂L=12m，钢管厚度6mm；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（3）钢管立柱L=6.5m，D=340mm，d=280mm，壁厚8mm；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悬臂杆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（1）L型悬臂杆；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（2）电子警察标杆，悬臂L=14m，钢管厚度6mm；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（3）钢管立柱L=6.5m，D=340mm，d=280mm，壁厚8mm；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圆柱杆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钢管立柱L=6.5m，D=340mm，d=280mm，壁厚8mm；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控制大机箱</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点位控制和通信中心机箱，每个点位配置一个，内含空气开关、电源、电源防雷模块和防盗报警模块，不含车检器。</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管内配线</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（1）性能符合国家标准；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（2）中心PE十字骨架，最大程度上保证安装过程中不破坏双绞线绞距；</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（3）绝缘层材料为高密度聚乙烯（HDPE），外护套材料为PVC。</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（4）绝缘电阻最小值（MΩ/km）：5000。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（5）单根导体直流电阻符合YD/T 1019-2013《数字通信用聚烯烃绝缘水平对绞电缆》标准。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（6）产品介电强度符合YD/T 1019-2013《数字通信用聚烯烃绝缘水平对绞电缆》标准。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（7）物理特性：传输带宽大于250MHz；成品电缆的导体直径符合YD/T 1019-2013标准。</w:t>
            </w:r>
          </w:p>
          <w:p>
            <w:pPr>
              <w:pStyle w:val="6"/>
              <w:keepNext w:val="0"/>
              <w:keepLines w:val="0"/>
              <w:widowControl/>
              <w:suppressLineNumbers w:val="0"/>
              <w:spacing w:before="0" w:beforeAutospacing="0" w:after="150" w:afterAutospacing="0"/>
              <w:ind w:left="0" w:right="0"/>
              <w:jc w:val="both"/>
            </w:pPr>
            <w:r>
              <w:rPr>
                <w:rStyle w:val="9"/>
                <w:rFonts w:hint="eastAsia" w:ascii="宋体" w:hAnsi="宋体" w:eastAsia="宋体" w:cs="宋体"/>
                <w:b/>
                <w:sz w:val="24"/>
                <w:szCs w:val="24"/>
              </w:rPr>
              <w:t>（8）</w:t>
            </w:r>
            <w:r>
              <w:rPr>
                <w:rStyle w:val="9"/>
                <w:rFonts w:hint="eastAsia" w:ascii="宋体" w:hAnsi="宋体" w:eastAsia="宋体" w:cs="宋体"/>
                <w:b/>
              </w:rPr>
              <w:t>保证整个布线系统的可靠性及稳 定性，不会因施为工安装以及增加中继连接点对传输通道的性能产生影响，满足严格的应用要求，</w:t>
            </w:r>
            <w:r>
              <w:rPr>
                <w:rStyle w:val="9"/>
                <w:rFonts w:hint="eastAsia" w:ascii="宋体" w:hAnsi="宋体" w:eastAsia="宋体" w:cs="宋体"/>
                <w:b/>
                <w:sz w:val="24"/>
                <w:szCs w:val="24"/>
              </w:rPr>
              <w:t>须提供第三方检测机构按照YD/T 1019-2013《数字通信用聚烯烃绝缘水平对绞电缆》为检验依据，通过四连接（100米）及六连接（100米、50米）的信道链路检测的检测报告。</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管内配线</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RVSP2*2.5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人（手）孔井</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（1）手孔井（内尺寸0.7*0.7m，H=1.2m)；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（2）100mm厚中粗砂垫层；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（3）120mm厚手摆块石灌砂；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（4）M5水泥砂浆砌筑MU10粉煤灰砖；</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（5）10mm厚内壁1:2水泥砂浆抹面；</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（6）700*700mm轻型下沉式球墨铸铁井盖、井座</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交通智能系统调试</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交通智能系统调试(摄像机系统、闪光灯、联机、车辆检测系统)</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相机电源线</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相机电源线RVV3*2.5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高清高速球吊装支架</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铝合金定制支架</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杆件基础</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（1）200mm厚砂砾垫层；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（2）C25混凝土基础；</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（3）基础预埋件和钢筋制安；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（4）热镀锌防腐处理；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（5）镀锌角钢接地极 50×5 2.5m；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（6）镀锌扁钢 </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拆除基层</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拆除200mm厚级配碎石垫层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990平方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拆除路面</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（1）拆除混凝土机动车型道；</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（2）30cm厚弯拉5.0Mpa水泥混凝土；</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（3）1cm厚沥青表面处治封层；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拆除人行道</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（1）拆除人行道；</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（2）15cm厚透水水泥混凝土；</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 1530平方米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 电缆保护管</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（1）镀锌钢管埋地敷设；</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（2）SC100；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电缆保护管</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交通专用PVC保护管；</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封层</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1cm稀浆封层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接地装置调试</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接地系统调试(接地网)</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路面恢复</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（1）8cm厚AC-25C粗粒式沥青混凝土（AH-70抗车辙剂）；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（2）沥青砼运输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（3）运距15km；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人行道块料铺设</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（1）环保型透水砖（20*10*8cm)；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（2）3cm厚干性水泥砂浆；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（3）15cm厚透水水泥混凝土；</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1530平方米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绿化带恢复</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含绿植栽种、养护</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5000棵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泥稳 定碎（砾）石</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30cm厚5%水泥稳定碎石层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碎石</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20cm厚级配碎石层，E1≥200Mpa；</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填方</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回填砂</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100立 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渣土废弃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渣土外运，运距5km；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挖沟槽（基坑）土方</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（1）土壤类别:三类土；</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（2）挖土深度:2m以内</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红灯信号检测器</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（1）支持红灯信号输入、识别；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（2）输入信号电压范围AC145V~AC300V 3.温度范围：-40℃~+80℃ 硬件接口：≥16个红绿灯信号输入、≥ 1个RS232 、≥2个RS485、≥1个CAN；</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施工安装</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除设备安装调试以外的吊装、加固、赔补及光纤熔接等；</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传输设备</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含光纤收发器、交换机；</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高空球机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400万一体化网络高清激光云台摄像机：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（1）传感器类型:1/1.8" Progressive Scan CMOS；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（2）有效像素:≥400万像素；</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（3）最低照度:彩色：0.0005Lux @ (F1.8，AGC ON)；黑白：0.0001Lux @(F1.8，AGC ON)；</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（4）焦距:10-550mm；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（5）主码流分辨率:50Hz:25fps(2560× 1440) ;60Hz:30fps(2560× 1440)；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（6）视频压缩:H.265/H.264/MJPEG；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（7）运动范围:水平0-360°连续旋转 垂直+45°～ -45°；</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（8）运动速度:水平0.01°～30°/s,垂直0.01°～15°/s；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（9）Smart图像增强:≥120dB超宽动态、光学透雾、强光抑制、电子防抖、背光补偿、区域曝光、区域聚焦；</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（10）报警:≥7路报警输入；≥2路报警输出；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（11）报警联动:支持设置报警联动预置点/巡航扫描/花样扫描/SD卡录像/报警输出/邮件/上传中心/上传FTP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（12）网络接口:内置RJ45网口，支持10M/100M网络数据， 模拟输出:BNC头；</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（13）音频:≥1路音频输入；≥1路音频输出；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（14）具有RS485接口；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（15）SD卡:内置 Micro SD(即TF卡)/Micro SDXC卡插槽（最大支持256G），可支持手动录像/报警录像，支持断网续传,录像不丢失；NAS；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（16）供电和功耗:DC48V 270W max；</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（17）工作温度和湿度:-45℃-65℃， 湿度小于95%；</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（18）防护等级:≥IP66；</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（19）支持人脸抓拍；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（20）激光：≥3KM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高空支架</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铝合金定制专用支架，镀锌；</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高空通信箱</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点位控制和通信中心机箱，内含空气开关，电源，电源防雷模块及防盗报警模块。</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接入交换机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（1）固定可用千兆光口≥24个（8Combo），万兆光端口≥4，交换容量≥3.36Tbps，包转发速率≥96Mpps；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（2）可支持模块化冗余电源，本次实际配置单电源；</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（3）支持OpenFlow 1.3标准；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（4）支持三层功能，支持IPv4 静态路由、RIPv1/v2、OSPFV1/V2/V3，支持IPv6 静态路由、RIPng；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（5）支持LACP，支持手工聚合，每个聚合组最大支持≥8个端口；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（6）VLAN（可以划分VLAN数，不是VLAN ID数）表项≥4K；支持基于端口、MAC的VLAN，支持Guest VLAN；支持GVRP；</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（7）支持端口镜像，支持远程端口镜像RSPAN，支持流镜像；</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（8）支持DHCP Client，支持DHCP Relay，支持DHCP Snooping，支持DHCP Snooping Option82；</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（9）支持IGMP Snooping、支持快速离开，支持MLD Snooping，支持组播VLAN；</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（10）每个端口提供了≥4个优先级队列，支持WRR/SP/SP+WRR等调度方式，支持入方向和出方向的双向端口限速（Ingress and Egress）；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（11）支持DHCP Snooping、DHCP Client、DHCP Snooping Option82；</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（12）支持L2～L4包过滤功能，可以匹配报文前80个字节，提供基于源MAC地址、目的MAC地址、源IP地址、目的IP地址、IP协议类型、TCP/UDP端口、 TCP/UDP端口范围、VLAN等定义ACL；支持基于端口、VLAN下发ACL；支持基于时间段（Time Range）的ACL；支持基于硬件的IPv6 ACL和QoS</w:t>
            </w:r>
          </w:p>
          <w:p>
            <w:pPr>
              <w:pStyle w:val="6"/>
              <w:keepNext w:val="0"/>
              <w:keepLines w:val="0"/>
              <w:widowControl/>
              <w:suppressLineNumbers w:val="0"/>
              <w:spacing w:before="0" w:beforeAutospacing="0" w:after="150" w:afterAutospacing="0"/>
              <w:ind w:left="0" w:right="0"/>
              <w:jc w:val="both"/>
            </w:pPr>
            <w:r>
              <w:rPr>
                <w:rStyle w:val="9"/>
                <w:rFonts w:hint="eastAsia" w:ascii="宋体" w:hAnsi="宋体" w:eastAsia="宋体" w:cs="宋体"/>
                <w:b/>
                <w:sz w:val="24"/>
                <w:szCs w:val="24"/>
              </w:rPr>
              <w:t>（13）</w:t>
            </w:r>
            <w:r>
              <w:rPr>
                <w:rStyle w:val="9"/>
                <w:rFonts w:hint="eastAsia" w:ascii="宋体" w:hAnsi="宋体" w:eastAsia="宋体" w:cs="宋体"/>
                <w:b/>
              </w:rPr>
              <w:t>提供工信部IPv4/IPv6 三层设备进网许可证复印件,且必须提供Ipv4/IPv6入网测试报告；</w:t>
            </w: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为响应国家节能减排政策，交换机支持高效节能以太网（EEE），端口如果在连续一段时间之内空闲，系统会将该端口设置为节能模式，当有报文收发时再通过定时发送的监听码流唤醒端口恢复业务，达到节能的效果。</w:t>
            </w:r>
            <w:r>
              <w:rPr>
                <w:rStyle w:val="9"/>
                <w:rFonts w:hint="eastAsia" w:ascii="宋体" w:hAnsi="宋体" w:eastAsia="宋体" w:cs="宋体"/>
                <w:b/>
              </w:rPr>
              <w:t>请提供官网相应功能截图</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（15）支持专门针对CPU的保护机制，能够针对发往CPU处理的各种报文进行流量控制和优先级处理，保护交换机在各种环境下稳 定工作，</w:t>
            </w:r>
            <w:r>
              <w:rPr>
                <w:rStyle w:val="9"/>
                <w:rFonts w:hint="eastAsia" w:ascii="宋体" w:hAnsi="宋体" w:eastAsia="宋体" w:cs="宋体"/>
                <w:b/>
              </w:rPr>
              <w:t>（须提供第三方机构出具的检测报告复印件佐证该项要求）；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（16）要求所投产品支持软件定义网络SDN，符合OpenFlow 1.3协议标准，支持SDN和SDN Ready功能。</w:t>
            </w:r>
            <w:r>
              <w:rPr>
                <w:rStyle w:val="9"/>
                <w:rFonts w:hint="eastAsia" w:ascii="宋体" w:hAnsi="宋体" w:eastAsia="宋体" w:cs="宋体"/>
                <w:b/>
              </w:rPr>
              <w:t>（须提供第三方机构出具的检测报告复印件佐证该项要求）；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（17）支持云管理功能，方便随时随地进行设备运维，提供所投平台软件产品第三方机构出具登记测试报告。</w:t>
            </w:r>
          </w:p>
          <w:p>
            <w:pPr>
              <w:pStyle w:val="6"/>
              <w:keepNext w:val="0"/>
              <w:keepLines w:val="0"/>
              <w:widowControl/>
              <w:suppressLineNumbers w:val="0"/>
              <w:spacing w:before="0" w:beforeAutospacing="0" w:after="150" w:afterAutospacing="0"/>
              <w:ind w:left="0" w:right="0"/>
              <w:jc w:val="both"/>
            </w:pPr>
            <w:r>
              <w:rPr>
                <w:rStyle w:val="9"/>
                <w:rFonts w:hint="eastAsia" w:ascii="宋体" w:hAnsi="宋体" w:eastAsia="宋体" w:cs="宋体"/>
                <w:b/>
                <w:sz w:val="24"/>
                <w:szCs w:val="24"/>
              </w:rPr>
              <w:t>（18）投标人须承诺提供原厂售后质量保障服务。（提供承诺函并加盖公章。）</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6505" w:type="dxa"/>
            <w:gridSpan w:val="4"/>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品目号2：交通管理设备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安装标志牌</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(1)限速禁令标志；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(2)圆形80cm铝合金板，厚2mm；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(3)IV类反光膜；</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安装标志牌</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(1)禁止停车禁令标志；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(2)圆形80cm铝合金板，厚2mm；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(3)IV类反光膜；</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安装标志牌</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(1)人行横道标志；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(2)方形80cm铝合金板，厚2mm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(3)IV类反光膜</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安装标志牌</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(1)注意儿童+辅助标志标志；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(2)方形80cm铝合金板，厚2mm；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(3)IV类反光膜；</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标杆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(1)单悬臂标杆Φ219*8*6700mm；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(2)C25钢筋砼基础；</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(3)挖基坑、回填；</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280根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标线</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(1)热熔标线；</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(2)厚度2mm；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不分类型</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减速带</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高强度橡胶，规格：500*350*50mm含橡胶定位器；</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清除标线</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（1）工艺:清除标线范围；</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（2）清除方法:高压射流设备清除路面标线；</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◆全景监控球机（核心产品）</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（1）支持深度学习算法，提供精准的人车分类侦测、报警、联动跟踪；</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（2）支持声光警戒：报警联动暖光闪烁报警和声音报警.声音内容可选；</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（3）支持区域入侵侦测、越界侦测、进入区域侦测和离开区域侦等智能侦测并联动跟踪；</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（4）内置扬声器：功率5w。30m≥60dB；</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（5）支持混合补光，采用高效补光阵列，低功耗，暖光补光≥30m、红外补光≥150m；</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（6）图像传感器:1/2.8＂ progressive scan CMOS；</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（7）最低照度:彩色：0.002Lux @ (F1.2，AGC ON)；黑白：0.0001Lux @(F1.2，AGC ON) ；0 Lux with IR；</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（8）分辨率及帧率:主码流 50Hz:25fps (1920×1080);60Hz: 30fps(1920×1080)；</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（9）视频压缩:H.265/H.264/MJPEG，H.264支持Baseline Profile/Main Profile/High Profile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（10）可见光照射距离:≥30米；</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（11）红外照射距离:≥150米；</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（12）.焦距:4.8 - 110 mm, ≥23倍光学；</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（13）水平视角:58.4-2.8度(广角-望远)；</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（14）警戒功能:支持区域入侵、越界侦测、进入区域侦测；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（15）离开区域侦测报警联动可见光闪烁警戒及声音警戒；</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（16）Smart图像增强:≥120dB超宽动态、透雾、强光抑制、电子防抖、Smart IR；</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（17）水平及垂直范围:水平360°；垂直-15°-90°（自动翻转）；</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（18）水平速度:水平键控速度：0.1°-160°/s,速度可设;水平预置点速度：≥240°/s；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（19）垂直速度:垂直键控速度：0.1°-120°/s,速度可设;垂直预置点速度：≥200°/s；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（20）支持萤石协议接入；</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（21）电源接口:AC24V；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（22）网络接口:RJ45网口，自适应10M/100M网络数据 音频输入/输出:≥1路音频输入；≥1路音频输出 报警输入/输出:≥2路报警输入；≥1路报警输出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（23）SD卡接口:内置Micro SD卡插槽，支持Micro SD(即TF卡)/Micro SDHC/Micro SDXC卡（支持≥256G）；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（24）功耗:40W max（其中红外灯15W max）；</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（25）工作温度和湿度:-30℃-65℃；湿度小于90%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（26）防护等级:≥IP66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不礼让行人抓拍单元</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（1）包含高清一体化嵌入式摄像机、高清镜头、室外防护罩、相机内置网络信号防雷器、电源适配器等；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（2）图像传感器：采用≥1英寸GMOS；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（3）支持主码流同时输出≥30路4096×2160、2Mbps的25帧/s图像以提供客户端浏览；</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（4）最大图像尺寸：≥4096×2160像素；字符叠加时最大可支持4096×2800；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（5）视频帧率：在1～25fps可调；</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（6）分辨力：彩色≥2100TVL（分辨率为4096×2160，码率为8Mbps，帧率为25帧/s）；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（7）亮度（灰度）鉴别等级≥13级；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（8）支持数字降噪、信噪比、宽动态、快门自适应等功能；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（9）支持透雾、强光抑制、图像增强、区域裁剪、坏点校正、视频防抖、顺逆光亮度补偿等功能；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（10）支持流量整形、曝光补偿、OSD颜色自定义、自动开启补光设备、信息发布、断电保护、区域曝光、IP地址过滤等功能；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（11）护罩玻璃透光率≥99%；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（12）视频压缩支持H.265、H.264、M-JPEG；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（13）支持机动车、二轮车（摩托车、自行车、电动二轮车）、三轮车和行人分类检测；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（14）支持车辆捕获抓拍功能，在天气晴朗无雾，号牌无遮挡、无污损，白天环境光照度不低于200lx，晚上辅助光照度不高于30lx的条件下测试，白天和晚上的捕获率均≥99%；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（15）支持二轮车和行人捕获抓拍功能，在天气晴朗无雾，号牌无遮挡、无污损，白天环境光照度不低于200lx，晚上辅助光照度不高于30lx的条件下测试，白天和晚上的捕获率均≥99%；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（16）支持车牌识别功能，在天气晴朗无雾，号牌无遮挡、无污损，白天环境光照度不低于200lx，晚上辅助光照度不高于30lx的条件下测试，白天和晚上的识别准确率均≥99%；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（17）支持异常车牌检测功能，可对故意遮挡及污损车牌进行判断和识别；</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支持对违法变道行驶的车辆进行违法检测抓拍，在天气晴朗无雾，号牌无遮挡、无污损，白天环境光照度不低于200lx，晚上辅助光照度不高于30lx的条件下测试，白天和晚上的捕获率准确均≥98%，白天和晚上的识别准确率均≥98%；</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（21）支持绿灯路口违法停车、占用专用车道、车道内倒车等违法行为抓拍；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（22）支持闯红灯抓拍功能，在天气晴朗无雾，号牌无遮挡、无污损，白天环境光照度不低于200lx，晚上辅助光照度不高于30lx的条件下测试，白天和晚上闯红灯的捕获率均≥99%；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13种车身颜色识别，包括黑、白、灰、红、绿、蓝、黄、粉、紫、棕、青、金、橙；在天气晴朗无雾，号牌无遮挡、无污损，白天环境光照度不低于200lx，晚上辅助光照度不高于30lx的条件下测试，白天识别准确率≥99%，晚上识别准确率≥97%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（24）支持≥250种车标识别，在天气晴朗无雾，号牌无遮挡、无污损，白天环境光照度不低于200lx，晚上辅助光照度不高于30lx的条件下测试，白天准确率≥99%，晚上准确率≥99%；</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（25）支持黑名单功能，在黑名单模式中，悬挂添加在黑名单中车牌的车辆通过监控区域应触发报警并进行图片抓拍，黑名单中可添加20000个车牌</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（26）支持对主程序和智能算法分别进行升级，可对多台设备同时进行批量升级，升级过程中视频画面不应丢失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（27）支持对设定区域内的天窗开启露出人部分身体、未交替让行、双车挤入单车道等行为进行图片抓拍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（28）支持识别车头≥6600种车辆子品 牌，车尾3600种车辆子品 牌，在天气晴朗无雾，号牌无遮挡、无污损，白天环境光照度不低于200lx，晚上辅助光照度不高于30lx的条件下测试，白天识别准确率均≥98%，晚上的识别准确率均≥96%</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（29）支持通过手机APP对视频画面进行预览</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（30）可显示设定区域内各像素点的RGB分量值</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（31）支持对设定区域内的机动车、非机动车是否悬挂车牌的情况进行检测并显示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（32）样机抓拍JPEG格式的图片后，可查看抓拍图片的压缩因子</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（33）支持越线停车、不礼让非机动车/行人、左转不让直行、右转不让左转、掉头不让直行等行为抓拍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（34）支持三轮车/二轮车载人、非机动车逆行、摩托车/非机动车不带头盔等功能检测</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（35）支持非机动车不戴头盔，载人，逆行，闯红灯，越线停车等检测抓拍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（36）支持摩托车闯红灯、不按导向、闯禁令等违法行抓拍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（37）支持多拍过滤功能，可设置多拍过滤时间段为0-320000ms，在此时间段内多次经过的车辆只抓拍一次</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（38）支持安全接入功能，开启此功能后，设备只能被管理平台控制，不能通过其他方式登录或者控制设备</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（39）支持连续闯红灯事件检测功能，对某一时间段内连续闯红灯事件进行检测，并自动上传报警信息</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（40）设备护罩应支持后端开启模式</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（41）电源引入端子与外壳裸露金属部件之间的绝缘电阻在正常大气条件下应≥100MΩ，湿热条件下应≥10MΩ；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（42）高低温试验应满足﹣45℃～90℃；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（43）外壳防护等级应≥IP66 设备须无缝接入交警大队现有智能交通平台以及相关应用系统中，实现地图应用、违法应用、视频追踪管理应用等。</w:t>
            </w:r>
            <w:r>
              <w:rPr>
                <w:rStyle w:val="9"/>
                <w:rFonts w:hint="eastAsia" w:ascii="宋体" w:hAnsi="宋体" w:eastAsia="宋体" w:cs="宋体"/>
                <w:b/>
              </w:rPr>
              <w:t>（投标人须针对此项要求提供专项承诺函，加盖投标人公章佐证，同时还须提供系统对接方案。）</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 频闪灯</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（1）光源类型：大功率LED，单车道环境补光；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（2）LED灯珠数量：≥16颗；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（3）发光角度：10°；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（4）最佳补光距离：16米-25米；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（5）触发方式：电平量触发(可选配开关量触发)；</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（6）响应时间：小于20us；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（7）日夜功能：支持环境亮度监测,低照度下自动开启(可选配)；</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（8）触发信号电平：4V-6V；</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（9）防护等级：≥IP67；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（10）外形尺寸：128mm(W)×216mm(H)×159mm(D)；</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（11）整体重量：2.72Kg；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（12）功率：最大功率36W(实际功率与控制方式有关)；</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（13）色温：5000K-7000K；</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2-12</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终端服务器</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（1）可设置图片的存储空间，在规定的空间内自动循环覆盖，剩余空间为录像存储空间。</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（3）对于在记录过程中出现的系统死机或意外故障，设备能够在规定的时间内自动恢复其正常工作状态并使故障前的信息不丢失。</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（4）设备内的录像、图片文件无法直接删除或者修改，只能通过循环覆盖和硬盘格式化操作。</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（5）支持套牌车检测，可将抓拍图片与本地历史数据进行车辆特征比对分析，检测出套牌车辆，同时给出告警提示。</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（7）设备采用嵌入式linux实时操作系统,内存容量≥2GB。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设备具有≥2个RS-232接口、≥2个RS-485接口、≥1个USB3.0接口、≥2路报警输入接口、≥2路报警输出接口、≥1个音频输入接口、≥1个音频输出接口、≥4个SATA接口、≥4个状态指示灯、≥1个接地端子、≥1个复位按键、≥1个GPS天线接口、≥1个4G全网通天线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（9）可添加≥12路IP摄像机(单路码率10M)，进行录像与图片的实时预览和存储并可将IP摄像机的视频图像通过网络传输至客户端。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（10）支持≥4块3.5或2.5英寸硬盘接入，兼容≥6TB硬盘，支持硬盘自动切换，当块硬盘损坏后，能自动切换至其它硬盘进行存储。</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（11）.当数据库文件由于断电等原因损坏后，可以通过网页手动控制数据库修复，恢复过车数据査询功能。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（12）.可显示系统已运行时间、主板温度、终端运行状态。</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（13）可通过USB外接存储介质进行数据备份，备份数据类型、存储目录及文件命名可配置。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（14）支持对视频进行质量诊断并输出报警信息。 可实时显示接入的摄像机、线圈、车检器、红绿灯检测器等前端设备的工作状态、样机内部温度、工作时间等信息；外接机柜门时具有机柜门状态实时显示与查询功能。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（15）可通过长按复位键恢复系统的出厂默认参数。 设备须无缝接入交警大队现有智能交通平台以及相关应用系统中，实现地图应用、违法应用、视频追踪管理应用等。</w:t>
            </w:r>
            <w:r>
              <w:rPr>
                <w:rStyle w:val="9"/>
                <w:rFonts w:hint="eastAsia" w:ascii="宋体" w:hAnsi="宋体" w:eastAsia="宋体" w:cs="宋体"/>
                <w:b/>
              </w:rPr>
              <w:t>（投标人须针对此项要求提供专项承诺函，加盖投标人公章佐证，同时还须提供系统对接方案。）</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悬臂杆</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（1）L型悬臂杆；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（2）电子警察标杆，悬臂L=10m，钢管厚度6mm；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（3）钢管立柱L=6.5m，D=340mm，d=280mm，壁厚8mm ；</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人（手）孔井</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（1）手孔井（内尺1寸0.7*0.7m，H=1.2m)；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（2）100mm厚中粗砂垫层；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（3）120mm厚手摆块石灌砂；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（4）M5水泥砂浆砌筑MU10粉煤灰砖；</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（5）10mm厚内壁1:2水泥砂浆抹面；</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（6）700*700mm轻型下沉式球墨铸铁井盖、井座</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高清高速球吊装支架</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铝合金定制支架</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2-16</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杆件基础</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（1）200mm厚砂砾垫层；</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（2）C25混凝土基础；</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（3）基础预埋件和钢筋制安；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（4）热镀锌防腐处理；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（5）镀锌角钢接地极 50×5 2.5m；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（6）镀锌扁钢 -40×4；</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2-17</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接地装置调试</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接地系统调试(接地网)</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2-18</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预警一体机</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 个RJ45 10M / 100M /1000M自适应以太网口,≥1个RS-485接口,≥1个RS-232接口，≥1路电平量输出，≥1个TF接口，≥1个AC24V接口；</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（2）应具有独立的IP地址，可以直接接入以太网网络,并可以通过客户端自动搜索IP地址；可以通过客户端软件掉看实时视频图像、查看抓拍参数等信息，并可对网络配置、视频参数、显示参数等参数进行设置；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（3）应能实时对视频信号编码，并通过网络传输至客户端。</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（4）应能通过IE浏览器或客户端手动抓拍图片，或当视频画面出现车辆时自动抓拍图片，或外部触发接口抓拍图片，图片格式为JPEG，图片质量可设。</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（5）可通过IE浏览器或客户端软件进行手动录像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（6）支持在编码时加入特殊字段，可提示图片和录像文件被篡改；</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（7）帧/秒-25帧/秒可设置；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（8）可通过IE浏览器或者客户端软件设置视频压缩码率为32kbps~64Mbps；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（9）彩色0.0005Lux@(F1.2,AGC ON) 黑白0.0003Lux @(F1.2,AGC ON)；</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（10）亮度等级≥13级；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（11）支持图像参数动态调整，如饱和度、亮度、对比度、锐度、白平衡、增益等；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（12）可通过IE浏览器或者客户端软件设置3D降噪功能开启/关闭，开启后图片噪声减少，图片更清晰，降噪等级可设；</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（13）支持≥8块感兴趣区域增强编码功能，能通过菜单设置功能开启/关闭</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（14）在客户端软件下，具有可伸缩编码（SVC）设置选项</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（15）信噪比≥62dB；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（16）宽动态范围≥106dB；</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（17）固定外接镜头的光圈，将样机对准光源并调节光源亮度从暗到亮，监视画面应能根据光源亮度变化进行自动调节至正常显示；</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（18）快门支持1/1s到1/100000s可调 H.265、H.264(Main Profile,High Profile,Baseline Profile)、M-JPEG；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（19）可支持TCP/IP, HTTP, HTTPS, FTP, DNS, RTP, RTSP, RTCP, NTP, UpnP, IPv6；DHCP、802.1x等网络协议；</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（20）具有用户管理功能，可添加、修改、删除用户参数，设置用户权限；</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（21）设置登录密码时可自动提示密码复杂度为低、中、高；简单密码具有重新设置提醒功能；</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（22）支持车辆由上而下或由下而上的行驶方向判断功能 </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（23）支持图片字符叠加功能，可在抓拍图片上叠加时间（精确到毫秒）、地点、车道号、限速值、车辆品 牌、车速、车身颜色、车牌号码等信息</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（24）实况OSD支持透明、空心、描边背景和反色等五种效果；照片OSD支持透明、背景和反色等三种效果</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（25）支持对设备进行远程网络升级；</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（26）支持实时显示目标的坐标位置（X\Y轴坐标，以车道中心为原点），车道，速度</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（27）支持定时检测设备覆盖场景偏转情况</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（28）支持对雷达参数进行设置，包括检测速度、原点坐标、车道数、车道宽度、方向、架设高度、距离修正参数、角度修正参数</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（29）在天气晴朗无雾，号牌无遮挡，无污损的条件进行测试，白天测试时的环境光照度不低于200lx，晚上测试时辅助照明光照度不高于30lx。 可对行驶在车道内的新能源车辆进行检测；</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（30）可对逆行的车辆进行违法检测抓拍</w:t>
            </w:r>
            <w:r>
              <w:rPr>
                <w:rStyle w:val="9"/>
                <w:rFonts w:hint="eastAsia" w:ascii="宋体" w:hAnsi="宋体" w:eastAsia="宋体" w:cs="宋体"/>
                <w:b/>
              </w:rPr>
              <w:t>（提供具有公安部授权的第三方机构出具的检测报告复印件佐证该项要求</w:t>
            </w:r>
            <w:r>
              <w:rPr>
                <w:rStyle w:val="9"/>
                <w:rFonts w:hint="eastAsia" w:ascii="宋体" w:hAnsi="宋体" w:eastAsia="宋体" w:cs="宋体"/>
                <w:b/>
                <w:lang w:eastAsia="zh-CN"/>
              </w:rPr>
              <w:t>。</w:t>
            </w:r>
            <w:r>
              <w:rPr>
                <w:rStyle w:val="9"/>
                <w:rFonts w:hint="eastAsia" w:ascii="宋体" w:hAnsi="宋体" w:eastAsia="宋体" w:cs="宋体"/>
                <w:b/>
              </w:rPr>
              <w:t>）</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31）可支持≥23种车型检测，包括小型客车、中型客车、大型客车、微型轿车、小型轿车、SUV、MPV、面包车、皮卡车、货车、小货车、二轮车、三轮车、集装箱卡车、微卡\栏板车、渣土车、吊车\工程车、油罐车、混泥土搅拌车、平板拖车、两厢轿车、三厢轿车、轿跑 ，白天准确率≥95%，晚上准确率≥90%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（32）外壳防护等级≥IP67；</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（33）高温70±2℃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（34）低温-30±3℃</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2-19</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无线网桥(单边)</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（1）5.8G无线网桥(单边)；</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（2）802.11a/n制式；</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（3）物理带宽最大带宽300Mbps；</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（4）实际带宽≥40Mbps(支持≥10路2~4Mbps码流摄像机传输)；</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（5）定向天线；</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（6）距离3公里；</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（7）平均功率：3W；最大功率：8W；</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（8）电源供应：12V</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2-20</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室外机柜</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（1）复合控制单元抱杆空机柜，含强电模板；</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（2）尺寸480mm×230mm×580mm；防护等级≥IP55</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332"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497"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2-21</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LED多功能多文字显示屏（双行10字屏）</w:t>
            </w:r>
          </w:p>
        </w:tc>
        <w:tc>
          <w:tcPr>
            <w:tcW w:w="4686"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（1）材质：铝板折边，表面喷塑哑光处理；</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（2）文字内容；可输入红、黄、绿三种颜色的任意文字；</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（3）像素组成 1R1G；</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（4）LED规格 SMD3535；</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（5）模组尺寸 320mm*160mm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（6）模组亮度 4500-5000cd/㎡；</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（7）驱动方式 1/4扫描；</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（8）模组接口定义 HUB12；</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（9）水平可视角度 110度（+10/-10）；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（10）垂直可视角度 60度（+10/-10）；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（11）最佳观看距离 10-100m ；</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（12）平均无故障时间 ≥10000小时；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（13）使用寿命 100000小时；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（14）盲点率 小于万分之一，出厂无盲点；</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（15）恒流驱动芯片 德普5020IC；</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（16）LED数量 爆闪灯：20*16片=320；</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（17）LED波长 爆闪灯：蓝色460±5 nm ，红色625±5 nm；</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（18）LED亮度 爆闪灯：12000mcd/m2 ~15000mcd/m2</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（19）工作方式 24小时全天工作、跟随节目可选；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（20）闪烁方式 红蓝交替爆闪多种模式；</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（21）闪烁频率 2Hz，120次/分钟 可根据需要定制；</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4"/>
                <w:szCs w:val="24"/>
              </w:rPr>
              <w:t>（22）整屏像素：64×224；间距10mm；</w:t>
            </w:r>
          </w:p>
        </w:tc>
        <w:tc>
          <w:tcPr>
            <w:tcW w:w="661"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1块 （设 计）</w:t>
            </w:r>
          </w:p>
        </w:tc>
      </w:tr>
    </w:tbl>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7"/>
          <w:szCs w:val="27"/>
        </w:rPr>
        <w:t>注：本合同包内所有产品技术参数中规格、尺寸、长度、宽度、高度、厚度、重量、直径等未设定偏离值的参数，允许±2%偏离。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b/>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包：1</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1、交付地点：采购人指定的地点</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2、交付时间：合同签订后，中标人在30个日历日内供货、安装调试完毕并通过采购人验收</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3、交付条件：通过采购人验收</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4、是否收取履约保证金：否</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5、是否邀请投标人参与验收：否</w:t>
      </w:r>
      <w:r>
        <w:rPr>
          <w:rStyle w:val="9"/>
          <w:rFonts w:hint="eastAsia" w:ascii="宋体" w:hAnsi="宋体" w:eastAsia="宋体" w:cs="宋体"/>
          <w:b/>
          <w:spacing w:val="0"/>
          <w:sz w:val="24"/>
          <w:szCs w:val="24"/>
        </w:rPr>
        <w:br w:type="textWrapping"/>
      </w:r>
      <w:r>
        <w:rPr>
          <w:rStyle w:val="9"/>
          <w:rFonts w:hint="eastAsia" w:ascii="宋体" w:hAnsi="宋体" w:eastAsia="宋体" w:cs="宋体"/>
          <w:b/>
          <w:spacing w:val="0"/>
          <w:sz w:val="24"/>
          <w:szCs w:val="24"/>
        </w:rPr>
        <w:t>6、验收方式数据表格</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初验收：由中标人和使用单位共同对设备的数量、质量、外包装等根据本章节的有关规定逐项检验。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试运行：设备安装完毕后，中标人应对设备的整体性能和功能进行测试，试运行期间，出现的任何问题，应由中标人及时处理修正。测试结果必须符合招标文件要求及合同中的相关条款，同时中标人应向采购人提供自检记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最终验收：试运行并测试验收结束后，如采购人有需要可组织专家按招标文件以及合同相关条款要求一同对设备进行联合验收，验收结果应符合采购人使用要求。在此期间，若发现产品质量有问题中标人应无条件免费更换，并无条件重新检测并调试直至验收合格交付使用。</w:t>
            </w:r>
          </w:p>
        </w:tc>
      </w:tr>
    </w:tbl>
    <w:p>
      <w:pPr>
        <w:keepNext w:val="0"/>
        <w:keepLines w:val="0"/>
        <w:widowControl/>
        <w:suppressLineNumbers w:val="0"/>
        <w:jc w:val="left"/>
      </w:pPr>
      <w:r>
        <w:rPr>
          <w:rStyle w:val="9"/>
          <w:rFonts w:ascii="宋体" w:hAnsi="宋体" w:eastAsia="宋体" w:cs="宋体"/>
          <w:b/>
          <w:kern w:val="0"/>
          <w:sz w:val="24"/>
          <w:szCs w:val="24"/>
          <w:lang w:val="en-US" w:eastAsia="zh-CN" w:bidi="ar"/>
        </w:rPr>
        <w:t>7、支付方式数据表格</w:t>
      </w:r>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项目通过验收后，中标人应当向采购人提供合同总价95%等额的正规增值税发票和验收合格证明，采购人收到发票审核无误且相关财政款到达采购人账户之日起15个工作日内向中标人支付。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剩余5%的合同款作为质保金，待设备正常运行6个月且无质量问题后，中标人向采购人提供与应付款项等额的正规增值税发票，采购人收到发票审核无误且相关财政款项到达采购人账户后15个工作日内向中标人一次性无息支付剩余款项。</w:t>
            </w:r>
          </w:p>
        </w:tc>
      </w:tr>
    </w:tbl>
    <w:p>
      <w:pPr>
        <w:pStyle w:val="6"/>
        <w:keepNext w:val="0"/>
        <w:keepLines w:val="0"/>
        <w:widowControl/>
        <w:suppressLineNumbers w:val="0"/>
        <w:spacing w:before="75" w:beforeAutospacing="0" w:after="75" w:afterAutospacing="0"/>
        <w:ind w:right="0" w:firstLine="271" w:firstLineChars="100"/>
      </w:pPr>
      <w:r>
        <w:rPr>
          <w:rStyle w:val="9"/>
          <w:rFonts w:hint="eastAsia" w:ascii="宋体" w:hAnsi="宋体" w:eastAsia="宋体" w:cs="宋体"/>
          <w:b/>
          <w:spacing w:val="0"/>
          <w:sz w:val="27"/>
          <w:szCs w:val="27"/>
        </w:rPr>
        <w:t>8.安装与调试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8.1由中标人提供的设备，其安装调测及开通，全部由中标人负责，采购人予以协助配合。</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8.2 施工路口点位由采购人提供，采购人可根据实际需求进行调整。</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8.3中标人需按采购人交付的图纸要求组织施工。</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8.4 施工期间应避开早晚高峰期，遇有交通管理需要服从现场民警指挥。施工过程要按福州市文明施工的要求进行，同时做好渣土的清运。</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8.5中标人负责向有关部门申请占道破路的申请。</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8.6 中标人需明确以下问题：</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（1）中标人需配有相关专业的安装队伍到现场免费进行安装调试。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（2）中标人负责对施工地点进行现场勘察，提供工程施工和相关安装资料，并负责指导采购人人员掌握和使用技术资料。</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（3）设备安装由中标人负责，系统内所有电缆及接头、安装所需零配件均由中标人提供，所有零配件均应符合国家安全技术标准。</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（4）中标人应提供下列各种详细资料：</w:t>
      </w:r>
    </w:p>
    <w:p>
      <w:pPr>
        <w:pStyle w:val="6"/>
        <w:keepNext w:val="0"/>
        <w:keepLines w:val="0"/>
        <w:widowControl/>
        <w:suppressLineNumbers w:val="0"/>
        <w:shd w:val="clear" w:fill="FFFFFF"/>
        <w:spacing w:before="0" w:beforeAutospacing="0" w:after="150" w:afterAutospacing="0" w:line="435" w:lineRule="atLeast"/>
        <w:ind w:left="0" w:right="0" w:firstLine="465"/>
      </w:pPr>
      <w:bookmarkStart w:id="0" w:name="_GoBack"/>
      <w:bookmarkEnd w:id="0"/>
      <w:r>
        <w:rPr>
          <w:rFonts w:hint="eastAsia" w:ascii="宋体" w:hAnsi="宋体" w:eastAsia="宋体" w:cs="宋体"/>
          <w:sz w:val="27"/>
          <w:szCs w:val="27"/>
          <w:shd w:val="clear" w:fill="FFFFFF"/>
        </w:rPr>
        <w:t>出厂明细表</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设备检验证书及合格证书</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使用说明书</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设备操作手册</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相关文件的程序软盘或光盘</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合同中要求的其他文件资料</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备品备件、损件清单。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（5）安装调测时使用的工具、设备由中标人自行提供。双方应协商制定项目进度表，中标人负责按项目进度表进行安装。</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6）设备调试由中标人负责，中标人调试前应提出完整的试运行记录并经采购人确认，包括设备试运行状态，故障等情况表。中标人有责任对采购人的技术人员提出的问题作出解答。调试应进行详细记录，系统试运行结束后，由中标人技术人员签字后交给采购人验收。</w:t>
      </w:r>
    </w:p>
    <w:p>
      <w:pPr>
        <w:pStyle w:val="6"/>
        <w:keepNext w:val="0"/>
        <w:keepLines w:val="0"/>
        <w:widowControl/>
        <w:suppressLineNumbers w:val="0"/>
        <w:shd w:val="clear" w:fill="FFFFFF"/>
        <w:spacing w:before="0" w:beforeAutospacing="0" w:after="150" w:afterAutospacing="0" w:line="435" w:lineRule="atLeast"/>
        <w:ind w:left="0" w:right="0" w:firstLine="570"/>
      </w:pPr>
      <w:r>
        <w:rPr>
          <w:rFonts w:hint="eastAsia" w:ascii="宋体" w:hAnsi="宋体" w:eastAsia="宋体" w:cs="宋体"/>
          <w:sz w:val="27"/>
          <w:szCs w:val="27"/>
          <w:shd w:val="clear" w:fill="FFFFFF"/>
        </w:rPr>
        <w:t>8.7 安装与调试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（1）中标人需按照采购人的相关要求规范安装。</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（2）中标人所提供的所有设备安装以及内部连线全部由中标人负责。</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（3）中标人提供设备的安装调试、参数设置、环境配置、系统联机运行等。</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（4）安装调测时使用的工具、设备由中标人自行提供。</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8.8中标人在安装过程中需按照相关规范进行，否则造成采购人原有设备损坏，须照价赔偿。</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8.9中标人在合同履行过程中，对安装人员的安全监督、管理、教育工作均由中标人负责，必须办理安装人员人身保险，安装过程（含运输）的一切安全防范措施，均由中标人负责，因安全措施不当，造成在本项目中一切事故风险，责任均由中标人承担，采购人不承担任何责任。</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8.10中标人应根据设备的质量情况提出备品备件配置的计划，应提供设备在质量保证期过后一年内主要备品备件及其清单。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8.11 如有专用工具,中标人应提供一套维修所需的专用工具仪表，并开列清单和数量。</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9.项目验收</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9.1 项目竣工后，采购人验收，验收结果应以采购人的验收报告为最终验收结果。验收时发现中标人提交的资料不符合合同要求的，采购人有权要求中标人立即整改直至满足合同要求。</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9.2项目建设完成后，经试运行一个月后，所有性能指标达到合同要求时，并且提交的产品和资料达到本文件规定的指标后，可进行验收。验收规范(包括项目、指标、方式等)应由中标人提前7天提交给采购人，采购人可根据合同和采购人的有关规定进行修改和补充，经双方确认后形成验收文件作为验收依据。验收合格后，签署验收文件。</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9.3验收所产生的费用由中标人承担。</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10.技术服务</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10.1 中标人设备安装调试时所需的工程资料，中标人有责任在保证安全和质量的前提下提供技术服务，包括：技术咨询、技术资料、设备技术说明书、使用说明书、维护说明书等。</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10.2 在项目进行期间，采购人有权派出技术人员参加，中标人有义务对其进行指导。</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10.3 中标人应根据合同规定将要安装和调试资料提前15天单独发往安装现场，资料应至少一式两份。</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10.4中标人应提供实用齐全的全套随机技术资料，例如：维护命令手册、测试手册、设备说明书、工作原理、软件资料，提供全套技术文件两套。</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10.5 对于目前为止尚未形成最终建议的规范，中标人应在标准化组织发表一定时期内免费修改。</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10.6 在设备试运行期间，设备维护由中标人负责，根据需要中标人有责任派技术人员到现场指导维护工作。</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11.项目管理与实施</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11.1 投标人必须遵守采购人信息化建设管理规定和各项管理实施细则。</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11.2 投标人必须接受采购人与其共同对所提交实施方案进行进一步优化，并形成实施方案。</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11.3 拟定的项目经理需应具有与本项目规模相当的、与本项目内容相关的建设实施经验，并至少负责其中一个项目。</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11.4投标人所投设备须承诺与现有平台无缝对接。投标时提供无缝对接承诺函，未提供的按无效投标处理。</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12.违约责任</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12.1 中标人所交的产品品种、型号、质量不符合合同规定，采购人有权拒收并解除合同，中标人应向采购人支付合同总价30%的违约金。</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12.2 验收时，如发现资料、数据残缺的，中标人应及时采取整改措施，由此产生的费用和工期延误由中标人承担。</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12.3 中标人未能按期完工的，每逾期一天，按合同价款的1%向采购人支付违约金。若中标人逾期完工超过30个日历日，采购人有权解除合同，中标人应向采购人支付合同总价30%的违约金。由于不可抗力的因素、采购人变更合同要求造成施工延误的，按照实际误工情况而相应延长完工期，不作为违约。</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12.4 中标人逾期提交验收申请和完整的验收材料，每逾期一天，中标人按合同价款的1%向采购人支付违约金。逾期超过30个日历日，采购人有权解除合同，中标人应向采购人支付合同总价30%的违约金。中标人提交验收申请和完整的验收材料（经采购人确认）之日起，采购人在30个日历日内未组织进行验收或验收后15个日历日内未出具验收结论，则自动认为验收申请报告已被确认。</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12.5 项目完工后，若验收不符合招标文件或合同规定的，中标人应在接到采购人书面整改通知书后30个日历日内积极补救整改并再次提交验收申请。再次验收仍不合格的或在30个日历日内无法整改完毕并再次提交验收申请的，采购人有权解除合同，中标人应向采购人支付合同总价款30%的违约金。</w:t>
      </w:r>
      <w:r>
        <w:rPr>
          <w:rFonts w:hint="eastAsia" w:ascii="宋体" w:hAnsi="宋体" w:eastAsia="宋体" w:cs="宋体"/>
          <w:sz w:val="27"/>
          <w:szCs w:val="27"/>
          <w:shd w:val="clear" w:fill="FFFFFF"/>
        </w:rPr>
        <w:br w:type="textWrapping"/>
      </w:r>
      <w:r>
        <w:rPr>
          <w:rFonts w:hint="eastAsia" w:ascii="宋体" w:hAnsi="宋体" w:eastAsia="宋体" w:cs="宋体"/>
          <w:sz w:val="27"/>
          <w:szCs w:val="27"/>
          <w:shd w:val="clear" w:fill="FFFFFF"/>
        </w:rPr>
        <w:t>    12.6施工人员在项目施工期间，施工人员必须穿统一服装和反光背心，若不按规定施工，第一次发现予以警告，第二次发现采购人有权对中标人处违约金3000元，经采购人检查后中标人仍不整改的，采购人有权对中标人处违约金10000元。经检查5次（含）以上不按规定施工的，采购人有权解除合同，由此造成的所有损失均由中标人承担。施工过程以及质保期期间的一切安全责任由中标人负责。</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12.7售 后服务期内，如果设备出现故障时，中标人未能按照本招标文件售 后服务要求规定的时间内响应的、未能在规定时间内到达现场的、未能在规定时间内完成故障修复的，须向采购人支付500元/次的违约金。如违反本项规定超过3次的，采购人有权解除合同，并没收质保金。</w:t>
      </w:r>
    </w:p>
    <w:p>
      <w:pPr>
        <w:pStyle w:val="6"/>
        <w:keepNext w:val="0"/>
        <w:keepLines w:val="0"/>
        <w:widowControl/>
        <w:suppressLineNumbers w:val="0"/>
        <w:shd w:val="clear" w:fill="FFFFFF"/>
        <w:spacing w:before="0" w:beforeAutospacing="0" w:after="150" w:afterAutospacing="0" w:line="435" w:lineRule="atLeast"/>
        <w:ind w:left="0" w:right="0" w:firstLine="420"/>
      </w:pPr>
      <w:r>
        <w:rPr>
          <w:rStyle w:val="9"/>
          <w:rFonts w:hint="eastAsia" w:ascii="宋体" w:hAnsi="宋体" w:eastAsia="宋体" w:cs="宋体"/>
          <w:b/>
          <w:sz w:val="27"/>
          <w:szCs w:val="27"/>
          <w:shd w:val="clear" w:fill="FFFFFF"/>
        </w:rPr>
        <w:t>13.售 后服务要求</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13.1售 后服务</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13.1.1 中标人须提供2年的售 后服务，包括设备保修服务、设备巡检、除尘保洁、设备可用性保障服务等，保障设备的可用性和可持续运行要求。中标人应提供详细的售 后服务方案，根据设备种类、应用范围，明确服务范围、服务内容、服务方式、程度、响应时间等，并提出特别的服务措施。</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13.1.2 在售 后服务期内，中标人须提供24小时报修电话，7*24小时全天候服务，在接到采购人故障报修通知后，须在1个小时内响应，2个小时内到达故障现场，24小时内完成故障修复，在质保期内提供充足备件，涉及硬件故障均先更换备件再维修。</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13.1.3在运维期内，发现由于材料、建设或工艺不良造成的故障，中标人应研究其故障原因，并迅速修复或免费进行更换，直至满足采购人原定的要求为止。</w:t>
      </w:r>
    </w:p>
    <w:p>
      <w:pPr>
        <w:pStyle w:val="6"/>
        <w:keepNext w:val="0"/>
        <w:keepLines w:val="0"/>
        <w:widowControl/>
        <w:suppressLineNumbers w:val="0"/>
        <w:shd w:val="clear" w:fill="FFFFFF"/>
        <w:spacing w:before="0" w:beforeAutospacing="0" w:after="150" w:afterAutospacing="0" w:line="435" w:lineRule="atLeast"/>
        <w:ind w:left="0" w:right="0" w:firstLine="465"/>
      </w:pPr>
      <w:r>
        <w:rPr>
          <w:rStyle w:val="9"/>
          <w:rFonts w:hint="eastAsia" w:ascii="宋体" w:hAnsi="宋体" w:eastAsia="宋体" w:cs="宋体"/>
          <w:b/>
          <w:sz w:val="27"/>
          <w:szCs w:val="27"/>
          <w:shd w:val="clear" w:fill="FFFFFF"/>
        </w:rPr>
        <w:t>14.2服务组织机构</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14.2.1 中标人应详细说明为本项目所设置的服务机构及人员构成情况。</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14.2.2 中标人须指 定项目总负责人和项目经理，提供总负责人和项目经理手机联络方式，并二十四小时开机。</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14.2.3 采购人有权要求中标人更换服务人员，并且采购人无需提供理由；中标人参与本项目的服务人员须经采购人认可。</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14.2.4 当中标人人员发生变动时，需提前15天通知采购人。中标人的新人员名单须由双方共同确认，在未确认前，原人员必须继续承当相应职责。</w:t>
      </w:r>
    </w:p>
    <w:p>
      <w:pPr>
        <w:pStyle w:val="6"/>
        <w:keepNext w:val="0"/>
        <w:keepLines w:val="0"/>
        <w:widowControl/>
        <w:suppressLineNumbers w:val="0"/>
        <w:shd w:val="clear" w:fill="FFFFFF"/>
        <w:spacing w:before="0" w:beforeAutospacing="0" w:after="150" w:afterAutospacing="0" w:line="435" w:lineRule="atLeast"/>
        <w:ind w:left="0" w:right="0" w:firstLine="510"/>
      </w:pPr>
      <w:r>
        <w:rPr>
          <w:rStyle w:val="9"/>
          <w:rFonts w:hint="eastAsia" w:ascii="宋体" w:hAnsi="宋体" w:eastAsia="宋体" w:cs="宋体"/>
          <w:b/>
          <w:sz w:val="27"/>
          <w:szCs w:val="27"/>
          <w:shd w:val="clear" w:fill="FFFFFF"/>
        </w:rPr>
        <w:t>15.技术文件</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15.1提供的书面技术资料应能满足确保项目正常运行所需的运行、维护及管理有关的全套文件，并在建议书中列出所提供的书面技术资料详细清单。</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15.2 所提供的文件其内容必须与所提供的服务相一致，技术文件应该全面、完整、详细。在双方商定的某一时期内由于软件的修改而导致文件的任何修改，中标人均应提供修改更正或补充的印刷文件。</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15.3 中标人提供的各类文档，名词术语应一致，并给出名词术语解释。</w:t>
      </w:r>
    </w:p>
    <w:p>
      <w:pPr>
        <w:pStyle w:val="6"/>
        <w:keepNext w:val="0"/>
        <w:keepLines w:val="0"/>
        <w:widowControl/>
        <w:suppressLineNumbers w:val="0"/>
        <w:shd w:val="clear" w:fill="FFFFFF"/>
        <w:spacing w:before="0" w:beforeAutospacing="0" w:after="150" w:afterAutospacing="0" w:line="435" w:lineRule="atLeast"/>
        <w:ind w:left="0" w:right="0" w:firstLine="465"/>
      </w:pPr>
      <w:r>
        <w:rPr>
          <w:rFonts w:hint="eastAsia" w:ascii="宋体" w:hAnsi="宋体" w:eastAsia="宋体" w:cs="宋体"/>
          <w:sz w:val="27"/>
          <w:szCs w:val="27"/>
          <w:shd w:val="clear" w:fill="FFFFFF"/>
        </w:rPr>
        <w:t>15.4 中标人提供的技术文件应用中文。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7"/>
          <w:szCs w:val="27"/>
          <w:shd w:val="clear" w:fill="FFFFFF"/>
        </w:rPr>
        <w:t>15.5 中标人至少应提供2套纸介质或2套光盘的全套技术文件。</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pPr>
      <w:r>
        <w:rPr>
          <w:spacing w:val="0"/>
          <w:sz w:val="24"/>
          <w:szCs w:val="24"/>
        </w:rPr>
        <w:t>2、其他：</w:t>
      </w:r>
    </w:p>
    <w:p>
      <w:pPr>
        <w:pStyle w:val="6"/>
        <w:keepNext w:val="0"/>
        <w:keepLines w:val="0"/>
        <w:widowControl/>
        <w:suppressLineNumbers w:val="0"/>
        <w:spacing w:before="0" w:beforeAutospacing="0" w:after="150" w:afterAutospacing="0"/>
        <w:ind w:left="0" w:right="0"/>
        <w:rPr>
          <w:rStyle w:val="9"/>
          <w:rFonts w:hint="eastAsia" w:ascii="宋体" w:hAnsi="宋体" w:eastAsia="宋体" w:cs="宋体"/>
          <w:b/>
          <w:spacing w:val="0"/>
          <w:sz w:val="31"/>
          <w:szCs w:val="31"/>
        </w:rPr>
      </w:pPr>
      <w:r>
        <w:rPr>
          <w:rStyle w:val="9"/>
          <w:rFonts w:ascii="新宋体" w:hAnsi="新宋体" w:eastAsia="新宋体" w:cs="新宋体"/>
          <w:b/>
          <w:spacing w:val="0"/>
          <w:sz w:val="24"/>
          <w:szCs w:val="24"/>
        </w:rPr>
        <w:t>（1）投标人须保证采购人在使用该货物或其任何一部分时不受到第三方关于侵犯专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r>
        <w:rPr>
          <w:rStyle w:val="9"/>
          <w:rFonts w:hint="eastAsia" w:ascii="新宋体" w:hAnsi="新宋体" w:eastAsia="新宋体" w:cs="新宋体"/>
          <w:b/>
          <w:spacing w:val="0"/>
          <w:sz w:val="24"/>
          <w:szCs w:val="24"/>
        </w:rPr>
        <w:br w:type="textWrapping"/>
      </w:r>
      <w:r>
        <w:rPr>
          <w:rStyle w:val="9"/>
          <w:rFonts w:hint="eastAsia" w:ascii="新宋体" w:hAnsi="新宋体" w:eastAsia="新宋体" w:cs="新宋体"/>
          <w:b/>
          <w:spacing w:val="0"/>
          <w:sz w:val="24"/>
          <w:szCs w:val="24"/>
        </w:rPr>
        <w:t>（2）本项目涉及的所有证明材料(以证明材料颁发时间起至本次项目递交投标文件截止时间为准)为真实有效，评标过程中若发现虚假材料的，其投标无效，在中标</w:t>
      </w:r>
      <w:r>
        <w:rPr>
          <w:rStyle w:val="9"/>
          <w:rFonts w:hint="eastAsia" w:ascii="新宋体" w:hAnsi="新宋体" w:eastAsia="新宋体" w:cs="新宋体"/>
          <w:b/>
          <w:spacing w:val="0"/>
          <w:sz w:val="24"/>
          <w:szCs w:val="24"/>
          <w:lang w:eastAsia="zh-CN"/>
        </w:rPr>
        <w:t>公示期间或</w:t>
      </w:r>
      <w:r>
        <w:rPr>
          <w:rStyle w:val="9"/>
          <w:rFonts w:hint="eastAsia" w:ascii="新宋体" w:hAnsi="新宋体" w:eastAsia="新宋体" w:cs="新宋体"/>
          <w:b/>
          <w:spacing w:val="0"/>
          <w:sz w:val="24"/>
          <w:szCs w:val="24"/>
        </w:rPr>
        <w:t>执行合同过程中，采购人有权要求对材料原件进行核查，若发现其提供虚假资料的，采购人有权</w:t>
      </w:r>
      <w:r>
        <w:rPr>
          <w:rStyle w:val="9"/>
          <w:rFonts w:hint="eastAsia" w:ascii="新宋体" w:hAnsi="新宋体" w:eastAsia="新宋体" w:cs="新宋体"/>
          <w:b/>
          <w:spacing w:val="0"/>
          <w:sz w:val="24"/>
          <w:szCs w:val="24"/>
          <w:lang w:eastAsia="zh-CN"/>
        </w:rPr>
        <w:t>废除中标人中标资格或</w:t>
      </w:r>
      <w:r>
        <w:rPr>
          <w:rStyle w:val="9"/>
          <w:rFonts w:hint="eastAsia" w:ascii="新宋体" w:hAnsi="新宋体" w:eastAsia="新宋体" w:cs="新宋体"/>
          <w:b/>
          <w:spacing w:val="0"/>
          <w:sz w:val="24"/>
          <w:szCs w:val="24"/>
        </w:rPr>
        <w:t>终止合同，中标人给采购人造成损失的，还需另行支付相应的赔偿并负相关责任。</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1、签订合同应遵守政府采购法、合同法。</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b/>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rPr>
          <w:rStyle w:val="9"/>
          <w:rFonts w:hint="eastAsia" w:ascii="宋体" w:hAnsi="宋体" w:eastAsia="宋体" w:cs="宋体"/>
          <w:b/>
          <w:spacing w:val="0"/>
          <w:sz w:val="31"/>
          <w:szCs w:val="31"/>
        </w:rPr>
      </w:pP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spacing w:val="0"/>
          <w:sz w:val="31"/>
          <w:szCs w:val="31"/>
        </w:rPr>
        <w:t>第七章   投标文件格式</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4"/>
          <w:szCs w:val="24"/>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9"/>
          <w:rFonts w:hint="eastAsia" w:ascii="宋体" w:hAnsi="宋体" w:eastAsia="宋体" w:cs="宋体"/>
          <w:b/>
          <w:sz w:val="24"/>
          <w:szCs w:val="24"/>
        </w:rPr>
        <w:t>“全称”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sz w:val="24"/>
          <w:szCs w:val="24"/>
        </w:rPr>
        <w:t>投标人的全称</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9"/>
          <w:rFonts w:hint="eastAsia" w:ascii="宋体" w:hAnsi="宋体" w:eastAsia="宋体" w:cs="宋体"/>
          <w:b/>
          <w:sz w:val="24"/>
          <w:szCs w:val="24"/>
        </w:rPr>
        <w:t>“加盖单位公章”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9"/>
          <w:rFonts w:hint="eastAsia" w:ascii="宋体" w:hAnsi="宋体" w:eastAsia="宋体" w:cs="宋体"/>
          <w:b/>
          <w:sz w:val="24"/>
          <w:szCs w:val="24"/>
        </w:rPr>
        <w:t>“投标人代表签字”</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9"/>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9"/>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9"/>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9"/>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（资格及资信证明部分）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b/>
          <w:sz w:val="21"/>
          <w:szCs w:val="21"/>
        </w:rPr>
        <w:t>资格审查不合格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一、投标函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9"/>
          <w:rFonts w:hint="eastAsia" w:ascii="宋体" w:hAnsi="宋体" w:eastAsia="宋体" w:cs="宋体"/>
          <w:b/>
          <w:sz w:val="21"/>
          <w:szCs w:val="21"/>
        </w:rPr>
        <w:t>确认：</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9"/>
          <w:rFonts w:hint="eastAsia" w:ascii="宋体" w:hAnsi="宋体" w:eastAsia="宋体" w:cs="宋体"/>
          <w:b/>
          <w:sz w:val="21"/>
          <w:szCs w:val="21"/>
        </w:rPr>
        <w:t>承诺及声明：</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二、投标人的资格及资信证明文件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二-1单位负责人授权书（若有）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u w:val="single"/>
        </w:rPr>
      </w:pPr>
      <w:r>
        <w:rPr>
          <w:rFonts w:hint="eastAsia" w:ascii="宋体" w:hAnsi="宋体" w:eastAsia="宋体" w:cs="宋体"/>
          <w:sz w:val="21"/>
          <w:szCs w:val="21"/>
        </w:rPr>
        <w:t>单位负责人：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u w:val="single"/>
        </w:rPr>
      </w:pPr>
      <w:r>
        <w:rPr>
          <w:rFonts w:hint="eastAsia" w:ascii="宋体" w:hAnsi="宋体" w:eastAsia="宋体" w:cs="宋体"/>
          <w:sz w:val="21"/>
          <w:szCs w:val="21"/>
        </w:rPr>
        <w:t>身份证号：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u w:val="single"/>
        </w:rPr>
      </w:pPr>
      <w:r>
        <w:rPr>
          <w:rFonts w:hint="eastAsia" w:ascii="宋体" w:hAnsi="宋体" w:eastAsia="宋体" w:cs="宋体"/>
          <w:sz w:val="21"/>
          <w:szCs w:val="21"/>
        </w:rPr>
        <w:t>投标人代表：</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u w:val="single"/>
        </w:rPr>
      </w:pPr>
      <w:r>
        <w:rPr>
          <w:rFonts w:hint="eastAsia" w:ascii="宋体" w:hAnsi="宋体" w:eastAsia="宋体" w:cs="宋体"/>
          <w:sz w:val="21"/>
          <w:szCs w:val="21"/>
        </w:rPr>
        <w:t>身份证号：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2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要求：真实有效且内容完整、清晰、整洁。</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二-2营业执照等证明文件</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二-3财务状况报告（财务报告、或资信证明、或投标担保函）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sz w:val="21"/>
          <w:szCs w:val="21"/>
        </w:rPr>
        <w:t>-4依法缴纳税收证明材料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b/>
          <w:sz w:val="21"/>
          <w:szCs w:val="21"/>
        </w:rPr>
        <w:t>未依法缴纳税收。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9"/>
          <w:rFonts w:hint="eastAsia" w:ascii="宋体" w:hAnsi="宋体" w:eastAsia="宋体" w:cs="宋体"/>
          <w:b/>
          <w:sz w:val="21"/>
          <w:szCs w:val="21"/>
        </w:rPr>
        <w:t>二-5依法缴纳社会保障资金证明材料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b/>
          <w:sz w:val="21"/>
          <w:szCs w:val="21"/>
        </w:rPr>
        <w:t>未依法缴纳社会保障资金。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二</w:t>
      </w:r>
      <w:r>
        <w:rPr>
          <w:rStyle w:val="9"/>
          <w:rFonts w:hint="eastAsia" w:ascii="宋体" w:hAnsi="宋体" w:eastAsia="宋体" w:cs="宋体"/>
          <w:b/>
          <w:sz w:val="21"/>
          <w:szCs w:val="21"/>
        </w:rPr>
        <w:t>-6具备履行合同所必需设备和专业技术能力的声明函（若有）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sz w:val="21"/>
          <w:szCs w:val="21"/>
        </w:rPr>
        <w:t>-7参加采购活动前三年内在经营活动中没有重大违法记录书面声明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sz w:val="21"/>
          <w:szCs w:val="21"/>
        </w:rPr>
        <w:t>-8信用记录查询结果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r>
        <w:rPr>
          <w:rStyle w:val="9"/>
          <w:rFonts w:hint="default" w:ascii="Calibri" w:hAnsi="Calibri" w:cs="Calibri"/>
          <w:b/>
          <w:sz w:val="21"/>
          <w:szCs w:val="21"/>
        </w:rPr>
        <w:br w:type="textWrapping"/>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二-9检察机关行贿犯罪档案查询结果告知函</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b/>
          <w:sz w:val="21"/>
          <w:szCs w:val="21"/>
        </w:rPr>
        <w:t>投标无效。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b/>
          <w:sz w:val="21"/>
          <w:szCs w:val="21"/>
        </w:rPr>
        <w:t>均视同有效。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br w:type="textWrapping"/>
      </w: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二-10联合体协议（若有）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both"/>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二-11中小企业声明函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残疾人福利性单位声明函</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（专门面向中小企业或小型、微型企业适用，若有）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9"/>
          <w:rFonts w:hint="eastAsia" w:ascii="宋体" w:hAnsi="宋体" w:eastAsia="宋体" w:cs="宋体"/>
          <w:b/>
          <w:sz w:val="21"/>
          <w:szCs w:val="21"/>
        </w:rPr>
        <w:t>二-12其他资格证明文件（若有）</w:t>
      </w:r>
    </w:p>
    <w:p>
      <w:pPr>
        <w:pStyle w:val="6"/>
        <w:keepNext w:val="0"/>
        <w:keepLines w:val="0"/>
        <w:widowControl/>
        <w:suppressLineNumbers w:val="0"/>
        <w:spacing w:before="0" w:beforeAutospacing="0" w:after="150" w:afterAutospacing="0"/>
        <w:ind w:left="0" w:right="0"/>
        <w:jc w:val="both"/>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sz w:val="21"/>
          <w:szCs w:val="21"/>
        </w:rPr>
        <w:t>-12-①具备履行合同所必需设备和专业技术能力专项证明材料（若有）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二-12-②招标文件规定的其他资格证明文件（若有）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b/>
          <w:sz w:val="21"/>
          <w:szCs w:val="21"/>
        </w:rPr>
        <w:t>、投标保证金</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9"/>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（报价部分）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一、开标一览表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rPr>
        <w:tc>
          <w:tcPr>
            <w:tcW w:w="13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9"/>
          <w:rFonts w:hint="eastAsia" w:ascii="宋体" w:hAnsi="宋体" w:eastAsia="宋体" w:cs="宋体"/>
          <w:b/>
          <w:sz w:val="21"/>
          <w:szCs w:val="21"/>
        </w:rPr>
        <w:t>二、投标分项报价表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96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9"/>
          <w:rFonts w:hint="eastAsia" w:ascii="宋体" w:hAnsi="宋体" w:eastAsia="宋体" w:cs="宋体"/>
          <w:b/>
          <w:sz w:val="21"/>
          <w:szCs w:val="21"/>
        </w:rPr>
        <w:t>“单价（现场）”</w:t>
      </w:r>
      <w:r>
        <w:rPr>
          <w:rFonts w:hint="eastAsia" w:ascii="宋体" w:hAnsi="宋体" w:eastAsia="宋体" w:cs="宋体"/>
          <w:sz w:val="21"/>
          <w:szCs w:val="21"/>
        </w:rPr>
        <w:t>×</w:t>
      </w:r>
      <w:r>
        <w:rPr>
          <w:rStyle w:val="9"/>
          <w:rFonts w:hint="eastAsia" w:ascii="宋体" w:hAnsi="宋体" w:eastAsia="宋体" w:cs="宋体"/>
          <w:b/>
          <w:sz w:val="21"/>
          <w:szCs w:val="21"/>
        </w:rPr>
        <w:t>“数量”</w:t>
      </w:r>
      <w:r>
        <w:rPr>
          <w:rFonts w:hint="eastAsia" w:ascii="宋体" w:hAnsi="宋体" w:eastAsia="宋体" w:cs="宋体"/>
          <w:sz w:val="21"/>
          <w:szCs w:val="21"/>
        </w:rPr>
        <w:t>=</w:t>
      </w:r>
      <w:r>
        <w:rPr>
          <w:rStyle w:val="9"/>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sz w:val="21"/>
          <w:szCs w:val="21"/>
        </w:rPr>
        <w:t>“备注”</w:t>
      </w:r>
      <w:r>
        <w:rPr>
          <w:rFonts w:hint="eastAsia" w:ascii="宋体" w:hAnsi="宋体" w:eastAsia="宋体" w:cs="宋体"/>
          <w:sz w:val="21"/>
          <w:szCs w:val="21"/>
        </w:rPr>
        <w:t>项下填写。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三、招标文件规定的价格扣除证明材料（若有）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三-1优先类节能产品、环境标志产品价格扣除证明材料（若有）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三-1-①优先类节能产品、环境标志产品统计表（价格扣除适用，若有）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b/>
          <w:sz w:val="21"/>
          <w:szCs w:val="21"/>
        </w:rPr>
        <w:t>“三</w:t>
      </w:r>
      <w:r>
        <w:rPr>
          <w:rStyle w:val="9"/>
          <w:rFonts w:hint="default" w:ascii="Calibri" w:hAnsi="Calibri" w:eastAsia="宋体" w:cs="Calibri"/>
          <w:b/>
          <w:sz w:val="21"/>
          <w:szCs w:val="21"/>
        </w:rPr>
        <w:t>-1-</w:t>
      </w:r>
      <w:r>
        <w:rPr>
          <w:rStyle w:val="9"/>
          <w:rFonts w:hint="eastAsia" w:ascii="宋体" w:hAnsi="宋体" w:eastAsia="宋体" w:cs="宋体"/>
          <w:b/>
          <w:sz w:val="21"/>
          <w:szCs w:val="21"/>
        </w:rPr>
        <w:t>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sz w:val="21"/>
          <w:szCs w:val="21"/>
        </w:rPr>
        <w:t>视为提供虚假材料。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r>
        <w:rPr>
          <w:rStyle w:val="9"/>
          <w:rFonts w:hint="default" w:ascii="Calibri" w:hAnsi="Calibri" w:cs="Calibri"/>
          <w:b/>
          <w:sz w:val="21"/>
          <w:szCs w:val="21"/>
        </w:rPr>
        <w:br w:type="textWrapping"/>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三-1-②优先类节能产品、环境标志产品证明材料（价格扣除适用，若有）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r>
        <w:rPr>
          <w:rStyle w:val="9"/>
          <w:rFonts w:hint="default" w:ascii="Calibri" w:hAnsi="Calibri" w:cs="Calibri"/>
          <w:b/>
          <w:sz w:val="21"/>
          <w:szCs w:val="21"/>
        </w:rPr>
        <w:br w:type="textWrapping"/>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三-2小型、微型企业产品等价格扣除证明材料（若有）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三-2-①小型、微型企业产品等统计表（价格扣除适用，若有）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b/>
          <w:sz w:val="21"/>
          <w:szCs w:val="21"/>
        </w:rPr>
        <w:t>“三</w:t>
      </w:r>
      <w:r>
        <w:rPr>
          <w:rStyle w:val="9"/>
          <w:rFonts w:hint="default" w:ascii="Calibri" w:hAnsi="Calibri" w:eastAsia="宋体" w:cs="Calibri"/>
          <w:b/>
          <w:sz w:val="21"/>
          <w:szCs w:val="21"/>
        </w:rPr>
        <w:t>-2-</w:t>
      </w:r>
      <w:r>
        <w:rPr>
          <w:rStyle w:val="9"/>
          <w:rFonts w:hint="eastAsia" w:ascii="宋体" w:hAnsi="宋体" w:eastAsia="宋体" w:cs="宋体"/>
          <w:b/>
          <w:sz w:val="21"/>
          <w:szCs w:val="21"/>
        </w:rPr>
        <w:t>②中小企业声明函（价格扣除适用，若有）”及“三</w:t>
      </w:r>
      <w:r>
        <w:rPr>
          <w:rStyle w:val="9"/>
          <w:rFonts w:hint="default" w:ascii="Calibri" w:hAnsi="Calibri" w:eastAsia="宋体" w:cs="Calibri"/>
          <w:b/>
          <w:sz w:val="21"/>
          <w:szCs w:val="21"/>
        </w:rPr>
        <w:t>-2-</w:t>
      </w:r>
      <w:r>
        <w:rPr>
          <w:rStyle w:val="9"/>
          <w:rFonts w:hint="eastAsia" w:ascii="宋体" w:hAnsi="宋体" w:eastAsia="宋体" w:cs="宋体"/>
          <w:b/>
          <w:sz w:val="21"/>
          <w:szCs w:val="21"/>
        </w:rPr>
        <w:t>③小型、微型企业等证明材料（价格扣除适用，若有）”。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sz w:val="21"/>
          <w:szCs w:val="21"/>
        </w:rPr>
        <w:t>除本表第4条规定情形外，小型、微型企业（含监狱企业）承担的工程或提供的服务不享受价格扣除。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sz w:val="21"/>
          <w:szCs w:val="21"/>
        </w:rPr>
        <w:t>可享受价格扣除。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三-2-②中小企业声明函（价格扣除适用，若有）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9"/>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r>
        <w:rPr>
          <w:rStyle w:val="9"/>
          <w:rFonts w:hint="eastAsia" w:ascii="宋体" w:hAnsi="宋体" w:eastAsia="宋体" w:cs="宋体"/>
          <w:b/>
          <w:sz w:val="21"/>
          <w:szCs w:val="21"/>
        </w:rPr>
        <w:t>三-2-③小型、微型企业等证明材料（价格扣除适用，若有）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残疾人福利性单位声明函（价格扣除适用，若有）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sz w:val="21"/>
          <w:szCs w:val="21"/>
        </w:rPr>
        <w:t>可享受价格扣除。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三-3招标文件规定的其他价格扣除证明材料（若有）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四、招标文件规定的加分证明材料（若有）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四-1优先类节能产品、环境标志产品加分证明材料（若有）</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四-1-①优先类节能产品、环境标志产品统计表（加分适用，若有）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l2br w:val="nil"/>
              <w:tr2bl w:val="nil"/>
            </w:tcBorders>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b/>
          <w:sz w:val="21"/>
          <w:szCs w:val="21"/>
        </w:rPr>
        <w:t>“四</w:t>
      </w:r>
      <w:r>
        <w:rPr>
          <w:rStyle w:val="9"/>
          <w:rFonts w:hint="default" w:ascii="Calibri" w:hAnsi="Calibri" w:eastAsia="宋体" w:cs="Calibri"/>
          <w:b/>
          <w:sz w:val="21"/>
          <w:szCs w:val="21"/>
        </w:rPr>
        <w:t>-1-</w:t>
      </w:r>
      <w:r>
        <w:rPr>
          <w:rStyle w:val="9"/>
          <w:rFonts w:hint="eastAsia" w:ascii="宋体" w:hAnsi="宋体" w:eastAsia="宋体" w:cs="宋体"/>
          <w:b/>
          <w:sz w:val="21"/>
          <w:szCs w:val="21"/>
        </w:rPr>
        <w:t>②优先类节能产品、环境标志产品加分证明材料（加分适用，若有）”。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 四-1-②优先类节能产品、环境标志产品证明材料（加分适用，若有）</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pPr>
      <w:r>
        <w:rPr>
          <w:rStyle w:val="9"/>
          <w:rFonts w:hint="eastAsia" w:ascii="宋体" w:hAnsi="宋体" w:eastAsia="宋体" w:cs="宋体"/>
          <w:b/>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b/>
          <w:sz w:val="21"/>
          <w:szCs w:val="21"/>
        </w:rPr>
        <w:t>-2招标文件规定的其他加分证明材料（若有）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rPr>
          <w:rStyle w:val="9"/>
          <w:rFonts w:hint="eastAsia" w:ascii="宋体" w:hAnsi="宋体" w:eastAsia="宋体" w:cs="宋体"/>
          <w:b/>
          <w:sz w:val="28"/>
          <w:szCs w:val="28"/>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封面格式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福建省政府采购投标文件</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48"/>
          <w:szCs w:val="48"/>
        </w:rPr>
        <w:t>（技术商务部分）</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6"/>
          <w:szCs w:val="36"/>
          <w:u w:val="single"/>
        </w:rPr>
        <w:t>（填写正本或副本）</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项目名称：</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备案编号：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招标编号：</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sz w:val="31"/>
          <w:szCs w:val="31"/>
        </w:rPr>
        <w:t>所投合同包：</w:t>
      </w:r>
      <w:r>
        <w:rPr>
          <w:rStyle w:val="9"/>
          <w:rFonts w:hint="eastAsia" w:ascii="宋体" w:hAnsi="宋体" w:eastAsia="宋体" w:cs="宋体"/>
          <w:b/>
          <w:sz w:val="31"/>
          <w:szCs w:val="31"/>
          <w:u w:val="single"/>
        </w:rPr>
        <w:t>（由投标人填写）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rPr>
        <w:t>投标人：</w:t>
      </w:r>
      <w:r>
        <w:rPr>
          <w:rStyle w:val="9"/>
          <w:rFonts w:hint="eastAsia" w:ascii="宋体" w:hAnsi="宋体" w:eastAsia="宋体" w:cs="宋体"/>
          <w:b/>
          <w:sz w:val="31"/>
          <w:szCs w:val="31"/>
          <w:u w:val="single"/>
        </w:rPr>
        <w:t>（填写“全称”）</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年</w:t>
      </w:r>
      <w:r>
        <w:rPr>
          <w:rStyle w:val="9"/>
          <w:rFonts w:hint="eastAsia" w:ascii="宋体" w:hAnsi="宋体" w:eastAsia="宋体" w:cs="宋体"/>
          <w:b/>
          <w:sz w:val="31"/>
          <w:szCs w:val="31"/>
          <w:u w:val="single"/>
        </w:rPr>
        <w:t>（由投标人填写）</w:t>
      </w:r>
      <w:r>
        <w:rPr>
          <w:rStyle w:val="9"/>
          <w:rFonts w:hint="eastAsia" w:ascii="宋体" w:hAnsi="宋体" w:eastAsia="宋体" w:cs="宋体"/>
          <w:b/>
          <w:sz w:val="31"/>
          <w:szCs w:val="31"/>
        </w:rPr>
        <w:t>月</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8"/>
          <w:szCs w:val="28"/>
        </w:rPr>
        <w:t>索引</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sz w:val="21"/>
          <w:szCs w:val="21"/>
        </w:rPr>
        <w:t>一、标的说明一览表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9"/>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b/>
          <w:sz w:val="21"/>
          <w:szCs w:val="21"/>
        </w:rPr>
        <w:t>应以本表为准</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Style w:val="9"/>
          <w:rFonts w:hint="default" w:ascii="Calibri" w:hAnsi="Calibri" w:cs="Calibri"/>
          <w:b/>
          <w:sz w:val="21"/>
          <w:szCs w:val="21"/>
        </w:rPr>
      </w:pPr>
      <w:r>
        <w:rPr>
          <w:rStyle w:val="9"/>
          <w:rFonts w:hint="default" w:ascii="Calibri" w:hAnsi="Calibri" w:cs="Calibri"/>
          <w:b/>
          <w:sz w:val="21"/>
          <w:szCs w:val="21"/>
        </w:rPr>
        <w:br w:type="textWrapping"/>
      </w: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二、技术和服务要求响应表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trPr>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三、商务条件响应表</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Borders>
              <w:tl2br w:val="nil"/>
              <w:tr2bl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sz w:val="21"/>
          <w:szCs w:val="21"/>
        </w:rPr>
        <w:t>投标无效</w:t>
      </w:r>
      <w:r>
        <w:rPr>
          <w:rFonts w:hint="eastAsia" w:ascii="宋体" w:hAnsi="宋体" w:eastAsia="宋体" w:cs="宋体"/>
          <w:sz w:val="21"/>
          <w:szCs w:val="21"/>
        </w:rPr>
        <w:t>。</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br w:type="textWrapping"/>
      </w: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6"/>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sz w:val="21"/>
          <w:szCs w:val="21"/>
        </w:rPr>
        <w:t>四、投标人提交的其他资料（若有）</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9"/>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B12F6"/>
    <w:rsid w:val="01AB12F6"/>
    <w:rsid w:val="0A2437BF"/>
    <w:rsid w:val="565A3BC7"/>
    <w:rsid w:val="612B2945"/>
    <w:rsid w:val="63FE3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2020-03-31T00:42:00Z</dcterms:created>
  <dc:creator>Administrator</dc:creator>
  <cp:lastModifiedBy>Administrator</cp:lastModifiedBy>
  <dcterms:modified xsi:type="dcterms:W3CDTF">2020-03-31T08:19:08Z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