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auto"/>
          <w:spacing w:val="0"/>
          <w:sz w:val="19"/>
          <w:szCs w:val="19"/>
          <w:highlight w:val="none"/>
        </w:rPr>
      </w:pPr>
      <w:bookmarkStart w:id="0" w:name="_GoBack"/>
      <w:bookmarkEnd w:id="0"/>
      <w:r>
        <w:rPr>
          <w:rStyle w:val="13"/>
          <w:rFonts w:ascii="宋体" w:hAnsi="宋体" w:eastAsia="宋体" w:cs="宋体"/>
          <w:b/>
          <w:bCs/>
          <w:i w:val="0"/>
          <w:iCs w:val="0"/>
          <w:caps w:val="0"/>
          <w:color w:val="auto"/>
          <w:spacing w:val="0"/>
          <w:sz w:val="72"/>
          <w:szCs w:val="72"/>
          <w:highlight w:val="none"/>
          <w:shd w:val="clear" w:fill="FFFFFF"/>
        </w:rPr>
        <w:t>福建省政府采购</w:t>
      </w:r>
    </w:p>
    <w:p>
      <w:pPr>
        <w:pStyle w:val="11"/>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auto"/>
          <w:spacing w:val="0"/>
          <w:sz w:val="19"/>
          <w:szCs w:val="19"/>
          <w:highlight w:val="none"/>
        </w:rPr>
      </w:pPr>
      <w:r>
        <w:rPr>
          <w:rStyle w:val="13"/>
          <w:rFonts w:hint="eastAsia" w:ascii="宋体" w:hAnsi="宋体" w:eastAsia="宋体" w:cs="宋体"/>
          <w:b/>
          <w:bCs/>
          <w:i w:val="0"/>
          <w:iCs w:val="0"/>
          <w:caps w:val="0"/>
          <w:color w:val="auto"/>
          <w:spacing w:val="0"/>
          <w:sz w:val="72"/>
          <w:szCs w:val="72"/>
          <w:highlight w:val="none"/>
          <w:shd w:val="clear" w:fill="FFFFFF"/>
        </w:rPr>
        <w:t>货物和服务项目</w:t>
      </w:r>
    </w:p>
    <w:p>
      <w:pPr>
        <w:pStyle w:val="11"/>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auto"/>
          <w:spacing w:val="0"/>
          <w:sz w:val="19"/>
          <w:szCs w:val="19"/>
          <w:highlight w:val="none"/>
        </w:rPr>
      </w:pPr>
      <w:r>
        <w:rPr>
          <w:rStyle w:val="13"/>
          <w:rFonts w:hint="eastAsia" w:ascii="宋体" w:hAnsi="宋体" w:eastAsia="宋体" w:cs="宋体"/>
          <w:b/>
          <w:bCs/>
          <w:i w:val="0"/>
          <w:iCs w:val="0"/>
          <w:caps w:val="0"/>
          <w:color w:val="auto"/>
          <w:spacing w:val="0"/>
          <w:sz w:val="72"/>
          <w:szCs w:val="72"/>
          <w:highlight w:val="none"/>
          <w:shd w:val="clear" w:fill="FFFFFF"/>
        </w:rPr>
        <w:t>公开招标文件</w:t>
      </w:r>
    </w:p>
    <w:p>
      <w:pPr>
        <w:pStyle w:val="11"/>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auto"/>
          <w:spacing w:val="0"/>
          <w:sz w:val="19"/>
          <w:szCs w:val="19"/>
          <w:highlight w:val="none"/>
        </w:rPr>
      </w:pPr>
      <w:r>
        <w:rPr>
          <w:rStyle w:val="13"/>
          <w:rFonts w:hint="eastAsia" w:ascii="宋体" w:hAnsi="宋体" w:eastAsia="宋体" w:cs="宋体"/>
          <w:b/>
          <w:bCs/>
          <w:i w:val="0"/>
          <w:iCs w:val="0"/>
          <w:caps w:val="0"/>
          <w:color w:val="auto"/>
          <w:spacing w:val="0"/>
          <w:sz w:val="72"/>
          <w:szCs w:val="72"/>
          <w:highlight w:val="none"/>
          <w:shd w:val="clear" w:fill="FFFFFF"/>
        </w:rPr>
        <w:t>     </w:t>
      </w:r>
    </w:p>
    <w:p>
      <w:pPr>
        <w:pStyle w:val="11"/>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auto"/>
          <w:spacing w:val="0"/>
          <w:sz w:val="19"/>
          <w:szCs w:val="19"/>
          <w:highlight w:val="none"/>
        </w:rPr>
      </w:pPr>
      <w:r>
        <w:rPr>
          <w:rFonts w:hint="eastAsia" w:ascii="微软雅黑" w:hAnsi="微软雅黑" w:eastAsia="微软雅黑" w:cs="微软雅黑"/>
          <w:i w:val="0"/>
          <w:iCs w:val="0"/>
          <w:caps w:val="0"/>
          <w:color w:val="auto"/>
          <w:spacing w:val="0"/>
          <w:sz w:val="24"/>
          <w:szCs w:val="24"/>
          <w:highlight w:val="none"/>
          <w:shd w:val="clear" w:fill="FFFFFF"/>
        </w:rPr>
        <w:t> </w:t>
      </w:r>
    </w:p>
    <w:p>
      <w:pPr>
        <w:pStyle w:val="11"/>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auto"/>
          <w:spacing w:val="0"/>
          <w:sz w:val="19"/>
          <w:szCs w:val="19"/>
          <w:highlight w:val="none"/>
        </w:rPr>
      </w:pPr>
      <w:r>
        <w:rPr>
          <w:rFonts w:hint="eastAsia" w:ascii="微软雅黑" w:hAnsi="微软雅黑" w:eastAsia="微软雅黑" w:cs="微软雅黑"/>
          <w:i w:val="0"/>
          <w:iCs w:val="0"/>
          <w:caps w:val="0"/>
          <w:color w:val="auto"/>
          <w:spacing w:val="0"/>
          <w:sz w:val="24"/>
          <w:szCs w:val="24"/>
          <w:highlight w:val="none"/>
          <w:shd w:val="clear" w:fill="FFFFFF"/>
        </w:rPr>
        <w:t> </w:t>
      </w:r>
    </w:p>
    <w:p>
      <w:pPr>
        <w:pStyle w:val="11"/>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auto"/>
          <w:spacing w:val="0"/>
          <w:sz w:val="19"/>
          <w:szCs w:val="19"/>
          <w:highlight w:val="none"/>
        </w:rPr>
      </w:pPr>
      <w:r>
        <w:rPr>
          <w:rStyle w:val="13"/>
          <w:rFonts w:hint="eastAsia" w:ascii="宋体" w:hAnsi="宋体" w:eastAsia="宋体" w:cs="宋体"/>
          <w:b/>
          <w:bCs/>
          <w:i w:val="0"/>
          <w:iCs w:val="0"/>
          <w:caps w:val="0"/>
          <w:color w:val="auto"/>
          <w:spacing w:val="0"/>
          <w:sz w:val="36"/>
          <w:szCs w:val="36"/>
          <w:highlight w:val="none"/>
          <w:shd w:val="clear" w:fill="FFFFFF"/>
        </w:rPr>
        <w:t> </w:t>
      </w:r>
      <w:r>
        <w:rPr>
          <w:rStyle w:val="13"/>
          <w:rFonts w:hint="eastAsia" w:ascii="宋体" w:hAnsi="宋体" w:eastAsia="宋体" w:cs="宋体"/>
          <w:b/>
          <w:bCs/>
          <w:i w:val="0"/>
          <w:iCs w:val="0"/>
          <w:caps w:val="0"/>
          <w:color w:val="auto"/>
          <w:spacing w:val="0"/>
          <w:sz w:val="30"/>
          <w:szCs w:val="30"/>
          <w:highlight w:val="none"/>
          <w:shd w:val="clear" w:fill="FFFFFF"/>
        </w:rPr>
        <w:t> </w:t>
      </w:r>
    </w:p>
    <w:p>
      <w:pPr>
        <w:pStyle w:val="11"/>
        <w:keepNext w:val="0"/>
        <w:keepLines w:val="0"/>
        <w:widowControl/>
        <w:suppressLineNumbers w:val="0"/>
        <w:shd w:val="clear" w:fill="FFFFFF"/>
        <w:spacing w:before="75" w:beforeAutospacing="0" w:after="75" w:afterAutospacing="0"/>
        <w:ind w:right="0"/>
        <w:rPr>
          <w:rFonts w:hint="eastAsia" w:ascii="微软雅黑" w:hAnsi="微软雅黑" w:eastAsia="微软雅黑" w:cs="微软雅黑"/>
          <w:i w:val="0"/>
          <w:iCs w:val="0"/>
          <w:caps w:val="0"/>
          <w:color w:val="auto"/>
          <w:spacing w:val="0"/>
          <w:sz w:val="19"/>
          <w:szCs w:val="19"/>
          <w:highlight w:val="none"/>
        </w:rPr>
      </w:pPr>
      <w:r>
        <w:rPr>
          <w:rStyle w:val="13"/>
          <w:rFonts w:hint="eastAsia" w:ascii="宋体" w:hAnsi="宋体" w:eastAsia="宋体" w:cs="宋体"/>
          <w:b/>
          <w:bCs/>
          <w:i w:val="0"/>
          <w:iCs w:val="0"/>
          <w:caps w:val="0"/>
          <w:color w:val="auto"/>
          <w:spacing w:val="0"/>
          <w:sz w:val="30"/>
          <w:szCs w:val="30"/>
          <w:highlight w:val="none"/>
          <w:shd w:val="clear" w:fill="FFFFFF"/>
        </w:rPr>
        <w:t>项目名称：</w:t>
      </w:r>
      <w:r>
        <w:rPr>
          <w:rFonts w:hint="eastAsia" w:ascii="宋体" w:hAnsi="宋体" w:eastAsia="宋体" w:cs="宋体"/>
          <w:b/>
          <w:bCs/>
          <w:i w:val="0"/>
          <w:iCs w:val="0"/>
          <w:caps w:val="0"/>
          <w:color w:val="auto"/>
          <w:spacing w:val="0"/>
          <w:sz w:val="30"/>
          <w:szCs w:val="30"/>
          <w:highlight w:val="none"/>
          <w:shd w:val="clear" w:fill="FFFFFF"/>
        </w:rPr>
        <w:t>福州高新技术产业开发区综治信访中心高新区交通设施及智控中心运维服务采购项目</w:t>
      </w:r>
    </w:p>
    <w:p>
      <w:pPr>
        <w:pStyle w:val="11"/>
        <w:keepNext w:val="0"/>
        <w:keepLines w:val="0"/>
        <w:widowControl/>
        <w:suppressLineNumbers w:val="0"/>
        <w:shd w:val="clear" w:fill="FFFFFF"/>
        <w:spacing w:before="75" w:beforeAutospacing="0" w:after="75" w:afterAutospacing="0"/>
        <w:ind w:right="0"/>
        <w:rPr>
          <w:rFonts w:hint="eastAsia" w:ascii="微软雅黑" w:hAnsi="微软雅黑" w:eastAsia="微软雅黑" w:cs="微软雅黑"/>
          <w:i w:val="0"/>
          <w:iCs w:val="0"/>
          <w:caps w:val="0"/>
          <w:color w:val="auto"/>
          <w:spacing w:val="0"/>
          <w:sz w:val="19"/>
          <w:szCs w:val="19"/>
          <w:highlight w:val="none"/>
        </w:rPr>
      </w:pPr>
      <w:r>
        <w:rPr>
          <w:rStyle w:val="13"/>
          <w:rFonts w:hint="eastAsia" w:ascii="宋体" w:hAnsi="宋体" w:eastAsia="宋体" w:cs="宋体"/>
          <w:b/>
          <w:bCs/>
          <w:i w:val="0"/>
          <w:iCs w:val="0"/>
          <w:caps w:val="0"/>
          <w:color w:val="auto"/>
          <w:spacing w:val="0"/>
          <w:sz w:val="30"/>
          <w:szCs w:val="30"/>
          <w:highlight w:val="none"/>
          <w:shd w:val="clear" w:fill="FFFFFF"/>
        </w:rPr>
        <w:t>备案编号：</w:t>
      </w:r>
      <w:r>
        <w:rPr>
          <w:rFonts w:hint="eastAsia" w:ascii="宋体" w:hAnsi="宋体" w:eastAsia="宋体" w:cs="宋体"/>
          <w:b/>
          <w:bCs/>
          <w:i w:val="0"/>
          <w:iCs w:val="0"/>
          <w:caps w:val="0"/>
          <w:color w:val="auto"/>
          <w:spacing w:val="0"/>
          <w:sz w:val="30"/>
          <w:szCs w:val="30"/>
          <w:highlight w:val="none"/>
          <w:shd w:val="clear" w:fill="FFFFFF"/>
        </w:rPr>
        <w:t>A13-ZZXF-GK-202208-B3034-FJQS</w:t>
      </w:r>
    </w:p>
    <w:p>
      <w:pPr>
        <w:pStyle w:val="11"/>
        <w:keepNext w:val="0"/>
        <w:keepLines w:val="0"/>
        <w:widowControl/>
        <w:suppressLineNumbers w:val="0"/>
        <w:shd w:val="clear" w:fill="FFFFFF"/>
        <w:spacing w:before="75" w:beforeAutospacing="0" w:after="75" w:afterAutospacing="0"/>
        <w:ind w:right="0"/>
        <w:rPr>
          <w:rFonts w:hint="eastAsia" w:ascii="微软雅黑" w:hAnsi="微软雅黑" w:eastAsia="微软雅黑" w:cs="微软雅黑"/>
          <w:i w:val="0"/>
          <w:iCs w:val="0"/>
          <w:caps w:val="0"/>
          <w:color w:val="auto"/>
          <w:spacing w:val="0"/>
          <w:sz w:val="19"/>
          <w:szCs w:val="19"/>
          <w:highlight w:val="none"/>
        </w:rPr>
      </w:pPr>
      <w:r>
        <w:rPr>
          <w:rStyle w:val="13"/>
          <w:rFonts w:hint="eastAsia" w:ascii="宋体" w:hAnsi="宋体" w:eastAsia="宋体" w:cs="宋体"/>
          <w:b/>
          <w:bCs/>
          <w:i w:val="0"/>
          <w:iCs w:val="0"/>
          <w:caps w:val="0"/>
          <w:color w:val="auto"/>
          <w:spacing w:val="0"/>
          <w:sz w:val="30"/>
          <w:szCs w:val="30"/>
          <w:highlight w:val="none"/>
          <w:shd w:val="clear" w:fill="FFFFFF"/>
        </w:rPr>
        <w:t>项目编号：</w:t>
      </w:r>
      <w:r>
        <w:rPr>
          <w:rFonts w:hint="eastAsia" w:ascii="宋体" w:hAnsi="宋体" w:eastAsia="宋体" w:cs="宋体"/>
          <w:b/>
          <w:bCs/>
          <w:i w:val="0"/>
          <w:iCs w:val="0"/>
          <w:caps w:val="0"/>
          <w:color w:val="auto"/>
          <w:spacing w:val="0"/>
          <w:sz w:val="30"/>
          <w:szCs w:val="30"/>
          <w:highlight w:val="none"/>
          <w:shd w:val="clear" w:fill="FFFFFF"/>
        </w:rPr>
        <w:t>[350191]FJQS[GK]2022003</w:t>
      </w:r>
      <w:r>
        <w:rPr>
          <w:rStyle w:val="13"/>
          <w:rFonts w:hint="eastAsia" w:ascii="宋体" w:hAnsi="宋体" w:eastAsia="宋体" w:cs="宋体"/>
          <w:b/>
          <w:bCs/>
          <w:i w:val="0"/>
          <w:iCs w:val="0"/>
          <w:caps w:val="0"/>
          <w:color w:val="auto"/>
          <w:spacing w:val="0"/>
          <w:sz w:val="30"/>
          <w:szCs w:val="30"/>
          <w:highlight w:val="none"/>
          <w:shd w:val="clear" w:fill="FFFFFF"/>
        </w:rPr>
        <w:br w:type="textWrapping"/>
      </w:r>
      <w:r>
        <w:rPr>
          <w:rStyle w:val="13"/>
          <w:rFonts w:hint="eastAsia" w:ascii="宋体" w:hAnsi="宋体" w:eastAsia="宋体" w:cs="宋体"/>
          <w:b/>
          <w:bCs/>
          <w:i w:val="0"/>
          <w:iCs w:val="0"/>
          <w:caps w:val="0"/>
          <w:color w:val="auto"/>
          <w:spacing w:val="0"/>
          <w:sz w:val="30"/>
          <w:szCs w:val="30"/>
          <w:highlight w:val="none"/>
          <w:shd w:val="clear" w:fill="FFFFFF"/>
        </w:rPr>
        <w:t>                   </w:t>
      </w:r>
    </w:p>
    <w:p>
      <w:pPr>
        <w:pStyle w:val="11"/>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auto"/>
          <w:spacing w:val="0"/>
          <w:sz w:val="19"/>
          <w:szCs w:val="19"/>
          <w:highlight w:val="none"/>
        </w:rPr>
      </w:pPr>
      <w:r>
        <w:rPr>
          <w:rFonts w:hint="eastAsia" w:ascii="微软雅黑" w:hAnsi="微软雅黑" w:eastAsia="微软雅黑" w:cs="微软雅黑"/>
          <w:i w:val="0"/>
          <w:iCs w:val="0"/>
          <w:caps w:val="0"/>
          <w:color w:val="auto"/>
          <w:spacing w:val="0"/>
          <w:sz w:val="24"/>
          <w:szCs w:val="24"/>
          <w:highlight w:val="none"/>
          <w:shd w:val="clear" w:fill="FFFFFF"/>
        </w:rPr>
        <w:t> </w:t>
      </w:r>
    </w:p>
    <w:p>
      <w:pPr>
        <w:keepNext w:val="0"/>
        <w:keepLines w:val="0"/>
        <w:widowControl/>
        <w:suppressLineNumbers w:val="0"/>
        <w:jc w:val="left"/>
        <w:rPr>
          <w:color w:val="auto"/>
          <w:highlight w:val="none"/>
        </w:rPr>
      </w:pPr>
    </w:p>
    <w:p>
      <w:pPr>
        <w:pStyle w:val="11"/>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auto"/>
          <w:spacing w:val="0"/>
          <w:sz w:val="19"/>
          <w:szCs w:val="19"/>
          <w:highlight w:val="none"/>
        </w:rPr>
      </w:pPr>
      <w:r>
        <w:rPr>
          <w:rStyle w:val="13"/>
          <w:rFonts w:hint="eastAsia" w:ascii="宋体" w:hAnsi="宋体" w:eastAsia="宋体" w:cs="宋体"/>
          <w:b/>
          <w:bCs/>
          <w:i w:val="0"/>
          <w:iCs w:val="0"/>
          <w:caps w:val="0"/>
          <w:color w:val="auto"/>
          <w:spacing w:val="0"/>
          <w:sz w:val="27"/>
          <w:szCs w:val="27"/>
          <w:highlight w:val="none"/>
          <w:shd w:val="clear" w:fill="FFFFFF"/>
        </w:rPr>
        <w:t>采购人：</w:t>
      </w:r>
      <w:r>
        <w:rPr>
          <w:rFonts w:hint="eastAsia" w:ascii="微软雅黑" w:hAnsi="微软雅黑" w:eastAsia="微软雅黑" w:cs="微软雅黑"/>
          <w:i w:val="0"/>
          <w:iCs w:val="0"/>
          <w:caps w:val="0"/>
          <w:color w:val="auto"/>
          <w:spacing w:val="0"/>
          <w:sz w:val="27"/>
          <w:szCs w:val="27"/>
          <w:highlight w:val="none"/>
          <w:shd w:val="clear" w:fill="FFFFFF"/>
        </w:rPr>
        <w:t> </w:t>
      </w:r>
      <w:r>
        <w:rPr>
          <w:rFonts w:hint="eastAsia" w:ascii="宋体" w:hAnsi="宋体" w:eastAsia="宋体" w:cs="宋体"/>
          <w:b/>
          <w:bCs/>
          <w:i w:val="0"/>
          <w:iCs w:val="0"/>
          <w:caps w:val="0"/>
          <w:color w:val="auto"/>
          <w:spacing w:val="0"/>
          <w:sz w:val="28"/>
          <w:szCs w:val="28"/>
          <w:highlight w:val="none"/>
          <w:shd w:val="clear" w:fill="FFFFFF"/>
        </w:rPr>
        <w:t>福州高新技术产业开发区综治信访中心</w:t>
      </w:r>
    </w:p>
    <w:p>
      <w:pPr>
        <w:pStyle w:val="11"/>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auto"/>
          <w:spacing w:val="0"/>
          <w:sz w:val="19"/>
          <w:szCs w:val="19"/>
          <w:highlight w:val="none"/>
        </w:rPr>
      </w:pPr>
      <w:r>
        <w:rPr>
          <w:rStyle w:val="13"/>
          <w:rFonts w:hint="eastAsia" w:ascii="宋体" w:hAnsi="宋体" w:eastAsia="宋体" w:cs="宋体"/>
          <w:b/>
          <w:bCs/>
          <w:i w:val="0"/>
          <w:iCs w:val="0"/>
          <w:caps w:val="0"/>
          <w:color w:val="auto"/>
          <w:spacing w:val="0"/>
          <w:sz w:val="28"/>
          <w:szCs w:val="28"/>
          <w:highlight w:val="none"/>
          <w:shd w:val="clear" w:fill="FFFFFF"/>
        </w:rPr>
        <w:t>代理机构：</w:t>
      </w:r>
      <w:r>
        <w:rPr>
          <w:rFonts w:hint="eastAsia" w:ascii="宋体" w:hAnsi="宋体" w:eastAsia="宋体" w:cs="宋体"/>
          <w:b/>
          <w:bCs/>
          <w:i w:val="0"/>
          <w:iCs w:val="0"/>
          <w:caps w:val="0"/>
          <w:color w:val="auto"/>
          <w:spacing w:val="0"/>
          <w:sz w:val="28"/>
          <w:szCs w:val="28"/>
          <w:highlight w:val="none"/>
          <w:shd w:val="clear" w:fill="FFFFFF"/>
        </w:rPr>
        <w:t>福建省勤思项目管理有限公司</w:t>
      </w:r>
    </w:p>
    <w:p>
      <w:pPr>
        <w:pStyle w:val="11"/>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auto"/>
          <w:spacing w:val="0"/>
          <w:sz w:val="19"/>
          <w:szCs w:val="19"/>
          <w:highlight w:val="none"/>
        </w:rPr>
      </w:pPr>
      <w:r>
        <w:rPr>
          <w:rFonts w:hint="eastAsia" w:ascii="微软雅黑" w:hAnsi="微软雅黑" w:eastAsia="微软雅黑" w:cs="微软雅黑"/>
          <w:i w:val="0"/>
          <w:iCs w:val="0"/>
          <w:caps w:val="0"/>
          <w:color w:val="auto"/>
          <w:spacing w:val="0"/>
          <w:sz w:val="27"/>
          <w:szCs w:val="27"/>
          <w:highlight w:val="none"/>
          <w:shd w:val="clear" w:fill="FFFFFF"/>
        </w:rPr>
        <w:t> </w:t>
      </w:r>
    </w:p>
    <w:p>
      <w:pPr>
        <w:pStyle w:val="11"/>
        <w:keepNext w:val="0"/>
        <w:keepLines w:val="0"/>
        <w:widowControl/>
        <w:suppressLineNumbers w:val="0"/>
        <w:shd w:val="clear" w:fill="FFFFFF"/>
        <w:spacing w:before="75" w:beforeAutospacing="0" w:after="75" w:afterAutospacing="0" w:line="360" w:lineRule="atLeast"/>
        <w:ind w:left="0" w:right="720" w:firstLine="0"/>
        <w:jc w:val="center"/>
        <w:rPr>
          <w:rStyle w:val="13"/>
          <w:rFonts w:hint="eastAsia" w:ascii="宋体" w:hAnsi="宋体" w:eastAsia="宋体" w:cs="宋体"/>
          <w:b/>
          <w:bCs/>
          <w:i w:val="0"/>
          <w:iCs w:val="0"/>
          <w:caps w:val="0"/>
          <w:color w:val="auto"/>
          <w:spacing w:val="0"/>
          <w:sz w:val="28"/>
          <w:szCs w:val="28"/>
          <w:highlight w:val="none"/>
          <w:shd w:val="clear" w:fill="FFFFFF"/>
        </w:rPr>
      </w:pPr>
      <w:r>
        <w:rPr>
          <w:rStyle w:val="13"/>
          <w:rFonts w:hint="eastAsia" w:ascii="宋体" w:hAnsi="宋体" w:eastAsia="宋体" w:cs="宋体"/>
          <w:b/>
          <w:bCs/>
          <w:i w:val="0"/>
          <w:iCs w:val="0"/>
          <w:caps w:val="0"/>
          <w:color w:val="auto"/>
          <w:spacing w:val="0"/>
          <w:sz w:val="28"/>
          <w:szCs w:val="28"/>
          <w:highlight w:val="none"/>
          <w:shd w:val="clear" w:fill="FFFFFF"/>
        </w:rPr>
        <w:t>2022年08月</w:t>
      </w:r>
    </w:p>
    <w:p>
      <w:pPr>
        <w:rPr>
          <w:rStyle w:val="13"/>
          <w:rFonts w:hint="eastAsia" w:ascii="宋体" w:hAnsi="宋体" w:eastAsia="宋体" w:cs="宋体"/>
          <w:b/>
          <w:bCs/>
          <w:color w:val="auto"/>
          <w:spacing w:val="0"/>
          <w:sz w:val="31"/>
          <w:szCs w:val="31"/>
          <w:highlight w:val="none"/>
        </w:rPr>
      </w:pPr>
      <w:r>
        <w:rPr>
          <w:rStyle w:val="13"/>
          <w:rFonts w:hint="eastAsia" w:ascii="宋体" w:hAnsi="宋体" w:eastAsia="宋体" w:cs="宋体"/>
          <w:b/>
          <w:bCs/>
          <w:color w:val="auto"/>
          <w:spacing w:val="0"/>
          <w:sz w:val="31"/>
          <w:szCs w:val="31"/>
          <w:highlight w:val="none"/>
        </w:rPr>
        <w:br w:type="page"/>
      </w:r>
    </w:p>
    <w:p>
      <w:pPr>
        <w:pStyle w:val="11"/>
        <w:keepNext w:val="0"/>
        <w:keepLines w:val="0"/>
        <w:widowControl/>
        <w:suppressLineNumbers w:val="0"/>
        <w:spacing w:before="75" w:beforeAutospacing="0" w:after="75" w:afterAutospacing="0"/>
        <w:ind w:left="0" w:right="0" w:firstLine="0"/>
        <w:jc w:val="center"/>
        <w:rPr>
          <w:color w:val="auto"/>
          <w:highlight w:val="none"/>
        </w:rPr>
      </w:pPr>
      <w:r>
        <w:rPr>
          <w:rStyle w:val="13"/>
          <w:rFonts w:hint="eastAsia" w:ascii="宋体" w:hAnsi="宋体" w:eastAsia="宋体" w:cs="宋体"/>
          <w:b/>
          <w:bCs/>
          <w:color w:val="auto"/>
          <w:spacing w:val="0"/>
          <w:sz w:val="31"/>
          <w:szCs w:val="31"/>
          <w:highlight w:val="none"/>
        </w:rPr>
        <w:t>第一章</w:t>
      </w:r>
      <w:r>
        <w:rPr>
          <w:rStyle w:val="13"/>
          <w:b/>
          <w:bCs/>
          <w:color w:val="auto"/>
          <w:spacing w:val="0"/>
          <w:sz w:val="31"/>
          <w:szCs w:val="31"/>
          <w:highlight w:val="none"/>
        </w:rPr>
        <w:t>   </w:t>
      </w:r>
      <w:r>
        <w:rPr>
          <w:rStyle w:val="13"/>
          <w:rFonts w:hint="eastAsia" w:ascii="宋体" w:hAnsi="宋体" w:eastAsia="宋体" w:cs="宋体"/>
          <w:b/>
          <w:bCs/>
          <w:color w:val="auto"/>
          <w:spacing w:val="0"/>
          <w:sz w:val="31"/>
          <w:szCs w:val="31"/>
          <w:highlight w:val="none"/>
        </w:rPr>
        <w:t>投标邀请</w:t>
      </w:r>
    </w:p>
    <w:p>
      <w:pPr>
        <w:pStyle w:val="11"/>
        <w:keepNext w:val="0"/>
        <w:keepLines w:val="0"/>
        <w:widowControl/>
        <w:suppressLineNumbers w:val="0"/>
        <w:spacing w:before="75" w:beforeAutospacing="0" w:after="75" w:afterAutospacing="0"/>
        <w:ind w:left="0" w:right="0" w:firstLine="0"/>
        <w:rPr>
          <w:color w:val="auto"/>
          <w:highlight w:val="none"/>
        </w:rPr>
      </w:pPr>
      <w:r>
        <w:rPr>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u w:val="single"/>
        </w:rPr>
        <w:t>福建省勤思项目管理有限公司</w:t>
      </w:r>
      <w:r>
        <w:rPr>
          <w:rFonts w:hint="eastAsia" w:ascii="宋体" w:hAnsi="宋体" w:eastAsia="宋体" w:cs="宋体"/>
          <w:color w:val="auto"/>
          <w:spacing w:val="0"/>
          <w:sz w:val="24"/>
          <w:szCs w:val="24"/>
          <w:highlight w:val="none"/>
        </w:rPr>
        <w:t>采用</w:t>
      </w:r>
      <w:r>
        <w:rPr>
          <w:rFonts w:hint="eastAsia" w:ascii="宋体" w:hAnsi="宋体" w:eastAsia="宋体" w:cs="宋体"/>
          <w:color w:val="auto"/>
          <w:spacing w:val="0"/>
          <w:sz w:val="24"/>
          <w:szCs w:val="24"/>
          <w:highlight w:val="none"/>
          <w:u w:val="single"/>
        </w:rPr>
        <w:t>公开招标方式</w:t>
      </w:r>
      <w:r>
        <w:rPr>
          <w:rFonts w:hint="eastAsia" w:ascii="宋体" w:hAnsi="宋体" w:eastAsia="宋体" w:cs="宋体"/>
          <w:color w:val="auto"/>
          <w:spacing w:val="0"/>
          <w:sz w:val="24"/>
          <w:szCs w:val="24"/>
          <w:highlight w:val="none"/>
        </w:rPr>
        <w:t>组织</w:t>
      </w:r>
      <w:r>
        <w:rPr>
          <w:rFonts w:hint="eastAsia" w:ascii="宋体" w:hAnsi="宋体" w:eastAsia="宋体" w:cs="宋体"/>
          <w:color w:val="auto"/>
          <w:spacing w:val="0"/>
          <w:sz w:val="24"/>
          <w:szCs w:val="24"/>
          <w:highlight w:val="none"/>
          <w:u w:val="none"/>
        </w:rPr>
        <w:t>福州高新技术产业开发区综治信访中心高新区交通设施及智控中心运维服务采购项目</w:t>
      </w:r>
      <w:r>
        <w:rPr>
          <w:rFonts w:hint="eastAsia" w:ascii="宋体" w:hAnsi="宋体" w:eastAsia="宋体" w:cs="宋体"/>
          <w:color w:val="auto"/>
          <w:spacing w:val="0"/>
          <w:sz w:val="24"/>
          <w:szCs w:val="24"/>
          <w:highlight w:val="none"/>
        </w:rPr>
        <w:t>（以下简称：“本项目”）的政府采购活动，现邀请供应商参加投标。</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1、备案编号：</w:t>
      </w:r>
      <w:r>
        <w:rPr>
          <w:rFonts w:hint="eastAsia" w:ascii="宋体" w:hAnsi="宋体" w:eastAsia="宋体" w:cs="宋体"/>
          <w:color w:val="auto"/>
          <w:spacing w:val="0"/>
          <w:sz w:val="24"/>
          <w:szCs w:val="24"/>
          <w:highlight w:val="none"/>
          <w:u w:val="single"/>
        </w:rPr>
        <w:t>A13-ZZXF-GK-202208-B3034-FJQS</w:t>
      </w:r>
      <w:r>
        <w:rPr>
          <w:rFonts w:hint="eastAsia" w:ascii="宋体" w:hAnsi="宋体" w:eastAsia="宋体" w:cs="宋体"/>
          <w:color w:val="auto"/>
          <w:spacing w:val="0"/>
          <w:sz w:val="24"/>
          <w:szCs w:val="24"/>
          <w:highlight w:val="none"/>
        </w:rPr>
        <w:t>。</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2、项目编号：</w:t>
      </w:r>
      <w:r>
        <w:rPr>
          <w:rFonts w:hint="eastAsia" w:ascii="宋体" w:hAnsi="宋体" w:eastAsia="宋体" w:cs="宋体"/>
          <w:color w:val="auto"/>
          <w:spacing w:val="0"/>
          <w:sz w:val="24"/>
          <w:szCs w:val="24"/>
          <w:highlight w:val="none"/>
          <w:u w:val="single"/>
        </w:rPr>
        <w:t>[350191]FJQS[GK]2022003</w:t>
      </w:r>
      <w:r>
        <w:rPr>
          <w:rFonts w:hint="eastAsia" w:ascii="宋体" w:hAnsi="宋体" w:eastAsia="宋体" w:cs="宋体"/>
          <w:color w:val="auto"/>
          <w:spacing w:val="0"/>
          <w:sz w:val="24"/>
          <w:szCs w:val="24"/>
          <w:highlight w:val="none"/>
        </w:rPr>
        <w:t>。</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3、预算金额、最高限价：详见《采购标的一览表》。</w:t>
      </w:r>
      <w:r>
        <w:rPr>
          <w:rFonts w:hint="eastAsia" w:ascii="宋体" w:hAnsi="宋体" w:eastAsia="宋体" w:cs="宋体"/>
          <w:color w:val="auto"/>
          <w:spacing w:val="0"/>
          <w:sz w:val="24"/>
          <w:szCs w:val="24"/>
          <w:highlight w:val="none"/>
        </w:rPr>
        <w:br w:type="textWrapping"/>
      </w:r>
      <w:r>
        <w:rPr>
          <w:rFonts w:hint="eastAsia" w:ascii="宋体" w:hAnsi="宋体" w:eastAsia="宋体" w:cs="宋体"/>
          <w:color w:val="auto"/>
          <w:spacing w:val="0"/>
          <w:sz w:val="24"/>
          <w:szCs w:val="24"/>
          <w:highlight w:val="none"/>
        </w:rPr>
        <w:t>  4、招标内容及要求：详见《采购标的一览表》及招标文件第五章。</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5、需要落实的政府采购政策：进口产品，不适用。节能产品，不适用。环境标志产品，不适用。信息安全产品，适用于（采购包1）。小型、微型企业，适用于（采购包1）。监狱企业，适用于（采购包1）。促进残疾人就业 ，适用于（采购包1）。信用记录，适用于（采购包1），按照下列规定执行：①信用记录查询的截止时点：信用记录查询的截止时点为本项目投标截止当日。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6、投标人的资格要求</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6.1法定条件：符合政府采购法第二十二条第一款规定的条件。</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6.2特定条件：</w:t>
      </w:r>
      <w:r>
        <w:rPr>
          <w:rFonts w:hint="eastAsia" w:ascii="宋体" w:hAnsi="宋体" w:eastAsia="宋体" w:cs="宋体"/>
          <w:color w:val="auto"/>
          <w:spacing w:val="0"/>
          <w:sz w:val="24"/>
          <w:szCs w:val="24"/>
          <w:highlight w:val="none"/>
        </w:rPr>
        <w:br w:type="textWrapping"/>
      </w:r>
      <w:r>
        <w:rPr>
          <w:rStyle w:val="13"/>
          <w:rFonts w:hint="eastAsia" w:ascii="宋体" w:hAnsi="宋体" w:eastAsia="宋体" w:cs="宋体"/>
          <w:b/>
          <w:bCs/>
          <w:color w:val="auto"/>
          <w:spacing w:val="0"/>
          <w:sz w:val="24"/>
          <w:szCs w:val="24"/>
          <w:highlight w:val="none"/>
        </w:rPr>
        <w:t>包：1</w:t>
      </w:r>
    </w:p>
    <w:tbl>
      <w:tblPr>
        <w:tblStyle w:val="14"/>
        <w:tblW w:w="835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136"/>
        <w:gridCol w:w="721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11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bCs/>
                <w:color w:val="auto"/>
                <w:highlight w:val="none"/>
              </w:rPr>
            </w:pPr>
            <w:r>
              <w:rPr>
                <w:rFonts w:ascii="宋体" w:hAnsi="宋体" w:eastAsia="宋体" w:cs="宋体"/>
                <w:b/>
                <w:bCs/>
                <w:color w:val="auto"/>
                <w:kern w:val="0"/>
                <w:sz w:val="24"/>
                <w:szCs w:val="24"/>
                <w:highlight w:val="none"/>
                <w:lang w:val="en-US" w:eastAsia="zh-CN" w:bidi="ar"/>
              </w:rPr>
              <w:t>明细</w:t>
            </w:r>
          </w:p>
        </w:tc>
        <w:tc>
          <w:tcPr>
            <w:tcW w:w="721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bCs/>
                <w:color w:val="auto"/>
                <w:highlight w:val="none"/>
              </w:rPr>
            </w:pPr>
            <w:r>
              <w:rPr>
                <w:rFonts w:ascii="宋体" w:hAnsi="宋体" w:eastAsia="宋体" w:cs="宋体"/>
                <w:b/>
                <w:bCs/>
                <w:color w:val="auto"/>
                <w:kern w:val="0"/>
                <w:sz w:val="24"/>
                <w:szCs w:val="24"/>
                <w:highlight w:val="none"/>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11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落实政府采购政策的证明材料（专门面向中小企业采购）</w:t>
            </w:r>
          </w:p>
        </w:tc>
        <w:tc>
          <w:tcPr>
            <w:tcW w:w="721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本项目为专门面向中小企业采购项目。1、投标人应按招标文件第七章的格式提交《中小企业声明函》。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投标文件正本中的本声明函（若有）应为原件。※投标人应按照招标文件第七章规定提供。 注：具体详见招标文件第三章、第七章对中小企业的相关规定；本项目为服务类采购项目，采购标的对应的中小企业划分标准所属行业为软件和信息技术服务业。若投标人提供的《中小企业声明函》中填写的行业与招标文件明确的采购标的对应的中小企业划分标准所属行业不一致，则不予认定为中小企业。</w:t>
            </w:r>
          </w:p>
        </w:tc>
      </w:tr>
    </w:tbl>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6.3是否接受联合体投标：不接受。</w:t>
      </w:r>
    </w:p>
    <w:p>
      <w:pPr>
        <w:pStyle w:val="11"/>
        <w:keepNext w:val="0"/>
        <w:keepLines w:val="0"/>
        <w:widowControl/>
        <w:suppressLineNumbers w:val="0"/>
        <w:spacing w:before="75" w:beforeAutospacing="0" w:after="75" w:afterAutospacing="0"/>
        <w:ind w:left="0" w:right="0" w:firstLine="480"/>
        <w:rPr>
          <w:color w:val="auto"/>
          <w:highlight w:val="none"/>
        </w:rPr>
      </w:pPr>
      <w:r>
        <w:rPr>
          <w:rStyle w:val="13"/>
          <w:rFonts w:hint="eastAsia" w:ascii="宋体" w:hAnsi="宋体" w:eastAsia="宋体" w:cs="宋体"/>
          <w:b/>
          <w:bCs/>
          <w:color w:val="auto"/>
          <w:spacing w:val="0"/>
          <w:sz w:val="24"/>
          <w:szCs w:val="24"/>
          <w:highlight w:val="none"/>
        </w:rPr>
        <w:t>※根据上述资格要求，电子投标文件中应提交的“投标人的资格及资信证明文件”详见招标文件第四章。</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7、招标文件的获取</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7.1、招标文件获取期限：详见招标公告或更正公告，若不一致，以更正公告为准。</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7.2、在招标文件获取期限内，供应商应通过福建省政府采购网上公开信息系统的注册账号（免费注册）并获取招标文件(请根据项目所在地，登录对应的福建省政府采购网上公开信息系统(即省本级网址/地市分网))，否则</w:t>
      </w:r>
      <w:r>
        <w:rPr>
          <w:rStyle w:val="13"/>
          <w:rFonts w:hint="eastAsia" w:ascii="宋体" w:hAnsi="宋体" w:eastAsia="宋体" w:cs="宋体"/>
          <w:b/>
          <w:bCs/>
          <w:color w:val="auto"/>
          <w:spacing w:val="0"/>
          <w:sz w:val="24"/>
          <w:szCs w:val="24"/>
          <w:highlight w:val="none"/>
        </w:rPr>
        <w:t>投标将被拒绝。</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7.3、获取地点及方式：注册账号后，通过福建省政府采购网上公开信息系统以下载方式获取。</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7.4、招标文件售价：</w:t>
      </w:r>
      <w:r>
        <w:rPr>
          <w:rFonts w:hint="default" w:ascii="Times New Roman" w:hAnsi="Times New Roman" w:cs="Times New Roman"/>
          <w:color w:val="auto"/>
          <w:spacing w:val="0"/>
          <w:sz w:val="24"/>
          <w:szCs w:val="24"/>
          <w:highlight w:val="none"/>
        </w:rPr>
        <w:t>0</w:t>
      </w:r>
      <w:r>
        <w:rPr>
          <w:rFonts w:hint="eastAsia" w:ascii="宋体" w:hAnsi="宋体" w:eastAsia="宋体" w:cs="宋体"/>
          <w:color w:val="auto"/>
          <w:spacing w:val="0"/>
          <w:sz w:val="24"/>
          <w:szCs w:val="24"/>
          <w:highlight w:val="none"/>
        </w:rPr>
        <w:t>元。</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8、投标截止</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8.1、投标截止时间：详见招标公告或更正公告，若不一致，以更正公告为准。</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8.2、投标人应在投标截止时间前按照福建省政府采购网上公开信息系统设定的操作流程将电子投标文件上传至福建省政府采购网上公开信息系统，否则</w:t>
      </w:r>
      <w:r>
        <w:rPr>
          <w:rStyle w:val="13"/>
          <w:rFonts w:hint="eastAsia" w:ascii="宋体" w:hAnsi="宋体" w:eastAsia="宋体" w:cs="宋体"/>
          <w:b/>
          <w:bCs/>
          <w:color w:val="auto"/>
          <w:spacing w:val="0"/>
          <w:sz w:val="24"/>
          <w:szCs w:val="24"/>
          <w:highlight w:val="none"/>
        </w:rPr>
        <w:t>投标将被拒绝。</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9、开标时间及地点：详见招标公告或更正公告，若不一致，以更正公告为准。</w:t>
      </w:r>
      <w:r>
        <w:rPr>
          <w:rStyle w:val="13"/>
          <w:rFonts w:hint="eastAsia" w:ascii="宋体" w:hAnsi="宋体" w:eastAsia="宋体" w:cs="宋体"/>
          <w:b/>
          <w:bCs/>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10、公告期限</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10.1、招标公告的公告期限：自财政部和福建省财政厅指定的政府采购信息发布媒体最先发布公告之日起</w:t>
      </w:r>
      <w:r>
        <w:rPr>
          <w:rFonts w:hint="default" w:ascii="Times New Roman" w:hAnsi="Times New Roman" w:cs="Times New Roman"/>
          <w:color w:val="auto"/>
          <w:spacing w:val="0"/>
          <w:sz w:val="24"/>
          <w:szCs w:val="24"/>
          <w:highlight w:val="none"/>
        </w:rPr>
        <w:t>5</w:t>
      </w:r>
      <w:r>
        <w:rPr>
          <w:rFonts w:hint="eastAsia" w:ascii="宋体" w:hAnsi="宋体" w:eastAsia="宋体" w:cs="宋体"/>
          <w:color w:val="auto"/>
          <w:spacing w:val="0"/>
          <w:sz w:val="24"/>
          <w:szCs w:val="24"/>
          <w:highlight w:val="none"/>
        </w:rPr>
        <w:t>个工作日。</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10.2、招标文件公告期限：招标文件随同招标公告一并发布，其公告期限与招标公告的公告期限保持一致。</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11、采购人：福州高新技术产业开发区综治信访中心</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地址：闽侯县上街镇科技东路3号创新园一期1号楼</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联系方法：18960932768</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12、代理机构：福建省勤思项目管理有限公司</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地址：福州市鼓楼区五四北路思儿亭天骅大厦第8层18单元</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联系方法：059183720337、13395003815</w:t>
      </w:r>
    </w:p>
    <w:p>
      <w:pPr>
        <w:pStyle w:val="11"/>
        <w:keepNext w:val="0"/>
        <w:keepLines w:val="0"/>
        <w:widowControl/>
        <w:suppressLineNumbers w:val="0"/>
        <w:spacing w:before="75" w:beforeAutospacing="0" w:after="75" w:afterAutospacing="0"/>
        <w:ind w:left="0" w:right="0" w:firstLine="0"/>
        <w:rPr>
          <w:color w:val="auto"/>
          <w:spacing w:val="0"/>
          <w:sz w:val="24"/>
          <w:szCs w:val="24"/>
          <w:highlight w:val="none"/>
        </w:rPr>
      </w:pPr>
      <w:r>
        <w:rPr>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0"/>
        <w:rPr>
          <w:color w:val="auto"/>
          <w:spacing w:val="0"/>
          <w:sz w:val="24"/>
          <w:szCs w:val="24"/>
          <w:highlight w:val="none"/>
        </w:rPr>
      </w:pPr>
    </w:p>
    <w:p>
      <w:pPr>
        <w:pStyle w:val="11"/>
        <w:keepNext w:val="0"/>
        <w:keepLines w:val="0"/>
        <w:widowControl/>
        <w:suppressLineNumbers w:val="0"/>
        <w:spacing w:before="75" w:beforeAutospacing="0" w:after="75" w:afterAutospacing="0"/>
        <w:ind w:left="0" w:right="0" w:firstLine="0"/>
        <w:rPr>
          <w:color w:val="auto"/>
          <w:spacing w:val="0"/>
          <w:sz w:val="24"/>
          <w:szCs w:val="24"/>
          <w:highlight w:val="none"/>
        </w:rPr>
      </w:pP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br w:type="textWrapping"/>
      </w:r>
      <w:r>
        <w:rPr>
          <w:rFonts w:hint="eastAsia" w:ascii="宋体" w:hAnsi="宋体" w:eastAsia="宋体" w:cs="宋体"/>
          <w:color w:val="auto"/>
          <w:spacing w:val="0"/>
          <w:sz w:val="24"/>
          <w:szCs w:val="24"/>
          <w:highlight w:val="none"/>
        </w:rPr>
        <w:t>附1：账户信息</w:t>
      </w:r>
    </w:p>
    <w:tbl>
      <w:tblPr>
        <w:tblStyle w:val="14"/>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01" w:hRule="atLeast"/>
        </w:trPr>
        <w:tc>
          <w:tcPr>
            <w:tcW w:w="8820"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rPr>
                <w:color w:val="auto"/>
                <w:highlight w:val="none"/>
              </w:rPr>
            </w:pPr>
            <w:r>
              <w:rPr>
                <w:rStyle w:val="13"/>
                <w:rFonts w:hint="eastAsia" w:ascii="宋体" w:hAnsi="宋体" w:eastAsia="宋体" w:cs="宋体"/>
                <w:b/>
                <w:bCs/>
                <w:color w:val="auto"/>
                <w:spacing w:val="0"/>
                <w:sz w:val="24"/>
                <w:szCs w:val="24"/>
                <w:highlight w:val="none"/>
              </w:rPr>
              <w:t>投标保证金账户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1" w:hRule="atLeast"/>
        </w:trPr>
        <w:tc>
          <w:tcPr>
            <w:tcW w:w="8820" w:type="dxa"/>
            <w:shd w:val="clear" w:color="auto" w:fill="auto"/>
            <w:tcMar>
              <w:top w:w="0" w:type="dxa"/>
              <w:left w:w="105" w:type="dxa"/>
              <w:bottom w:w="0" w:type="dxa"/>
              <w:right w:w="105" w:type="dxa"/>
            </w:tcMar>
            <w:vAlign w:val="top"/>
          </w:tcPr>
          <w:p>
            <w:pPr>
              <w:pStyle w:val="11"/>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开户名称：</w:t>
            </w:r>
            <w:r>
              <w:rPr>
                <w:rFonts w:hint="eastAsia" w:ascii="宋体" w:hAnsi="宋体" w:eastAsia="宋体" w:cs="宋体"/>
                <w:color w:val="auto"/>
                <w:spacing w:val="0"/>
                <w:sz w:val="24"/>
                <w:szCs w:val="24"/>
                <w:highlight w:val="none"/>
                <w:u w:val="single"/>
                <w:shd w:val="clear" w:fill="FFFFFF"/>
              </w:rPr>
              <w:t>福建省勤思项目管理有限公司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2" w:hRule="atLeast"/>
        </w:trPr>
        <w:tc>
          <w:tcPr>
            <w:tcW w:w="8820" w:type="dxa"/>
            <w:shd w:val="clear" w:color="auto" w:fill="auto"/>
            <w:tcMar>
              <w:top w:w="0" w:type="dxa"/>
              <w:left w:w="105" w:type="dxa"/>
              <w:bottom w:w="0" w:type="dxa"/>
              <w:right w:w="105" w:type="dxa"/>
            </w:tcMar>
            <w:vAlign w:val="top"/>
          </w:tcPr>
          <w:p>
            <w:pPr>
              <w:pStyle w:val="11"/>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开户银行：</w:t>
            </w:r>
            <w:r>
              <w:rPr>
                <w:rFonts w:hint="eastAsia" w:ascii="宋体" w:hAnsi="宋体" w:eastAsia="宋体" w:cs="宋体"/>
                <w:color w:val="auto"/>
                <w:spacing w:val="0"/>
                <w:sz w:val="24"/>
                <w:szCs w:val="24"/>
                <w:highlight w:val="none"/>
                <w:u w:val="none"/>
              </w:rPr>
              <w:t>供应商在福建省政府采购网上公开信息系统获取招标文件后，根据其提示自行选择要缴交的投标保证金托管银行</w:t>
            </w:r>
            <w:r>
              <w:rPr>
                <w:rFonts w:hint="eastAsia" w:ascii="宋体" w:hAnsi="宋体" w:eastAsia="宋体" w:cs="宋体"/>
                <w:color w:val="auto"/>
                <w:spacing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3" w:hRule="atLeast"/>
        </w:trPr>
        <w:tc>
          <w:tcPr>
            <w:tcW w:w="8820" w:type="dxa"/>
            <w:shd w:val="clear" w:color="auto" w:fill="auto"/>
            <w:tcMar>
              <w:top w:w="0" w:type="dxa"/>
              <w:left w:w="105" w:type="dxa"/>
              <w:bottom w:w="0" w:type="dxa"/>
              <w:right w:w="105" w:type="dxa"/>
            </w:tcMar>
            <w:vAlign w:val="top"/>
          </w:tcPr>
          <w:p>
            <w:pPr>
              <w:pStyle w:val="11"/>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银行账号：</w:t>
            </w:r>
            <w:r>
              <w:rPr>
                <w:rFonts w:hint="eastAsia" w:ascii="宋体" w:hAnsi="宋体" w:eastAsia="宋体" w:cs="宋体"/>
                <w:color w:val="auto"/>
                <w:spacing w:val="0"/>
                <w:sz w:val="24"/>
                <w:szCs w:val="24"/>
                <w:highlight w:val="none"/>
                <w:u w:val="none"/>
              </w:rPr>
              <w:t>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1" w:hRule="atLeast"/>
        </w:trPr>
        <w:tc>
          <w:tcPr>
            <w:tcW w:w="8820"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rPr>
                <w:color w:val="auto"/>
                <w:highlight w:val="none"/>
              </w:rPr>
            </w:pPr>
            <w:r>
              <w:rPr>
                <w:rStyle w:val="13"/>
                <w:rFonts w:hint="eastAsia" w:ascii="宋体" w:hAnsi="宋体" w:eastAsia="宋体" w:cs="宋体"/>
                <w:b/>
                <w:bCs/>
                <w:color w:val="auto"/>
                <w:spacing w:val="0"/>
                <w:sz w:val="24"/>
                <w:szCs w:val="24"/>
                <w:highlight w:val="none"/>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3" w:hRule="atLeast"/>
        </w:trPr>
        <w:tc>
          <w:tcPr>
            <w:tcW w:w="8820" w:type="dxa"/>
            <w:shd w:val="clear" w:color="auto" w:fill="auto"/>
            <w:tcMar>
              <w:top w:w="0" w:type="dxa"/>
              <w:left w:w="105" w:type="dxa"/>
              <w:bottom w:w="0" w:type="dxa"/>
              <w:right w:w="105" w:type="dxa"/>
            </w:tcMar>
            <w:vAlign w:val="top"/>
          </w:tcPr>
          <w:p>
            <w:pPr>
              <w:pStyle w:val="11"/>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1、投标人应认真核对账户信息，将投标保证金汇入以上账户，并自行承担因汇错投标保证金而产生的一切后果。</w:t>
            </w:r>
          </w:p>
          <w:p>
            <w:pPr>
              <w:pStyle w:val="11"/>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2、投标人在转账或电汇的凭证上应按照以下格式注明，以便核对：“（项目编号：</w:t>
            </w:r>
            <w:r>
              <w:rPr>
                <w:rFonts w:hint="default" w:ascii="Times New Roman" w:hAnsi="Times New Roman" w:cs="Times New Roman"/>
                <w:color w:val="auto"/>
                <w:spacing w:val="0"/>
                <w:sz w:val="24"/>
                <w:szCs w:val="24"/>
                <w:highlight w:val="none"/>
              </w:rPr>
              <w:t>***</w:t>
            </w:r>
            <w:r>
              <w:rPr>
                <w:rFonts w:hint="eastAsia" w:ascii="宋体" w:hAnsi="宋体" w:eastAsia="宋体" w:cs="宋体"/>
                <w:color w:val="auto"/>
                <w:spacing w:val="0"/>
                <w:sz w:val="24"/>
                <w:szCs w:val="24"/>
                <w:highlight w:val="none"/>
              </w:rPr>
              <w:t>）的投标保证金”。</w:t>
            </w:r>
          </w:p>
        </w:tc>
      </w:tr>
    </w:tbl>
    <w:p>
      <w:pPr>
        <w:pStyle w:val="11"/>
        <w:keepNext w:val="0"/>
        <w:keepLines w:val="0"/>
        <w:widowControl/>
        <w:suppressLineNumbers w:val="0"/>
        <w:spacing w:before="75" w:beforeAutospacing="0" w:after="75" w:afterAutospacing="0"/>
        <w:ind w:left="0" w:right="0" w:firstLine="0"/>
        <w:rPr>
          <w:color w:val="auto"/>
          <w:highlight w:val="none"/>
        </w:rPr>
      </w:pPr>
      <w:r>
        <w:rPr>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480"/>
        <w:rPr>
          <w:color w:val="auto"/>
          <w:highlight w:val="none"/>
        </w:rPr>
      </w:pPr>
      <w:r>
        <w:rPr>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0"/>
        <w:rPr>
          <w:color w:val="auto"/>
          <w:highlight w:val="none"/>
        </w:rPr>
      </w:pPr>
      <w:r>
        <w:rPr>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0"/>
        <w:rPr>
          <w:color w:val="auto"/>
          <w:highlight w:val="none"/>
        </w:rPr>
      </w:pPr>
      <w:r>
        <w:rPr>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附</w:t>
      </w:r>
      <w:r>
        <w:rPr>
          <w:color w:val="auto"/>
          <w:spacing w:val="0"/>
          <w:sz w:val="24"/>
          <w:szCs w:val="24"/>
          <w:highlight w:val="none"/>
        </w:rPr>
        <w:t>2</w:t>
      </w:r>
      <w:r>
        <w:rPr>
          <w:rFonts w:hint="eastAsia" w:ascii="宋体" w:hAnsi="宋体" w:eastAsia="宋体" w:cs="宋体"/>
          <w:color w:val="auto"/>
          <w:spacing w:val="0"/>
          <w:sz w:val="24"/>
          <w:szCs w:val="24"/>
          <w:highlight w:val="none"/>
        </w:rPr>
        <w:t>：采购标的一览表</w:t>
      </w:r>
    </w:p>
    <w:p>
      <w:pPr>
        <w:pStyle w:val="11"/>
        <w:keepNext w:val="0"/>
        <w:keepLines w:val="0"/>
        <w:widowControl/>
        <w:suppressLineNumbers w:val="0"/>
        <w:spacing w:before="75" w:beforeAutospacing="0" w:after="75" w:afterAutospacing="0"/>
        <w:ind w:left="0" w:right="0" w:firstLine="0"/>
        <w:rPr>
          <w:color w:val="auto"/>
          <w:highlight w:val="none"/>
        </w:rPr>
      </w:pPr>
      <w:r>
        <w:rPr>
          <w:color w:val="auto"/>
          <w:spacing w:val="0"/>
          <w:sz w:val="24"/>
          <w:szCs w:val="24"/>
          <w:highlight w:val="none"/>
        </w:rPr>
        <w:t> </w:t>
      </w:r>
    </w:p>
    <w:p>
      <w:pPr>
        <w:pStyle w:val="11"/>
        <w:keepNext w:val="0"/>
        <w:keepLines w:val="0"/>
        <w:widowControl/>
        <w:suppressLineNumbers w:val="0"/>
        <w:spacing w:before="0" w:beforeAutospacing="0" w:after="150" w:afterAutospacing="0"/>
        <w:ind w:left="0" w:right="0"/>
        <w:jc w:val="right"/>
        <w:rPr>
          <w:color w:val="auto"/>
          <w:highlight w:val="none"/>
        </w:rPr>
      </w:pPr>
      <w:r>
        <w:rPr>
          <w:rFonts w:hint="eastAsia" w:ascii="宋体" w:hAnsi="宋体" w:eastAsia="宋体" w:cs="宋体"/>
          <w:color w:val="auto"/>
          <w:highlight w:val="none"/>
        </w:rPr>
        <w:t>金额单位：人民币元</w:t>
      </w:r>
    </w:p>
    <w:tbl>
      <w:tblPr>
        <w:tblStyle w:val="14"/>
        <w:tblW w:w="820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00"/>
        <w:gridCol w:w="601"/>
        <w:gridCol w:w="603"/>
        <w:gridCol w:w="604"/>
        <w:gridCol w:w="739"/>
        <w:gridCol w:w="1362"/>
        <w:gridCol w:w="993"/>
        <w:gridCol w:w="981"/>
        <w:gridCol w:w="981"/>
        <w:gridCol w:w="73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90" w:hRule="atLeast"/>
          <w:tblHeader/>
        </w:trPr>
        <w:tc>
          <w:tcPr>
            <w:tcW w:w="60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highlight w:val="none"/>
              </w:rPr>
            </w:pPr>
            <w:r>
              <w:rPr>
                <w:rFonts w:ascii="宋体" w:hAnsi="宋体" w:eastAsia="宋体" w:cs="宋体"/>
                <w:color w:val="auto"/>
                <w:kern w:val="0"/>
                <w:sz w:val="24"/>
                <w:szCs w:val="24"/>
                <w:highlight w:val="none"/>
                <w:lang w:val="en-US" w:eastAsia="zh-CN" w:bidi="ar"/>
              </w:rPr>
              <w:t>采购包</w:t>
            </w:r>
          </w:p>
        </w:tc>
        <w:tc>
          <w:tcPr>
            <w:tcW w:w="60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highlight w:val="none"/>
              </w:rPr>
            </w:pPr>
            <w:r>
              <w:rPr>
                <w:rFonts w:ascii="宋体" w:hAnsi="宋体" w:eastAsia="宋体" w:cs="宋体"/>
                <w:color w:val="auto"/>
                <w:kern w:val="0"/>
                <w:sz w:val="24"/>
                <w:szCs w:val="24"/>
                <w:highlight w:val="none"/>
                <w:lang w:val="en-US" w:eastAsia="zh-CN" w:bidi="ar"/>
              </w:rPr>
              <w:t>品目号</w:t>
            </w:r>
          </w:p>
        </w:tc>
        <w:tc>
          <w:tcPr>
            <w:tcW w:w="60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highlight w:val="none"/>
              </w:rPr>
            </w:pPr>
            <w:r>
              <w:rPr>
                <w:rFonts w:ascii="宋体" w:hAnsi="宋体" w:eastAsia="宋体" w:cs="宋体"/>
                <w:color w:val="auto"/>
                <w:kern w:val="0"/>
                <w:sz w:val="24"/>
                <w:szCs w:val="24"/>
                <w:highlight w:val="none"/>
                <w:lang w:val="en-US" w:eastAsia="zh-CN" w:bidi="ar"/>
              </w:rPr>
              <w:t>采购标的</w:t>
            </w:r>
          </w:p>
        </w:tc>
        <w:tc>
          <w:tcPr>
            <w:tcW w:w="6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highlight w:val="none"/>
              </w:rPr>
            </w:pPr>
            <w:r>
              <w:rPr>
                <w:rFonts w:ascii="宋体" w:hAnsi="宋体" w:eastAsia="宋体" w:cs="宋体"/>
                <w:color w:val="auto"/>
                <w:kern w:val="0"/>
                <w:sz w:val="24"/>
                <w:szCs w:val="24"/>
                <w:highlight w:val="none"/>
                <w:lang w:val="en-US" w:eastAsia="zh-CN" w:bidi="ar"/>
              </w:rPr>
              <w:t>允许进口</w:t>
            </w:r>
          </w:p>
        </w:tc>
        <w:tc>
          <w:tcPr>
            <w:tcW w:w="73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highlight w:val="none"/>
              </w:rPr>
            </w:pPr>
            <w:r>
              <w:rPr>
                <w:rFonts w:ascii="宋体" w:hAnsi="宋体" w:eastAsia="宋体" w:cs="宋体"/>
                <w:color w:val="auto"/>
                <w:kern w:val="0"/>
                <w:sz w:val="24"/>
                <w:szCs w:val="24"/>
                <w:highlight w:val="none"/>
                <w:lang w:val="en-US" w:eastAsia="zh-CN" w:bidi="ar"/>
              </w:rPr>
              <w:t>数量</w:t>
            </w:r>
          </w:p>
        </w:tc>
        <w:tc>
          <w:tcPr>
            <w:tcW w:w="136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highlight w:val="none"/>
              </w:rPr>
            </w:pPr>
            <w:r>
              <w:rPr>
                <w:rFonts w:ascii="宋体" w:hAnsi="宋体" w:eastAsia="宋体" w:cs="宋体"/>
                <w:color w:val="auto"/>
                <w:kern w:val="0"/>
                <w:sz w:val="24"/>
                <w:szCs w:val="24"/>
                <w:highlight w:val="none"/>
                <w:lang w:val="en-US" w:eastAsia="zh-CN" w:bidi="ar"/>
              </w:rPr>
              <w:t>品目号预算</w:t>
            </w:r>
          </w:p>
        </w:tc>
        <w:tc>
          <w:tcPr>
            <w:tcW w:w="99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highlight w:val="none"/>
              </w:rPr>
            </w:pPr>
            <w:r>
              <w:rPr>
                <w:rFonts w:ascii="宋体" w:hAnsi="宋体" w:eastAsia="宋体" w:cs="宋体"/>
                <w:color w:val="auto"/>
                <w:kern w:val="0"/>
                <w:sz w:val="24"/>
                <w:szCs w:val="24"/>
                <w:highlight w:val="none"/>
                <w:lang w:val="en-US" w:eastAsia="zh-CN" w:bidi="ar"/>
              </w:rPr>
              <w:t>中小企业划分标准所属行业</w:t>
            </w:r>
          </w:p>
        </w:tc>
        <w:tc>
          <w:tcPr>
            <w:tcW w:w="98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highlight w:val="none"/>
              </w:rPr>
            </w:pPr>
            <w:r>
              <w:rPr>
                <w:rFonts w:ascii="宋体" w:hAnsi="宋体" w:eastAsia="宋体" w:cs="宋体"/>
                <w:color w:val="auto"/>
                <w:kern w:val="0"/>
                <w:sz w:val="24"/>
                <w:szCs w:val="24"/>
                <w:highlight w:val="none"/>
                <w:lang w:val="en-US" w:eastAsia="zh-CN" w:bidi="ar"/>
              </w:rPr>
              <w:t>采购包预算</w:t>
            </w:r>
          </w:p>
        </w:tc>
        <w:tc>
          <w:tcPr>
            <w:tcW w:w="98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highlight w:val="none"/>
              </w:rPr>
            </w:pPr>
            <w:r>
              <w:rPr>
                <w:rFonts w:ascii="宋体" w:hAnsi="宋体" w:eastAsia="宋体" w:cs="宋体"/>
                <w:color w:val="auto"/>
                <w:kern w:val="0"/>
                <w:sz w:val="24"/>
                <w:szCs w:val="24"/>
                <w:highlight w:val="none"/>
                <w:lang w:val="en-US" w:eastAsia="zh-CN" w:bidi="ar"/>
              </w:rPr>
              <w:t>采购包最高限价</w:t>
            </w:r>
          </w:p>
        </w:tc>
        <w:tc>
          <w:tcPr>
            <w:tcW w:w="73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highlight w:val="none"/>
              </w:rPr>
            </w:pPr>
            <w:r>
              <w:rPr>
                <w:rFonts w:ascii="宋体" w:hAnsi="宋体" w:eastAsia="宋体" w:cs="宋体"/>
                <w:color w:val="auto"/>
                <w:kern w:val="0"/>
                <w:sz w:val="24"/>
                <w:szCs w:val="24"/>
                <w:highlight w:val="none"/>
                <w:lang w:val="en-US" w:eastAsia="zh-CN" w:bidi="ar"/>
              </w:rPr>
              <w:t>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rPr>
        <w:tc>
          <w:tcPr>
            <w:tcW w:w="60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highlight w:val="none"/>
              </w:rPr>
            </w:pPr>
            <w:r>
              <w:rPr>
                <w:rFonts w:ascii="宋体" w:hAnsi="宋体" w:eastAsia="宋体" w:cs="宋体"/>
                <w:color w:val="auto"/>
                <w:kern w:val="0"/>
                <w:sz w:val="24"/>
                <w:szCs w:val="24"/>
                <w:highlight w:val="none"/>
                <w:lang w:val="en-US" w:eastAsia="zh-CN" w:bidi="ar"/>
              </w:rPr>
              <w:t>1</w:t>
            </w:r>
          </w:p>
        </w:tc>
        <w:tc>
          <w:tcPr>
            <w:tcW w:w="60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highlight w:val="none"/>
              </w:rPr>
            </w:pPr>
            <w:r>
              <w:rPr>
                <w:rFonts w:ascii="宋体" w:hAnsi="宋体" w:eastAsia="宋体" w:cs="宋体"/>
                <w:color w:val="auto"/>
                <w:kern w:val="0"/>
                <w:sz w:val="24"/>
                <w:szCs w:val="24"/>
                <w:highlight w:val="none"/>
                <w:lang w:val="en-US" w:eastAsia="zh-CN" w:bidi="ar"/>
              </w:rPr>
              <w:t>1-1</w:t>
            </w:r>
          </w:p>
        </w:tc>
        <w:tc>
          <w:tcPr>
            <w:tcW w:w="60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highlight w:val="none"/>
              </w:rPr>
            </w:pPr>
            <w:r>
              <w:rPr>
                <w:rFonts w:ascii="宋体" w:hAnsi="宋体" w:eastAsia="宋体" w:cs="宋体"/>
                <w:color w:val="auto"/>
                <w:kern w:val="0"/>
                <w:sz w:val="24"/>
                <w:szCs w:val="24"/>
                <w:highlight w:val="none"/>
                <w:lang w:val="en-US" w:eastAsia="zh-CN" w:bidi="ar"/>
              </w:rPr>
              <w:t>市政公共设施管理服务</w:t>
            </w:r>
          </w:p>
        </w:tc>
        <w:tc>
          <w:tcPr>
            <w:tcW w:w="6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highlight w:val="none"/>
              </w:rPr>
            </w:pPr>
            <w:r>
              <w:rPr>
                <w:rFonts w:ascii="宋体" w:hAnsi="宋体" w:eastAsia="宋体" w:cs="宋体"/>
                <w:color w:val="auto"/>
                <w:kern w:val="0"/>
                <w:sz w:val="24"/>
                <w:szCs w:val="24"/>
                <w:highlight w:val="none"/>
                <w:lang w:val="en-US" w:eastAsia="zh-CN" w:bidi="ar"/>
              </w:rPr>
              <w:t>否</w:t>
            </w:r>
          </w:p>
        </w:tc>
        <w:tc>
          <w:tcPr>
            <w:tcW w:w="73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highlight w:val="none"/>
              </w:rPr>
            </w:pPr>
            <w:r>
              <w:rPr>
                <w:rFonts w:ascii="宋体" w:hAnsi="宋体" w:eastAsia="宋体" w:cs="宋体"/>
                <w:color w:val="auto"/>
                <w:kern w:val="0"/>
                <w:sz w:val="24"/>
                <w:szCs w:val="24"/>
                <w:highlight w:val="none"/>
                <w:lang w:val="en-US" w:eastAsia="zh-CN" w:bidi="ar"/>
              </w:rPr>
              <w:t>3（年）</w:t>
            </w:r>
          </w:p>
        </w:tc>
        <w:tc>
          <w:tcPr>
            <w:tcW w:w="136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highlight w:val="none"/>
              </w:rPr>
            </w:pPr>
            <w:r>
              <w:rPr>
                <w:rFonts w:ascii="宋体" w:hAnsi="宋体" w:eastAsia="宋体" w:cs="宋体"/>
                <w:color w:val="auto"/>
                <w:kern w:val="0"/>
                <w:sz w:val="24"/>
                <w:szCs w:val="24"/>
                <w:highlight w:val="none"/>
                <w:lang w:val="en-US" w:eastAsia="zh-CN" w:bidi="ar"/>
              </w:rPr>
              <w:t>12,717,600.0000</w:t>
            </w:r>
          </w:p>
        </w:tc>
        <w:tc>
          <w:tcPr>
            <w:tcW w:w="99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highlight w:val="none"/>
              </w:rPr>
            </w:pPr>
            <w:r>
              <w:rPr>
                <w:rFonts w:ascii="宋体" w:hAnsi="宋体" w:eastAsia="宋体" w:cs="宋体"/>
                <w:color w:val="auto"/>
                <w:kern w:val="0"/>
                <w:sz w:val="24"/>
                <w:szCs w:val="24"/>
                <w:highlight w:val="none"/>
                <w:lang w:val="en-US" w:eastAsia="zh-CN" w:bidi="ar"/>
              </w:rPr>
              <w:t>软件和信息技术服务业</w:t>
            </w:r>
          </w:p>
        </w:tc>
        <w:tc>
          <w:tcPr>
            <w:tcW w:w="98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highlight w:val="none"/>
              </w:rPr>
            </w:pPr>
            <w:r>
              <w:rPr>
                <w:rFonts w:ascii="宋体" w:hAnsi="宋体" w:eastAsia="宋体" w:cs="宋体"/>
                <w:color w:val="auto"/>
                <w:kern w:val="0"/>
                <w:sz w:val="24"/>
                <w:szCs w:val="24"/>
                <w:highlight w:val="none"/>
                <w:lang w:val="en-US" w:eastAsia="zh-CN" w:bidi="ar"/>
              </w:rPr>
              <w:t>12717600</w:t>
            </w:r>
          </w:p>
        </w:tc>
        <w:tc>
          <w:tcPr>
            <w:tcW w:w="98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highlight w:val="none"/>
              </w:rPr>
            </w:pPr>
            <w:r>
              <w:rPr>
                <w:rFonts w:ascii="宋体" w:hAnsi="宋体" w:eastAsia="宋体" w:cs="宋体"/>
                <w:color w:val="auto"/>
                <w:kern w:val="0"/>
                <w:sz w:val="24"/>
                <w:szCs w:val="24"/>
                <w:highlight w:val="none"/>
                <w:lang w:val="en-US" w:eastAsia="zh-CN" w:bidi="ar"/>
              </w:rPr>
              <w:t>12717600</w:t>
            </w:r>
          </w:p>
        </w:tc>
        <w:tc>
          <w:tcPr>
            <w:tcW w:w="73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color w:val="auto"/>
                <w:highlight w:val="none"/>
              </w:rPr>
            </w:pPr>
            <w:r>
              <w:rPr>
                <w:rFonts w:ascii="宋体" w:hAnsi="宋体" w:eastAsia="宋体" w:cs="宋体"/>
                <w:color w:val="auto"/>
                <w:kern w:val="0"/>
                <w:sz w:val="24"/>
                <w:szCs w:val="24"/>
                <w:highlight w:val="none"/>
                <w:lang w:val="en-US" w:eastAsia="zh-CN" w:bidi="ar"/>
              </w:rPr>
              <w:t>127176</w:t>
            </w:r>
          </w:p>
        </w:tc>
      </w:tr>
    </w:tbl>
    <w:p>
      <w:pPr>
        <w:rPr>
          <w:rStyle w:val="13"/>
          <w:rFonts w:hint="eastAsia" w:ascii="宋体" w:hAnsi="宋体" w:eastAsia="宋体" w:cs="宋体"/>
          <w:b/>
          <w:bCs/>
          <w:color w:val="auto"/>
          <w:spacing w:val="0"/>
          <w:sz w:val="31"/>
          <w:szCs w:val="31"/>
          <w:highlight w:val="none"/>
        </w:rPr>
      </w:pPr>
      <w:r>
        <w:rPr>
          <w:rStyle w:val="13"/>
          <w:rFonts w:hint="eastAsia" w:ascii="宋体" w:hAnsi="宋体" w:eastAsia="宋体" w:cs="宋体"/>
          <w:b/>
          <w:bCs/>
          <w:color w:val="auto"/>
          <w:spacing w:val="0"/>
          <w:sz w:val="31"/>
          <w:szCs w:val="31"/>
          <w:highlight w:val="none"/>
        </w:rPr>
        <w:br w:type="page"/>
      </w:r>
    </w:p>
    <w:p>
      <w:pPr>
        <w:pStyle w:val="11"/>
        <w:keepNext w:val="0"/>
        <w:keepLines w:val="0"/>
        <w:widowControl/>
        <w:suppressLineNumbers w:val="0"/>
        <w:spacing w:before="75" w:beforeAutospacing="0" w:after="75" w:afterAutospacing="0"/>
        <w:ind w:left="0" w:right="0" w:firstLine="0"/>
        <w:jc w:val="center"/>
        <w:rPr>
          <w:color w:val="auto"/>
          <w:highlight w:val="none"/>
        </w:rPr>
      </w:pPr>
      <w:r>
        <w:rPr>
          <w:rStyle w:val="13"/>
          <w:rFonts w:hint="eastAsia" w:ascii="宋体" w:hAnsi="宋体" w:eastAsia="宋体" w:cs="宋体"/>
          <w:b/>
          <w:bCs/>
          <w:color w:val="auto"/>
          <w:spacing w:val="0"/>
          <w:sz w:val="31"/>
          <w:szCs w:val="31"/>
          <w:highlight w:val="none"/>
        </w:rPr>
        <w:t>第二章</w:t>
      </w:r>
      <w:r>
        <w:rPr>
          <w:rStyle w:val="13"/>
          <w:b/>
          <w:bCs/>
          <w:color w:val="auto"/>
          <w:spacing w:val="0"/>
          <w:sz w:val="31"/>
          <w:szCs w:val="31"/>
          <w:highlight w:val="none"/>
        </w:rPr>
        <w:t>   </w:t>
      </w:r>
      <w:r>
        <w:rPr>
          <w:rStyle w:val="13"/>
          <w:rFonts w:hint="eastAsia" w:ascii="宋体" w:hAnsi="宋体" w:eastAsia="宋体" w:cs="宋体"/>
          <w:b/>
          <w:bCs/>
          <w:color w:val="auto"/>
          <w:spacing w:val="0"/>
          <w:sz w:val="31"/>
          <w:szCs w:val="31"/>
          <w:highlight w:val="none"/>
        </w:rPr>
        <w:t>投标人须知前附表（表1、</w:t>
      </w:r>
      <w:r>
        <w:rPr>
          <w:rStyle w:val="13"/>
          <w:rFonts w:hint="default" w:ascii="Times New Roman" w:hAnsi="Times New Roman" w:cs="Times New Roman"/>
          <w:b/>
          <w:bCs/>
          <w:color w:val="auto"/>
          <w:spacing w:val="0"/>
          <w:sz w:val="31"/>
          <w:szCs w:val="31"/>
          <w:highlight w:val="none"/>
        </w:rPr>
        <w:t>2</w:t>
      </w:r>
      <w:r>
        <w:rPr>
          <w:rStyle w:val="13"/>
          <w:rFonts w:hint="eastAsia" w:ascii="宋体" w:hAnsi="宋体" w:eastAsia="宋体" w:cs="宋体"/>
          <w:b/>
          <w:bCs/>
          <w:color w:val="auto"/>
          <w:spacing w:val="0"/>
          <w:sz w:val="31"/>
          <w:szCs w:val="31"/>
          <w:highlight w:val="none"/>
        </w:rPr>
        <w:t>）</w:t>
      </w:r>
    </w:p>
    <w:p>
      <w:pPr>
        <w:pStyle w:val="11"/>
        <w:keepNext w:val="0"/>
        <w:keepLines w:val="0"/>
        <w:widowControl/>
        <w:suppressLineNumbers w:val="0"/>
        <w:spacing w:before="75" w:beforeAutospacing="0" w:after="75" w:afterAutospacing="0"/>
        <w:ind w:left="0" w:right="0" w:firstLine="0"/>
        <w:rPr>
          <w:color w:val="auto"/>
          <w:highlight w:val="none"/>
        </w:rPr>
      </w:pPr>
      <w:r>
        <w:rPr>
          <w:color w:val="auto"/>
          <w:spacing w:val="0"/>
          <w:sz w:val="24"/>
          <w:szCs w:val="24"/>
          <w:highlight w:val="none"/>
        </w:rPr>
        <w:t> </w:t>
      </w:r>
    </w:p>
    <w:p>
      <w:pPr>
        <w:pStyle w:val="11"/>
        <w:keepNext w:val="0"/>
        <w:keepLines w:val="0"/>
        <w:widowControl/>
        <w:suppressLineNumbers w:val="0"/>
        <w:spacing w:before="75" w:beforeAutospacing="0" w:after="240" w:afterAutospacing="0"/>
        <w:ind w:left="0" w:right="0" w:firstLine="0"/>
        <w:jc w:val="center"/>
        <w:rPr>
          <w:color w:val="auto"/>
          <w:highlight w:val="none"/>
        </w:rPr>
      </w:pPr>
      <w:r>
        <w:rPr>
          <w:rStyle w:val="13"/>
          <w:rFonts w:hint="eastAsia" w:ascii="宋体" w:hAnsi="宋体" w:eastAsia="宋体" w:cs="宋体"/>
          <w:b/>
          <w:bCs/>
          <w:color w:val="auto"/>
          <w:highlight w:val="none"/>
        </w:rPr>
        <w:t>一、投标人须知前附表1</w:t>
      </w:r>
    </w:p>
    <w:tbl>
      <w:tblPr>
        <w:tblStyle w:val="14"/>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557"/>
        <w:gridCol w:w="1353"/>
        <w:gridCol w:w="6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8516" w:type="dxa"/>
            <w:gridSpan w:val="3"/>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rPr>
                <w:color w:val="auto"/>
                <w:highlight w:val="none"/>
              </w:rPr>
            </w:pPr>
            <w:r>
              <w:rPr>
                <w:rStyle w:val="13"/>
                <w:rFonts w:hint="eastAsia" w:ascii="宋体" w:hAnsi="宋体" w:eastAsia="宋体" w:cs="宋体"/>
                <w:b/>
                <w:bCs/>
                <w:color w:val="auto"/>
                <w:spacing w:val="0"/>
                <w:sz w:val="24"/>
                <w:szCs w:val="24"/>
                <w:highlight w:val="none"/>
              </w:rPr>
              <w:t>特别提示：本表与招标文件对应章节的内容若不一致，以本表为准。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557"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4"/>
                <w:szCs w:val="24"/>
                <w:highlight w:val="none"/>
              </w:rPr>
              <w:t>项号</w:t>
            </w:r>
          </w:p>
        </w:tc>
        <w:tc>
          <w:tcPr>
            <w:tcW w:w="1353"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4"/>
                <w:szCs w:val="24"/>
                <w:highlight w:val="none"/>
              </w:rPr>
              <w:t>招标文件</w:t>
            </w:r>
          </w:p>
          <w:p>
            <w:pPr>
              <w:pStyle w:val="11"/>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4"/>
                <w:szCs w:val="24"/>
                <w:highlight w:val="none"/>
              </w:rPr>
              <w:t>（第三章）</w:t>
            </w:r>
          </w:p>
        </w:tc>
        <w:tc>
          <w:tcPr>
            <w:tcW w:w="6606"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557"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4"/>
                <w:szCs w:val="24"/>
                <w:highlight w:val="none"/>
              </w:rPr>
              <w:t>1</w:t>
            </w:r>
          </w:p>
        </w:tc>
        <w:tc>
          <w:tcPr>
            <w:tcW w:w="1353"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4"/>
                <w:szCs w:val="24"/>
                <w:highlight w:val="none"/>
              </w:rPr>
              <w:t>6.1</w:t>
            </w:r>
          </w:p>
        </w:tc>
        <w:tc>
          <w:tcPr>
            <w:tcW w:w="6606"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rPr>
                <w:color w:val="auto"/>
                <w:highlight w:val="none"/>
              </w:rPr>
            </w:pPr>
            <w:r>
              <w:rPr>
                <w:rStyle w:val="13"/>
                <w:rFonts w:hint="eastAsia" w:ascii="宋体" w:hAnsi="宋体" w:eastAsia="宋体" w:cs="宋体"/>
                <w:b/>
                <w:bCs/>
                <w:color w:val="auto"/>
                <w:spacing w:val="0"/>
                <w:sz w:val="24"/>
                <w:szCs w:val="24"/>
                <w:highlight w:val="none"/>
              </w:rPr>
              <w:t>是否组织现场考察或召开开标前答疑会：</w:t>
            </w:r>
            <w:r>
              <w:rPr>
                <w:rFonts w:hint="eastAsia" w:ascii="宋体" w:hAnsi="宋体" w:eastAsia="宋体" w:cs="宋体"/>
                <w:color w:val="auto"/>
                <w:spacing w:val="0"/>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557" w:type="dxa"/>
            <w:shd w:val="clear" w:color="auto" w:fill="auto"/>
            <w:tcMar>
              <w:top w:w="0" w:type="dxa"/>
              <w:left w:w="105" w:type="dxa"/>
              <w:bottom w:w="0" w:type="dxa"/>
              <w:right w:w="105" w:type="dxa"/>
            </w:tcMar>
            <w:vAlign w:val="center"/>
          </w:tcPr>
          <w:p>
            <w:pPr>
              <w:pStyle w:val="11"/>
              <w:keepNext w:val="0"/>
              <w:keepLines w:val="0"/>
              <w:widowControl/>
              <w:suppressLineNumbers w:val="0"/>
              <w:wordWrap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4"/>
                <w:szCs w:val="24"/>
                <w:highlight w:val="none"/>
              </w:rPr>
              <w:t>2</w:t>
            </w:r>
          </w:p>
        </w:tc>
        <w:tc>
          <w:tcPr>
            <w:tcW w:w="1353"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4"/>
                <w:szCs w:val="24"/>
                <w:highlight w:val="none"/>
              </w:rPr>
              <w:t>10.4</w:t>
            </w:r>
          </w:p>
        </w:tc>
        <w:tc>
          <w:tcPr>
            <w:tcW w:w="6606" w:type="dxa"/>
            <w:shd w:val="clear" w:color="auto" w:fill="auto"/>
            <w:tcMar>
              <w:top w:w="0" w:type="dxa"/>
              <w:left w:w="105" w:type="dxa"/>
              <w:bottom w:w="0" w:type="dxa"/>
              <w:right w:w="105" w:type="dxa"/>
            </w:tcMar>
            <w:vAlign w:val="center"/>
          </w:tcPr>
          <w:p>
            <w:pPr>
              <w:pStyle w:val="11"/>
              <w:keepNext w:val="0"/>
              <w:keepLines w:val="0"/>
              <w:widowControl/>
              <w:suppressLineNumbers w:val="0"/>
              <w:wordWrap w:val="0"/>
              <w:spacing w:before="0" w:beforeAutospacing="0" w:after="0" w:afterAutospacing="0"/>
              <w:ind w:left="0" w:right="0"/>
              <w:rPr>
                <w:color w:val="auto"/>
                <w:highlight w:val="none"/>
              </w:rPr>
            </w:pPr>
            <w:r>
              <w:rPr>
                <w:rStyle w:val="13"/>
                <w:rFonts w:hint="eastAsia" w:ascii="宋体" w:hAnsi="宋体" w:eastAsia="宋体" w:cs="宋体"/>
                <w:b/>
                <w:bCs/>
                <w:color w:val="auto"/>
                <w:spacing w:val="0"/>
                <w:sz w:val="24"/>
                <w:szCs w:val="24"/>
                <w:highlight w:val="none"/>
              </w:rPr>
              <w:t>投标文件的份数：</w:t>
            </w:r>
          </w:p>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（1）可读介质（光盘或</w:t>
            </w:r>
            <w:r>
              <w:rPr>
                <w:rFonts w:hint="default" w:ascii="Times New Roman" w:hAnsi="Times New Roman" w:cs="Times New Roman"/>
                <w:color w:val="auto"/>
                <w:spacing w:val="0"/>
                <w:sz w:val="24"/>
                <w:szCs w:val="24"/>
                <w:highlight w:val="none"/>
              </w:rPr>
              <w:t>U</w:t>
            </w:r>
            <w:r>
              <w:rPr>
                <w:rFonts w:hint="eastAsia" w:ascii="宋体" w:hAnsi="宋体" w:eastAsia="宋体" w:cs="宋体"/>
                <w:color w:val="auto"/>
                <w:spacing w:val="0"/>
                <w:sz w:val="24"/>
                <w:szCs w:val="24"/>
                <w:highlight w:val="none"/>
              </w:rPr>
              <w:t>盘）</w:t>
            </w:r>
            <w:r>
              <w:rPr>
                <w:rFonts w:hint="eastAsia" w:ascii="宋体" w:hAnsi="宋体" w:eastAsia="宋体" w:cs="宋体"/>
                <w:color w:val="auto"/>
                <w:spacing w:val="0"/>
                <w:sz w:val="24"/>
                <w:szCs w:val="24"/>
                <w:highlight w:val="none"/>
                <w:u w:val="single"/>
              </w:rPr>
              <w:t>1</w:t>
            </w:r>
            <w:r>
              <w:rPr>
                <w:rFonts w:hint="eastAsia" w:ascii="宋体" w:hAnsi="宋体" w:eastAsia="宋体" w:cs="宋体"/>
                <w:color w:val="auto"/>
                <w:spacing w:val="0"/>
                <w:sz w:val="24"/>
                <w:szCs w:val="24"/>
                <w:highlight w:val="none"/>
              </w:rPr>
              <w:t>份：投标人应将其上传至福建省政府采购网上公开信息系统的电子投标文件在该可读介质中另存</w:t>
            </w:r>
            <w:r>
              <w:rPr>
                <w:rFonts w:hint="eastAsia" w:ascii="宋体" w:hAnsi="宋体" w:eastAsia="宋体" w:cs="宋体"/>
                <w:color w:val="auto"/>
                <w:spacing w:val="0"/>
                <w:sz w:val="24"/>
                <w:szCs w:val="24"/>
                <w:highlight w:val="none"/>
                <w:u w:val="single"/>
              </w:rPr>
              <w:t>1</w:t>
            </w:r>
            <w:r>
              <w:rPr>
                <w:rFonts w:hint="eastAsia" w:ascii="宋体" w:hAnsi="宋体" w:eastAsia="宋体" w:cs="宋体"/>
                <w:color w:val="auto"/>
                <w:spacing w:val="0"/>
                <w:sz w:val="24"/>
                <w:szCs w:val="24"/>
                <w:highlight w:val="none"/>
              </w:rPr>
              <w:t>份。</w:t>
            </w:r>
          </w:p>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（2）电子投标文件：详见投标人须知前附表2《关于电子招标投标活动的专门规定》。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557" w:type="dxa"/>
            <w:shd w:val="clear" w:color="auto" w:fill="auto"/>
            <w:tcMar>
              <w:top w:w="0" w:type="dxa"/>
              <w:left w:w="105" w:type="dxa"/>
              <w:bottom w:w="0" w:type="dxa"/>
              <w:right w:w="105" w:type="dxa"/>
            </w:tcMar>
            <w:vAlign w:val="center"/>
          </w:tcPr>
          <w:p>
            <w:pPr>
              <w:keepNext w:val="0"/>
              <w:keepLines w:val="0"/>
              <w:widowControl/>
              <w:suppressLineNumbers w:val="0"/>
              <w:wordWrap w:val="0"/>
              <w:jc w:val="center"/>
              <w:rPr>
                <w:color w:val="auto"/>
                <w:highlight w:val="none"/>
              </w:rPr>
            </w:pPr>
            <w:r>
              <w:rPr>
                <w:rFonts w:hint="eastAsia" w:ascii="宋体" w:hAnsi="宋体" w:eastAsia="宋体" w:cs="宋体"/>
                <w:color w:val="auto"/>
                <w:kern w:val="0"/>
                <w:sz w:val="24"/>
                <w:szCs w:val="24"/>
                <w:highlight w:val="none"/>
                <w:lang w:val="en-US" w:eastAsia="zh-CN" w:bidi="ar"/>
              </w:rPr>
              <w:t>3</w:t>
            </w:r>
          </w:p>
        </w:tc>
        <w:tc>
          <w:tcPr>
            <w:tcW w:w="1353"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 10.7-（</w:t>
            </w:r>
            <w:r>
              <w:rPr>
                <w:rFonts w:hint="default" w:ascii="Times New Roman" w:hAnsi="Times New Roman" w:cs="Times New Roman"/>
                <w:color w:val="auto"/>
                <w:spacing w:val="0"/>
                <w:sz w:val="24"/>
                <w:szCs w:val="24"/>
                <w:highlight w:val="none"/>
              </w:rPr>
              <w:t>1</w:t>
            </w:r>
            <w:r>
              <w:rPr>
                <w:rFonts w:hint="eastAsia" w:ascii="宋体" w:hAnsi="宋体" w:eastAsia="宋体" w:cs="宋体"/>
                <w:color w:val="auto"/>
                <w:spacing w:val="0"/>
                <w:sz w:val="24"/>
                <w:szCs w:val="24"/>
                <w:highlight w:val="none"/>
              </w:rPr>
              <w:t>）</w:t>
            </w:r>
          </w:p>
        </w:tc>
        <w:tc>
          <w:tcPr>
            <w:tcW w:w="6606"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rPr>
                <w:color w:val="auto"/>
                <w:highlight w:val="none"/>
              </w:rPr>
            </w:pPr>
            <w:r>
              <w:rPr>
                <w:rStyle w:val="13"/>
                <w:rFonts w:hint="eastAsia" w:ascii="宋体" w:hAnsi="宋体" w:eastAsia="宋体" w:cs="宋体"/>
                <w:b/>
                <w:bCs/>
                <w:color w:val="auto"/>
                <w:spacing w:val="0"/>
                <w:sz w:val="24"/>
                <w:szCs w:val="24"/>
                <w:highlight w:val="none"/>
              </w:rPr>
              <w:t>是否允许中标人将本项目的非主体、非关键性工作进行分包：</w:t>
            </w:r>
          </w:p>
          <w:p>
            <w:pPr>
              <w:pStyle w:val="11"/>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557" w:type="dxa"/>
            <w:shd w:val="clear" w:color="auto" w:fill="auto"/>
            <w:tcMar>
              <w:top w:w="0" w:type="dxa"/>
              <w:left w:w="105" w:type="dxa"/>
              <w:bottom w:w="0" w:type="dxa"/>
              <w:right w:w="105" w:type="dxa"/>
            </w:tcMar>
            <w:vAlign w:val="center"/>
          </w:tcPr>
          <w:p>
            <w:pPr>
              <w:pStyle w:val="11"/>
              <w:keepNext w:val="0"/>
              <w:keepLines w:val="0"/>
              <w:widowControl/>
              <w:suppressLineNumbers w:val="0"/>
              <w:wordWrap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4"/>
                <w:szCs w:val="24"/>
                <w:highlight w:val="none"/>
              </w:rPr>
              <w:t>4</w:t>
            </w:r>
          </w:p>
        </w:tc>
        <w:tc>
          <w:tcPr>
            <w:tcW w:w="1353"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4"/>
                <w:szCs w:val="24"/>
                <w:highlight w:val="none"/>
              </w:rPr>
              <w:t>10.8-（</w:t>
            </w:r>
            <w:r>
              <w:rPr>
                <w:rFonts w:ascii="Calibri" w:hAnsi="Calibri" w:cs="Calibri"/>
                <w:color w:val="auto"/>
                <w:spacing w:val="0"/>
                <w:sz w:val="24"/>
                <w:szCs w:val="24"/>
                <w:highlight w:val="none"/>
              </w:rPr>
              <w:t>1</w:t>
            </w:r>
            <w:r>
              <w:rPr>
                <w:rFonts w:hint="eastAsia" w:ascii="宋体" w:hAnsi="宋体" w:eastAsia="宋体" w:cs="宋体"/>
                <w:color w:val="auto"/>
                <w:spacing w:val="0"/>
                <w:sz w:val="24"/>
                <w:szCs w:val="24"/>
                <w:highlight w:val="none"/>
              </w:rPr>
              <w:t>）</w:t>
            </w:r>
          </w:p>
        </w:tc>
        <w:tc>
          <w:tcPr>
            <w:tcW w:w="6606"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rPr>
                <w:color w:val="auto"/>
                <w:highlight w:val="none"/>
              </w:rPr>
            </w:pPr>
            <w:r>
              <w:rPr>
                <w:rStyle w:val="13"/>
                <w:rFonts w:hint="eastAsia" w:ascii="宋体" w:hAnsi="宋体" w:eastAsia="宋体" w:cs="宋体"/>
                <w:b/>
                <w:bCs/>
                <w:color w:val="auto"/>
                <w:spacing w:val="0"/>
                <w:sz w:val="24"/>
                <w:szCs w:val="24"/>
                <w:highlight w:val="none"/>
              </w:rPr>
              <w:t>投标有效期</w:t>
            </w:r>
            <w:r>
              <w:rPr>
                <w:rFonts w:hint="eastAsia" w:ascii="宋体" w:hAnsi="宋体" w:eastAsia="宋体" w:cs="宋体"/>
                <w:color w:val="auto"/>
                <w:spacing w:val="0"/>
                <w:sz w:val="24"/>
                <w:szCs w:val="24"/>
                <w:highlight w:val="none"/>
              </w:rPr>
              <w:t>：投标截止时间起90个日历日。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557" w:type="dxa"/>
            <w:shd w:val="clear" w:color="auto" w:fill="auto"/>
            <w:tcMar>
              <w:top w:w="0" w:type="dxa"/>
              <w:left w:w="105" w:type="dxa"/>
              <w:bottom w:w="0" w:type="dxa"/>
              <w:right w:w="105" w:type="dxa"/>
            </w:tcMar>
            <w:vAlign w:val="center"/>
          </w:tcPr>
          <w:p>
            <w:pPr>
              <w:pStyle w:val="11"/>
              <w:keepNext w:val="0"/>
              <w:keepLines w:val="0"/>
              <w:widowControl/>
              <w:suppressLineNumbers w:val="0"/>
              <w:wordWrap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4"/>
                <w:szCs w:val="24"/>
                <w:highlight w:val="none"/>
              </w:rPr>
              <w:t>5</w:t>
            </w:r>
          </w:p>
        </w:tc>
        <w:tc>
          <w:tcPr>
            <w:tcW w:w="1353"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4"/>
                <w:szCs w:val="24"/>
                <w:highlight w:val="none"/>
              </w:rPr>
              <w:t>12.1</w:t>
            </w:r>
          </w:p>
        </w:tc>
        <w:tc>
          <w:tcPr>
            <w:tcW w:w="6606"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本项目推荐项目包1中标候选人数为1家。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557" w:type="dxa"/>
            <w:shd w:val="clear" w:color="auto" w:fill="auto"/>
            <w:tcMar>
              <w:top w:w="75" w:type="dxa"/>
              <w:left w:w="150" w:type="dxa"/>
              <w:bottom w:w="75" w:type="dxa"/>
              <w:right w:w="150" w:type="dxa"/>
            </w:tcMar>
            <w:vAlign w:val="center"/>
          </w:tcPr>
          <w:p>
            <w:pPr>
              <w:pStyle w:val="11"/>
              <w:keepNext w:val="0"/>
              <w:keepLines w:val="0"/>
              <w:widowControl/>
              <w:suppressLineNumbers w:val="0"/>
              <w:wordWrap w:val="0"/>
              <w:spacing w:before="0" w:beforeAutospacing="0" w:after="0" w:afterAutospacing="0"/>
              <w:ind w:left="0" w:right="0" w:firstLine="0"/>
              <w:rPr>
                <w:color w:val="auto"/>
                <w:highlight w:val="none"/>
              </w:rPr>
            </w:pPr>
            <w:r>
              <w:rPr>
                <w:color w:val="auto"/>
                <w:spacing w:val="0"/>
                <w:sz w:val="24"/>
                <w:szCs w:val="24"/>
                <w:highlight w:val="none"/>
              </w:rPr>
              <w:t>  </w:t>
            </w:r>
            <w:r>
              <w:rPr>
                <w:rFonts w:hint="eastAsia" w:ascii="宋体" w:hAnsi="宋体" w:eastAsia="宋体" w:cs="宋体"/>
                <w:color w:val="auto"/>
                <w:spacing w:val="0"/>
                <w:sz w:val="24"/>
                <w:szCs w:val="24"/>
                <w:highlight w:val="none"/>
              </w:rPr>
              <w:t>6</w:t>
            </w:r>
          </w:p>
        </w:tc>
        <w:tc>
          <w:tcPr>
            <w:tcW w:w="1353" w:type="dxa"/>
            <w:shd w:val="clear" w:color="auto" w:fill="auto"/>
            <w:tcMar>
              <w:top w:w="75" w:type="dxa"/>
              <w:left w:w="150" w:type="dxa"/>
              <w:bottom w:w="75" w:type="dxa"/>
              <w:right w:w="150" w:type="dxa"/>
            </w:tcMar>
            <w:vAlign w:val="center"/>
          </w:tcPr>
          <w:p>
            <w:pPr>
              <w:pStyle w:val="11"/>
              <w:keepNext w:val="0"/>
              <w:keepLines w:val="0"/>
              <w:widowControl/>
              <w:suppressLineNumbers w:val="0"/>
              <w:wordWrap w:val="0"/>
              <w:spacing w:before="0" w:beforeAutospacing="0" w:after="0" w:afterAutospacing="0"/>
              <w:ind w:left="0" w:right="0" w:firstLine="0"/>
              <w:rPr>
                <w:color w:val="auto"/>
                <w:highlight w:val="none"/>
              </w:rPr>
            </w:pPr>
            <w:r>
              <w:rPr>
                <w:color w:val="auto"/>
                <w:spacing w:val="0"/>
                <w:sz w:val="24"/>
                <w:szCs w:val="24"/>
                <w:highlight w:val="none"/>
              </w:rPr>
              <w:t>       </w:t>
            </w:r>
            <w:r>
              <w:rPr>
                <w:rFonts w:hint="eastAsia" w:ascii="宋体" w:hAnsi="宋体" w:eastAsia="宋体" w:cs="宋体"/>
                <w:color w:val="auto"/>
                <w:spacing w:val="0"/>
                <w:sz w:val="24"/>
                <w:szCs w:val="24"/>
                <w:highlight w:val="none"/>
              </w:rPr>
              <w:t>12.2</w:t>
            </w:r>
          </w:p>
        </w:tc>
        <w:tc>
          <w:tcPr>
            <w:tcW w:w="6606" w:type="dxa"/>
            <w:shd w:val="clear" w:color="auto" w:fill="auto"/>
            <w:tcMar>
              <w:top w:w="75" w:type="dxa"/>
              <w:left w:w="150" w:type="dxa"/>
              <w:bottom w:w="75" w:type="dxa"/>
              <w:right w:w="150" w:type="dxa"/>
            </w:tcMar>
            <w:vAlign w:val="center"/>
          </w:tcPr>
          <w:p>
            <w:pPr>
              <w:pStyle w:val="11"/>
              <w:keepNext w:val="0"/>
              <w:keepLines w:val="0"/>
              <w:widowControl/>
              <w:suppressLineNumbers w:val="0"/>
              <w:wordWrap w:val="0"/>
              <w:spacing w:before="0" w:beforeAutospacing="0" w:after="0" w:afterAutospacing="0"/>
              <w:ind w:left="0" w:right="0" w:firstLine="0"/>
              <w:rPr>
                <w:color w:val="auto"/>
                <w:highlight w:val="none"/>
              </w:rPr>
            </w:pPr>
            <w:r>
              <w:rPr>
                <w:rStyle w:val="13"/>
                <w:rFonts w:hint="eastAsia" w:ascii="宋体" w:hAnsi="宋体" w:eastAsia="宋体" w:cs="宋体"/>
                <w:b/>
                <w:bCs/>
                <w:color w:val="auto"/>
                <w:spacing w:val="0"/>
                <w:sz w:val="24"/>
                <w:szCs w:val="24"/>
                <w:highlight w:val="none"/>
              </w:rPr>
              <w:t>本项目中标人的确定（以采购包为单位）：</w:t>
            </w:r>
          </w:p>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（1）采购人应在政府采购招投标管理办法规定的时限内确定中标人。</w:t>
            </w:r>
          </w:p>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（2）若出现中标候选人并列情形，则按照下列方式确定中标人：</w:t>
            </w:r>
          </w:p>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①招标文件规定的方式：</w:t>
            </w:r>
            <w:r>
              <w:rPr>
                <w:color w:val="auto"/>
                <w:spacing w:val="0"/>
                <w:sz w:val="24"/>
                <w:szCs w:val="24"/>
                <w:highlight w:val="none"/>
              </w:rPr>
              <w:t>投标文件满足招标文件全部实质性要求，按技术项（F2）得分高的投标人将被排序在前；若前者仍相同的，则在有关监督人员的监督下采用随机抽取方法确定。</w:t>
            </w:r>
            <w:r>
              <w:rPr>
                <w:rFonts w:hint="eastAsia" w:ascii="宋体" w:hAnsi="宋体" w:eastAsia="宋体" w:cs="宋体"/>
                <w:color w:val="auto"/>
                <w:spacing w:val="0"/>
                <w:sz w:val="24"/>
                <w:szCs w:val="24"/>
                <w:highlight w:val="none"/>
              </w:rPr>
              <w:t>。</w:t>
            </w:r>
          </w:p>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②若本款第①点规定方式为“无”，则按照下列方式确定：无。。</w:t>
            </w:r>
          </w:p>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③若本款第①、②点规定方式均为“无”，则按照下列方式确定：随机抽取。</w:t>
            </w:r>
          </w:p>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（3）本项目确定的中标人家数：</w:t>
            </w:r>
            <w:r>
              <w:rPr>
                <w:rFonts w:hint="eastAsia" w:ascii="宋体" w:hAnsi="宋体" w:eastAsia="宋体" w:cs="宋体"/>
                <w:color w:val="auto"/>
                <w:spacing w:val="0"/>
                <w:highlight w:val="none"/>
              </w:rPr>
              <w:t>本项目确定项目包1中标人数为1家；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557" w:type="dxa"/>
            <w:shd w:val="clear" w:color="auto" w:fill="auto"/>
            <w:tcMar>
              <w:top w:w="0" w:type="dxa"/>
              <w:left w:w="0" w:type="dxa"/>
              <w:bottom w:w="0" w:type="dxa"/>
              <w:right w:w="0" w:type="dxa"/>
            </w:tcMar>
            <w:vAlign w:val="center"/>
          </w:tcPr>
          <w:p>
            <w:pPr>
              <w:keepNext w:val="0"/>
              <w:keepLines w:val="0"/>
              <w:widowControl/>
              <w:suppressLineNumbers w:val="0"/>
              <w:wordWrap w:val="0"/>
              <w:jc w:val="left"/>
              <w:rPr>
                <w:color w:val="auto"/>
                <w:highlight w:val="none"/>
              </w:rPr>
            </w:pPr>
            <w:r>
              <w:rPr>
                <w:rFonts w:hint="eastAsia" w:ascii="宋体" w:hAnsi="宋体" w:eastAsia="宋体" w:cs="宋体"/>
                <w:color w:val="auto"/>
                <w:kern w:val="0"/>
                <w:sz w:val="24"/>
                <w:szCs w:val="24"/>
                <w:highlight w:val="none"/>
                <w:lang w:val="en-US" w:eastAsia="zh-CN" w:bidi="ar"/>
              </w:rPr>
              <w:t>7</w:t>
            </w:r>
          </w:p>
        </w:tc>
        <w:tc>
          <w:tcPr>
            <w:tcW w:w="1353" w:type="dxa"/>
            <w:shd w:val="clear" w:color="auto" w:fill="auto"/>
            <w:tcMar>
              <w:top w:w="0" w:type="dxa"/>
              <w:left w:w="0" w:type="dxa"/>
              <w:bottom w:w="0" w:type="dxa"/>
              <w:right w:w="0" w:type="dxa"/>
            </w:tcMar>
            <w:vAlign w:val="center"/>
          </w:tcPr>
          <w:p>
            <w:pPr>
              <w:keepNext w:val="0"/>
              <w:keepLines w:val="0"/>
              <w:widowControl/>
              <w:suppressLineNumbers w:val="0"/>
              <w:wordWrap w:val="0"/>
              <w:jc w:val="left"/>
              <w:rPr>
                <w:color w:val="auto"/>
                <w:highlight w:val="none"/>
              </w:rPr>
            </w:pPr>
            <w:r>
              <w:rPr>
                <w:rFonts w:hint="eastAsia" w:ascii="宋体" w:hAnsi="宋体" w:eastAsia="宋体" w:cs="宋体"/>
                <w:color w:val="auto"/>
                <w:spacing w:val="0"/>
                <w:kern w:val="0"/>
                <w:sz w:val="24"/>
                <w:szCs w:val="24"/>
                <w:highlight w:val="none"/>
                <w:lang w:val="en-US" w:eastAsia="zh-CN" w:bidi="ar"/>
              </w:rPr>
              <w:t>13.2</w:t>
            </w:r>
          </w:p>
        </w:tc>
        <w:tc>
          <w:tcPr>
            <w:tcW w:w="6606" w:type="dxa"/>
            <w:shd w:val="clear" w:color="auto" w:fill="auto"/>
            <w:tcMar>
              <w:top w:w="0" w:type="dxa"/>
              <w:left w:w="0" w:type="dxa"/>
              <w:bottom w:w="0" w:type="dxa"/>
              <w:right w:w="0" w:type="dxa"/>
            </w:tcMar>
            <w:vAlign w:val="center"/>
          </w:tcPr>
          <w:p>
            <w:pPr>
              <w:keepNext w:val="0"/>
              <w:keepLines w:val="0"/>
              <w:widowControl/>
              <w:suppressLineNumbers w:val="0"/>
              <w:wordWrap w:val="0"/>
              <w:jc w:val="left"/>
              <w:rPr>
                <w:color w:val="auto"/>
                <w:highlight w:val="none"/>
              </w:rPr>
            </w:pPr>
            <w:r>
              <w:rPr>
                <w:rStyle w:val="13"/>
                <w:rFonts w:hint="eastAsia" w:ascii="宋体" w:hAnsi="宋体" w:eastAsia="宋体" w:cs="宋体"/>
                <w:b/>
                <w:bCs/>
                <w:color w:val="auto"/>
                <w:spacing w:val="0"/>
                <w:kern w:val="0"/>
                <w:sz w:val="24"/>
                <w:szCs w:val="24"/>
                <w:highlight w:val="none"/>
                <w:lang w:val="en-US" w:eastAsia="zh-CN" w:bidi="ar"/>
              </w:rPr>
              <w:t>合同签订时限：</w:t>
            </w:r>
            <w:r>
              <w:rPr>
                <w:rFonts w:ascii="宋体" w:hAnsi="宋体" w:eastAsia="宋体" w:cs="宋体"/>
                <w:color w:val="auto"/>
                <w:kern w:val="0"/>
                <w:sz w:val="24"/>
                <w:szCs w:val="24"/>
                <w:highlight w:val="none"/>
                <w:lang w:val="en-US" w:eastAsia="zh-CN" w:bidi="ar"/>
              </w:rPr>
              <w:t>自中标通知书发出之日起30个日历日内。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557" w:type="dxa"/>
            <w:shd w:val="clear" w:color="auto" w:fill="auto"/>
            <w:tcMar>
              <w:top w:w="0" w:type="dxa"/>
              <w:left w:w="105" w:type="dxa"/>
              <w:bottom w:w="0" w:type="dxa"/>
              <w:right w:w="105" w:type="dxa"/>
            </w:tcMar>
            <w:vAlign w:val="center"/>
          </w:tcPr>
          <w:p>
            <w:pPr>
              <w:pStyle w:val="11"/>
              <w:keepNext w:val="0"/>
              <w:keepLines w:val="0"/>
              <w:widowControl/>
              <w:suppressLineNumbers w:val="0"/>
              <w:wordWrap w:val="0"/>
              <w:spacing w:before="0" w:beforeAutospacing="0" w:after="0" w:afterAutospacing="0"/>
              <w:ind w:left="0" w:right="0"/>
              <w:jc w:val="center"/>
              <w:rPr>
                <w:color w:val="auto"/>
                <w:highlight w:val="none"/>
              </w:rPr>
            </w:pPr>
            <w:r>
              <w:rPr>
                <w:rFonts w:hint="eastAsia" w:ascii="宋体" w:hAnsi="宋体" w:eastAsia="宋体" w:cs="宋体"/>
                <w:color w:val="auto"/>
                <w:highlight w:val="none"/>
              </w:rPr>
              <w:t>8</w:t>
            </w:r>
          </w:p>
        </w:tc>
        <w:tc>
          <w:tcPr>
            <w:tcW w:w="1353"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 15.1-（</w:t>
            </w:r>
            <w:r>
              <w:rPr>
                <w:rFonts w:hint="default" w:ascii="Times New Roman" w:hAnsi="Times New Roman" w:cs="Times New Roman"/>
                <w:color w:val="auto"/>
                <w:spacing w:val="0"/>
                <w:sz w:val="24"/>
                <w:szCs w:val="24"/>
                <w:highlight w:val="none"/>
              </w:rPr>
              <w:t>2</w:t>
            </w:r>
            <w:r>
              <w:rPr>
                <w:rFonts w:hint="eastAsia" w:ascii="宋体" w:hAnsi="宋体" w:eastAsia="宋体" w:cs="宋体"/>
                <w:color w:val="auto"/>
                <w:spacing w:val="0"/>
                <w:sz w:val="24"/>
                <w:szCs w:val="24"/>
                <w:highlight w:val="none"/>
              </w:rPr>
              <w:t>）</w:t>
            </w:r>
          </w:p>
        </w:tc>
        <w:tc>
          <w:tcPr>
            <w:tcW w:w="6606" w:type="dxa"/>
            <w:shd w:val="clear" w:color="auto" w:fill="auto"/>
            <w:tcMar>
              <w:top w:w="0" w:type="dxa"/>
              <w:left w:w="105" w:type="dxa"/>
              <w:bottom w:w="0" w:type="dxa"/>
              <w:right w:w="105" w:type="dxa"/>
            </w:tcMar>
            <w:vAlign w:val="center"/>
          </w:tcPr>
          <w:p>
            <w:pPr>
              <w:pStyle w:val="11"/>
              <w:keepNext w:val="0"/>
              <w:keepLines w:val="0"/>
              <w:widowControl/>
              <w:suppressLineNumbers w:val="0"/>
              <w:wordWrap w:val="0"/>
              <w:spacing w:before="0" w:beforeAutospacing="0" w:after="0" w:afterAutospacing="0"/>
              <w:ind w:left="0" w:right="0"/>
              <w:rPr>
                <w:color w:val="auto"/>
                <w:highlight w:val="none"/>
              </w:rPr>
            </w:pPr>
            <w:r>
              <w:rPr>
                <w:rStyle w:val="13"/>
                <w:rFonts w:hint="eastAsia" w:ascii="宋体" w:hAnsi="宋体" w:eastAsia="宋体" w:cs="宋体"/>
                <w:b/>
                <w:bCs/>
                <w:color w:val="auto"/>
                <w:spacing w:val="0"/>
                <w:sz w:val="24"/>
                <w:szCs w:val="24"/>
                <w:highlight w:val="none"/>
              </w:rPr>
              <w:t>质疑函原件应采用下列方式提交：</w:t>
            </w:r>
            <w:r>
              <w:rPr>
                <w:rFonts w:hint="eastAsia" w:ascii="宋体" w:hAnsi="宋体" w:eastAsia="宋体" w:cs="宋体"/>
                <w:color w:val="auto"/>
                <w:spacing w:val="0"/>
                <w:sz w:val="24"/>
                <w:szCs w:val="24"/>
                <w:highlight w:val="none"/>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557" w:type="dxa"/>
            <w:shd w:val="clear" w:color="auto" w:fill="auto"/>
            <w:tcMar>
              <w:top w:w="0" w:type="dxa"/>
              <w:left w:w="105" w:type="dxa"/>
              <w:bottom w:w="0" w:type="dxa"/>
              <w:right w:w="105" w:type="dxa"/>
            </w:tcMar>
            <w:vAlign w:val="center"/>
          </w:tcPr>
          <w:p>
            <w:pPr>
              <w:pStyle w:val="11"/>
              <w:keepNext w:val="0"/>
              <w:keepLines w:val="0"/>
              <w:widowControl/>
              <w:suppressLineNumbers w:val="0"/>
              <w:wordWrap w:val="0"/>
              <w:spacing w:before="0" w:beforeAutospacing="0" w:after="0" w:afterAutospacing="0"/>
              <w:ind w:left="0" w:right="0"/>
              <w:jc w:val="center"/>
              <w:rPr>
                <w:color w:val="auto"/>
                <w:highlight w:val="none"/>
              </w:rPr>
            </w:pPr>
            <w:r>
              <w:rPr>
                <w:rFonts w:hint="eastAsia" w:ascii="宋体" w:hAnsi="宋体" w:eastAsia="宋体" w:cs="宋体"/>
                <w:color w:val="auto"/>
                <w:highlight w:val="none"/>
              </w:rPr>
              <w:t>9</w:t>
            </w:r>
          </w:p>
        </w:tc>
        <w:tc>
          <w:tcPr>
            <w:tcW w:w="1353"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 </w:t>
            </w:r>
          </w:p>
          <w:p>
            <w:pPr>
              <w:pStyle w:val="11"/>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   15.4</w:t>
            </w:r>
          </w:p>
          <w:p>
            <w:pPr>
              <w:pStyle w:val="11"/>
              <w:keepNext w:val="0"/>
              <w:keepLines w:val="0"/>
              <w:widowControl/>
              <w:suppressLineNumbers w:val="0"/>
              <w:spacing w:before="0" w:beforeAutospacing="0" w:after="0" w:afterAutospacing="0"/>
              <w:ind w:left="0" w:right="0"/>
              <w:rPr>
                <w:color w:val="auto"/>
                <w:highlight w:val="none"/>
              </w:rPr>
            </w:pPr>
            <w:r>
              <w:rPr>
                <w:rFonts w:hint="default" w:ascii="Calibri" w:hAnsi="Calibri" w:cs="Calibri"/>
                <w:color w:val="auto"/>
                <w:spacing w:val="0"/>
                <w:sz w:val="24"/>
                <w:szCs w:val="24"/>
                <w:highlight w:val="none"/>
              </w:rPr>
              <w:t> </w:t>
            </w:r>
          </w:p>
          <w:p>
            <w:pPr>
              <w:pStyle w:val="11"/>
              <w:keepNext w:val="0"/>
              <w:keepLines w:val="0"/>
              <w:widowControl/>
              <w:suppressLineNumbers w:val="0"/>
              <w:spacing w:before="0" w:beforeAutospacing="0" w:after="0" w:afterAutospacing="0"/>
              <w:ind w:left="0" w:right="0"/>
              <w:jc w:val="center"/>
              <w:rPr>
                <w:color w:val="auto"/>
                <w:highlight w:val="none"/>
              </w:rPr>
            </w:pPr>
            <w:r>
              <w:rPr>
                <w:rFonts w:hint="default" w:ascii="Calibri" w:hAnsi="Calibri" w:cs="Calibri"/>
                <w:color w:val="auto"/>
                <w:spacing w:val="0"/>
                <w:sz w:val="24"/>
                <w:szCs w:val="24"/>
                <w:highlight w:val="none"/>
              </w:rPr>
              <w:t> </w:t>
            </w:r>
          </w:p>
        </w:tc>
        <w:tc>
          <w:tcPr>
            <w:tcW w:w="6606" w:type="dxa"/>
            <w:shd w:val="clear" w:color="auto" w:fill="auto"/>
            <w:tcMar>
              <w:top w:w="0" w:type="dxa"/>
              <w:left w:w="105" w:type="dxa"/>
              <w:bottom w:w="0" w:type="dxa"/>
              <w:right w:w="105" w:type="dxa"/>
            </w:tcMar>
            <w:vAlign w:val="center"/>
          </w:tcPr>
          <w:p>
            <w:pPr>
              <w:pStyle w:val="11"/>
              <w:keepNext w:val="0"/>
              <w:keepLines w:val="0"/>
              <w:widowControl/>
              <w:suppressLineNumbers w:val="0"/>
              <w:wordWrap w:val="0"/>
              <w:spacing w:before="0" w:beforeAutospacing="0" w:after="0" w:afterAutospacing="0"/>
              <w:ind w:left="0" w:right="0"/>
              <w:rPr>
                <w:color w:val="auto"/>
                <w:highlight w:val="none"/>
              </w:rPr>
            </w:pPr>
            <w:r>
              <w:rPr>
                <w:rStyle w:val="13"/>
                <w:rFonts w:hint="eastAsia" w:ascii="宋体" w:hAnsi="宋体" w:eastAsia="宋体" w:cs="宋体"/>
                <w:b/>
                <w:bCs/>
                <w:color w:val="auto"/>
                <w:spacing w:val="0"/>
                <w:sz w:val="24"/>
                <w:szCs w:val="24"/>
                <w:highlight w:val="none"/>
              </w:rPr>
              <w:t>招标文件的质疑</w:t>
            </w:r>
          </w:p>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（1）潜在投标人可在质疑时效期间内对招标文件以书面形式提出质疑。</w:t>
            </w:r>
          </w:p>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（2）质疑时效期间：应在依法获取招标文件之日起7个工作日内向福建省勤思项目管理有限公司提出，依法获取招标文件的时间以福建省政府采购网上公开信息系统记载的为准。</w:t>
            </w:r>
          </w:p>
          <w:p>
            <w:pPr>
              <w:pStyle w:val="11"/>
              <w:keepNext w:val="0"/>
              <w:keepLines w:val="0"/>
              <w:widowControl/>
              <w:suppressLineNumbers w:val="0"/>
              <w:wordWrap w:val="0"/>
              <w:spacing w:before="0" w:beforeAutospacing="0" w:after="0" w:afterAutospacing="0"/>
              <w:ind w:left="0" w:right="0"/>
              <w:rPr>
                <w:color w:val="auto"/>
                <w:highlight w:val="none"/>
              </w:rPr>
            </w:pPr>
            <w:r>
              <w:rPr>
                <w:rStyle w:val="13"/>
                <w:rFonts w:hint="eastAsia" w:ascii="宋体" w:hAnsi="宋体" w:eastAsia="宋体" w:cs="宋体"/>
                <w:b/>
                <w:bCs/>
                <w:color w:val="auto"/>
                <w:spacing w:val="0"/>
                <w:sz w:val="24"/>
                <w:szCs w:val="24"/>
                <w:highlight w:val="none"/>
              </w:rPr>
              <w:t>※除上述规定外，对招标文件提出的质疑还应符合招标文件第三章第</w:t>
            </w:r>
            <w:r>
              <w:rPr>
                <w:rStyle w:val="13"/>
                <w:rFonts w:hint="default" w:ascii="Times New Roman" w:hAnsi="Times New Roman" w:cs="Times New Roman"/>
                <w:b/>
                <w:bCs/>
                <w:color w:val="auto"/>
                <w:spacing w:val="0"/>
                <w:sz w:val="24"/>
                <w:szCs w:val="24"/>
                <w:highlight w:val="none"/>
              </w:rPr>
              <w:t>15.1</w:t>
            </w:r>
            <w:r>
              <w:rPr>
                <w:rStyle w:val="13"/>
                <w:rFonts w:hint="eastAsia" w:ascii="宋体" w:hAnsi="宋体" w:eastAsia="宋体" w:cs="宋体"/>
                <w:b/>
                <w:bCs/>
                <w:color w:val="auto"/>
                <w:spacing w:val="0"/>
                <w:sz w:val="24"/>
                <w:szCs w:val="24"/>
                <w:highlight w:val="none"/>
              </w:rPr>
              <w:t>条的有关规定。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557" w:type="dxa"/>
            <w:shd w:val="clear" w:color="auto" w:fill="auto"/>
            <w:tcMar>
              <w:top w:w="0" w:type="dxa"/>
              <w:left w:w="105" w:type="dxa"/>
              <w:bottom w:w="0" w:type="dxa"/>
              <w:right w:w="105" w:type="dxa"/>
            </w:tcMar>
            <w:vAlign w:val="center"/>
          </w:tcPr>
          <w:p>
            <w:pPr>
              <w:pStyle w:val="11"/>
              <w:keepNext w:val="0"/>
              <w:keepLines w:val="0"/>
              <w:widowControl/>
              <w:suppressLineNumbers w:val="0"/>
              <w:wordWrap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4"/>
                <w:szCs w:val="24"/>
                <w:highlight w:val="none"/>
              </w:rPr>
              <w:t>10</w:t>
            </w:r>
          </w:p>
        </w:tc>
        <w:tc>
          <w:tcPr>
            <w:tcW w:w="1353"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4"/>
                <w:szCs w:val="24"/>
                <w:highlight w:val="none"/>
              </w:rPr>
              <w:t>16.1</w:t>
            </w:r>
          </w:p>
        </w:tc>
        <w:tc>
          <w:tcPr>
            <w:tcW w:w="6606"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rPr>
                <w:color w:val="auto"/>
                <w:highlight w:val="none"/>
              </w:rPr>
            </w:pPr>
            <w:r>
              <w:rPr>
                <w:rStyle w:val="13"/>
                <w:rFonts w:hint="eastAsia" w:ascii="宋体" w:hAnsi="宋体" w:eastAsia="宋体" w:cs="宋体"/>
                <w:b/>
                <w:bCs/>
                <w:color w:val="auto"/>
                <w:spacing w:val="0"/>
                <w:sz w:val="24"/>
                <w:szCs w:val="24"/>
                <w:highlight w:val="none"/>
              </w:rPr>
              <w:t>监督管理部门：</w:t>
            </w:r>
            <w:r>
              <w:rPr>
                <w:rFonts w:hint="eastAsia" w:ascii="宋体" w:hAnsi="宋体" w:eastAsia="宋体" w:cs="宋体"/>
                <w:color w:val="auto"/>
                <w:spacing w:val="0"/>
                <w:sz w:val="24"/>
                <w:szCs w:val="24"/>
                <w:highlight w:val="none"/>
              </w:rPr>
              <w:t>福州高新技术产业开发区财政金融局</w:t>
            </w:r>
            <w:r>
              <w:rPr>
                <w:rStyle w:val="13"/>
                <w:rFonts w:hint="eastAsia" w:ascii="宋体" w:hAnsi="宋体" w:eastAsia="宋体" w:cs="宋体"/>
                <w:b/>
                <w:bCs/>
                <w:color w:val="auto"/>
                <w:spacing w:val="0"/>
                <w:sz w:val="24"/>
                <w:szCs w:val="24"/>
                <w:highlight w:val="none"/>
                <w:u w:val="none"/>
              </w:rPr>
              <w:t>（仅限依法进行政府采购的货物或服务类项目）</w:t>
            </w:r>
            <w:r>
              <w:rPr>
                <w:rFonts w:hint="eastAsia" w:ascii="宋体" w:hAnsi="宋体" w:eastAsia="宋体" w:cs="宋体"/>
                <w:color w:val="auto"/>
                <w:spacing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557" w:type="dxa"/>
            <w:shd w:val="clear" w:color="auto" w:fill="auto"/>
            <w:tcMar>
              <w:top w:w="0" w:type="dxa"/>
              <w:left w:w="105" w:type="dxa"/>
              <w:bottom w:w="0" w:type="dxa"/>
              <w:right w:w="105" w:type="dxa"/>
            </w:tcMar>
            <w:vAlign w:val="center"/>
          </w:tcPr>
          <w:p>
            <w:pPr>
              <w:pStyle w:val="11"/>
              <w:keepNext w:val="0"/>
              <w:keepLines w:val="0"/>
              <w:widowControl/>
              <w:suppressLineNumbers w:val="0"/>
              <w:wordWrap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4"/>
                <w:szCs w:val="24"/>
                <w:highlight w:val="none"/>
              </w:rPr>
              <w:t>11</w:t>
            </w:r>
          </w:p>
        </w:tc>
        <w:tc>
          <w:tcPr>
            <w:tcW w:w="1353"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4"/>
                <w:szCs w:val="24"/>
                <w:highlight w:val="none"/>
              </w:rPr>
              <w:t>18.1</w:t>
            </w:r>
          </w:p>
        </w:tc>
        <w:tc>
          <w:tcPr>
            <w:tcW w:w="6606" w:type="dxa"/>
            <w:shd w:val="clear" w:color="auto" w:fill="auto"/>
            <w:tcMar>
              <w:top w:w="0" w:type="dxa"/>
              <w:left w:w="105" w:type="dxa"/>
              <w:bottom w:w="0" w:type="dxa"/>
              <w:right w:w="105" w:type="dxa"/>
            </w:tcMar>
            <w:vAlign w:val="center"/>
          </w:tcPr>
          <w:p>
            <w:pPr>
              <w:pStyle w:val="11"/>
              <w:keepNext w:val="0"/>
              <w:keepLines w:val="0"/>
              <w:widowControl/>
              <w:suppressLineNumbers w:val="0"/>
              <w:wordWrap w:val="0"/>
              <w:spacing w:before="0" w:beforeAutospacing="0" w:after="0" w:afterAutospacing="0"/>
              <w:ind w:left="0" w:right="0"/>
              <w:rPr>
                <w:color w:val="auto"/>
                <w:highlight w:val="none"/>
              </w:rPr>
            </w:pPr>
            <w:r>
              <w:rPr>
                <w:rStyle w:val="13"/>
                <w:rFonts w:hint="eastAsia" w:ascii="宋体" w:hAnsi="宋体" w:eastAsia="宋体" w:cs="宋体"/>
                <w:b/>
                <w:bCs/>
                <w:color w:val="auto"/>
                <w:spacing w:val="0"/>
                <w:sz w:val="24"/>
                <w:szCs w:val="24"/>
                <w:highlight w:val="none"/>
              </w:rPr>
              <w:t>财政部和福建省财政厅指定的政府采购信息发布媒体（以下简称：“指定媒体”）：</w:t>
            </w:r>
          </w:p>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（1）中国政府采购网，网址www.ccgp.gov.cn</w:t>
            </w:r>
            <w:r>
              <w:rPr>
                <w:color w:val="auto"/>
                <w:highlight w:val="none"/>
              </w:rPr>
              <w:t>。</w:t>
            </w:r>
          </w:p>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（2）中国政府采购网福建分网（福建省政府采购网），网址zfcg.czt.fujian.gov.cn</w:t>
            </w:r>
            <w:r>
              <w:rPr>
                <w:color w:val="auto"/>
                <w:highlight w:val="none"/>
              </w:rPr>
              <w:t>。</w:t>
            </w:r>
          </w:p>
          <w:p>
            <w:pPr>
              <w:pStyle w:val="11"/>
              <w:keepNext w:val="0"/>
              <w:keepLines w:val="0"/>
              <w:widowControl/>
              <w:suppressLineNumbers w:val="0"/>
              <w:wordWrap w:val="0"/>
              <w:spacing w:before="0" w:beforeAutospacing="0" w:after="0" w:afterAutospacing="0"/>
              <w:ind w:left="0" w:right="0"/>
              <w:rPr>
                <w:color w:val="auto"/>
                <w:highlight w:val="none"/>
              </w:rPr>
            </w:pPr>
            <w:r>
              <w:rPr>
                <w:rStyle w:val="13"/>
                <w:rFonts w:hint="eastAsia" w:ascii="宋体" w:hAnsi="宋体" w:eastAsia="宋体" w:cs="宋体"/>
                <w:b/>
                <w:bCs/>
                <w:color w:val="auto"/>
                <w:spacing w:val="0"/>
                <w:sz w:val="24"/>
                <w:szCs w:val="24"/>
                <w:highlight w:val="none"/>
              </w:rPr>
              <w:t>※若出现上述指定媒体信息不一致情形，应以中国政府采购网福建分网（福建省政府采购网）发布的为准。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557" w:type="dxa"/>
            <w:shd w:val="clear" w:color="auto" w:fill="auto"/>
            <w:tcMar>
              <w:top w:w="0" w:type="dxa"/>
              <w:left w:w="105" w:type="dxa"/>
              <w:bottom w:w="0" w:type="dxa"/>
              <w:right w:w="105" w:type="dxa"/>
            </w:tcMar>
            <w:vAlign w:val="center"/>
          </w:tcPr>
          <w:p>
            <w:pPr>
              <w:pStyle w:val="11"/>
              <w:keepNext w:val="0"/>
              <w:keepLines w:val="0"/>
              <w:widowControl/>
              <w:suppressLineNumbers w:val="0"/>
              <w:wordWrap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4"/>
                <w:szCs w:val="24"/>
                <w:highlight w:val="none"/>
              </w:rPr>
              <w:t>12</w:t>
            </w:r>
          </w:p>
        </w:tc>
        <w:tc>
          <w:tcPr>
            <w:tcW w:w="1353"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4"/>
                <w:szCs w:val="24"/>
                <w:highlight w:val="none"/>
              </w:rPr>
              <w:t>19</w:t>
            </w:r>
          </w:p>
        </w:tc>
        <w:tc>
          <w:tcPr>
            <w:tcW w:w="6606" w:type="dxa"/>
            <w:shd w:val="clear" w:color="auto" w:fill="auto"/>
            <w:tcMar>
              <w:top w:w="0" w:type="dxa"/>
              <w:left w:w="105" w:type="dxa"/>
              <w:bottom w:w="0" w:type="dxa"/>
              <w:right w:w="105" w:type="dxa"/>
            </w:tcMar>
            <w:vAlign w:val="center"/>
          </w:tcPr>
          <w:p>
            <w:pPr>
              <w:pStyle w:val="11"/>
              <w:keepNext w:val="0"/>
              <w:keepLines w:val="0"/>
              <w:widowControl/>
              <w:suppressLineNumbers w:val="0"/>
              <w:wordWrap w:val="0"/>
              <w:spacing w:before="0" w:beforeAutospacing="0" w:after="0" w:afterAutospacing="0"/>
              <w:ind w:left="0" w:right="0"/>
              <w:rPr>
                <w:color w:val="auto"/>
                <w:highlight w:val="none"/>
              </w:rPr>
            </w:pPr>
            <w:r>
              <w:rPr>
                <w:rStyle w:val="13"/>
                <w:rFonts w:hint="eastAsia" w:ascii="宋体" w:hAnsi="宋体" w:eastAsia="宋体" w:cs="宋体"/>
                <w:b/>
                <w:bCs/>
                <w:color w:val="auto"/>
                <w:spacing w:val="0"/>
                <w:sz w:val="24"/>
                <w:szCs w:val="24"/>
                <w:highlight w:val="none"/>
              </w:rPr>
              <w:t>其他事项：</w:t>
            </w:r>
          </w:p>
          <w:p>
            <w:pPr>
              <w:pStyle w:val="11"/>
              <w:keepNext w:val="0"/>
              <w:keepLines w:val="0"/>
              <w:widowControl/>
              <w:suppressLineNumbers w:val="0"/>
              <w:wordWrap w:val="0"/>
              <w:spacing w:before="0" w:beforeAutospacing="0" w:after="0" w:afterAutospacing="0"/>
              <w:ind w:left="0" w:right="0"/>
              <w:rPr>
                <w:color w:val="auto"/>
                <w:highlight w:val="none"/>
              </w:rPr>
            </w:pPr>
            <w:r>
              <w:rPr>
                <w:rStyle w:val="13"/>
                <w:rFonts w:hint="eastAsia" w:ascii="宋体" w:hAnsi="宋体" w:eastAsia="宋体" w:cs="宋体"/>
                <w:b/>
                <w:bCs/>
                <w:color w:val="auto"/>
                <w:spacing w:val="0"/>
                <w:sz w:val="24"/>
                <w:szCs w:val="24"/>
                <w:highlight w:val="none"/>
              </w:rPr>
              <w:t>(1)本项目代理服务费由</w:t>
            </w:r>
            <w:r>
              <w:rPr>
                <w:rFonts w:hint="eastAsia" w:ascii="宋体" w:hAnsi="宋体" w:eastAsia="宋体" w:cs="宋体"/>
                <w:b/>
                <w:bCs/>
                <w:color w:val="auto"/>
                <w:spacing w:val="0"/>
                <w:sz w:val="24"/>
                <w:szCs w:val="24"/>
                <w:highlight w:val="none"/>
              </w:rPr>
              <w:t>中标人</w:t>
            </w:r>
            <w:r>
              <w:rPr>
                <w:rStyle w:val="13"/>
                <w:rFonts w:hint="eastAsia" w:ascii="宋体" w:hAnsi="宋体" w:eastAsia="宋体" w:cs="宋体"/>
                <w:b/>
                <w:bCs/>
                <w:color w:val="auto"/>
                <w:spacing w:val="0"/>
                <w:sz w:val="24"/>
                <w:szCs w:val="24"/>
                <w:highlight w:val="none"/>
              </w:rPr>
              <w:t>支付。</w:t>
            </w:r>
            <w:r>
              <w:rPr>
                <w:rStyle w:val="13"/>
                <w:rFonts w:hint="eastAsia" w:ascii="宋体" w:hAnsi="宋体" w:eastAsia="宋体" w:cs="宋体"/>
                <w:b/>
                <w:bCs/>
                <w:color w:val="auto"/>
                <w:spacing w:val="0"/>
                <w:sz w:val="24"/>
                <w:szCs w:val="24"/>
                <w:highlight w:val="none"/>
              </w:rPr>
              <w:br w:type="textWrapping"/>
            </w:r>
            <w:r>
              <w:rPr>
                <w:rStyle w:val="13"/>
                <w:rFonts w:hint="eastAsia" w:ascii="宋体" w:hAnsi="宋体" w:eastAsia="宋体" w:cs="宋体"/>
                <w:b/>
                <w:bCs/>
                <w:color w:val="auto"/>
                <w:spacing w:val="0"/>
                <w:sz w:val="24"/>
                <w:szCs w:val="24"/>
                <w:highlight w:val="none"/>
              </w:rPr>
              <w:t>(2)其他：</w:t>
            </w:r>
            <w:r>
              <w:rPr>
                <w:rFonts w:hint="eastAsia" w:ascii="宋体" w:hAnsi="宋体" w:eastAsia="宋体" w:cs="宋体"/>
                <w:b/>
                <w:bCs/>
                <w:color w:val="auto"/>
                <w:spacing w:val="0"/>
                <w:sz w:val="24"/>
                <w:szCs w:val="24"/>
                <w:highlight w:val="none"/>
              </w:rPr>
              <w:t>（1）代理服务费收取标准：按差额定率累进法计算。收费费率标准：中标金额100万元（含）部分以下按1.5%；中标金额100-500万元的部分按0.8%计算；中标金额500-1000万元的部分按0.45%计算；中标金额1000-5000万元的部分按0.25%计算。②代理服务费的交纳方式：代理服务费由中标人在领取成交通知书之前向招标代理机构支付代理服务费，代理服务费以银行转账或现金等付款方式。以下账户仅用于交纳代理服务费：开户名：福建省勤思项目管理有限公司，开户行：中国银行股份有限公司福建省分行， 帐 号：427376851164；（2）质疑：在法定质疑期内质疑人须一次性提出针对同一采购程序环节的质疑，二（多）次质疑不予受理。质疑人递交质疑函时除了按招标文件第三章第15.1条的规定来执行，还应出具已在福建省政府采购网上公开信息系统上成功获取该项目招标文件的证明文件（体现获取文件时间），否则将不被认定为潜在投标人，其质疑将不予受理。（3）投标人属于中小企业，因疫情影响享受缓缴或免缴社保、税款的企业，无法提供相关社保、税收缴纳证明材料的，提供有关情况说明视同社保、税收缴纳证明材料提交完整。（4）投标人必须对其投标文件中提供各种资料、说明的真实性负责。在评标过程中，如有发现投标人有为谋取中标而提供虚假资料欺骗采购人和评委的行为，将取消其中标资格，其投标保证金将不予退还。若在中标后和执行合同过程中发现其提供虚假资料的将取消其中标资格，其保证金将不予退还，给采购人造成损失的，还必须进行赔偿并负相关责任。评标过程中无论是否有对原件进行核实，投标人都必须对其提供各种资料、说明的真实性负责。（5）投标人出现 《福建省财政厅关于电子化政府采购项目中视为串标情形认定与处理的指导意见》（闽财购〔2018〕30号）文中规定的视为串标情形的，其投标无效。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1910" w:type="dxa"/>
            <w:gridSpan w:val="2"/>
            <w:shd w:val="clear" w:color="auto" w:fill="auto"/>
            <w:tcMar>
              <w:top w:w="75" w:type="dxa"/>
              <w:left w:w="150" w:type="dxa"/>
              <w:bottom w:w="75" w:type="dxa"/>
              <w:right w:w="150" w:type="dxa"/>
            </w:tcMar>
            <w:vAlign w:val="center"/>
          </w:tcPr>
          <w:p>
            <w:pPr>
              <w:pStyle w:val="11"/>
              <w:keepNext w:val="0"/>
              <w:keepLines w:val="0"/>
              <w:widowControl/>
              <w:suppressLineNumbers w:val="0"/>
              <w:spacing w:before="0" w:beforeAutospacing="0" w:after="0" w:afterAutospacing="0"/>
              <w:ind w:left="0" w:right="0" w:firstLine="0"/>
              <w:rPr>
                <w:color w:val="auto"/>
                <w:highlight w:val="none"/>
              </w:rPr>
            </w:pPr>
            <w:r>
              <w:rPr>
                <w:rFonts w:hint="eastAsia" w:ascii="宋体" w:hAnsi="宋体" w:eastAsia="宋体" w:cs="宋体"/>
                <w:color w:val="auto"/>
                <w:spacing w:val="0"/>
                <w:sz w:val="24"/>
                <w:szCs w:val="24"/>
                <w:highlight w:val="none"/>
              </w:rPr>
              <w:t>     备注</w:t>
            </w:r>
          </w:p>
        </w:tc>
        <w:tc>
          <w:tcPr>
            <w:tcW w:w="6606" w:type="dxa"/>
            <w:shd w:val="clear" w:color="auto" w:fill="auto"/>
            <w:tcMar>
              <w:top w:w="75" w:type="dxa"/>
              <w:left w:w="150" w:type="dxa"/>
              <w:bottom w:w="75" w:type="dxa"/>
              <w:right w:w="150" w:type="dxa"/>
            </w:tcMar>
            <w:vAlign w:val="center"/>
          </w:tcPr>
          <w:p>
            <w:pPr>
              <w:pStyle w:val="11"/>
              <w:keepNext w:val="0"/>
              <w:keepLines w:val="0"/>
              <w:widowControl/>
              <w:suppressLineNumbers w:val="0"/>
              <w:wordWrap w:val="0"/>
              <w:spacing w:before="0" w:beforeAutospacing="0" w:after="0" w:afterAutospacing="0"/>
              <w:ind w:left="0" w:right="0" w:firstLine="0"/>
              <w:rPr>
                <w:color w:val="auto"/>
                <w:highlight w:val="none"/>
              </w:rPr>
            </w:pPr>
            <w:r>
              <w:rPr>
                <w:rStyle w:val="13"/>
                <w:rFonts w:hint="eastAsia" w:ascii="宋体" w:hAnsi="宋体" w:eastAsia="宋体" w:cs="宋体"/>
                <w:b/>
                <w:bCs/>
                <w:color w:val="auto"/>
                <w:spacing w:val="0"/>
                <w:sz w:val="24"/>
                <w:szCs w:val="24"/>
                <w:highlight w:val="none"/>
              </w:rPr>
              <w:t>后有投标人须知前附表</w:t>
            </w:r>
            <w:r>
              <w:rPr>
                <w:rStyle w:val="13"/>
                <w:rFonts w:hint="default" w:ascii="Times New Roman" w:hAnsi="Times New Roman" w:cs="Times New Roman"/>
                <w:b/>
                <w:bCs/>
                <w:color w:val="auto"/>
                <w:spacing w:val="0"/>
                <w:sz w:val="24"/>
                <w:szCs w:val="24"/>
                <w:highlight w:val="none"/>
              </w:rPr>
              <w:t>2</w:t>
            </w:r>
            <w:r>
              <w:rPr>
                <w:rStyle w:val="13"/>
                <w:rFonts w:hint="eastAsia" w:ascii="宋体" w:hAnsi="宋体" w:eastAsia="宋体" w:cs="宋体"/>
                <w:b/>
                <w:bCs/>
                <w:color w:val="auto"/>
                <w:spacing w:val="0"/>
                <w:sz w:val="24"/>
                <w:szCs w:val="24"/>
                <w:highlight w:val="none"/>
              </w:rPr>
              <w:t>，请勿遗漏。</w:t>
            </w:r>
          </w:p>
        </w:tc>
      </w:tr>
    </w:tbl>
    <w:p>
      <w:pPr>
        <w:pStyle w:val="11"/>
        <w:keepNext w:val="0"/>
        <w:keepLines w:val="0"/>
        <w:widowControl/>
        <w:suppressLineNumbers w:val="0"/>
        <w:spacing w:before="75" w:beforeAutospacing="0" w:after="75" w:afterAutospacing="0"/>
        <w:ind w:left="0" w:right="0" w:firstLine="0"/>
        <w:rPr>
          <w:color w:val="auto"/>
          <w:highlight w:val="none"/>
        </w:rPr>
      </w:pPr>
      <w:r>
        <w:rPr>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0"/>
        <w:rPr>
          <w:color w:val="auto"/>
          <w:highlight w:val="none"/>
        </w:rPr>
      </w:pPr>
      <w:r>
        <w:rPr>
          <w:color w:val="auto"/>
          <w:spacing w:val="0"/>
          <w:sz w:val="24"/>
          <w:szCs w:val="24"/>
          <w:highlight w:val="none"/>
        </w:rPr>
        <w:t> </w:t>
      </w:r>
    </w:p>
    <w:p>
      <w:pPr>
        <w:pStyle w:val="11"/>
        <w:keepNext w:val="0"/>
        <w:keepLines w:val="0"/>
        <w:widowControl/>
        <w:suppressLineNumbers w:val="0"/>
        <w:spacing w:before="75" w:beforeAutospacing="0" w:after="240" w:afterAutospacing="0"/>
        <w:ind w:left="0" w:right="0" w:firstLine="0"/>
        <w:jc w:val="center"/>
        <w:rPr>
          <w:color w:val="auto"/>
          <w:highlight w:val="none"/>
        </w:rPr>
      </w:pPr>
      <w:r>
        <w:rPr>
          <w:rStyle w:val="13"/>
          <w:rFonts w:hint="eastAsia" w:ascii="宋体" w:hAnsi="宋体" w:eastAsia="宋体" w:cs="宋体"/>
          <w:b/>
          <w:bCs/>
          <w:color w:val="auto"/>
          <w:highlight w:val="none"/>
        </w:rPr>
        <w:t>二、投标人须知前附表2</w:t>
      </w:r>
    </w:p>
    <w:tbl>
      <w:tblPr>
        <w:tblStyle w:val="14"/>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472"/>
        <w:gridCol w:w="8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8516" w:type="dxa"/>
            <w:gridSpan w:val="2"/>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rPr>
                <w:color w:val="auto"/>
                <w:highlight w:val="none"/>
              </w:rPr>
            </w:pPr>
            <w:r>
              <w:rPr>
                <w:rStyle w:val="13"/>
                <w:rFonts w:hint="eastAsia" w:ascii="宋体" w:hAnsi="宋体" w:eastAsia="宋体" w:cs="宋体"/>
                <w:b/>
                <w:bCs/>
                <w:color w:val="auto"/>
                <w:spacing w:val="0"/>
                <w:sz w:val="24"/>
                <w:szCs w:val="24"/>
                <w:highlight w:val="none"/>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472"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4"/>
                <w:szCs w:val="24"/>
                <w:highlight w:val="none"/>
              </w:rPr>
              <w:t>序号</w:t>
            </w:r>
          </w:p>
        </w:tc>
        <w:tc>
          <w:tcPr>
            <w:tcW w:w="8044"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472"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4"/>
                <w:szCs w:val="24"/>
                <w:highlight w:val="none"/>
              </w:rPr>
              <w:t>1</w:t>
            </w:r>
          </w:p>
        </w:tc>
        <w:tc>
          <w:tcPr>
            <w:tcW w:w="8044" w:type="dxa"/>
            <w:shd w:val="clear" w:color="auto" w:fill="auto"/>
            <w:tcMar>
              <w:top w:w="0" w:type="dxa"/>
              <w:left w:w="105" w:type="dxa"/>
              <w:bottom w:w="0" w:type="dxa"/>
              <w:right w:w="105" w:type="dxa"/>
            </w:tcMar>
            <w:vAlign w:val="center"/>
          </w:tcPr>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（1）电子招标投标活动的专门规定适用本项目电子招标投标活动。</w:t>
            </w:r>
          </w:p>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（2）将招标文件</w:t>
            </w:r>
            <w:r>
              <w:rPr>
                <w:rFonts w:hint="eastAsia" w:ascii="宋体" w:hAnsi="宋体" w:eastAsia="宋体" w:cs="宋体"/>
                <w:color w:val="auto"/>
                <w:spacing w:val="0"/>
                <w:sz w:val="24"/>
                <w:szCs w:val="24"/>
                <w:highlight w:val="none"/>
                <w:u w:val="single"/>
              </w:rPr>
              <w:t>无。</w:t>
            </w:r>
            <w:r>
              <w:rPr>
                <w:rFonts w:hint="eastAsia" w:ascii="宋体" w:hAnsi="宋体" w:eastAsia="宋体" w:cs="宋体"/>
                <w:color w:val="auto"/>
                <w:spacing w:val="0"/>
                <w:sz w:val="24"/>
                <w:szCs w:val="24"/>
                <w:highlight w:val="none"/>
              </w:rPr>
              <w:t>的内容</w:t>
            </w:r>
            <w:r>
              <w:rPr>
                <w:rStyle w:val="13"/>
                <w:rFonts w:hint="eastAsia" w:ascii="宋体" w:hAnsi="宋体" w:eastAsia="宋体" w:cs="宋体"/>
                <w:b/>
                <w:bCs/>
                <w:color w:val="auto"/>
                <w:spacing w:val="0"/>
                <w:sz w:val="24"/>
                <w:szCs w:val="24"/>
                <w:highlight w:val="none"/>
              </w:rPr>
              <w:t>修正为</w:t>
            </w:r>
            <w:r>
              <w:rPr>
                <w:rFonts w:hint="eastAsia" w:ascii="宋体" w:hAnsi="宋体" w:eastAsia="宋体" w:cs="宋体"/>
                <w:color w:val="auto"/>
                <w:spacing w:val="0"/>
                <w:sz w:val="24"/>
                <w:szCs w:val="24"/>
                <w:highlight w:val="none"/>
              </w:rPr>
              <w:t>下列内容：</w:t>
            </w:r>
            <w:r>
              <w:rPr>
                <w:rFonts w:hint="eastAsia" w:ascii="宋体" w:hAnsi="宋体" w:eastAsia="宋体" w:cs="宋体"/>
                <w:color w:val="auto"/>
                <w:spacing w:val="0"/>
                <w:sz w:val="24"/>
                <w:szCs w:val="24"/>
                <w:highlight w:val="none"/>
                <w:u w:val="single"/>
              </w:rPr>
              <w:t>无。</w:t>
            </w:r>
            <w:r>
              <w:rPr>
                <w:rFonts w:hint="eastAsia" w:ascii="宋体" w:hAnsi="宋体" w:eastAsia="宋体" w:cs="宋体"/>
                <w:color w:val="auto"/>
                <w:spacing w:val="0"/>
                <w:sz w:val="24"/>
                <w:szCs w:val="24"/>
                <w:highlight w:val="none"/>
              </w:rPr>
              <w:t>后适用本项目的电子招标投标活动。</w:t>
            </w:r>
          </w:p>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（3）将下列内容</w:t>
            </w:r>
            <w:r>
              <w:rPr>
                <w:rStyle w:val="13"/>
                <w:rFonts w:hint="eastAsia" w:ascii="宋体" w:hAnsi="宋体" w:eastAsia="宋体" w:cs="宋体"/>
                <w:b/>
                <w:bCs/>
                <w:color w:val="auto"/>
                <w:spacing w:val="0"/>
                <w:sz w:val="24"/>
                <w:szCs w:val="24"/>
                <w:highlight w:val="none"/>
              </w:rPr>
              <w:t>增列为</w:t>
            </w:r>
            <w:r>
              <w:rPr>
                <w:rFonts w:hint="eastAsia" w:ascii="宋体" w:hAnsi="宋体" w:eastAsia="宋体" w:cs="宋体"/>
                <w:color w:val="auto"/>
                <w:spacing w:val="0"/>
                <w:sz w:val="24"/>
                <w:szCs w:val="24"/>
                <w:highlight w:val="none"/>
              </w:rPr>
              <w:t>招标文件的组成部分（以下简称：“增列内容”）适用本项目的电子招标投标活动，若增列内容与招标文件其他章节内容有冲突，应以增列内容为准：</w:t>
            </w:r>
          </w:p>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①电子招标投标活动的具体操作流程以福建省政府采购网上公开信息系统设定的为准。</w:t>
            </w:r>
          </w:p>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②关于电子投标文件：</w:t>
            </w:r>
          </w:p>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a.投标人应按照福建省政府采购网上公开信息系统设定的评审节点编制电子投标文件，否则</w:t>
            </w:r>
            <w:r>
              <w:rPr>
                <w:rStyle w:val="13"/>
                <w:rFonts w:hint="eastAsia" w:ascii="宋体" w:hAnsi="宋体" w:eastAsia="宋体" w:cs="宋体"/>
                <w:b/>
                <w:bCs/>
                <w:color w:val="auto"/>
                <w:spacing w:val="0"/>
                <w:sz w:val="24"/>
                <w:szCs w:val="24"/>
                <w:highlight w:val="none"/>
              </w:rPr>
              <w:t>资格审查小组、评标委员会将按照不利于投标人的内容进行认定。</w:t>
            </w:r>
          </w:p>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b.投标人应在投标截止时间前按照福建省政府采购网上公开信息系统设定的操作流程将电子投标文件</w:t>
            </w:r>
            <w:r>
              <w:rPr>
                <w:rStyle w:val="13"/>
                <w:rFonts w:hint="eastAsia" w:ascii="宋体" w:hAnsi="宋体" w:eastAsia="宋体" w:cs="宋体"/>
                <w:b/>
                <w:bCs/>
                <w:color w:val="auto"/>
                <w:spacing w:val="0"/>
                <w:sz w:val="24"/>
                <w:szCs w:val="24"/>
                <w:highlight w:val="none"/>
                <w:u w:val="single"/>
              </w:rPr>
              <w:t>1</w:t>
            </w:r>
            <w:r>
              <w:rPr>
                <w:rFonts w:hint="eastAsia" w:ascii="宋体" w:hAnsi="宋体" w:eastAsia="宋体" w:cs="宋体"/>
                <w:color w:val="auto"/>
                <w:spacing w:val="0"/>
                <w:sz w:val="24"/>
                <w:szCs w:val="24"/>
                <w:highlight w:val="none"/>
              </w:rPr>
              <w:t>份上传至福建省政府采购网上公开信息系统。电子投标文件的分项报价一览表、投标客户端的分项报价一览表应保持一致，并以投标客户端的分项报价一览表为准。</w:t>
            </w:r>
          </w:p>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③关于证明材料或资料：</w:t>
            </w:r>
          </w:p>
          <w:p>
            <w:pPr>
              <w:pStyle w:val="11"/>
              <w:keepNext w:val="0"/>
              <w:keepLines w:val="0"/>
              <w:widowControl/>
              <w:suppressLineNumbers w:val="0"/>
              <w:wordWrap w:val="0"/>
              <w:spacing w:before="0" w:beforeAutospacing="0" w:after="150" w:afterAutospacing="0"/>
              <w:ind w:left="0" w:right="0"/>
              <w:rPr>
                <w:color w:val="auto"/>
                <w:highlight w:val="none"/>
              </w:rPr>
            </w:pPr>
            <w:r>
              <w:rPr>
                <w:rFonts w:hint="eastAsia" w:ascii="宋体" w:hAnsi="宋体" w:eastAsia="宋体" w:cs="宋体"/>
                <w:color w:val="auto"/>
                <w:sz w:val="24"/>
                <w:szCs w:val="24"/>
                <w:highlight w:val="none"/>
              </w:rPr>
              <w:t>a.招标文件要求原件的，投标人在电子投标文件中可提供复印件（含扫描件），但同时应准备好原件备查</w:t>
            </w:r>
            <w:r>
              <w:rPr>
                <w:rStyle w:val="13"/>
                <w:rFonts w:hint="eastAsia" w:ascii="宋体" w:hAnsi="宋体" w:eastAsia="宋体" w:cs="宋体"/>
                <w:b/>
                <w:bCs/>
                <w:color w:val="auto"/>
                <w:sz w:val="24"/>
                <w:szCs w:val="24"/>
                <w:highlight w:val="none"/>
              </w:rPr>
              <w:t>（未能在规定时间内提供原件核查的，将按不利于投标人进行评审）</w:t>
            </w:r>
            <w:r>
              <w:rPr>
                <w:rFonts w:hint="eastAsia" w:ascii="宋体" w:hAnsi="宋体" w:eastAsia="宋体" w:cs="宋体"/>
                <w:color w:val="auto"/>
                <w:sz w:val="24"/>
                <w:szCs w:val="24"/>
                <w:highlight w:val="none"/>
              </w:rPr>
              <w:t>；招标文件要求复印件的，投标人在电子投标文件中提供原件、复印件（含扫描件）皆可；招标文件对原件、复印件未作要求的，投标人在电子投标文件中提供原件、复印件（含扫描件）皆可。</w:t>
            </w:r>
          </w:p>
          <w:p>
            <w:pPr>
              <w:pStyle w:val="11"/>
              <w:keepNext w:val="0"/>
              <w:keepLines w:val="0"/>
              <w:widowControl/>
              <w:suppressLineNumbers w:val="0"/>
              <w:wordWrap w:val="0"/>
              <w:spacing w:before="0" w:beforeAutospacing="0" w:after="150" w:afterAutospacing="0"/>
              <w:ind w:left="0" w:right="0"/>
              <w:rPr>
                <w:color w:val="auto"/>
                <w:highlight w:val="none"/>
              </w:rPr>
            </w:pPr>
            <w:r>
              <w:rPr>
                <w:rFonts w:hint="eastAsia" w:ascii="宋体" w:hAnsi="宋体" w:eastAsia="宋体" w:cs="宋体"/>
                <w:color w:val="auto"/>
                <w:sz w:val="24"/>
                <w:szCs w:val="24"/>
                <w:highlight w:val="none"/>
              </w:rPr>
              <w:t>b.若投标人提供注明“复印件无效”或“复印无效”的证明材料或资料，应结合上文a条款进行判定，若招标文件未要求投标人提供原件，投标人提供原件，复印件（含扫描件）均视为满足招标文件要求</w:t>
            </w:r>
            <w:r>
              <w:rPr>
                <w:rStyle w:val="13"/>
                <w:rFonts w:hint="eastAsia" w:ascii="宋体" w:hAnsi="宋体" w:eastAsia="宋体" w:cs="宋体"/>
                <w:b/>
                <w:bCs/>
                <w:color w:val="auto"/>
                <w:sz w:val="24"/>
                <w:szCs w:val="24"/>
                <w:highlight w:val="none"/>
              </w:rPr>
              <w:t>。</w:t>
            </w:r>
          </w:p>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④关于“全称”、“投标人代表签字”及“加盖单位公章”：</w:t>
            </w:r>
          </w:p>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a.在电子投标文件中，涉及“全称”和“投标人代表签字”的内容可使用打字录入方式完成。</w:t>
            </w:r>
          </w:p>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b.在电子投标文件中，涉及“加盖单位公章”的内容应使用投标人的</w:t>
            </w:r>
            <w:r>
              <w:rPr>
                <w:rFonts w:hint="default" w:ascii="Calibri" w:hAnsi="Calibri" w:cs="Calibri"/>
                <w:color w:val="auto"/>
                <w:spacing w:val="0"/>
                <w:sz w:val="24"/>
                <w:szCs w:val="24"/>
                <w:highlight w:val="none"/>
              </w:rPr>
              <w:t>CA</w:t>
            </w:r>
            <w:r>
              <w:rPr>
                <w:rFonts w:hint="eastAsia" w:ascii="宋体" w:hAnsi="宋体" w:eastAsia="宋体" w:cs="宋体"/>
                <w:color w:val="auto"/>
                <w:spacing w:val="0"/>
                <w:sz w:val="24"/>
                <w:szCs w:val="24"/>
                <w:highlight w:val="none"/>
              </w:rPr>
              <w:t>证书完成，否则</w:t>
            </w:r>
            <w:r>
              <w:rPr>
                <w:rStyle w:val="13"/>
                <w:rFonts w:hint="eastAsia" w:ascii="宋体" w:hAnsi="宋体" w:eastAsia="宋体" w:cs="宋体"/>
                <w:b/>
                <w:bCs/>
                <w:color w:val="auto"/>
                <w:spacing w:val="0"/>
                <w:sz w:val="24"/>
                <w:szCs w:val="24"/>
                <w:highlight w:val="none"/>
              </w:rPr>
              <w:t>投标无效。</w:t>
            </w:r>
          </w:p>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c.在电子投标文件中，若投标人按照本增列内容第④点第</w:t>
            </w:r>
            <w:r>
              <w:rPr>
                <w:rFonts w:hint="default" w:ascii="Calibri" w:hAnsi="Calibri" w:cs="Calibri"/>
                <w:color w:val="auto"/>
                <w:spacing w:val="0"/>
                <w:sz w:val="24"/>
                <w:szCs w:val="24"/>
                <w:highlight w:val="none"/>
              </w:rPr>
              <w:t>b</w:t>
            </w:r>
            <w:r>
              <w:rPr>
                <w:rFonts w:hint="eastAsia" w:ascii="宋体" w:hAnsi="宋体" w:eastAsia="宋体" w:cs="宋体"/>
                <w:color w:val="auto"/>
                <w:spacing w:val="0"/>
                <w:sz w:val="24"/>
                <w:szCs w:val="24"/>
                <w:highlight w:val="none"/>
              </w:rPr>
              <w:t>项规定加盖其单位公章，则出现无全称、或投标人代表未签字等情形，</w:t>
            </w:r>
            <w:r>
              <w:rPr>
                <w:rStyle w:val="13"/>
                <w:rFonts w:hint="eastAsia" w:ascii="宋体" w:hAnsi="宋体" w:eastAsia="宋体" w:cs="宋体"/>
                <w:b/>
                <w:bCs/>
                <w:color w:val="auto"/>
                <w:spacing w:val="0"/>
                <w:sz w:val="24"/>
                <w:szCs w:val="24"/>
                <w:highlight w:val="none"/>
              </w:rPr>
              <w:t>不视为投标无效。</w:t>
            </w:r>
          </w:p>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⑤关于投标人的</w:t>
            </w:r>
            <w:r>
              <w:rPr>
                <w:rFonts w:hint="default" w:ascii="Calibri" w:hAnsi="Calibri" w:cs="Calibri"/>
                <w:color w:val="auto"/>
                <w:spacing w:val="0"/>
                <w:sz w:val="24"/>
                <w:szCs w:val="24"/>
                <w:highlight w:val="none"/>
              </w:rPr>
              <w:t>CA</w:t>
            </w:r>
            <w:r>
              <w:rPr>
                <w:rFonts w:hint="eastAsia" w:ascii="宋体" w:hAnsi="宋体" w:eastAsia="宋体" w:cs="宋体"/>
                <w:color w:val="auto"/>
                <w:spacing w:val="0"/>
                <w:sz w:val="24"/>
                <w:szCs w:val="24"/>
                <w:highlight w:val="none"/>
              </w:rPr>
              <w:t>证书：</w:t>
            </w:r>
          </w:p>
          <w:p>
            <w:pPr>
              <w:pStyle w:val="11"/>
              <w:keepNext w:val="0"/>
              <w:keepLines w:val="0"/>
              <w:widowControl/>
              <w:suppressLineNumbers w:val="0"/>
              <w:wordWrap w:val="0"/>
              <w:spacing w:before="0" w:beforeAutospacing="0" w:after="150" w:afterAutospacing="0"/>
              <w:ind w:left="0" w:right="0"/>
              <w:rPr>
                <w:color w:val="auto"/>
                <w:highlight w:val="none"/>
              </w:rPr>
            </w:pPr>
            <w:r>
              <w:rPr>
                <w:rFonts w:hint="eastAsia" w:ascii="宋体" w:hAnsi="宋体" w:eastAsia="宋体" w:cs="宋体"/>
                <w:color w:val="auto"/>
                <w:spacing w:val="0"/>
                <w:sz w:val="24"/>
                <w:szCs w:val="24"/>
                <w:highlight w:val="none"/>
              </w:rPr>
              <w:t>a.投标人的CA证书应在系统规定时间内使用CA证书进行电子投标文件的解密操作，逾期未解密的视为放弃投标。</w:t>
            </w:r>
          </w:p>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b.投标人的</w:t>
            </w:r>
            <w:r>
              <w:rPr>
                <w:rFonts w:hint="default" w:ascii="Calibri" w:hAnsi="Calibri" w:cs="Calibri"/>
                <w:color w:val="auto"/>
                <w:spacing w:val="0"/>
                <w:sz w:val="24"/>
                <w:szCs w:val="24"/>
                <w:highlight w:val="none"/>
              </w:rPr>
              <w:t>CA</w:t>
            </w:r>
            <w:r>
              <w:rPr>
                <w:rFonts w:hint="eastAsia" w:ascii="宋体" w:hAnsi="宋体" w:eastAsia="宋体" w:cs="宋体"/>
                <w:color w:val="auto"/>
                <w:spacing w:val="0"/>
                <w:sz w:val="24"/>
                <w:szCs w:val="24"/>
                <w:highlight w:val="none"/>
              </w:rPr>
              <w:t>证书可采用信封（包括但不限于：信封、档案袋、文件袋等）作为外包装进行单独包装。外包装密封、不密封皆可。</w:t>
            </w:r>
          </w:p>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c.投标人的</w:t>
            </w:r>
            <w:r>
              <w:rPr>
                <w:rFonts w:hint="default" w:ascii="Calibri" w:hAnsi="Calibri" w:cs="Calibri"/>
                <w:color w:val="auto"/>
                <w:spacing w:val="0"/>
                <w:sz w:val="24"/>
                <w:szCs w:val="24"/>
                <w:highlight w:val="none"/>
              </w:rPr>
              <w:t>CA</w:t>
            </w:r>
            <w:r>
              <w:rPr>
                <w:rFonts w:hint="eastAsia" w:ascii="宋体" w:hAnsi="宋体" w:eastAsia="宋体" w:cs="宋体"/>
                <w:color w:val="auto"/>
                <w:spacing w:val="0"/>
                <w:sz w:val="24"/>
                <w:szCs w:val="24"/>
                <w:highlight w:val="none"/>
              </w:rPr>
              <w:t>证书或外包装应标记“项目名称、项目编号、投标人的全称”等内容，以方便识别、使用。</w:t>
            </w:r>
          </w:p>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d.投标人的</w:t>
            </w:r>
            <w:r>
              <w:rPr>
                <w:rFonts w:hint="default" w:ascii="Calibri" w:hAnsi="Calibri" w:cs="Calibri"/>
                <w:color w:val="auto"/>
                <w:spacing w:val="0"/>
                <w:sz w:val="24"/>
                <w:szCs w:val="24"/>
                <w:highlight w:val="none"/>
              </w:rPr>
              <w:t>CA</w:t>
            </w:r>
            <w:r>
              <w:rPr>
                <w:rFonts w:hint="eastAsia" w:ascii="宋体" w:hAnsi="宋体" w:eastAsia="宋体" w:cs="宋体"/>
                <w:color w:val="auto"/>
                <w:spacing w:val="0"/>
                <w:sz w:val="24"/>
                <w:szCs w:val="24"/>
                <w:highlight w:val="none"/>
              </w:rPr>
              <w:t>证书应能正常、有效使用，否则产生不利后果由投标人承担责任。</w:t>
            </w:r>
          </w:p>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⑥关于投标截止时间过后</w:t>
            </w:r>
          </w:p>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a.未按招标文件规定提交投标保证金的，</w:t>
            </w:r>
            <w:r>
              <w:rPr>
                <w:rStyle w:val="13"/>
                <w:rFonts w:hint="eastAsia" w:ascii="宋体" w:hAnsi="宋体" w:eastAsia="宋体" w:cs="宋体"/>
                <w:b/>
                <w:bCs/>
                <w:color w:val="auto"/>
                <w:spacing w:val="0"/>
                <w:sz w:val="24"/>
                <w:szCs w:val="24"/>
                <w:highlight w:val="none"/>
              </w:rPr>
              <w:t>其投标将按无效投标处理。</w:t>
            </w:r>
          </w:p>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b.有下列情形之一的，其</w:t>
            </w:r>
            <w:r>
              <w:rPr>
                <w:rStyle w:val="13"/>
                <w:rFonts w:hint="eastAsia" w:ascii="宋体" w:hAnsi="宋体" w:eastAsia="宋体" w:cs="宋体"/>
                <w:b/>
                <w:bCs/>
                <w:color w:val="auto"/>
                <w:spacing w:val="0"/>
                <w:sz w:val="24"/>
                <w:szCs w:val="24"/>
                <w:highlight w:val="none"/>
              </w:rPr>
              <w:t>投标无效</w:t>
            </w:r>
            <w:r>
              <w:rPr>
                <w:rFonts w:hint="eastAsia" w:ascii="宋体" w:hAnsi="宋体" w:eastAsia="宋体" w:cs="宋体"/>
                <w:color w:val="auto"/>
                <w:spacing w:val="0"/>
                <w:sz w:val="24"/>
                <w:szCs w:val="24"/>
                <w:highlight w:val="none"/>
              </w:rPr>
              <w:t>,其保证金不予退还：</w:t>
            </w:r>
          </w:p>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b1不同投标人的电子投标文件具有相同内部识别码；</w:t>
            </w:r>
          </w:p>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b2不同投标人的投标保证金从同一单位或个人的账户转出；</w:t>
            </w:r>
          </w:p>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b3投标人的投标保证金同一采购包下有其他投标人提交的投标保证金；</w:t>
            </w:r>
          </w:p>
          <w:p>
            <w:pPr>
              <w:pStyle w:val="11"/>
              <w:keepNext w:val="0"/>
              <w:keepLines w:val="0"/>
              <w:widowControl/>
              <w:suppressLineNumbers w:val="0"/>
              <w:wordWrap w:val="0"/>
              <w:spacing w:before="0" w:beforeAutospacing="0" w:after="150" w:afterAutospacing="0"/>
              <w:ind w:left="0" w:right="0"/>
              <w:rPr>
                <w:color w:val="auto"/>
                <w:highlight w:val="none"/>
              </w:rPr>
            </w:pPr>
            <w:r>
              <w:rPr>
                <w:rFonts w:hint="eastAsia" w:ascii="宋体" w:hAnsi="宋体" w:eastAsia="宋体" w:cs="宋体"/>
                <w:color w:val="auto"/>
                <w:sz w:val="24"/>
                <w:szCs w:val="24"/>
                <w:highlight w:val="none"/>
              </w:rPr>
              <w:t>b4不同投标人存在串通投标的其他情形。</w:t>
            </w:r>
          </w:p>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1"/>
              <w:keepNext w:val="0"/>
              <w:keepLines w:val="0"/>
              <w:widowControl/>
              <w:suppressLineNumbers w:val="0"/>
              <w:wordWrap w:val="0"/>
              <w:spacing w:before="0" w:beforeAutospacing="0" w:after="0" w:afterAutospacing="0"/>
              <w:ind w:left="0" w:right="0"/>
              <w:rPr>
                <w:color w:val="auto"/>
                <w:highlight w:val="none"/>
              </w:rPr>
            </w:pPr>
            <w:r>
              <w:rPr>
                <w:rFonts w:hint="eastAsia" w:ascii="宋体" w:hAnsi="宋体" w:eastAsia="宋体" w:cs="宋体"/>
                <w:color w:val="auto"/>
                <w:spacing w:val="0"/>
                <w:sz w:val="24"/>
                <w:szCs w:val="24"/>
                <w:highlight w:val="none"/>
              </w:rPr>
              <w:t>⑧其他：</w:t>
            </w:r>
            <w:r>
              <w:rPr>
                <w:color w:val="auto"/>
                <w:spacing w:val="0"/>
                <w:sz w:val="24"/>
                <w:szCs w:val="24"/>
                <w:highlight w:val="none"/>
              </w:rPr>
              <w:t>无。</w:t>
            </w:r>
            <w:r>
              <w:rPr>
                <w:rFonts w:hint="eastAsia" w:ascii="宋体" w:hAnsi="宋体" w:eastAsia="宋体" w:cs="宋体"/>
                <w:color w:val="auto"/>
                <w:spacing w:val="0"/>
                <w:sz w:val="24"/>
                <w:szCs w:val="24"/>
                <w:highlight w:val="none"/>
              </w:rPr>
              <w:t>。</w:t>
            </w:r>
          </w:p>
        </w:tc>
      </w:tr>
    </w:tbl>
    <w:p>
      <w:pPr>
        <w:pStyle w:val="11"/>
        <w:keepNext w:val="0"/>
        <w:keepLines w:val="0"/>
        <w:widowControl/>
        <w:suppressLineNumbers w:val="0"/>
        <w:spacing w:before="75" w:beforeAutospacing="0" w:after="75" w:afterAutospacing="0"/>
        <w:ind w:left="0" w:right="0" w:firstLine="0"/>
        <w:rPr>
          <w:color w:val="auto"/>
          <w:highlight w:val="none"/>
        </w:rPr>
      </w:pPr>
      <w:r>
        <w:rPr>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0"/>
        <w:rPr>
          <w:color w:val="auto"/>
          <w:highlight w:val="none"/>
        </w:rPr>
      </w:pPr>
      <w:r>
        <w:rPr>
          <w:color w:val="auto"/>
          <w:spacing w:val="0"/>
          <w:sz w:val="24"/>
          <w:szCs w:val="24"/>
          <w:highlight w:val="none"/>
        </w:rPr>
        <w:t> </w:t>
      </w:r>
    </w:p>
    <w:p>
      <w:pPr>
        <w:rPr>
          <w:rStyle w:val="13"/>
          <w:rFonts w:hint="eastAsia" w:ascii="宋体" w:hAnsi="宋体" w:eastAsia="宋体" w:cs="宋体"/>
          <w:b/>
          <w:bCs/>
          <w:color w:val="auto"/>
          <w:spacing w:val="0"/>
          <w:sz w:val="31"/>
          <w:szCs w:val="31"/>
          <w:highlight w:val="none"/>
        </w:rPr>
      </w:pPr>
      <w:r>
        <w:rPr>
          <w:rStyle w:val="13"/>
          <w:rFonts w:hint="eastAsia" w:ascii="宋体" w:hAnsi="宋体" w:eastAsia="宋体" w:cs="宋体"/>
          <w:b/>
          <w:bCs/>
          <w:color w:val="auto"/>
          <w:spacing w:val="0"/>
          <w:sz w:val="31"/>
          <w:szCs w:val="31"/>
          <w:highlight w:val="none"/>
        </w:rPr>
        <w:br w:type="page"/>
      </w:r>
    </w:p>
    <w:p>
      <w:pPr>
        <w:pStyle w:val="11"/>
        <w:keepNext w:val="0"/>
        <w:keepLines w:val="0"/>
        <w:widowControl/>
        <w:suppressLineNumbers w:val="0"/>
        <w:spacing w:before="75" w:beforeAutospacing="0" w:after="75" w:afterAutospacing="0"/>
        <w:ind w:left="0" w:right="0" w:firstLine="0"/>
        <w:jc w:val="center"/>
        <w:rPr>
          <w:color w:val="auto"/>
          <w:highlight w:val="none"/>
        </w:rPr>
      </w:pPr>
      <w:r>
        <w:rPr>
          <w:rStyle w:val="13"/>
          <w:rFonts w:hint="eastAsia" w:ascii="宋体" w:hAnsi="宋体" w:eastAsia="宋体" w:cs="宋体"/>
          <w:b/>
          <w:bCs/>
          <w:color w:val="auto"/>
          <w:spacing w:val="0"/>
          <w:sz w:val="31"/>
          <w:szCs w:val="31"/>
          <w:highlight w:val="none"/>
        </w:rPr>
        <w:t>第三章   投标人须知</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0"/>
        <w:jc w:val="center"/>
        <w:rPr>
          <w:color w:val="auto"/>
          <w:highlight w:val="none"/>
        </w:rPr>
      </w:pPr>
      <w:r>
        <w:rPr>
          <w:rStyle w:val="13"/>
          <w:rFonts w:hint="eastAsia" w:ascii="宋体" w:hAnsi="宋体" w:eastAsia="宋体" w:cs="宋体"/>
          <w:b/>
          <w:bCs/>
          <w:color w:val="auto"/>
          <w:spacing w:val="0"/>
          <w:sz w:val="24"/>
          <w:szCs w:val="24"/>
          <w:highlight w:val="none"/>
        </w:rPr>
        <w:t>一、总则</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1、适用范围</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1.1适用于招标文件载明项目的政府采购活动（以下简称：“本次采购活动”）。</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2、定义</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2.1“采购标的”指招标文件载明的需要采购的货物或服务。</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2.2“潜在投标人”指按照招标文件第一章第</w:t>
      </w:r>
      <w:r>
        <w:rPr>
          <w:rFonts w:hint="default" w:ascii="Calibri" w:hAnsi="Calibri" w:cs="Calibri"/>
          <w:color w:val="auto"/>
          <w:spacing w:val="0"/>
          <w:sz w:val="24"/>
          <w:szCs w:val="24"/>
          <w:highlight w:val="none"/>
        </w:rPr>
        <w:t>7</w:t>
      </w:r>
      <w:r>
        <w:rPr>
          <w:rFonts w:hint="eastAsia" w:ascii="宋体" w:hAnsi="宋体" w:eastAsia="宋体" w:cs="宋体"/>
          <w:color w:val="auto"/>
          <w:spacing w:val="0"/>
          <w:sz w:val="24"/>
          <w:szCs w:val="24"/>
          <w:highlight w:val="none"/>
        </w:rPr>
        <w:t>条规定获取招标文件且有意向参加本项目投标的供应商。</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2.3“投标人”指按照招标文件第一章第</w:t>
      </w:r>
      <w:r>
        <w:rPr>
          <w:rFonts w:hint="default" w:ascii="Calibri" w:hAnsi="Calibri" w:cs="Calibri"/>
          <w:color w:val="auto"/>
          <w:spacing w:val="0"/>
          <w:sz w:val="24"/>
          <w:szCs w:val="24"/>
          <w:highlight w:val="none"/>
        </w:rPr>
        <w:t>7</w:t>
      </w:r>
      <w:r>
        <w:rPr>
          <w:rFonts w:hint="eastAsia" w:ascii="宋体" w:hAnsi="宋体" w:eastAsia="宋体" w:cs="宋体"/>
          <w:color w:val="auto"/>
          <w:spacing w:val="0"/>
          <w:sz w:val="24"/>
          <w:szCs w:val="24"/>
          <w:highlight w:val="none"/>
        </w:rPr>
        <w:t>条规定获取招标文件并参加本项目投标的供应商。</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2.4“单位负责人”指单位法定代表人或法律、法规规定代表单位行使职权的主要负责人。</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2.5“投标人代表”指投标人的单位负责人或“单位负责人授权书”中载明的接受授权方。</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0"/>
        <w:jc w:val="center"/>
        <w:rPr>
          <w:color w:val="auto"/>
          <w:highlight w:val="none"/>
        </w:rPr>
      </w:pPr>
      <w:r>
        <w:rPr>
          <w:rStyle w:val="13"/>
          <w:rFonts w:hint="eastAsia" w:ascii="宋体" w:hAnsi="宋体" w:eastAsia="宋体" w:cs="宋体"/>
          <w:b/>
          <w:bCs/>
          <w:color w:val="auto"/>
          <w:spacing w:val="0"/>
          <w:sz w:val="24"/>
          <w:szCs w:val="24"/>
          <w:highlight w:val="none"/>
        </w:rPr>
        <w:t>二、投标人</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3、合格投标人</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3.1一般规定</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（1）投标人应遵守政府采购法及实施条例、政府采购招投标管理办法、</w:t>
      </w:r>
      <w:r>
        <w:rPr>
          <w:rFonts w:hint="eastAsia" w:ascii="宋体" w:hAnsi="宋体" w:eastAsia="宋体" w:cs="宋体"/>
          <w:color w:val="auto"/>
          <w:highlight w:val="none"/>
        </w:rPr>
        <w:t>政府采购质疑和投诉办法及财政部、</w:t>
      </w:r>
      <w:r>
        <w:rPr>
          <w:rFonts w:hint="eastAsia" w:ascii="宋体" w:hAnsi="宋体" w:eastAsia="宋体" w:cs="宋体"/>
          <w:color w:val="auto"/>
          <w:spacing w:val="0"/>
          <w:highlight w:val="none"/>
        </w:rPr>
        <w:t>福建省财政厅有关政府采购文件的规定，同时还应遵守有关法律、法规和规章的强制性规定。</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（2）投标人的资格要求：详见招标文件第一章。</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3.2若本项目接受联合体投标且投标人为联合体，则联合体各方应遵守本章第3.1条规定，同时还应遵守下列规定：</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（1）联合体各方应提交联合体协议，联合体协议应符合招标文件规定。</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（2）联合体各方不得再单独参加或与其他供应商另外组成联合体参加同一合同项下的投标。</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（3）联合体各方应共同与采购人签订政府采购合同，就政府采购合同约定的事项对采购人承担连带责任。  </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z w:val="24"/>
          <w:szCs w:val="24"/>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z w:val="24"/>
          <w:szCs w:val="24"/>
          <w:highlight w:val="none"/>
        </w:rPr>
        <w:t>（5）联合体一方放弃中标的，视为联合体整体放弃中标，联合体各方承担连带责任。</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z w:val="24"/>
          <w:szCs w:val="24"/>
          <w:highlight w:val="none"/>
        </w:rPr>
        <w:t>（6）如本项目不接受联合体投标而投标人为联合体的，或者本项目接受联合体投标但投标人组成的联合体不符合本章第3.2条规定的，投标无效。</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4、投标费用</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4.1除招标文件另有规定外，投标人应自行承担其参加本项目投标所涉及的一切费用。</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0"/>
        <w:jc w:val="center"/>
        <w:rPr>
          <w:color w:val="auto"/>
          <w:highlight w:val="none"/>
        </w:rPr>
      </w:pPr>
      <w:r>
        <w:rPr>
          <w:rStyle w:val="13"/>
          <w:rFonts w:hint="eastAsia" w:ascii="宋体" w:hAnsi="宋体" w:eastAsia="宋体" w:cs="宋体"/>
          <w:b/>
          <w:bCs/>
          <w:color w:val="auto"/>
          <w:spacing w:val="0"/>
          <w:sz w:val="24"/>
          <w:szCs w:val="24"/>
          <w:highlight w:val="none"/>
        </w:rPr>
        <w:t>三、招标</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5、招标文件</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5.1招标文件由下述部分组成：</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（1）投标邀请</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（2）投标人须知前附表（表</w:t>
      </w:r>
      <w:r>
        <w:rPr>
          <w:rFonts w:hint="default" w:ascii="Calibri" w:hAnsi="Calibri" w:cs="Calibri"/>
          <w:color w:val="auto"/>
          <w:spacing w:val="0"/>
          <w:sz w:val="24"/>
          <w:szCs w:val="24"/>
          <w:highlight w:val="none"/>
        </w:rPr>
        <w:t>1</w:t>
      </w:r>
      <w:r>
        <w:rPr>
          <w:rFonts w:hint="eastAsia" w:ascii="宋体" w:hAnsi="宋体" w:eastAsia="宋体" w:cs="宋体"/>
          <w:color w:val="auto"/>
          <w:spacing w:val="0"/>
          <w:sz w:val="24"/>
          <w:szCs w:val="24"/>
          <w:highlight w:val="none"/>
        </w:rPr>
        <w:t>、</w:t>
      </w:r>
      <w:r>
        <w:rPr>
          <w:rFonts w:hint="default" w:ascii="Calibri" w:hAnsi="Calibri" w:cs="Calibri"/>
          <w:color w:val="auto"/>
          <w:spacing w:val="0"/>
          <w:sz w:val="24"/>
          <w:szCs w:val="24"/>
          <w:highlight w:val="none"/>
        </w:rPr>
        <w:t>2</w:t>
      </w:r>
      <w:r>
        <w:rPr>
          <w:rFonts w:hint="eastAsia" w:ascii="宋体" w:hAnsi="宋体" w:eastAsia="宋体" w:cs="宋体"/>
          <w:color w:val="auto"/>
          <w:spacing w:val="0"/>
          <w:sz w:val="24"/>
          <w:szCs w:val="24"/>
          <w:highlight w:val="none"/>
        </w:rPr>
        <w:t>）</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（3）投标人须知</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（4）资格审查与评标</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（5）招标内容及要求</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（6）政府采购合同（参考文本）</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（7）电子投标文件格式</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（8）按照招标文件规定作为招标文件组成部分的其他内容（若有）</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5.2招标文件的澄清或修改</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w:t>
      </w:r>
      <w:r>
        <w:rPr>
          <w:color w:val="auto"/>
          <w:spacing w:val="0"/>
          <w:sz w:val="24"/>
          <w:szCs w:val="24"/>
          <w:highlight w:val="none"/>
          <w:u w:val="single"/>
        </w:rPr>
        <w:t>福建省勤思项目管理有限公司</w:t>
      </w:r>
      <w:r>
        <w:rPr>
          <w:rFonts w:hint="eastAsia" w:ascii="宋体" w:hAnsi="宋体" w:eastAsia="宋体" w:cs="宋体"/>
          <w:color w:val="auto"/>
          <w:spacing w:val="0"/>
          <w:sz w:val="24"/>
          <w:szCs w:val="24"/>
          <w:highlight w:val="none"/>
        </w:rPr>
        <w:t>可对已发出的招标文件进行必要的澄清或修改，但不得对招标文件载明的采购标的和投标人的资格要求进行改变。</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（2）除本章第</w:t>
      </w:r>
      <w:r>
        <w:rPr>
          <w:rFonts w:hint="default" w:ascii="Calibri" w:hAnsi="Calibri" w:cs="Calibri"/>
          <w:color w:val="auto"/>
          <w:spacing w:val="0"/>
          <w:sz w:val="24"/>
          <w:szCs w:val="24"/>
          <w:highlight w:val="none"/>
        </w:rPr>
        <w:t>5.2</w:t>
      </w:r>
      <w:r>
        <w:rPr>
          <w:rFonts w:hint="eastAsia" w:ascii="宋体" w:hAnsi="宋体" w:eastAsia="宋体" w:cs="宋体"/>
          <w:color w:val="auto"/>
          <w:spacing w:val="0"/>
          <w:sz w:val="24"/>
          <w:szCs w:val="24"/>
          <w:highlight w:val="none"/>
        </w:rPr>
        <w:t>条第（</w:t>
      </w:r>
      <w:r>
        <w:rPr>
          <w:rFonts w:hint="default" w:ascii="Calibri" w:hAnsi="Calibri" w:cs="Calibri"/>
          <w:color w:val="auto"/>
          <w:spacing w:val="0"/>
          <w:sz w:val="24"/>
          <w:szCs w:val="24"/>
          <w:highlight w:val="none"/>
        </w:rPr>
        <w:t>3</w:t>
      </w:r>
      <w:r>
        <w:rPr>
          <w:rFonts w:hint="eastAsia" w:ascii="宋体" w:hAnsi="宋体" w:eastAsia="宋体" w:cs="宋体"/>
          <w:color w:val="auto"/>
          <w:spacing w:val="0"/>
          <w:sz w:val="24"/>
          <w:szCs w:val="24"/>
          <w:highlight w:val="none"/>
        </w:rPr>
        <w:t>）款规定情形外，澄清或修改的内容可能影响电子投标文件编制的，</w:t>
      </w:r>
      <w:r>
        <w:rPr>
          <w:rFonts w:hint="eastAsia" w:ascii="宋体" w:hAnsi="宋体" w:eastAsia="宋体" w:cs="宋体"/>
          <w:color w:val="auto"/>
          <w:spacing w:val="0"/>
          <w:sz w:val="24"/>
          <w:szCs w:val="24"/>
          <w:highlight w:val="none"/>
          <w:u w:val="single"/>
        </w:rPr>
        <w:t>福建省勤思项目管理有限公司</w:t>
      </w:r>
      <w:r>
        <w:rPr>
          <w:rFonts w:hint="eastAsia" w:ascii="宋体" w:hAnsi="宋体" w:eastAsia="宋体" w:cs="宋体"/>
          <w:color w:val="auto"/>
          <w:spacing w:val="0"/>
          <w:sz w:val="24"/>
          <w:szCs w:val="24"/>
          <w:highlight w:val="none"/>
        </w:rPr>
        <w:t>将在投标截止时间至少15个日历日前，在招标文件载明的指定媒体以更正公告的形式发布澄清或修改的内容。不足</w:t>
      </w:r>
      <w:r>
        <w:rPr>
          <w:rFonts w:hint="default" w:ascii="Calibri" w:hAnsi="Calibri" w:cs="Calibri"/>
          <w:color w:val="auto"/>
          <w:spacing w:val="0"/>
          <w:sz w:val="24"/>
          <w:szCs w:val="24"/>
          <w:highlight w:val="none"/>
        </w:rPr>
        <w:t>15</w:t>
      </w:r>
      <w:r>
        <w:rPr>
          <w:rFonts w:hint="eastAsia" w:ascii="宋体" w:hAnsi="宋体" w:eastAsia="宋体" w:cs="宋体"/>
          <w:color w:val="auto"/>
          <w:spacing w:val="0"/>
          <w:sz w:val="24"/>
          <w:szCs w:val="24"/>
          <w:highlight w:val="none"/>
        </w:rPr>
        <w:t>个日历日的，</w:t>
      </w:r>
      <w:r>
        <w:rPr>
          <w:rFonts w:hint="eastAsia" w:ascii="宋体" w:hAnsi="宋体" w:eastAsia="宋体" w:cs="宋体"/>
          <w:color w:val="auto"/>
          <w:spacing w:val="0"/>
          <w:sz w:val="24"/>
          <w:szCs w:val="24"/>
          <w:highlight w:val="none"/>
          <w:u w:val="single"/>
        </w:rPr>
        <w:t>福建省勤思项目管理有限公司</w:t>
      </w:r>
      <w:r>
        <w:rPr>
          <w:rFonts w:hint="eastAsia" w:ascii="宋体" w:hAnsi="宋体" w:eastAsia="宋体" w:cs="宋体"/>
          <w:color w:val="auto"/>
          <w:spacing w:val="0"/>
          <w:sz w:val="24"/>
          <w:szCs w:val="24"/>
          <w:highlight w:val="none"/>
        </w:rPr>
        <w:t>将顺延投标截止时间及开标时间，</w:t>
      </w:r>
      <w:r>
        <w:rPr>
          <w:rFonts w:hint="eastAsia" w:ascii="宋体" w:hAnsi="宋体" w:eastAsia="宋体" w:cs="宋体"/>
          <w:color w:val="auto"/>
          <w:spacing w:val="0"/>
          <w:sz w:val="24"/>
          <w:szCs w:val="24"/>
          <w:highlight w:val="none"/>
          <w:u w:val="single"/>
        </w:rPr>
        <w:t>福建省勤思项目管理有限公司</w:t>
      </w:r>
      <w:r>
        <w:rPr>
          <w:rFonts w:hint="eastAsia" w:ascii="宋体" w:hAnsi="宋体" w:eastAsia="宋体" w:cs="宋体"/>
          <w:color w:val="auto"/>
          <w:spacing w:val="0"/>
          <w:sz w:val="24"/>
          <w:szCs w:val="24"/>
          <w:highlight w:val="none"/>
        </w:rPr>
        <w:t>和投标人受原投标截止时间及开标时间制约的所有权利和义务均延长至新的投标截止时间及开标时间。</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（3）澄清或修改的内容可能改变招标文件载明的采购标的和投标人的资格要求的，本次采购活动结束，</w:t>
      </w:r>
      <w:r>
        <w:rPr>
          <w:rFonts w:hint="eastAsia" w:ascii="宋体" w:hAnsi="宋体" w:eastAsia="宋体" w:cs="宋体"/>
          <w:color w:val="auto"/>
          <w:spacing w:val="0"/>
          <w:sz w:val="24"/>
          <w:szCs w:val="24"/>
          <w:highlight w:val="none"/>
          <w:u w:val="single"/>
        </w:rPr>
        <w:t>福建省勤思项目管理有限公司</w:t>
      </w:r>
      <w:r>
        <w:rPr>
          <w:rFonts w:hint="eastAsia" w:ascii="宋体" w:hAnsi="宋体" w:eastAsia="宋体" w:cs="宋体"/>
          <w:color w:val="auto"/>
          <w:spacing w:val="0"/>
          <w:sz w:val="24"/>
          <w:szCs w:val="24"/>
          <w:highlight w:val="none"/>
        </w:rPr>
        <w:t>将依法组织后续采购活动（包括但不限于：重新招标、采用其他方式采购等）。</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6、现场考察或开标前答疑会</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6.1是否组织现场考察或召开开标前答疑会：详见招标文件第二章。</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7、更正公告</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7.1若</w:t>
      </w:r>
      <w:r>
        <w:rPr>
          <w:rFonts w:hint="eastAsia" w:ascii="宋体" w:hAnsi="宋体" w:eastAsia="宋体" w:cs="宋体"/>
          <w:color w:val="auto"/>
          <w:spacing w:val="0"/>
          <w:sz w:val="24"/>
          <w:szCs w:val="24"/>
          <w:highlight w:val="none"/>
          <w:u w:val="single"/>
        </w:rPr>
        <w:t>福建省勤思项目管理有限公司</w:t>
      </w:r>
      <w:r>
        <w:rPr>
          <w:rFonts w:hint="eastAsia" w:ascii="宋体" w:hAnsi="宋体" w:eastAsia="宋体" w:cs="宋体"/>
          <w:color w:val="auto"/>
          <w:spacing w:val="0"/>
          <w:sz w:val="24"/>
          <w:szCs w:val="24"/>
          <w:highlight w:val="none"/>
        </w:rPr>
        <w:t>发布更正公告，则更正公告及其所发布的内容或信息（包括但不限于：招标文件的澄清或修改、现场考察或答疑会的有关事宜等）</w:t>
      </w:r>
      <w:r>
        <w:rPr>
          <w:rStyle w:val="13"/>
          <w:rFonts w:hint="eastAsia" w:ascii="宋体" w:hAnsi="宋体" w:eastAsia="宋体" w:cs="宋体"/>
          <w:b/>
          <w:bCs/>
          <w:color w:val="auto"/>
          <w:spacing w:val="0"/>
          <w:sz w:val="24"/>
          <w:szCs w:val="24"/>
          <w:highlight w:val="none"/>
        </w:rPr>
        <w:t>作为招标文件组成部分</w:t>
      </w:r>
      <w:r>
        <w:rPr>
          <w:rFonts w:hint="eastAsia" w:ascii="宋体" w:hAnsi="宋体" w:eastAsia="宋体" w:cs="宋体"/>
          <w:color w:val="auto"/>
          <w:spacing w:val="0"/>
          <w:sz w:val="24"/>
          <w:szCs w:val="24"/>
          <w:highlight w:val="none"/>
        </w:rPr>
        <w:t>，对投标人具有约束力。</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7.2更正公告作为</w:t>
      </w:r>
      <w:r>
        <w:rPr>
          <w:rFonts w:hint="eastAsia" w:ascii="宋体" w:hAnsi="宋体" w:eastAsia="宋体" w:cs="宋体"/>
          <w:color w:val="auto"/>
          <w:spacing w:val="0"/>
          <w:sz w:val="24"/>
          <w:szCs w:val="24"/>
          <w:highlight w:val="none"/>
          <w:u w:val="single"/>
        </w:rPr>
        <w:t>福建省勤思项目管理有限公司</w:t>
      </w:r>
      <w:r>
        <w:rPr>
          <w:rFonts w:hint="eastAsia" w:ascii="宋体" w:hAnsi="宋体" w:eastAsia="宋体" w:cs="宋体"/>
          <w:color w:val="auto"/>
          <w:spacing w:val="0"/>
          <w:sz w:val="24"/>
          <w:szCs w:val="24"/>
          <w:highlight w:val="none"/>
        </w:rPr>
        <w:t>通知所有潜在投标人的书面形式。</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8、终止公告</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8.1若出现因重大变故导致采购任务取消情形，</w:t>
      </w:r>
      <w:r>
        <w:rPr>
          <w:rFonts w:hint="eastAsia" w:ascii="宋体" w:hAnsi="宋体" w:eastAsia="宋体" w:cs="宋体"/>
          <w:color w:val="auto"/>
          <w:spacing w:val="0"/>
          <w:sz w:val="24"/>
          <w:szCs w:val="24"/>
          <w:highlight w:val="none"/>
          <w:u w:val="none"/>
        </w:rPr>
        <w:t>福建省勤思项目管理有限公司可终止招标并发布终止公告。</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u w:val="none"/>
        </w:rPr>
        <w:t>8.2终止公告作为福建省勤思项目管理有限公司</w:t>
      </w:r>
      <w:r>
        <w:rPr>
          <w:rFonts w:hint="eastAsia" w:ascii="宋体" w:hAnsi="宋体" w:eastAsia="宋体" w:cs="宋体"/>
          <w:color w:val="auto"/>
          <w:spacing w:val="0"/>
          <w:sz w:val="24"/>
          <w:szCs w:val="24"/>
          <w:highlight w:val="none"/>
        </w:rPr>
        <w:t>通知所有潜在投标人的书面形式。</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0"/>
        <w:jc w:val="center"/>
        <w:rPr>
          <w:color w:val="auto"/>
          <w:highlight w:val="none"/>
        </w:rPr>
      </w:pPr>
      <w:r>
        <w:rPr>
          <w:rStyle w:val="13"/>
          <w:rFonts w:hint="eastAsia" w:ascii="宋体" w:hAnsi="宋体" w:eastAsia="宋体" w:cs="宋体"/>
          <w:b/>
          <w:bCs/>
          <w:color w:val="auto"/>
          <w:spacing w:val="0"/>
          <w:sz w:val="24"/>
          <w:szCs w:val="24"/>
          <w:highlight w:val="none"/>
        </w:rPr>
        <w:t>四、投标</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9、投标</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9.1投标人可对招标文件载明的全部或部分采购包进行投标。</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9.2投标人应对同一个采购包内的所有内容进行完整投标，否则</w:t>
      </w:r>
      <w:r>
        <w:rPr>
          <w:rStyle w:val="13"/>
          <w:rFonts w:hint="eastAsia" w:ascii="宋体" w:hAnsi="宋体" w:eastAsia="宋体" w:cs="宋体"/>
          <w:b/>
          <w:bCs/>
          <w:color w:val="auto"/>
          <w:spacing w:val="0"/>
          <w:sz w:val="24"/>
          <w:szCs w:val="24"/>
          <w:highlight w:val="none"/>
        </w:rPr>
        <w:t>投标无效</w:t>
      </w:r>
      <w:r>
        <w:rPr>
          <w:rFonts w:hint="eastAsia" w:ascii="宋体" w:hAnsi="宋体" w:eastAsia="宋体" w:cs="宋体"/>
          <w:color w:val="auto"/>
          <w:spacing w:val="0"/>
          <w:sz w:val="24"/>
          <w:szCs w:val="24"/>
          <w:highlight w:val="none"/>
        </w:rPr>
        <w:t>。</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9.3投标人代表只能接受一个投标人的授权参加投标，否则</w:t>
      </w:r>
      <w:r>
        <w:rPr>
          <w:rStyle w:val="13"/>
          <w:rFonts w:hint="eastAsia" w:ascii="宋体" w:hAnsi="宋体" w:eastAsia="宋体" w:cs="宋体"/>
          <w:b/>
          <w:bCs/>
          <w:color w:val="auto"/>
          <w:spacing w:val="0"/>
          <w:sz w:val="24"/>
          <w:szCs w:val="24"/>
          <w:highlight w:val="none"/>
        </w:rPr>
        <w:t>投标无效</w:t>
      </w:r>
      <w:r>
        <w:rPr>
          <w:rFonts w:hint="eastAsia" w:ascii="宋体" w:hAnsi="宋体" w:eastAsia="宋体" w:cs="宋体"/>
          <w:color w:val="auto"/>
          <w:spacing w:val="0"/>
          <w:sz w:val="24"/>
          <w:szCs w:val="24"/>
          <w:highlight w:val="none"/>
        </w:rPr>
        <w:t>。</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9.4单位负责人为同一人或存在直接控股、管理关系的不同供应商，不得同时参加同一合同项下的投标，否则</w:t>
      </w:r>
      <w:r>
        <w:rPr>
          <w:rStyle w:val="13"/>
          <w:rFonts w:hint="eastAsia" w:ascii="宋体" w:hAnsi="宋体" w:eastAsia="宋体" w:cs="宋体"/>
          <w:b/>
          <w:bCs/>
          <w:color w:val="auto"/>
          <w:spacing w:val="0"/>
          <w:sz w:val="24"/>
          <w:szCs w:val="24"/>
          <w:highlight w:val="none"/>
        </w:rPr>
        <w:t>投标无效</w:t>
      </w:r>
      <w:r>
        <w:rPr>
          <w:rFonts w:hint="eastAsia" w:ascii="宋体" w:hAnsi="宋体" w:eastAsia="宋体" w:cs="宋体"/>
          <w:color w:val="auto"/>
          <w:spacing w:val="0"/>
          <w:sz w:val="24"/>
          <w:szCs w:val="24"/>
          <w:highlight w:val="none"/>
        </w:rPr>
        <w:t>。</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9.5为本项目提供整体设计、规范编制或项目管理、监理、检测等服务的供应商，不得参加本项目除整体设计、规范编制和项目管理、监理、检测等服务外的采购活动，否则</w:t>
      </w:r>
      <w:r>
        <w:rPr>
          <w:rStyle w:val="13"/>
          <w:rFonts w:hint="eastAsia" w:ascii="宋体" w:hAnsi="宋体" w:eastAsia="宋体" w:cs="宋体"/>
          <w:b/>
          <w:bCs/>
          <w:color w:val="auto"/>
          <w:spacing w:val="0"/>
          <w:sz w:val="24"/>
          <w:szCs w:val="24"/>
          <w:highlight w:val="none"/>
        </w:rPr>
        <w:t>投标无效</w:t>
      </w:r>
      <w:r>
        <w:rPr>
          <w:rFonts w:hint="eastAsia" w:ascii="宋体" w:hAnsi="宋体" w:eastAsia="宋体" w:cs="宋体"/>
          <w:color w:val="auto"/>
          <w:spacing w:val="0"/>
          <w:sz w:val="24"/>
          <w:szCs w:val="24"/>
          <w:highlight w:val="none"/>
        </w:rPr>
        <w:t>。</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9.6列入失信被执行人、重大税收违法案件当事人名单、政府采购严重违法失信行为记录名单及其他不符合政府采购法第二十二条规定条件的供应商，不得参加投标，否则</w:t>
      </w:r>
      <w:r>
        <w:rPr>
          <w:rStyle w:val="13"/>
          <w:rFonts w:hint="eastAsia" w:ascii="宋体" w:hAnsi="宋体" w:eastAsia="宋体" w:cs="宋体"/>
          <w:b/>
          <w:bCs/>
          <w:color w:val="auto"/>
          <w:spacing w:val="0"/>
          <w:sz w:val="24"/>
          <w:szCs w:val="24"/>
          <w:highlight w:val="none"/>
        </w:rPr>
        <w:t>投标无效</w:t>
      </w:r>
      <w:r>
        <w:rPr>
          <w:rFonts w:hint="eastAsia" w:ascii="宋体" w:hAnsi="宋体" w:eastAsia="宋体" w:cs="宋体"/>
          <w:color w:val="auto"/>
          <w:spacing w:val="0"/>
          <w:sz w:val="24"/>
          <w:szCs w:val="24"/>
          <w:highlight w:val="none"/>
        </w:rPr>
        <w:t>。</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9.7有下列情形之一的，视为投标人串通投标，</w:t>
      </w:r>
      <w:r>
        <w:rPr>
          <w:rStyle w:val="13"/>
          <w:rFonts w:hint="eastAsia" w:ascii="宋体" w:hAnsi="宋体" w:eastAsia="宋体" w:cs="宋体"/>
          <w:b/>
          <w:bCs/>
          <w:color w:val="auto"/>
          <w:spacing w:val="0"/>
          <w:sz w:val="24"/>
          <w:szCs w:val="24"/>
          <w:highlight w:val="none"/>
        </w:rPr>
        <w:t>其投标无效：</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（1）不同投标人的电子投标文件由同一单位或个人编制；</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（2）不同投标人委托同一单位或个人办理投标事宜；</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（3）不同投标人的电子投标文件载明的项目管理成员或联系人员为同一人；</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（4）不同投标人的电子投标文件异常一致或投标报价呈规律性差异；</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（5）不同投标人的电子投标文件相互混装；</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（6）不同投标人的投标保证金从同一单位或个人的账户转出；</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（7）有关法律、法规和规章及招标文件规定的其他串通投标情形。</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10、电子投标文件</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10.1电子投标文件的编制</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（1）投标人应先仔细阅读招标文件的全部内容后，再进行电子投标文件的编制。</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（2）电子投标文件应按照本章第</w:t>
      </w:r>
      <w:r>
        <w:rPr>
          <w:rFonts w:hint="default" w:ascii="Calibri" w:hAnsi="Calibri" w:cs="Calibri"/>
          <w:color w:val="auto"/>
          <w:spacing w:val="0"/>
          <w:sz w:val="24"/>
          <w:szCs w:val="24"/>
          <w:highlight w:val="none"/>
        </w:rPr>
        <w:t>10.2</w:t>
      </w:r>
      <w:r>
        <w:rPr>
          <w:rFonts w:hint="eastAsia" w:ascii="宋体" w:hAnsi="宋体" w:eastAsia="宋体" w:cs="宋体"/>
          <w:color w:val="auto"/>
          <w:spacing w:val="0"/>
          <w:sz w:val="24"/>
          <w:szCs w:val="24"/>
          <w:highlight w:val="none"/>
        </w:rPr>
        <w:t>条规定编制其组成部分。</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（3）电子投标文件应满足招标文件提出的实质性要求和条件，并保证其所提交的全部资料是不可割离且真实、有效、准确、完整和不具有任何误导性的，否则造成不利后果由投标人承担责任。</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10.2电子投标文件由下述部分组成：</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（1）资格及资信证明部分</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①投标函</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②投标人的资格及资信证明文件</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③投标保证金</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（2）报价部分</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①开标一览表</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②投标分项报价表</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③招标文件规定的价格扣除证明材料（若有）</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④招标文件规定的加分证明材料（若有）</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（3）技术商务部分</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①标的说明一览表</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②技术和服务要求响应表</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③商务条件响应表</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④投标人提交的其他资料（若有）</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⑤招标文件规定作为电子投标文件组成部分的其他内容（若有）</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10.3电子投标文件的语言</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（1）除招标文件另有规定外，电子投标文件应使用中文文本，若有不同文本，以中文文本为准。</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10.4投标文件的份数：详见招标文件第二章。</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10.5电子投标文件的格式</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（1）除招标文件另有规定外，电子投标文件应使用招标文件第七章规定的格式。</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（2）除招标文件另有规定外，电子投标文件应使用不能擦去的墨料或墨水打印、书写或复印。</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（3）除招标文件另有规定外，电子投标文件应使用人民币作为计量货币。</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（4）除招标文件另有规定外，签署、盖章应遵守下列规定：</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①电子投标文件应加盖投标人的单位公章。若投标人代表为单位授权的委托代理人，应提供“单位授权书”。</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②电子投标文件应没有涂改或行间插字，除非这些改动是根据</w:t>
      </w:r>
      <w:r>
        <w:rPr>
          <w:rFonts w:hint="eastAsia" w:ascii="宋体" w:hAnsi="宋体" w:eastAsia="宋体" w:cs="宋体"/>
          <w:color w:val="auto"/>
          <w:spacing w:val="0"/>
          <w:sz w:val="24"/>
          <w:szCs w:val="24"/>
          <w:highlight w:val="none"/>
          <w:u w:val="single"/>
        </w:rPr>
        <w:t>福建省勤思项目管理有限公司</w:t>
      </w:r>
      <w:r>
        <w:rPr>
          <w:rFonts w:hint="eastAsia" w:ascii="宋体" w:hAnsi="宋体" w:eastAsia="宋体" w:cs="宋体"/>
          <w:color w:val="auto"/>
          <w:spacing w:val="0"/>
          <w:sz w:val="24"/>
          <w:szCs w:val="24"/>
          <w:highlight w:val="none"/>
        </w:rPr>
        <w:t>的指示进行的，或是为改正投标人造成的应修改的错误而进行的。若有前述改动，应按照下列规定之一对改动处进行处理：</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a.投标人代表签字确认；</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b.加盖投标人的单位公章或校正章。</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10.6投标报价</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（1）投标报价超出最高限价将导致</w:t>
      </w:r>
      <w:r>
        <w:rPr>
          <w:rStyle w:val="13"/>
          <w:rFonts w:hint="eastAsia" w:ascii="宋体" w:hAnsi="宋体" w:eastAsia="宋体" w:cs="宋体"/>
          <w:b/>
          <w:bCs/>
          <w:color w:val="auto"/>
          <w:spacing w:val="0"/>
          <w:sz w:val="24"/>
          <w:szCs w:val="24"/>
          <w:highlight w:val="none"/>
        </w:rPr>
        <w:t>投标无效。</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（2）最高限价由采购人根据价格测算情况，在预算金额的额度内合理设定。最高限价不得超出预算金额。</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（3）除招标文件另有规定外，电子投标文件不能出现任何选择性的投标报价，即每一个采购包和品目号的采购标的都只能有一个投标报价。任何选择性的投标报价将导致</w:t>
      </w:r>
      <w:r>
        <w:rPr>
          <w:rStyle w:val="13"/>
          <w:rFonts w:hint="eastAsia" w:ascii="宋体" w:hAnsi="宋体" w:eastAsia="宋体" w:cs="宋体"/>
          <w:b/>
          <w:bCs/>
          <w:color w:val="auto"/>
          <w:spacing w:val="0"/>
          <w:sz w:val="24"/>
          <w:szCs w:val="24"/>
          <w:highlight w:val="none"/>
        </w:rPr>
        <w:t>投标无效。</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10.7分包</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（1）是否允许中标人将本项目的非主体、非关键性工作进行分包：详见招标文件第二章。</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（3）招标文件允许中标人将非主体、非关键性工作进行分包的项目，有下列情形之一的，中标人不得分包：</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①电子投标文件中未载明分包承担主体；</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②电子投标文件载明的分包承担主体不具备相应资质条件；</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③电子投标文件载明的分包承担主体拟再次分包；</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pacing w:val="0"/>
          <w:sz w:val="24"/>
          <w:szCs w:val="24"/>
          <w:highlight w:val="none"/>
        </w:rPr>
        <w:t>  ④享受中小企业扶持政策获得政府采购合同的，小微企业不得将合同分包给大中型企业，中型企业不得将合同分包给大型企业。</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10.8投标有效期</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（1）招标文件载明的投标有效期：详见招标文件第二章。</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（2）电子投标文件承诺的投标有效期不得少于招标文件载明的投标有效期，否则</w:t>
      </w:r>
      <w:r>
        <w:rPr>
          <w:rStyle w:val="13"/>
          <w:rFonts w:hint="eastAsia" w:ascii="宋体" w:hAnsi="宋体" w:eastAsia="宋体" w:cs="宋体"/>
          <w:b/>
          <w:bCs/>
          <w:color w:val="auto"/>
          <w:spacing w:val="0"/>
          <w:sz w:val="24"/>
          <w:szCs w:val="24"/>
          <w:highlight w:val="none"/>
        </w:rPr>
        <w:t>投标无效</w:t>
      </w:r>
      <w:r>
        <w:rPr>
          <w:rFonts w:hint="eastAsia" w:ascii="宋体" w:hAnsi="宋体" w:eastAsia="宋体" w:cs="宋体"/>
          <w:color w:val="auto"/>
          <w:spacing w:val="0"/>
          <w:sz w:val="24"/>
          <w:szCs w:val="24"/>
          <w:highlight w:val="none"/>
        </w:rPr>
        <w:t>。</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（3）根据本次采购活动的需要，</w:t>
      </w:r>
      <w:r>
        <w:rPr>
          <w:rFonts w:hint="eastAsia" w:ascii="宋体" w:hAnsi="宋体" w:eastAsia="宋体" w:cs="宋体"/>
          <w:color w:val="auto"/>
          <w:spacing w:val="0"/>
          <w:sz w:val="24"/>
          <w:szCs w:val="24"/>
          <w:highlight w:val="none"/>
          <w:u w:val="single"/>
        </w:rPr>
        <w:t>福建省勤思项目管理有限公司</w:t>
      </w:r>
      <w:r>
        <w:rPr>
          <w:rFonts w:hint="eastAsia" w:ascii="宋体" w:hAnsi="宋体" w:eastAsia="宋体" w:cs="宋体"/>
          <w:color w:val="auto"/>
          <w:spacing w:val="0"/>
          <w:sz w:val="24"/>
          <w:szCs w:val="24"/>
          <w:highlight w:val="none"/>
        </w:rPr>
        <w:t>可于投标有效期届满之前书面要求投标人延长投标有效期，投标人应在</w:t>
      </w:r>
      <w:r>
        <w:rPr>
          <w:rFonts w:hint="eastAsia" w:ascii="宋体" w:hAnsi="宋体" w:eastAsia="宋体" w:cs="宋体"/>
          <w:color w:val="auto"/>
          <w:spacing w:val="0"/>
          <w:sz w:val="24"/>
          <w:szCs w:val="24"/>
          <w:highlight w:val="none"/>
          <w:u w:val="single"/>
        </w:rPr>
        <w:t>福建省勤思项目管理有限公司</w:t>
      </w:r>
      <w:r>
        <w:rPr>
          <w:rFonts w:hint="eastAsia" w:ascii="宋体" w:hAnsi="宋体" w:eastAsia="宋体" w:cs="宋体"/>
          <w:color w:val="auto"/>
          <w:spacing w:val="0"/>
          <w:sz w:val="24"/>
          <w:szCs w:val="24"/>
          <w:highlight w:val="none"/>
        </w:rPr>
        <w:t>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10.9投标保证金</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（1）投标保证金作为投标人按照招标文件规定履行相应投标责任、义务的约束及担保。</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（2）投标保证金的有效期应与电子投标文件承诺的投标有效期保持一致，否则</w:t>
      </w:r>
      <w:r>
        <w:rPr>
          <w:rStyle w:val="13"/>
          <w:rFonts w:hint="eastAsia" w:ascii="宋体" w:hAnsi="宋体" w:eastAsia="宋体" w:cs="宋体"/>
          <w:b/>
          <w:bCs/>
          <w:color w:val="auto"/>
          <w:spacing w:val="0"/>
          <w:sz w:val="24"/>
          <w:szCs w:val="24"/>
          <w:highlight w:val="none"/>
        </w:rPr>
        <w:t>投标无效</w:t>
      </w:r>
      <w:r>
        <w:rPr>
          <w:rFonts w:hint="eastAsia" w:ascii="宋体" w:hAnsi="宋体" w:eastAsia="宋体" w:cs="宋体"/>
          <w:color w:val="auto"/>
          <w:spacing w:val="0"/>
          <w:sz w:val="24"/>
          <w:szCs w:val="24"/>
          <w:highlight w:val="none"/>
        </w:rPr>
        <w:t>。</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（3）提交</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①投标人应从其银行账户</w:t>
      </w:r>
      <w:r>
        <w:rPr>
          <w:rStyle w:val="13"/>
          <w:rFonts w:hint="eastAsia" w:ascii="宋体" w:hAnsi="宋体" w:eastAsia="宋体" w:cs="宋体"/>
          <w:b/>
          <w:bCs/>
          <w:color w:val="auto"/>
          <w:spacing w:val="0"/>
          <w:sz w:val="24"/>
          <w:szCs w:val="24"/>
          <w:highlight w:val="none"/>
        </w:rPr>
        <w:t>（基本存款账户）</w:t>
      </w:r>
      <w:r>
        <w:rPr>
          <w:rFonts w:hint="eastAsia" w:ascii="宋体" w:hAnsi="宋体" w:eastAsia="宋体" w:cs="宋体"/>
          <w:color w:val="auto"/>
          <w:spacing w:val="0"/>
          <w:sz w:val="24"/>
          <w:szCs w:val="24"/>
          <w:highlight w:val="none"/>
        </w:rPr>
        <w:t>按照下列方式：</w:t>
      </w:r>
      <w:r>
        <w:rPr>
          <w:rStyle w:val="13"/>
          <w:rFonts w:hint="eastAsia" w:ascii="宋体" w:hAnsi="宋体" w:eastAsia="宋体" w:cs="宋体"/>
          <w:b/>
          <w:bCs/>
          <w:color w:val="auto"/>
          <w:spacing w:val="0"/>
          <w:sz w:val="24"/>
          <w:szCs w:val="24"/>
          <w:highlight w:val="none"/>
        </w:rPr>
        <w:t>公对公转账方式</w:t>
      </w:r>
      <w:r>
        <w:rPr>
          <w:rFonts w:hint="eastAsia" w:ascii="宋体" w:hAnsi="宋体" w:eastAsia="宋体" w:cs="宋体"/>
          <w:color w:val="auto"/>
          <w:spacing w:val="0"/>
          <w:sz w:val="24"/>
          <w:szCs w:val="24"/>
          <w:highlight w:val="none"/>
        </w:rPr>
        <w:t>向招标文件载明的投标保证金账户提交投标保证金，具体金额详见招标文件第一章。</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②投标保证金应于投标截止时间前到达招标文件载明的投标保证金账户，否则视为投标保证金未提交；是否到达按照下列方式认定：</w:t>
      </w:r>
      <w:r>
        <w:rPr>
          <w:rStyle w:val="13"/>
          <w:rFonts w:hint="eastAsia" w:ascii="宋体" w:hAnsi="宋体" w:eastAsia="宋体" w:cs="宋体"/>
          <w:b/>
          <w:bCs/>
          <w:color w:val="auto"/>
          <w:spacing w:val="0"/>
          <w:sz w:val="24"/>
          <w:szCs w:val="24"/>
          <w:highlight w:val="none"/>
        </w:rPr>
        <w:t>以福建省政府采购网上公开信息系统记载的为准。</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③若本项目接受联合体投标且投标人为联合体，则联合体中的牵头方应按照本章第</w:t>
      </w:r>
      <w:r>
        <w:rPr>
          <w:rFonts w:hint="default" w:ascii="Calibri" w:hAnsi="Calibri" w:cs="Calibri"/>
          <w:color w:val="auto"/>
          <w:spacing w:val="0"/>
          <w:sz w:val="24"/>
          <w:szCs w:val="24"/>
          <w:highlight w:val="none"/>
        </w:rPr>
        <w:t>10.9</w:t>
      </w:r>
      <w:r>
        <w:rPr>
          <w:rFonts w:hint="eastAsia" w:ascii="宋体" w:hAnsi="宋体" w:eastAsia="宋体" w:cs="宋体"/>
          <w:color w:val="auto"/>
          <w:spacing w:val="0"/>
          <w:sz w:val="24"/>
          <w:szCs w:val="24"/>
          <w:highlight w:val="none"/>
        </w:rPr>
        <w:t>条第（</w:t>
      </w:r>
      <w:r>
        <w:rPr>
          <w:rFonts w:hint="default" w:ascii="Calibri" w:hAnsi="Calibri" w:cs="Calibri"/>
          <w:color w:val="auto"/>
          <w:spacing w:val="0"/>
          <w:sz w:val="24"/>
          <w:szCs w:val="24"/>
          <w:highlight w:val="none"/>
        </w:rPr>
        <w:t>3</w:t>
      </w:r>
      <w:r>
        <w:rPr>
          <w:rFonts w:hint="eastAsia" w:ascii="宋体" w:hAnsi="宋体" w:eastAsia="宋体" w:cs="宋体"/>
          <w:color w:val="auto"/>
          <w:spacing w:val="0"/>
          <w:sz w:val="24"/>
          <w:szCs w:val="24"/>
          <w:highlight w:val="none"/>
        </w:rPr>
        <w:t>）款第①、②点规定提交投标保证金。</w:t>
      </w:r>
    </w:p>
    <w:p>
      <w:pPr>
        <w:pStyle w:val="11"/>
        <w:keepNext w:val="0"/>
        <w:keepLines w:val="0"/>
        <w:widowControl/>
        <w:suppressLineNumbers w:val="0"/>
        <w:spacing w:before="75" w:beforeAutospacing="0" w:after="75" w:afterAutospacing="0"/>
        <w:ind w:left="0" w:right="0" w:firstLine="480"/>
        <w:rPr>
          <w:color w:val="auto"/>
          <w:highlight w:val="none"/>
        </w:rPr>
      </w:pPr>
      <w:r>
        <w:rPr>
          <w:rStyle w:val="13"/>
          <w:rFonts w:hint="eastAsia" w:ascii="宋体" w:hAnsi="宋体" w:eastAsia="宋体" w:cs="宋体"/>
          <w:b/>
          <w:bCs/>
          <w:color w:val="auto"/>
          <w:spacing w:val="0"/>
          <w:sz w:val="24"/>
          <w:szCs w:val="24"/>
          <w:highlight w:val="none"/>
        </w:rPr>
        <w:t>※除招标文件另有规定外，未按照上述规定提交投标保证金将导致资格审查不合格。</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（4）退还</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①在投标截止时间前撤回已提交的电子投标文件的投标人，其投标保证金将在</w:t>
      </w:r>
      <w:r>
        <w:rPr>
          <w:rFonts w:hint="eastAsia" w:ascii="宋体" w:hAnsi="宋体" w:eastAsia="宋体" w:cs="宋体"/>
          <w:color w:val="auto"/>
          <w:spacing w:val="0"/>
          <w:sz w:val="24"/>
          <w:szCs w:val="24"/>
          <w:highlight w:val="none"/>
          <w:u w:val="single"/>
        </w:rPr>
        <w:t>福建省勤思项目管理有限公司</w:t>
      </w:r>
      <w:r>
        <w:rPr>
          <w:rFonts w:hint="eastAsia" w:ascii="宋体" w:hAnsi="宋体" w:eastAsia="宋体" w:cs="宋体"/>
          <w:color w:val="auto"/>
          <w:spacing w:val="0"/>
          <w:sz w:val="24"/>
          <w:szCs w:val="24"/>
          <w:highlight w:val="none"/>
        </w:rPr>
        <w:t>收到投标人书面撤回通知之日起5个工作日内退回原账户。</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②未中标人的投标保证金将在中标通知书发出之日起</w:t>
      </w:r>
      <w:r>
        <w:rPr>
          <w:rFonts w:hint="default" w:ascii="Calibri" w:hAnsi="Calibri" w:cs="Calibri"/>
          <w:color w:val="auto"/>
          <w:spacing w:val="0"/>
          <w:sz w:val="24"/>
          <w:szCs w:val="24"/>
          <w:highlight w:val="none"/>
        </w:rPr>
        <w:t>5</w:t>
      </w:r>
      <w:r>
        <w:rPr>
          <w:rFonts w:hint="eastAsia" w:ascii="宋体" w:hAnsi="宋体" w:eastAsia="宋体" w:cs="宋体"/>
          <w:color w:val="auto"/>
          <w:spacing w:val="0"/>
          <w:sz w:val="24"/>
          <w:szCs w:val="24"/>
          <w:highlight w:val="none"/>
        </w:rPr>
        <w:t>个工作日内退回原账户。</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③中标人的投标保证金将在政府采购合同签订之日起</w:t>
      </w:r>
      <w:r>
        <w:rPr>
          <w:rFonts w:hint="default" w:ascii="Calibri" w:hAnsi="Calibri" w:cs="Calibri"/>
          <w:color w:val="auto"/>
          <w:spacing w:val="0"/>
          <w:sz w:val="24"/>
          <w:szCs w:val="24"/>
          <w:highlight w:val="none"/>
        </w:rPr>
        <w:t>5</w:t>
      </w:r>
      <w:r>
        <w:rPr>
          <w:rFonts w:hint="eastAsia" w:ascii="宋体" w:hAnsi="宋体" w:eastAsia="宋体" w:cs="宋体"/>
          <w:color w:val="auto"/>
          <w:spacing w:val="0"/>
          <w:sz w:val="24"/>
          <w:szCs w:val="24"/>
          <w:highlight w:val="none"/>
        </w:rPr>
        <w:t>个工作日内退回原账户；合同签订之日</w:t>
      </w:r>
      <w:r>
        <w:rPr>
          <w:rStyle w:val="13"/>
          <w:rFonts w:hint="eastAsia" w:ascii="宋体" w:hAnsi="宋体" w:eastAsia="宋体" w:cs="宋体"/>
          <w:b/>
          <w:bCs/>
          <w:color w:val="auto"/>
          <w:spacing w:val="0"/>
          <w:sz w:val="24"/>
          <w:szCs w:val="24"/>
          <w:highlight w:val="none"/>
        </w:rPr>
        <w:t>以福建省政府采购网上公开信息系统记载的为准。</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④终止招标的，</w:t>
      </w:r>
      <w:r>
        <w:rPr>
          <w:rFonts w:hint="eastAsia" w:ascii="宋体" w:hAnsi="宋体" w:eastAsia="宋体" w:cs="宋体"/>
          <w:color w:val="auto"/>
          <w:spacing w:val="0"/>
          <w:sz w:val="24"/>
          <w:szCs w:val="24"/>
          <w:highlight w:val="none"/>
          <w:u w:val="single"/>
        </w:rPr>
        <w:t>福建省勤思项目管理有限公司</w:t>
      </w:r>
      <w:r>
        <w:rPr>
          <w:rFonts w:hint="eastAsia" w:ascii="宋体" w:hAnsi="宋体" w:eastAsia="宋体" w:cs="宋体"/>
          <w:color w:val="auto"/>
          <w:spacing w:val="0"/>
          <w:sz w:val="24"/>
          <w:szCs w:val="24"/>
          <w:highlight w:val="none"/>
        </w:rPr>
        <w:t>将在终止公告发布之日起5个工作日内退回已收取的投标保证金及其在银行产生的孳息。</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⑤除招标文件另有规定外，质疑或投诉涉及的投标人，若投标保证金尚未退还，则待质疑或投诉处理完毕后不计利息原额退还。</w:t>
      </w:r>
    </w:p>
    <w:p>
      <w:pPr>
        <w:pStyle w:val="11"/>
        <w:keepNext w:val="0"/>
        <w:keepLines w:val="0"/>
        <w:widowControl/>
        <w:suppressLineNumbers w:val="0"/>
        <w:spacing w:before="75" w:beforeAutospacing="0" w:after="75" w:afterAutospacing="0"/>
        <w:ind w:left="0" w:right="0" w:firstLine="480"/>
        <w:rPr>
          <w:color w:val="auto"/>
          <w:highlight w:val="none"/>
        </w:rPr>
      </w:pPr>
      <w:r>
        <w:rPr>
          <w:rStyle w:val="13"/>
          <w:rFonts w:hint="eastAsia" w:ascii="宋体" w:hAnsi="宋体" w:eastAsia="宋体" w:cs="宋体"/>
          <w:b/>
          <w:bCs/>
          <w:color w:val="auto"/>
          <w:spacing w:val="0"/>
          <w:sz w:val="24"/>
          <w:szCs w:val="24"/>
          <w:highlight w:val="none"/>
        </w:rPr>
        <w:t>※本章第</w:t>
      </w:r>
      <w:r>
        <w:rPr>
          <w:rStyle w:val="13"/>
          <w:rFonts w:hint="default" w:ascii="Calibri" w:hAnsi="Calibri" w:cs="Calibri"/>
          <w:b/>
          <w:bCs/>
          <w:color w:val="auto"/>
          <w:spacing w:val="0"/>
          <w:sz w:val="24"/>
          <w:szCs w:val="24"/>
          <w:highlight w:val="none"/>
        </w:rPr>
        <w:t>10.9</w:t>
      </w:r>
      <w:r>
        <w:rPr>
          <w:rStyle w:val="13"/>
          <w:rFonts w:hint="eastAsia" w:ascii="宋体" w:hAnsi="宋体" w:eastAsia="宋体" w:cs="宋体"/>
          <w:b/>
          <w:bCs/>
          <w:color w:val="auto"/>
          <w:spacing w:val="0"/>
          <w:sz w:val="24"/>
          <w:szCs w:val="24"/>
          <w:highlight w:val="none"/>
        </w:rPr>
        <w:t>条第（</w:t>
      </w:r>
      <w:r>
        <w:rPr>
          <w:rStyle w:val="13"/>
          <w:rFonts w:hint="default" w:ascii="Calibri" w:hAnsi="Calibri" w:cs="Calibri"/>
          <w:b/>
          <w:bCs/>
          <w:color w:val="auto"/>
          <w:spacing w:val="0"/>
          <w:sz w:val="24"/>
          <w:szCs w:val="24"/>
          <w:highlight w:val="none"/>
        </w:rPr>
        <w:t>4</w:t>
      </w:r>
      <w:r>
        <w:rPr>
          <w:rStyle w:val="13"/>
          <w:rFonts w:hint="eastAsia" w:ascii="宋体" w:hAnsi="宋体" w:eastAsia="宋体" w:cs="宋体"/>
          <w:b/>
          <w:bCs/>
          <w:color w:val="auto"/>
          <w:spacing w:val="0"/>
          <w:sz w:val="24"/>
          <w:szCs w:val="24"/>
          <w:highlight w:val="none"/>
        </w:rPr>
        <w:t>）款第①、②、③点规定的投标保证金退还时限不包括因投标人自身原因导致无法及时退还而增加的时间。</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（5）若出现本章第</w:t>
      </w:r>
      <w:r>
        <w:rPr>
          <w:rFonts w:hint="default" w:ascii="Calibri" w:hAnsi="Calibri" w:cs="Calibri"/>
          <w:color w:val="auto"/>
          <w:spacing w:val="0"/>
          <w:sz w:val="24"/>
          <w:szCs w:val="24"/>
          <w:highlight w:val="none"/>
        </w:rPr>
        <w:t>10.8</w:t>
      </w:r>
      <w:r>
        <w:rPr>
          <w:rFonts w:hint="eastAsia" w:ascii="宋体" w:hAnsi="宋体" w:eastAsia="宋体" w:cs="宋体"/>
          <w:color w:val="auto"/>
          <w:spacing w:val="0"/>
          <w:sz w:val="24"/>
          <w:szCs w:val="24"/>
          <w:highlight w:val="none"/>
        </w:rPr>
        <w:t>条第（</w:t>
      </w:r>
      <w:r>
        <w:rPr>
          <w:rFonts w:hint="default" w:ascii="Calibri" w:hAnsi="Calibri" w:cs="Calibri"/>
          <w:color w:val="auto"/>
          <w:spacing w:val="0"/>
          <w:sz w:val="24"/>
          <w:szCs w:val="24"/>
          <w:highlight w:val="none"/>
        </w:rPr>
        <w:t>3</w:t>
      </w:r>
      <w:r>
        <w:rPr>
          <w:rFonts w:hint="eastAsia" w:ascii="宋体" w:hAnsi="宋体" w:eastAsia="宋体" w:cs="宋体"/>
          <w:color w:val="auto"/>
          <w:spacing w:val="0"/>
          <w:sz w:val="24"/>
          <w:szCs w:val="24"/>
          <w:highlight w:val="none"/>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（6）有下列情形之一的，投标保证金将不予退还：</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①投标人串通投标；</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②投标人提供虚假材料；</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③投标人采取不正当手段诋毁、排挤其他投标人；</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④投标截止时间后，投标人在投标有效期内撤销电子投标文件；</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⑤招标文件规定的其他不予退还情形；</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⑥中标人有下列情形之一的：</w:t>
      </w:r>
    </w:p>
    <w:p>
      <w:pPr>
        <w:pStyle w:val="11"/>
        <w:keepNext w:val="0"/>
        <w:keepLines w:val="0"/>
        <w:widowControl/>
        <w:suppressLineNumbers w:val="0"/>
        <w:spacing w:before="75" w:beforeAutospacing="0" w:after="75" w:afterAutospacing="0"/>
        <w:ind w:left="0" w:right="0" w:firstLine="480"/>
        <w:rPr>
          <w:color w:val="auto"/>
          <w:highlight w:val="none"/>
        </w:rPr>
      </w:pPr>
      <w:r>
        <w:rPr>
          <w:rFonts w:hint="default" w:ascii="Calibri" w:hAnsi="Calibri" w:cs="Calibri"/>
          <w:color w:val="auto"/>
          <w:spacing w:val="0"/>
          <w:sz w:val="24"/>
          <w:szCs w:val="24"/>
          <w:highlight w:val="none"/>
        </w:rPr>
        <w:t>a</w:t>
      </w:r>
      <w:r>
        <w:rPr>
          <w:rFonts w:hint="eastAsia" w:ascii="宋体" w:hAnsi="宋体" w:eastAsia="宋体" w:cs="宋体"/>
          <w:color w:val="auto"/>
          <w:spacing w:val="0"/>
          <w:sz w:val="24"/>
          <w:szCs w:val="24"/>
          <w:highlight w:val="none"/>
        </w:rPr>
        <w:t>.除不可抗力外，因中标人自身原因未在中标通知书要求的期限内与采购人签订政府采购合同；</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b.未按照招标文件、投标文件的约定签订政府采购合同或提交履约保证金。</w:t>
      </w:r>
    </w:p>
    <w:p>
      <w:pPr>
        <w:pStyle w:val="11"/>
        <w:keepNext w:val="0"/>
        <w:keepLines w:val="0"/>
        <w:widowControl/>
        <w:suppressLineNumbers w:val="0"/>
        <w:spacing w:before="75" w:beforeAutospacing="0" w:after="75" w:afterAutospacing="0"/>
        <w:ind w:left="0" w:right="0" w:firstLine="480"/>
        <w:rPr>
          <w:color w:val="auto"/>
          <w:highlight w:val="none"/>
        </w:rPr>
      </w:pPr>
      <w:r>
        <w:rPr>
          <w:rStyle w:val="13"/>
          <w:rFonts w:hint="eastAsia" w:ascii="宋体" w:hAnsi="宋体" w:eastAsia="宋体" w:cs="宋体"/>
          <w:b/>
          <w:bCs/>
          <w:color w:val="auto"/>
          <w:spacing w:val="0"/>
          <w:sz w:val="24"/>
          <w:szCs w:val="24"/>
          <w:highlight w:val="none"/>
        </w:rPr>
        <w:t>※若上述投标保证金不予退还情形给采购人（采购代理机构）造成损失，则投标人还要承担相应的赔偿责任。</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10.10电子投标文件的提交</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（1）一个投标人只能提交一个电子投标文件，并按照招标文件第一章规定在系统上完成上传、解密操作。</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10.11电子投标文件的补充、修改或撤回</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（1）投标截止时间前，投标人可对所提交的电子投标文件进行补充、修改或撤回，并书面通知</w:t>
      </w:r>
      <w:r>
        <w:rPr>
          <w:rFonts w:hint="eastAsia" w:ascii="宋体" w:hAnsi="宋体" w:eastAsia="宋体" w:cs="宋体"/>
          <w:color w:val="auto"/>
          <w:spacing w:val="0"/>
          <w:sz w:val="24"/>
          <w:szCs w:val="24"/>
          <w:highlight w:val="none"/>
          <w:u w:val="single"/>
        </w:rPr>
        <w:t>福建省勤思项目管理有限公司</w:t>
      </w:r>
      <w:r>
        <w:rPr>
          <w:rFonts w:hint="eastAsia" w:ascii="宋体" w:hAnsi="宋体" w:eastAsia="宋体" w:cs="宋体"/>
          <w:color w:val="auto"/>
          <w:spacing w:val="0"/>
          <w:sz w:val="24"/>
          <w:szCs w:val="24"/>
          <w:highlight w:val="none"/>
        </w:rPr>
        <w:t>。</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（2）补充、修改的内容应按照本章第</w:t>
      </w:r>
      <w:r>
        <w:rPr>
          <w:rFonts w:hint="default" w:ascii="Calibri" w:hAnsi="Calibri" w:cs="Calibri"/>
          <w:color w:val="auto"/>
          <w:spacing w:val="0"/>
          <w:sz w:val="24"/>
          <w:szCs w:val="24"/>
          <w:highlight w:val="none"/>
        </w:rPr>
        <w:t>10.5</w:t>
      </w:r>
      <w:r>
        <w:rPr>
          <w:rFonts w:hint="eastAsia" w:ascii="宋体" w:hAnsi="宋体" w:eastAsia="宋体" w:cs="宋体"/>
          <w:color w:val="auto"/>
          <w:spacing w:val="0"/>
          <w:sz w:val="24"/>
          <w:szCs w:val="24"/>
          <w:highlight w:val="none"/>
        </w:rPr>
        <w:t>条第（</w:t>
      </w:r>
      <w:r>
        <w:rPr>
          <w:rFonts w:hint="default" w:ascii="Calibri" w:hAnsi="Calibri" w:cs="Calibri"/>
          <w:color w:val="auto"/>
          <w:spacing w:val="0"/>
          <w:sz w:val="24"/>
          <w:szCs w:val="24"/>
          <w:highlight w:val="none"/>
        </w:rPr>
        <w:t>4</w:t>
      </w:r>
      <w:r>
        <w:rPr>
          <w:rFonts w:hint="eastAsia" w:ascii="宋体" w:hAnsi="宋体" w:eastAsia="宋体" w:cs="宋体"/>
          <w:color w:val="auto"/>
          <w:spacing w:val="0"/>
          <w:sz w:val="24"/>
          <w:szCs w:val="24"/>
          <w:highlight w:val="none"/>
        </w:rPr>
        <w:t>）款规定进行签署、盖章，并按照本章第</w:t>
      </w:r>
      <w:r>
        <w:rPr>
          <w:rFonts w:hint="default" w:ascii="Calibri" w:hAnsi="Calibri" w:cs="Calibri"/>
          <w:color w:val="auto"/>
          <w:spacing w:val="0"/>
          <w:sz w:val="24"/>
          <w:szCs w:val="24"/>
          <w:highlight w:val="none"/>
        </w:rPr>
        <w:t>10.10</w:t>
      </w:r>
      <w:r>
        <w:rPr>
          <w:rFonts w:hint="eastAsia" w:ascii="宋体" w:hAnsi="宋体" w:eastAsia="宋体" w:cs="宋体"/>
          <w:color w:val="auto"/>
          <w:spacing w:val="0"/>
          <w:sz w:val="24"/>
          <w:szCs w:val="24"/>
          <w:highlight w:val="none"/>
        </w:rPr>
        <w:t>条规定提交，</w:t>
      </w:r>
      <w:r>
        <w:rPr>
          <w:rStyle w:val="13"/>
          <w:rFonts w:hint="eastAsia" w:ascii="宋体" w:hAnsi="宋体" w:eastAsia="宋体" w:cs="宋体"/>
          <w:b/>
          <w:bCs/>
          <w:color w:val="auto"/>
          <w:spacing w:val="0"/>
          <w:sz w:val="24"/>
          <w:szCs w:val="24"/>
          <w:highlight w:val="none"/>
        </w:rPr>
        <w:t>否则将被拒收。</w:t>
      </w:r>
    </w:p>
    <w:p>
      <w:pPr>
        <w:pStyle w:val="11"/>
        <w:keepNext w:val="0"/>
        <w:keepLines w:val="0"/>
        <w:widowControl/>
        <w:suppressLineNumbers w:val="0"/>
        <w:spacing w:before="75" w:beforeAutospacing="0" w:after="75" w:afterAutospacing="0"/>
        <w:ind w:left="0" w:right="0" w:firstLine="480"/>
        <w:rPr>
          <w:color w:val="auto"/>
          <w:highlight w:val="none"/>
        </w:rPr>
      </w:pPr>
      <w:r>
        <w:rPr>
          <w:rStyle w:val="13"/>
          <w:rFonts w:hint="eastAsia" w:ascii="宋体" w:hAnsi="宋体" w:eastAsia="宋体" w:cs="宋体"/>
          <w:b/>
          <w:bCs/>
          <w:color w:val="auto"/>
          <w:spacing w:val="0"/>
          <w:sz w:val="24"/>
          <w:szCs w:val="24"/>
          <w:highlight w:val="none"/>
        </w:rPr>
        <w:t>※按照上述规定提交的补充、修改内容作为电子投标文件组成部分。</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10.12除招标文件另有规定外，有下列情形之一的，</w:t>
      </w:r>
      <w:r>
        <w:rPr>
          <w:rStyle w:val="13"/>
          <w:rFonts w:hint="eastAsia" w:ascii="宋体" w:hAnsi="宋体" w:eastAsia="宋体" w:cs="宋体"/>
          <w:b/>
          <w:bCs/>
          <w:color w:val="auto"/>
          <w:spacing w:val="0"/>
          <w:sz w:val="24"/>
          <w:szCs w:val="24"/>
          <w:highlight w:val="none"/>
        </w:rPr>
        <w:t>投标无效</w:t>
      </w:r>
      <w:r>
        <w:rPr>
          <w:rFonts w:hint="eastAsia" w:ascii="宋体" w:hAnsi="宋体" w:eastAsia="宋体" w:cs="宋体"/>
          <w:color w:val="auto"/>
          <w:spacing w:val="0"/>
          <w:sz w:val="24"/>
          <w:szCs w:val="24"/>
          <w:highlight w:val="none"/>
        </w:rPr>
        <w:t>：</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（1）电子投标文件未按照招标文件要求签署、盖章；</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（2）不符合招标文件中规定的资格要求；</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（3）投标报价超过招标文件中规定的预算金额或最高限价；</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（4）电子投标文件含有采购人不能接受的附加条件；</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（5）有关法律、法规和规章及招标文件规定的其他无效情形。</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0"/>
        <w:jc w:val="center"/>
        <w:rPr>
          <w:color w:val="auto"/>
          <w:highlight w:val="none"/>
        </w:rPr>
      </w:pPr>
      <w:r>
        <w:rPr>
          <w:rStyle w:val="13"/>
          <w:rFonts w:hint="eastAsia" w:ascii="宋体" w:hAnsi="宋体" w:eastAsia="宋体" w:cs="宋体"/>
          <w:b/>
          <w:bCs/>
          <w:color w:val="auto"/>
          <w:spacing w:val="0"/>
          <w:sz w:val="24"/>
          <w:szCs w:val="24"/>
          <w:highlight w:val="none"/>
        </w:rPr>
        <w:t>五、开标</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11、开标</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11.1</w:t>
      </w:r>
      <w:r>
        <w:rPr>
          <w:rFonts w:hint="eastAsia" w:ascii="宋体" w:hAnsi="宋体" w:eastAsia="宋体" w:cs="宋体"/>
          <w:color w:val="auto"/>
          <w:spacing w:val="0"/>
          <w:sz w:val="24"/>
          <w:szCs w:val="24"/>
          <w:highlight w:val="none"/>
          <w:u w:val="single"/>
        </w:rPr>
        <w:t>福建省勤思项目管理有限公司</w:t>
      </w:r>
      <w:r>
        <w:rPr>
          <w:rFonts w:hint="eastAsia" w:ascii="宋体" w:hAnsi="宋体" w:eastAsia="宋体" w:cs="宋体"/>
          <w:color w:val="auto"/>
          <w:spacing w:val="0"/>
          <w:sz w:val="24"/>
          <w:szCs w:val="24"/>
          <w:highlight w:val="none"/>
        </w:rPr>
        <w:t>将在招标文件载明的开标时间及地点主持召开开标会，并邀请投标人参加。</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11.2开标会的主持人、唱标人、记录人及其他工作人员（若有）均由</w:t>
      </w:r>
      <w:r>
        <w:rPr>
          <w:rFonts w:hint="eastAsia" w:ascii="宋体" w:hAnsi="宋体" w:eastAsia="宋体" w:cs="宋体"/>
          <w:color w:val="auto"/>
          <w:spacing w:val="0"/>
          <w:sz w:val="24"/>
          <w:szCs w:val="24"/>
          <w:highlight w:val="none"/>
          <w:u w:val="single"/>
        </w:rPr>
        <w:t>福建省勤思项目管理有限公司</w:t>
      </w:r>
      <w:r>
        <w:rPr>
          <w:rFonts w:hint="eastAsia" w:ascii="宋体" w:hAnsi="宋体" w:eastAsia="宋体" w:cs="宋体"/>
          <w:color w:val="auto"/>
          <w:spacing w:val="0"/>
          <w:sz w:val="24"/>
          <w:szCs w:val="24"/>
          <w:highlight w:val="none"/>
        </w:rPr>
        <w:t>派出，现场监督人员（若有）可由有关方面派出。</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11.4开标会应遵守下列规定：</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（3）唱标结束后，参加现场开标会的投标人代表应对开标记录进行签字确认，通过远程参与开标流程的投标人须在系统远程签章开启后，在系统规定时间内对开标结果进行签章确认。</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（5）若投标人未到开标现场参加开标会，也未通过远程参加开标会的，视同认可开标结果。</w:t>
      </w:r>
    </w:p>
    <w:p>
      <w:pPr>
        <w:pStyle w:val="11"/>
        <w:keepNext w:val="0"/>
        <w:keepLines w:val="0"/>
        <w:widowControl/>
        <w:suppressLineNumbers w:val="0"/>
        <w:spacing w:before="75" w:beforeAutospacing="0" w:after="75" w:afterAutospacing="0"/>
        <w:ind w:left="0" w:right="0" w:firstLine="480"/>
        <w:rPr>
          <w:color w:val="auto"/>
          <w:highlight w:val="none"/>
        </w:rPr>
      </w:pPr>
      <w:r>
        <w:rPr>
          <w:rStyle w:val="13"/>
          <w:rFonts w:hint="eastAsia" w:ascii="宋体" w:hAnsi="宋体" w:eastAsia="宋体" w:cs="宋体"/>
          <w:b/>
          <w:bCs/>
          <w:color w:val="auto"/>
          <w:spacing w:val="0"/>
          <w:sz w:val="24"/>
          <w:szCs w:val="24"/>
          <w:highlight w:val="none"/>
        </w:rPr>
        <w:t>※若出现本章第</w:t>
      </w:r>
      <w:r>
        <w:rPr>
          <w:rStyle w:val="13"/>
          <w:rFonts w:hint="default" w:ascii="Calibri" w:hAnsi="Calibri" w:cs="Calibri"/>
          <w:b/>
          <w:bCs/>
          <w:color w:val="auto"/>
          <w:spacing w:val="0"/>
          <w:sz w:val="24"/>
          <w:szCs w:val="24"/>
          <w:highlight w:val="none"/>
        </w:rPr>
        <w:t>11.4</w:t>
      </w:r>
      <w:r>
        <w:rPr>
          <w:rStyle w:val="13"/>
          <w:rFonts w:hint="eastAsia" w:ascii="宋体" w:hAnsi="宋体" w:eastAsia="宋体" w:cs="宋体"/>
          <w:b/>
          <w:bCs/>
          <w:color w:val="auto"/>
          <w:spacing w:val="0"/>
          <w:sz w:val="24"/>
          <w:szCs w:val="24"/>
          <w:highlight w:val="none"/>
        </w:rPr>
        <w:t>条第（</w:t>
      </w:r>
      <w:r>
        <w:rPr>
          <w:rStyle w:val="13"/>
          <w:rFonts w:hint="default" w:ascii="Calibri" w:hAnsi="Calibri" w:cs="Calibri"/>
          <w:b/>
          <w:bCs/>
          <w:color w:val="auto"/>
          <w:spacing w:val="0"/>
          <w:sz w:val="24"/>
          <w:szCs w:val="24"/>
          <w:highlight w:val="none"/>
        </w:rPr>
        <w:t>3</w:t>
      </w:r>
      <w:r>
        <w:rPr>
          <w:rStyle w:val="13"/>
          <w:rFonts w:hint="eastAsia" w:ascii="宋体" w:hAnsi="宋体" w:eastAsia="宋体" w:cs="宋体"/>
          <w:b/>
          <w:bCs/>
          <w:color w:val="auto"/>
          <w:spacing w:val="0"/>
          <w:sz w:val="24"/>
          <w:szCs w:val="24"/>
          <w:highlight w:val="none"/>
        </w:rPr>
        <w:t>）、（</w:t>
      </w:r>
      <w:r>
        <w:rPr>
          <w:rStyle w:val="13"/>
          <w:rFonts w:hint="default" w:ascii="Calibri" w:hAnsi="Calibri" w:cs="Calibri"/>
          <w:b/>
          <w:bCs/>
          <w:color w:val="auto"/>
          <w:spacing w:val="0"/>
          <w:sz w:val="24"/>
          <w:szCs w:val="24"/>
          <w:highlight w:val="none"/>
        </w:rPr>
        <w:t>4</w:t>
      </w:r>
      <w:r>
        <w:rPr>
          <w:rStyle w:val="13"/>
          <w:rFonts w:hint="eastAsia" w:ascii="宋体" w:hAnsi="宋体" w:eastAsia="宋体" w:cs="宋体"/>
          <w:b/>
          <w:bCs/>
          <w:color w:val="auto"/>
          <w:spacing w:val="0"/>
          <w:sz w:val="24"/>
          <w:szCs w:val="24"/>
          <w:highlight w:val="none"/>
        </w:rPr>
        <w:t>）、（</w:t>
      </w:r>
      <w:r>
        <w:rPr>
          <w:rStyle w:val="13"/>
          <w:rFonts w:hint="default" w:ascii="Calibri" w:hAnsi="Calibri" w:cs="Calibri"/>
          <w:b/>
          <w:bCs/>
          <w:color w:val="auto"/>
          <w:spacing w:val="0"/>
          <w:sz w:val="24"/>
          <w:szCs w:val="24"/>
          <w:highlight w:val="none"/>
        </w:rPr>
        <w:t>5</w:t>
      </w:r>
      <w:r>
        <w:rPr>
          <w:rStyle w:val="13"/>
          <w:rFonts w:hint="eastAsia" w:ascii="宋体" w:hAnsi="宋体" w:eastAsia="宋体" w:cs="宋体"/>
          <w:b/>
          <w:bCs/>
          <w:color w:val="auto"/>
          <w:spacing w:val="0"/>
          <w:sz w:val="24"/>
          <w:szCs w:val="24"/>
          <w:highlight w:val="none"/>
        </w:rPr>
        <w:t>）款规定情形之一</w:t>
      </w:r>
      <w:r>
        <w:rPr>
          <w:rFonts w:hint="eastAsia" w:ascii="宋体" w:hAnsi="宋体" w:eastAsia="宋体" w:cs="宋体"/>
          <w:color w:val="auto"/>
          <w:spacing w:val="0"/>
          <w:sz w:val="24"/>
          <w:szCs w:val="24"/>
          <w:highlight w:val="none"/>
        </w:rPr>
        <w:t>，</w:t>
      </w:r>
      <w:r>
        <w:rPr>
          <w:rStyle w:val="13"/>
          <w:rFonts w:hint="eastAsia" w:ascii="宋体" w:hAnsi="宋体" w:eastAsia="宋体" w:cs="宋体"/>
          <w:b/>
          <w:bCs/>
          <w:color w:val="auto"/>
          <w:spacing w:val="0"/>
          <w:sz w:val="24"/>
          <w:szCs w:val="24"/>
          <w:highlight w:val="none"/>
        </w:rPr>
        <w:t>则投标人不得在开标会后就开标过程和开标记录涉及或可能涉及的有关事由（包括但不限于：“投标报价”、“电子投标文件的格式”、“电子投标文件的提交”、“电子投标文件的补充、修改或撤回”等）向</w:t>
      </w:r>
      <w:r>
        <w:rPr>
          <w:rFonts w:hint="eastAsia" w:ascii="宋体" w:hAnsi="宋体" w:eastAsia="宋体" w:cs="宋体"/>
          <w:color w:val="auto"/>
          <w:spacing w:val="0"/>
          <w:sz w:val="24"/>
          <w:szCs w:val="24"/>
          <w:highlight w:val="none"/>
          <w:u w:val="single"/>
        </w:rPr>
        <w:t>福建省勤思项目管理有限公司</w:t>
      </w:r>
      <w:r>
        <w:rPr>
          <w:rStyle w:val="13"/>
          <w:rFonts w:hint="eastAsia" w:ascii="宋体" w:hAnsi="宋体" w:eastAsia="宋体" w:cs="宋体"/>
          <w:b/>
          <w:bCs/>
          <w:color w:val="auto"/>
          <w:spacing w:val="0"/>
          <w:sz w:val="24"/>
          <w:szCs w:val="24"/>
          <w:highlight w:val="none"/>
        </w:rPr>
        <w:t>提出任何疑义或要求（包括质疑）。</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11.5投标截止时间后，参加投标的投标人不足三家的，不进行开标。同时，本次采购活动结束，</w:t>
      </w:r>
      <w:r>
        <w:rPr>
          <w:rFonts w:hint="eastAsia" w:ascii="宋体" w:hAnsi="宋体" w:eastAsia="宋体" w:cs="宋体"/>
          <w:color w:val="auto"/>
          <w:spacing w:val="0"/>
          <w:sz w:val="24"/>
          <w:szCs w:val="24"/>
          <w:highlight w:val="none"/>
          <w:u w:val="single"/>
        </w:rPr>
        <w:t>福建省勤思项目管理有限公司</w:t>
      </w:r>
      <w:r>
        <w:rPr>
          <w:rFonts w:hint="eastAsia" w:ascii="宋体" w:hAnsi="宋体" w:eastAsia="宋体" w:cs="宋体"/>
          <w:color w:val="auto"/>
          <w:spacing w:val="0"/>
          <w:sz w:val="24"/>
          <w:szCs w:val="24"/>
          <w:highlight w:val="none"/>
        </w:rPr>
        <w:t>将依法组织后续采购活动（包括但不限于：重新招标、采用其他方式采购等）。</w:t>
      </w:r>
    </w:p>
    <w:p>
      <w:pPr>
        <w:pStyle w:val="11"/>
        <w:keepNext w:val="0"/>
        <w:keepLines w:val="0"/>
        <w:widowControl/>
        <w:suppressLineNumbers w:val="0"/>
        <w:spacing w:before="75" w:beforeAutospacing="0" w:after="240" w:afterAutospacing="0"/>
        <w:ind w:left="0" w:right="0" w:firstLine="0"/>
        <w:rPr>
          <w:color w:val="auto"/>
          <w:highlight w:val="none"/>
        </w:rPr>
      </w:pPr>
      <w:r>
        <w:rPr>
          <w:rFonts w:hint="eastAsia" w:ascii="宋体" w:hAnsi="宋体" w:eastAsia="宋体" w:cs="宋体"/>
          <w:color w:val="auto"/>
          <w:highlight w:val="none"/>
        </w:rPr>
        <w:t>11.6投标截止时间后撤销投标的处理</w:t>
      </w:r>
      <w:r>
        <w:rPr>
          <w:rFonts w:hint="eastAsia" w:ascii="宋体" w:hAnsi="宋体" w:eastAsia="宋体" w:cs="宋体"/>
          <w:color w:val="auto"/>
          <w:highlight w:val="none"/>
        </w:rPr>
        <w:br w:type="textWrapping"/>
      </w:r>
      <w:r>
        <w:rPr>
          <w:rFonts w:hint="eastAsia" w:ascii="宋体" w:hAnsi="宋体" w:eastAsia="宋体" w:cs="宋体"/>
          <w:color w:val="auto"/>
          <w:highlight w:val="none"/>
        </w:rPr>
        <w:t>  投标截止时间后，投标人在投标有效期内撤销投标的，其撤销投标的行为无效。    </w:t>
      </w:r>
      <w:r>
        <w:rPr>
          <w:rFonts w:hint="eastAsia" w:ascii="宋体" w:hAnsi="宋体" w:eastAsia="宋体" w:cs="宋体"/>
          <w:color w:val="auto"/>
          <w:highlight w:val="none"/>
        </w:rPr>
        <w:br w:type="textWrapping"/>
      </w:r>
    </w:p>
    <w:p>
      <w:pPr>
        <w:pStyle w:val="11"/>
        <w:keepNext w:val="0"/>
        <w:keepLines w:val="0"/>
        <w:widowControl/>
        <w:suppressLineNumbers w:val="0"/>
        <w:spacing w:before="75" w:beforeAutospacing="0" w:after="75" w:afterAutospacing="0"/>
        <w:ind w:left="0" w:right="0" w:firstLine="0"/>
        <w:jc w:val="center"/>
        <w:rPr>
          <w:color w:val="auto"/>
          <w:highlight w:val="none"/>
        </w:rPr>
      </w:pPr>
      <w:r>
        <w:rPr>
          <w:rStyle w:val="13"/>
          <w:rFonts w:hint="eastAsia" w:ascii="宋体" w:hAnsi="宋体" w:eastAsia="宋体" w:cs="宋体"/>
          <w:b/>
          <w:bCs/>
          <w:color w:val="auto"/>
          <w:spacing w:val="0"/>
          <w:sz w:val="24"/>
          <w:szCs w:val="24"/>
          <w:highlight w:val="none"/>
        </w:rPr>
        <w:t>六、中标与政府采购合同</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12、中标</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12.1本项目推荐的中标候选人家数：详见招标文件第二章。</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12.2本项目中标人的确定：详见招标文件第二章。</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12.3中标公告</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（1）中标人确定之日起</w:t>
      </w:r>
      <w:r>
        <w:rPr>
          <w:rFonts w:hint="default" w:ascii="Calibri" w:hAnsi="Calibri" w:cs="Calibri"/>
          <w:color w:val="auto"/>
          <w:spacing w:val="0"/>
          <w:sz w:val="24"/>
          <w:szCs w:val="24"/>
          <w:highlight w:val="none"/>
        </w:rPr>
        <w:t>2</w:t>
      </w:r>
      <w:r>
        <w:rPr>
          <w:rFonts w:hint="eastAsia" w:ascii="宋体" w:hAnsi="宋体" w:eastAsia="宋体" w:cs="宋体"/>
          <w:color w:val="auto"/>
          <w:spacing w:val="0"/>
          <w:sz w:val="24"/>
          <w:szCs w:val="24"/>
          <w:highlight w:val="none"/>
        </w:rPr>
        <w:t>个工作日内，</w:t>
      </w:r>
      <w:r>
        <w:rPr>
          <w:rFonts w:hint="eastAsia" w:ascii="宋体" w:hAnsi="宋体" w:eastAsia="宋体" w:cs="宋体"/>
          <w:color w:val="auto"/>
          <w:spacing w:val="0"/>
          <w:sz w:val="24"/>
          <w:szCs w:val="24"/>
          <w:highlight w:val="none"/>
          <w:u w:val="single"/>
        </w:rPr>
        <w:t>福建省勤思项目管理有限公司</w:t>
      </w:r>
      <w:r>
        <w:rPr>
          <w:rFonts w:hint="eastAsia" w:ascii="宋体" w:hAnsi="宋体" w:eastAsia="宋体" w:cs="宋体"/>
          <w:color w:val="auto"/>
          <w:spacing w:val="0"/>
          <w:sz w:val="24"/>
          <w:szCs w:val="24"/>
          <w:highlight w:val="none"/>
        </w:rPr>
        <w:t>将在招标文件载明的指定媒体以中标公告的形式发布中标结果。</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（2）中标公告的公告期限为</w:t>
      </w:r>
      <w:r>
        <w:rPr>
          <w:rFonts w:hint="default" w:ascii="Calibri" w:hAnsi="Calibri" w:cs="Calibri"/>
          <w:color w:val="auto"/>
          <w:spacing w:val="0"/>
          <w:sz w:val="24"/>
          <w:szCs w:val="24"/>
          <w:highlight w:val="none"/>
        </w:rPr>
        <w:t>1</w:t>
      </w:r>
      <w:r>
        <w:rPr>
          <w:rFonts w:hint="eastAsia" w:ascii="宋体" w:hAnsi="宋体" w:eastAsia="宋体" w:cs="宋体"/>
          <w:color w:val="auto"/>
          <w:spacing w:val="0"/>
          <w:sz w:val="24"/>
          <w:szCs w:val="24"/>
          <w:highlight w:val="none"/>
        </w:rPr>
        <w:t>个工作日。</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12.4中标通知书</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（1）中标公告发布的同时，</w:t>
      </w:r>
      <w:r>
        <w:rPr>
          <w:rFonts w:hint="eastAsia" w:ascii="宋体" w:hAnsi="宋体" w:eastAsia="宋体" w:cs="宋体"/>
          <w:color w:val="auto"/>
          <w:spacing w:val="0"/>
          <w:sz w:val="24"/>
          <w:szCs w:val="24"/>
          <w:highlight w:val="none"/>
          <w:u w:val="single"/>
        </w:rPr>
        <w:t>福建省勤思项目管理有限公司</w:t>
      </w:r>
      <w:r>
        <w:rPr>
          <w:rFonts w:hint="eastAsia" w:ascii="宋体" w:hAnsi="宋体" w:eastAsia="宋体" w:cs="宋体"/>
          <w:color w:val="auto"/>
          <w:spacing w:val="0"/>
          <w:sz w:val="24"/>
          <w:szCs w:val="24"/>
          <w:highlight w:val="none"/>
        </w:rPr>
        <w:t>将向中标人发出中标通知书。</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（2）中标通知书发出后，采购人不得违法改变中标结果，中标人无正当理由不得放弃中标。</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13、政府采购合同</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13.2签订时限：</w:t>
      </w:r>
      <w:r>
        <w:rPr>
          <w:color w:val="auto"/>
          <w:highlight w:val="none"/>
        </w:rPr>
        <w:t>自中标通知书发出之日起30个日历日内。</w:t>
      </w:r>
      <w:r>
        <w:rPr>
          <w:rFonts w:hint="eastAsia" w:ascii="宋体" w:hAnsi="宋体" w:eastAsia="宋体" w:cs="宋体"/>
          <w:color w:val="auto"/>
          <w:spacing w:val="0"/>
          <w:sz w:val="24"/>
          <w:szCs w:val="24"/>
          <w:highlight w:val="none"/>
        </w:rPr>
        <w:t>。</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13.3政府采购合同的履行、违约责任和解决争议的方法等适用民法典。</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13.4采购人与中标人应根据政府采购合同的约定依法履行合同义务。</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13.5政府采购合同履行过程中，采购人若需追加与合同标的相同的货物或服务，则追加采购金额不得超过原合同采购金额的</w:t>
      </w:r>
      <w:r>
        <w:rPr>
          <w:rFonts w:hint="default" w:ascii="Calibri" w:hAnsi="Calibri" w:cs="Calibri"/>
          <w:color w:val="auto"/>
          <w:spacing w:val="0"/>
          <w:sz w:val="24"/>
          <w:szCs w:val="24"/>
          <w:highlight w:val="none"/>
        </w:rPr>
        <w:t>10%</w:t>
      </w:r>
      <w:r>
        <w:rPr>
          <w:rFonts w:hint="eastAsia" w:ascii="宋体" w:hAnsi="宋体" w:eastAsia="宋体" w:cs="宋体"/>
          <w:color w:val="auto"/>
          <w:spacing w:val="0"/>
          <w:sz w:val="24"/>
          <w:szCs w:val="24"/>
          <w:highlight w:val="none"/>
        </w:rPr>
        <w:t>。</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13.6中标人在政府采购合同履行过程中应遵守有关法律、法规和规章的强制性规定（即使前述强制性规定有可能在招标文件中未予列明）。</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0"/>
        <w:jc w:val="center"/>
        <w:rPr>
          <w:color w:val="auto"/>
          <w:highlight w:val="none"/>
        </w:rPr>
      </w:pPr>
      <w:r>
        <w:rPr>
          <w:rStyle w:val="13"/>
          <w:rFonts w:hint="eastAsia" w:ascii="宋体" w:hAnsi="宋体" w:eastAsia="宋体" w:cs="宋体"/>
          <w:b/>
          <w:bCs/>
          <w:color w:val="auto"/>
          <w:spacing w:val="0"/>
          <w:sz w:val="24"/>
          <w:szCs w:val="24"/>
          <w:highlight w:val="none"/>
        </w:rPr>
        <w:t>七、询问、质疑与投诉</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14、询问</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14.1潜在投标人或投标人对本次采购活动的有关事项若有疑问，可向福建省勤思项目管理有限公司提出询问，福建省勤思项目管理有限公司将按照政府采购法及实施条例的有关规定进行答复。</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15、质疑</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15.1</w:t>
      </w:r>
      <w:r>
        <w:rPr>
          <w:rFonts w:hint="eastAsia" w:ascii="宋体" w:hAnsi="宋体" w:eastAsia="宋体" w:cs="宋体"/>
          <w:color w:val="auto"/>
          <w:highlight w:val="none"/>
        </w:rPr>
        <w:t>针对同一采购程序环节的质疑应在政府采购法及实施条例的时限内一次性提出</w:t>
      </w:r>
      <w:r>
        <w:rPr>
          <w:rFonts w:hint="eastAsia" w:ascii="宋体" w:hAnsi="宋体" w:eastAsia="宋体" w:cs="宋体"/>
          <w:color w:val="auto"/>
          <w:spacing w:val="0"/>
          <w:highlight w:val="none"/>
        </w:rPr>
        <w:t>，对一个项目的不同采购包提出质疑的，应当将各采购包质疑事项集中在一份质疑函中提出，并同时符合下列条件：</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（1）对招标文件提出质疑的，质疑人应为潜在投标人，且两者的身份、名称等均应保持一致。对采购过程、结果提出质疑的，质疑人应为投标人，且两者的身份、名称等均应保持一致。</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（2）质疑人应按照招标文件第二章规定方式提交质疑函。</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（3）质疑函应包括下列主要内容：</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①质疑人的基本信息，至少包括：全称、地址、邮政编码等；</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②所质疑项目的基本信息，至少包括：项目编号、项目名称等；</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③所质疑的具体事项（以下简称：“质疑事项”）；</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④针对质疑事项提出的明确请求，前述明确请求指质疑人提出质疑的目的以及希望福建省勤思项目管理有限公司对其质疑作出的处理结果，如：暂停招标投标活动、修改招标文件、停止或纠正违法违规行为、中标结果无效、废标、重新招标等；</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⑤针对质疑事项导致质疑人自身权益受到损害的必要证明材料，至少包括：</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a.质疑人代表的身份证明材料：</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a1</w:t>
      </w:r>
      <w:r>
        <w:rPr>
          <w:rFonts w:hint="eastAsia" w:ascii="宋体" w:hAnsi="宋体" w:eastAsia="宋体" w:cs="宋体"/>
          <w:color w:val="auto"/>
          <w:highlight w:val="none"/>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hint="eastAsia" w:ascii="宋体" w:hAnsi="宋体" w:eastAsia="宋体" w:cs="宋体"/>
          <w:color w:val="auto"/>
          <w:spacing w:val="0"/>
          <w:highlight w:val="none"/>
        </w:rPr>
        <w:t>。</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a2若本项目接受自然人投标且质疑人为自然人的，提供本人的身份证复印件。</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b.</w:t>
      </w:r>
      <w:r>
        <w:rPr>
          <w:rFonts w:hint="eastAsia" w:ascii="宋体" w:hAnsi="宋体" w:eastAsia="宋体" w:cs="宋体"/>
          <w:color w:val="auto"/>
          <w:highlight w:val="none"/>
        </w:rPr>
        <w:t>其他证明材料（即事实依据和必要的法律依据）</w:t>
      </w:r>
      <w:r>
        <w:rPr>
          <w:rFonts w:hint="eastAsia" w:ascii="宋体" w:hAnsi="宋体" w:eastAsia="宋体" w:cs="宋体"/>
          <w:color w:val="auto"/>
          <w:spacing w:val="0"/>
          <w:highlight w:val="none"/>
        </w:rPr>
        <w:t>包括但不限于下列材料：</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b1所质疑的具体事项是与自已有利害关系的证明材料；</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b2质疑函所述事实存在的证明材料，如：采购文件、采购过程或中标结果违法违规或不符合采购文件要求等证明材料；</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b3依法应终止采购程序的证明材料；</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b4应重新采购的证明材料；</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b5采购文件、采购过程或中标、成交结果损害自已合法权益的证明材料等；</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3"/>
          <w:rFonts w:hint="eastAsia" w:ascii="宋体" w:hAnsi="宋体" w:eastAsia="宋体" w:cs="宋体"/>
          <w:b/>
          <w:bCs/>
          <w:color w:val="auto"/>
          <w:spacing w:val="0"/>
          <w:sz w:val="24"/>
          <w:szCs w:val="24"/>
          <w:highlight w:val="none"/>
        </w:rPr>
        <w:t>视为无效</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rPr>
        <w:br w:type="textWrapping"/>
      </w:r>
      <w:r>
        <w:rPr>
          <w:rFonts w:hint="eastAsia" w:ascii="宋体" w:hAnsi="宋体" w:eastAsia="宋体" w:cs="宋体"/>
          <w:color w:val="auto"/>
          <w:highlight w:val="none"/>
        </w:rPr>
        <w:t>   ⑥质疑人代表及其联系方法的信息，至少包括：姓名、手机、电子信箱、邮寄地址等。</w:t>
      </w:r>
      <w:r>
        <w:rPr>
          <w:rFonts w:hint="eastAsia" w:ascii="宋体" w:hAnsi="宋体" w:eastAsia="宋体" w:cs="宋体"/>
          <w:color w:val="auto"/>
          <w:highlight w:val="none"/>
        </w:rPr>
        <w:br w:type="textWrapping"/>
      </w:r>
      <w:r>
        <w:rPr>
          <w:rFonts w:hint="eastAsia" w:ascii="宋体" w:hAnsi="宋体" w:eastAsia="宋体" w:cs="宋体"/>
          <w:color w:val="auto"/>
          <w:highlight w:val="none"/>
        </w:rPr>
        <w:t>   ⑦提出质疑的日期。</w:t>
      </w:r>
    </w:p>
    <w:p>
      <w:pPr>
        <w:pStyle w:val="11"/>
        <w:keepNext w:val="0"/>
        <w:keepLines w:val="0"/>
        <w:widowControl/>
        <w:suppressLineNumbers w:val="0"/>
        <w:spacing w:before="0" w:beforeAutospacing="0" w:after="150" w:afterAutospacing="0"/>
        <w:ind w:left="0" w:right="0" w:firstLine="480"/>
        <w:rPr>
          <w:color w:val="auto"/>
          <w:highlight w:val="none"/>
        </w:rPr>
      </w:pPr>
      <w:r>
        <w:rPr>
          <w:rStyle w:val="13"/>
          <w:rFonts w:hint="eastAsia" w:ascii="宋体" w:hAnsi="宋体" w:eastAsia="宋体" w:cs="宋体"/>
          <w:b/>
          <w:bCs/>
          <w:color w:val="auto"/>
          <w:sz w:val="24"/>
          <w:szCs w:val="24"/>
          <w:highlight w:val="none"/>
        </w:rPr>
        <w:t>※质疑人为法人或其他组织的，质疑函应由单位负责人或委托代理人签字或盖章，并加盖投标人的单位公章。质疑人为自然人的，质疑函应由本人签字。</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15.2对不符合本章第</w:t>
      </w:r>
      <w:r>
        <w:rPr>
          <w:rFonts w:hint="default" w:ascii="Calibri" w:hAnsi="Calibri" w:cs="Calibri"/>
          <w:color w:val="auto"/>
          <w:spacing w:val="0"/>
          <w:sz w:val="24"/>
          <w:szCs w:val="24"/>
          <w:highlight w:val="none"/>
        </w:rPr>
        <w:t>15.1</w:t>
      </w:r>
      <w:r>
        <w:rPr>
          <w:rFonts w:hint="eastAsia" w:ascii="宋体" w:hAnsi="宋体" w:eastAsia="宋体" w:cs="宋体"/>
          <w:color w:val="auto"/>
          <w:spacing w:val="0"/>
          <w:sz w:val="24"/>
          <w:szCs w:val="24"/>
          <w:highlight w:val="none"/>
        </w:rPr>
        <w:t>条规定的质疑，将按照下列规定进行处理：</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（1）不符合其中第（</w:t>
      </w:r>
      <w:r>
        <w:rPr>
          <w:rFonts w:hint="default" w:ascii="Calibri" w:hAnsi="Calibri" w:cs="Calibri"/>
          <w:color w:val="auto"/>
          <w:spacing w:val="0"/>
          <w:sz w:val="24"/>
          <w:szCs w:val="24"/>
          <w:highlight w:val="none"/>
        </w:rPr>
        <w:t>1</w:t>
      </w:r>
      <w:r>
        <w:rPr>
          <w:rFonts w:hint="eastAsia" w:ascii="宋体" w:hAnsi="宋体" w:eastAsia="宋体" w:cs="宋体"/>
          <w:color w:val="auto"/>
          <w:spacing w:val="0"/>
          <w:sz w:val="24"/>
          <w:szCs w:val="24"/>
          <w:highlight w:val="none"/>
        </w:rPr>
        <w:t>）、（</w:t>
      </w:r>
      <w:r>
        <w:rPr>
          <w:rFonts w:hint="default" w:ascii="Calibri" w:hAnsi="Calibri" w:cs="Calibri"/>
          <w:color w:val="auto"/>
          <w:spacing w:val="0"/>
          <w:sz w:val="24"/>
          <w:szCs w:val="24"/>
          <w:highlight w:val="none"/>
        </w:rPr>
        <w:t>2</w:t>
      </w:r>
      <w:r>
        <w:rPr>
          <w:rFonts w:hint="eastAsia" w:ascii="宋体" w:hAnsi="宋体" w:eastAsia="宋体" w:cs="宋体"/>
          <w:color w:val="auto"/>
          <w:spacing w:val="0"/>
          <w:sz w:val="24"/>
          <w:szCs w:val="24"/>
          <w:highlight w:val="none"/>
        </w:rPr>
        <w:t>）条规定的，书面告知质疑人不予受理及其理由。</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（2）不符合其中第（</w:t>
      </w:r>
      <w:r>
        <w:rPr>
          <w:rFonts w:hint="default" w:ascii="Calibri" w:hAnsi="Calibri" w:cs="Calibri"/>
          <w:color w:val="auto"/>
          <w:spacing w:val="0"/>
          <w:sz w:val="24"/>
          <w:szCs w:val="24"/>
          <w:highlight w:val="none"/>
        </w:rPr>
        <w:t>3</w:t>
      </w:r>
      <w:r>
        <w:rPr>
          <w:rFonts w:hint="eastAsia" w:ascii="宋体" w:hAnsi="宋体" w:eastAsia="宋体" w:cs="宋体"/>
          <w:color w:val="auto"/>
          <w:spacing w:val="0"/>
          <w:sz w:val="24"/>
          <w:szCs w:val="24"/>
          <w:highlight w:val="none"/>
        </w:rPr>
        <w:t>）条规定的，书面告知质疑人修改、补充后在规定时限内重新提交质疑函。</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15.3对符合本章第</w:t>
      </w:r>
      <w:r>
        <w:rPr>
          <w:rFonts w:hint="default" w:ascii="Calibri" w:hAnsi="Calibri" w:cs="Calibri"/>
          <w:color w:val="auto"/>
          <w:spacing w:val="0"/>
          <w:sz w:val="24"/>
          <w:szCs w:val="24"/>
          <w:highlight w:val="none"/>
        </w:rPr>
        <w:t>15.1</w:t>
      </w:r>
      <w:r>
        <w:rPr>
          <w:rFonts w:hint="eastAsia" w:ascii="宋体" w:hAnsi="宋体" w:eastAsia="宋体" w:cs="宋体"/>
          <w:color w:val="auto"/>
          <w:spacing w:val="0"/>
          <w:sz w:val="24"/>
          <w:szCs w:val="24"/>
          <w:highlight w:val="none"/>
        </w:rPr>
        <w:t>条规定的质疑，将按照政府采购法及实施条例</w:t>
      </w:r>
      <w:r>
        <w:rPr>
          <w:rFonts w:hint="eastAsia" w:ascii="宋体" w:hAnsi="宋体" w:eastAsia="宋体" w:cs="宋体"/>
          <w:color w:val="auto"/>
          <w:highlight w:val="none"/>
        </w:rPr>
        <w:t>、政府采购质疑和投诉办法</w:t>
      </w:r>
      <w:r>
        <w:rPr>
          <w:rFonts w:hint="eastAsia" w:ascii="宋体" w:hAnsi="宋体" w:eastAsia="宋体" w:cs="宋体"/>
          <w:color w:val="auto"/>
          <w:spacing w:val="0"/>
          <w:highlight w:val="none"/>
        </w:rPr>
        <w:t>的有关规定进行答复。</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15.4招标文件的质疑：详见招标文件第二章。</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16、投诉</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4"/>
          <w:szCs w:val="24"/>
          <w:highlight w:val="none"/>
        </w:rPr>
        <w:t>16.1若对质疑答复不满意或质疑答复未在答复期限内作出，质疑人可在答复期限届满之日起</w:t>
      </w:r>
      <w:r>
        <w:rPr>
          <w:rFonts w:hint="default" w:ascii="Calibri" w:hAnsi="Calibri" w:eastAsia="宋体" w:cs="Calibri"/>
          <w:color w:val="auto"/>
          <w:sz w:val="24"/>
          <w:szCs w:val="24"/>
          <w:highlight w:val="none"/>
        </w:rPr>
        <w:t>15</w:t>
      </w:r>
      <w:r>
        <w:rPr>
          <w:rFonts w:hint="eastAsia" w:ascii="宋体" w:hAnsi="宋体" w:eastAsia="宋体" w:cs="宋体"/>
          <w:color w:val="auto"/>
          <w:sz w:val="24"/>
          <w:szCs w:val="24"/>
          <w:highlight w:val="none"/>
        </w:rPr>
        <w:t>个工作日内按照政府采购质疑和投诉办法的有关规定向招标文件第二章载明的本项目监督管理部门提起投诉。</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16.2投诉应有明确的请求和必要的证明材料，投诉的事项不得超出已质疑事项的范围。</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0"/>
        <w:jc w:val="center"/>
        <w:rPr>
          <w:color w:val="auto"/>
          <w:highlight w:val="none"/>
        </w:rPr>
      </w:pPr>
      <w:r>
        <w:rPr>
          <w:rStyle w:val="13"/>
          <w:rFonts w:hint="eastAsia" w:ascii="宋体" w:hAnsi="宋体" w:eastAsia="宋体" w:cs="宋体"/>
          <w:b/>
          <w:bCs/>
          <w:color w:val="auto"/>
          <w:spacing w:val="0"/>
          <w:sz w:val="24"/>
          <w:szCs w:val="24"/>
          <w:highlight w:val="none"/>
        </w:rPr>
        <w:t>八、政府采购政策</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17、政府采购政策由财政部根据国家的经济和社会发展政策并会同国家有关部委制定，包括但不限于下列具体政策要求：</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17.1进口产品指通过中国海关报关验放进入中国境内且产自关境外的产品，其中：</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（2）凡在海关特殊监管区域内企业生产或加工（包括从境外进口料件）销往境内其他地区的产品，不作为政府采购项下进口产品。</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（3）对从境外进入海关特殊监管区域，再经办理报关手续后从海关特殊监管区进入境内其他地区的产品，认定为进口产品。</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（4）招标文件列明不允许或未列明允许进口产品参加投标的，均视为拒绝进口产品参加投标。</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1"/>
        <w:keepNext w:val="0"/>
        <w:keepLines w:val="0"/>
        <w:widowControl/>
        <w:suppressLineNumbers w:val="0"/>
        <w:spacing w:before="75" w:beforeAutospacing="0" w:after="75" w:afterAutospacing="0"/>
        <w:ind w:left="0" w:right="0"/>
        <w:rPr>
          <w:color w:val="auto"/>
          <w:highlight w:val="none"/>
        </w:rPr>
      </w:pPr>
      <w:r>
        <w:rPr>
          <w:rFonts w:hint="eastAsia" w:ascii="宋体" w:hAnsi="宋体" w:eastAsia="宋体" w:cs="宋体"/>
          <w:color w:val="auto"/>
          <w:sz w:val="24"/>
          <w:szCs w:val="24"/>
          <w:highlight w:val="none"/>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13"/>
          <w:rFonts w:hint="eastAsia" w:ascii="宋体" w:hAnsi="宋体" w:eastAsia="宋体" w:cs="宋体"/>
          <w:b/>
          <w:bCs/>
          <w:color w:val="auto"/>
          <w:highlight w:val="none"/>
        </w:rPr>
        <w:t>“残疾人福利性单位”</w:t>
      </w:r>
      <w:r>
        <w:rPr>
          <w:rFonts w:hint="eastAsia" w:ascii="宋体" w:hAnsi="宋体" w:eastAsia="宋体" w:cs="宋体"/>
          <w:color w:val="auto"/>
          <w:sz w:val="24"/>
          <w:szCs w:val="24"/>
          <w:highlight w:val="none"/>
        </w:rPr>
        <w:t>）亦可享受前述扶持政策。其中：</w:t>
      </w:r>
    </w:p>
    <w:p>
      <w:pPr>
        <w:pStyle w:val="11"/>
        <w:keepNext w:val="0"/>
        <w:keepLines w:val="0"/>
        <w:widowControl/>
        <w:suppressLineNumbers w:val="0"/>
        <w:spacing w:before="75" w:beforeAutospacing="0" w:after="75" w:afterAutospacing="0"/>
        <w:ind w:left="0" w:right="0" w:firstLine="240"/>
        <w:rPr>
          <w:color w:val="auto"/>
          <w:highlight w:val="none"/>
        </w:rPr>
      </w:pPr>
      <w:r>
        <w:rPr>
          <w:rFonts w:hint="eastAsia" w:ascii="宋体" w:hAnsi="宋体" w:eastAsia="宋体" w:cs="宋体"/>
          <w:color w:val="auto"/>
          <w:sz w:val="24"/>
          <w:szCs w:val="24"/>
          <w:highlight w:val="none"/>
        </w:rPr>
        <w:t>（1）中小企业指符合下列条件的中型、小型、微型企业：</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z w:val="24"/>
          <w:szCs w:val="24"/>
          <w:highlight w:val="none"/>
        </w:rPr>
        <w:t>①符合《工业和信息化部、国家统计局、国家发展和改革委员会、财政部关于印发中小企业划型标准规定的通知》（工信部联企业</w:t>
      </w:r>
      <w:r>
        <w:rPr>
          <w:rFonts w:hint="default" w:ascii="Calibri" w:hAnsi="Calibri" w:cs="Calibri"/>
          <w:color w:val="auto"/>
          <w:sz w:val="24"/>
          <w:szCs w:val="24"/>
          <w:highlight w:val="none"/>
        </w:rPr>
        <w:t>[2011]300</w:t>
      </w:r>
      <w:r>
        <w:rPr>
          <w:rFonts w:hint="eastAsia" w:ascii="宋体" w:hAnsi="宋体" w:eastAsia="宋体" w:cs="宋体"/>
          <w:color w:val="auto"/>
          <w:sz w:val="24"/>
          <w:szCs w:val="24"/>
          <w:highlight w:val="none"/>
        </w:rPr>
        <w:t>号）规定的划分标准，但与大企业的负责人为同一人，或者与大企业存在直接控股、管理关系的除外；</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z w:val="24"/>
          <w:szCs w:val="24"/>
          <w:highlight w:val="none"/>
        </w:rPr>
        <w:t>②符合中小企业划分标准的个体工商户，在政府采购活动中视同中小企业。</w:t>
      </w:r>
    </w:p>
    <w:p>
      <w:pPr>
        <w:pStyle w:val="11"/>
        <w:keepNext w:val="0"/>
        <w:keepLines w:val="0"/>
        <w:widowControl/>
        <w:suppressLineNumbers w:val="0"/>
        <w:spacing w:before="75" w:beforeAutospacing="0" w:after="75" w:afterAutospacing="0"/>
        <w:ind w:left="0" w:right="0" w:firstLine="240"/>
        <w:rPr>
          <w:color w:val="auto"/>
          <w:highlight w:val="none"/>
        </w:rPr>
      </w:pPr>
      <w:r>
        <w:rPr>
          <w:rFonts w:hint="eastAsia" w:ascii="宋体" w:hAnsi="宋体" w:eastAsia="宋体" w:cs="宋体"/>
          <w:color w:val="auto"/>
          <w:sz w:val="24"/>
          <w:szCs w:val="24"/>
          <w:highlight w:val="none"/>
        </w:rPr>
        <w:t>（2）在政府采购活动中，供应商提供的货物、工程或者服务符合下列情形的，享受本办法规定的中小企业扶持政策：</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z w:val="24"/>
          <w:szCs w:val="24"/>
          <w:highlight w:val="none"/>
        </w:rPr>
        <w:t>①在货物采购项目中，货物由中小企业制造，即货物由中小企业生产且使用该中小企业商号或者注册商标；</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z w:val="24"/>
          <w:szCs w:val="24"/>
          <w:highlight w:val="none"/>
        </w:rPr>
        <w:t>②在工程采购项目中，工程由中小企业承建，即工程施工单位为中小企业；</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z w:val="24"/>
          <w:szCs w:val="24"/>
          <w:highlight w:val="none"/>
        </w:rPr>
        <w:t>③在服务采购项目中，服务由中小企业承接，即提供服务的人员为中小企业依照《中华人民共和国劳动合同法》订立劳动合同的从业人员。</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z w:val="24"/>
          <w:szCs w:val="24"/>
          <w:highlight w:val="none"/>
        </w:rPr>
        <w:t>在货物采购项目中，供应商提供的货物既有中小企业制造货物，也有大型企业制造货物的，不享受本办法规定的中小企业扶持政策。</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pPr>
        <w:pStyle w:val="11"/>
        <w:keepNext w:val="0"/>
        <w:keepLines w:val="0"/>
        <w:widowControl/>
        <w:suppressLineNumbers w:val="0"/>
        <w:spacing w:before="75" w:beforeAutospacing="0" w:after="75" w:afterAutospacing="0"/>
        <w:ind w:left="0" w:right="0" w:firstLine="240"/>
        <w:rPr>
          <w:color w:val="auto"/>
          <w:highlight w:val="none"/>
        </w:rPr>
      </w:pPr>
      <w:r>
        <w:rPr>
          <w:rFonts w:hint="eastAsia" w:ascii="宋体" w:hAnsi="宋体" w:eastAsia="宋体" w:cs="宋体"/>
          <w:color w:val="auto"/>
          <w:sz w:val="24"/>
          <w:szCs w:val="24"/>
          <w:highlight w:val="none"/>
        </w:rPr>
        <w:t>（3）投标人应当按照招标文件明确的采购标的对应行业的划分标准出具中小企业声明函。</w:t>
      </w:r>
    </w:p>
    <w:p>
      <w:pPr>
        <w:pStyle w:val="11"/>
        <w:keepNext w:val="0"/>
        <w:keepLines w:val="0"/>
        <w:widowControl/>
        <w:suppressLineNumbers w:val="0"/>
        <w:spacing w:before="75" w:beforeAutospacing="0" w:after="75" w:afterAutospacing="0"/>
        <w:ind w:left="0" w:right="0" w:firstLine="240"/>
        <w:rPr>
          <w:color w:val="auto"/>
          <w:highlight w:val="none"/>
        </w:rPr>
      </w:pPr>
      <w:r>
        <w:rPr>
          <w:rFonts w:hint="eastAsia" w:ascii="宋体" w:hAnsi="宋体" w:eastAsia="宋体" w:cs="宋体"/>
          <w:color w:val="auto"/>
          <w:sz w:val="24"/>
          <w:szCs w:val="24"/>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1"/>
        <w:keepNext w:val="0"/>
        <w:keepLines w:val="0"/>
        <w:widowControl/>
        <w:suppressLineNumbers w:val="0"/>
        <w:spacing w:before="75" w:beforeAutospacing="0" w:after="75" w:afterAutospacing="0"/>
        <w:ind w:left="0" w:right="0" w:firstLine="240"/>
        <w:rPr>
          <w:color w:val="auto"/>
          <w:highlight w:val="none"/>
        </w:rPr>
      </w:pPr>
      <w:r>
        <w:rPr>
          <w:rFonts w:hint="eastAsia" w:ascii="宋体" w:hAnsi="宋体" w:eastAsia="宋体" w:cs="宋体"/>
          <w:color w:val="auto"/>
          <w:sz w:val="24"/>
          <w:szCs w:val="24"/>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z w:val="24"/>
          <w:szCs w:val="24"/>
          <w:highlight w:val="none"/>
        </w:rPr>
        <w:t>①监狱企业参加采购活动时，应提供由省级以上监狱管理局、戒毒管理局（含新疆生产建设兵团）出具的属于监狱企业的证明文件。</w:t>
      </w:r>
    </w:p>
    <w:p>
      <w:pPr>
        <w:pStyle w:val="11"/>
        <w:keepNext w:val="0"/>
        <w:keepLines w:val="0"/>
        <w:widowControl/>
        <w:suppressLineNumbers w:val="0"/>
        <w:spacing w:before="75" w:beforeAutospacing="0" w:after="240" w:afterAutospacing="0"/>
        <w:ind w:left="0" w:right="0" w:firstLine="480"/>
        <w:rPr>
          <w:color w:val="auto"/>
          <w:highlight w:val="none"/>
        </w:rPr>
      </w:pPr>
      <w:r>
        <w:rPr>
          <w:rFonts w:hint="eastAsia" w:ascii="宋体" w:hAnsi="宋体" w:eastAsia="宋体" w:cs="宋体"/>
          <w:color w:val="auto"/>
          <w:sz w:val="24"/>
          <w:szCs w:val="24"/>
          <w:highlight w:val="none"/>
        </w:rPr>
        <w:t>②监狱企业视同小型、微型企业。</w:t>
      </w:r>
    </w:p>
    <w:p>
      <w:pPr>
        <w:pStyle w:val="11"/>
        <w:keepNext w:val="0"/>
        <w:keepLines w:val="0"/>
        <w:widowControl/>
        <w:suppressLineNumbers w:val="0"/>
        <w:spacing w:before="75" w:beforeAutospacing="0" w:after="75" w:afterAutospacing="0"/>
        <w:ind w:left="0" w:right="0" w:firstLine="240"/>
        <w:rPr>
          <w:color w:val="auto"/>
          <w:highlight w:val="none"/>
        </w:rPr>
      </w:pPr>
      <w:r>
        <w:rPr>
          <w:rFonts w:hint="eastAsia" w:ascii="宋体" w:hAnsi="宋体" w:eastAsia="宋体" w:cs="宋体"/>
          <w:color w:val="auto"/>
          <w:sz w:val="24"/>
          <w:szCs w:val="24"/>
          <w:highlight w:val="none"/>
        </w:rPr>
        <w:t>（5）残疾人福利性单位指同时符合下列条件的单位：</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z w:val="24"/>
          <w:szCs w:val="24"/>
          <w:highlight w:val="none"/>
        </w:rPr>
        <w:t>①安置的残疾人占本单位在职职工人数的比例不低于</w:t>
      </w:r>
      <w:r>
        <w:rPr>
          <w:rFonts w:hint="default" w:ascii="Calibri" w:hAnsi="Calibri" w:cs="Calibri"/>
          <w:color w:val="auto"/>
          <w:sz w:val="24"/>
          <w:szCs w:val="24"/>
          <w:highlight w:val="none"/>
        </w:rPr>
        <w:t>25%</w:t>
      </w:r>
      <w:r>
        <w:rPr>
          <w:rFonts w:hint="eastAsia" w:ascii="宋体" w:hAnsi="宋体" w:eastAsia="宋体" w:cs="宋体"/>
          <w:color w:val="auto"/>
          <w:sz w:val="24"/>
          <w:szCs w:val="24"/>
          <w:highlight w:val="none"/>
        </w:rPr>
        <w:t>（含</w:t>
      </w:r>
      <w:r>
        <w:rPr>
          <w:rFonts w:hint="default" w:ascii="Calibri" w:hAnsi="Calibri" w:cs="Calibri"/>
          <w:color w:val="auto"/>
          <w:sz w:val="24"/>
          <w:szCs w:val="24"/>
          <w:highlight w:val="none"/>
        </w:rPr>
        <w:t>25%</w:t>
      </w:r>
      <w:r>
        <w:rPr>
          <w:rFonts w:hint="eastAsia" w:ascii="宋体" w:hAnsi="宋体" w:eastAsia="宋体" w:cs="宋体"/>
          <w:color w:val="auto"/>
          <w:sz w:val="24"/>
          <w:szCs w:val="24"/>
          <w:highlight w:val="none"/>
        </w:rPr>
        <w:t>），并且安置的残疾人人数不少于</w:t>
      </w:r>
      <w:r>
        <w:rPr>
          <w:rFonts w:hint="default" w:ascii="Calibri" w:hAnsi="Calibri" w:cs="Calibri"/>
          <w:color w:val="auto"/>
          <w:sz w:val="24"/>
          <w:szCs w:val="24"/>
          <w:highlight w:val="none"/>
        </w:rPr>
        <w:t>10</w:t>
      </w:r>
      <w:r>
        <w:rPr>
          <w:rFonts w:hint="eastAsia" w:ascii="宋体" w:hAnsi="宋体" w:eastAsia="宋体" w:cs="宋体"/>
          <w:color w:val="auto"/>
          <w:sz w:val="24"/>
          <w:szCs w:val="24"/>
          <w:highlight w:val="none"/>
        </w:rPr>
        <w:t>人（含</w:t>
      </w:r>
      <w:r>
        <w:rPr>
          <w:rFonts w:hint="default" w:ascii="Calibri" w:hAnsi="Calibri" w:cs="Calibri"/>
          <w:color w:val="auto"/>
          <w:sz w:val="24"/>
          <w:szCs w:val="24"/>
          <w:highlight w:val="none"/>
        </w:rPr>
        <w:t>10</w:t>
      </w:r>
      <w:r>
        <w:rPr>
          <w:rFonts w:hint="eastAsia" w:ascii="宋体" w:hAnsi="宋体" w:eastAsia="宋体" w:cs="宋体"/>
          <w:color w:val="auto"/>
          <w:sz w:val="24"/>
          <w:szCs w:val="24"/>
          <w:highlight w:val="none"/>
        </w:rPr>
        <w:t>人）；</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z w:val="24"/>
          <w:szCs w:val="24"/>
          <w:highlight w:val="none"/>
        </w:rPr>
        <w:t>②依法与安置的每位残疾人签订了一年以上（含一年）的劳动合同或服务协议；</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z w:val="24"/>
          <w:szCs w:val="24"/>
          <w:highlight w:val="none"/>
        </w:rPr>
        <w:t>③为安置的每位残疾人按月足额缴纳了基本养老保险、基本医疗保险、失业保险、工伤保险和生育保险等社会保险费；</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z w:val="24"/>
          <w:szCs w:val="24"/>
          <w:highlight w:val="none"/>
        </w:rPr>
        <w:t>④通过银行等金融机构向安置的每位残疾人，按月支付了不低于单位所在区县适用的经省级人民政府批准的月最低工资标准的工资；</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z w:val="24"/>
          <w:szCs w:val="24"/>
          <w:highlight w:val="none"/>
        </w:rPr>
        <w:t>⑤提供本单位制造的货物、承担的工程或服务，或提供其他残疾人福利性单位制造的货物（不包括使用非残疾人福利性单位注册商标的货物）。</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z w:val="24"/>
          <w:szCs w:val="24"/>
          <w:highlight w:val="none"/>
        </w:rPr>
        <w:t>前款所称残疾人指法定劳动年龄内，持有《中华人民共和国残疾人证》或《中华人民共和国残疾军人证（1至</w:t>
      </w:r>
      <w:r>
        <w:rPr>
          <w:rFonts w:hint="default" w:ascii="Calibri" w:hAnsi="Calibri" w:cs="Calibri"/>
          <w:color w:val="auto"/>
          <w:sz w:val="24"/>
          <w:szCs w:val="24"/>
          <w:highlight w:val="none"/>
        </w:rPr>
        <w:t>8</w:t>
      </w:r>
      <w:r>
        <w:rPr>
          <w:rFonts w:hint="eastAsia" w:ascii="宋体" w:hAnsi="宋体" w:eastAsia="宋体" w:cs="宋体"/>
          <w:color w:val="auto"/>
          <w:sz w:val="24"/>
          <w:szCs w:val="24"/>
          <w:highlight w:val="none"/>
        </w:rPr>
        <w:t>级）》的自然人，包括具有劳动条件和劳动意愿的精神残疾人。在职职工人数是指与残疾人福利性单位建立劳动关系并依法签订劳动合同或服务协议的雇员人数。</w:t>
      </w:r>
    </w:p>
    <w:p>
      <w:pPr>
        <w:pStyle w:val="11"/>
        <w:keepNext w:val="0"/>
        <w:keepLines w:val="0"/>
        <w:widowControl/>
        <w:suppressLineNumbers w:val="0"/>
        <w:spacing w:before="75" w:beforeAutospacing="0" w:after="75" w:afterAutospacing="0"/>
        <w:ind w:left="0" w:right="0" w:firstLine="480"/>
        <w:rPr>
          <w:color w:val="auto"/>
          <w:highlight w:val="none"/>
        </w:rPr>
      </w:pPr>
      <w:r>
        <w:rPr>
          <w:rStyle w:val="13"/>
          <w:rFonts w:hint="eastAsia" w:ascii="宋体" w:hAnsi="宋体" w:eastAsia="宋体" w:cs="宋体"/>
          <w:b/>
          <w:bCs/>
          <w:color w:val="auto"/>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17.5信用记录指由财政部确定的有关网站提供的相关主体信用信息。信用记录的查询及使用应符合财政部文件（财库</w:t>
      </w:r>
      <w:r>
        <w:rPr>
          <w:rFonts w:hint="default" w:ascii="Calibri" w:hAnsi="Calibri" w:cs="Calibri"/>
          <w:color w:val="auto"/>
          <w:spacing w:val="0"/>
          <w:sz w:val="24"/>
          <w:szCs w:val="24"/>
          <w:highlight w:val="none"/>
        </w:rPr>
        <w:t>[2016]125</w:t>
      </w:r>
      <w:r>
        <w:rPr>
          <w:rFonts w:hint="eastAsia" w:ascii="宋体" w:hAnsi="宋体" w:eastAsia="宋体" w:cs="宋体"/>
          <w:color w:val="auto"/>
          <w:spacing w:val="0"/>
          <w:sz w:val="24"/>
          <w:szCs w:val="24"/>
          <w:highlight w:val="none"/>
        </w:rPr>
        <w:t>号）规定。</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17.6为落实政府采购政策需满足的要求：详见招标文件第一章。</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0"/>
        <w:jc w:val="center"/>
        <w:rPr>
          <w:color w:val="auto"/>
          <w:highlight w:val="none"/>
        </w:rPr>
      </w:pPr>
      <w:r>
        <w:rPr>
          <w:rStyle w:val="13"/>
          <w:rFonts w:hint="eastAsia" w:ascii="宋体" w:hAnsi="宋体" w:eastAsia="宋体" w:cs="宋体"/>
          <w:b/>
          <w:bCs/>
          <w:color w:val="auto"/>
          <w:spacing w:val="0"/>
          <w:sz w:val="24"/>
          <w:szCs w:val="24"/>
          <w:highlight w:val="none"/>
        </w:rPr>
        <w:t>九、本项目的有关信息</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18、本项目的有关信息，包括但不限于：招标公告、更正公告（若有）、招标文件、招标文件的澄清或修改（若有）、中标公告、终止公告（若有）、废标公告（若有）等都将在招标文件载明的指定媒体发布。</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18.1指定媒体：详见招标文件第二章。</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18.2本项目的潜在投标人或投标人应随时关注指定媒体，否则产生不利后果由其自行承担。</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0"/>
        <w:jc w:val="center"/>
        <w:rPr>
          <w:color w:val="auto"/>
          <w:highlight w:val="none"/>
        </w:rPr>
      </w:pPr>
      <w:r>
        <w:rPr>
          <w:rStyle w:val="13"/>
          <w:rFonts w:hint="eastAsia" w:ascii="宋体" w:hAnsi="宋体" w:eastAsia="宋体" w:cs="宋体"/>
          <w:b/>
          <w:bCs/>
          <w:color w:val="auto"/>
          <w:spacing w:val="0"/>
          <w:sz w:val="24"/>
          <w:szCs w:val="24"/>
          <w:highlight w:val="none"/>
        </w:rPr>
        <w:t>十、其他事项</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19、其他事项：</w:t>
      </w:r>
      <w:r>
        <w:rPr>
          <w:rFonts w:hint="eastAsia" w:ascii="宋体" w:hAnsi="宋体" w:eastAsia="宋体" w:cs="宋体"/>
          <w:color w:val="auto"/>
          <w:spacing w:val="0"/>
          <w:sz w:val="24"/>
          <w:szCs w:val="24"/>
          <w:highlight w:val="none"/>
        </w:rPr>
        <w:br w:type="textWrapping"/>
      </w:r>
      <w:r>
        <w:rPr>
          <w:rFonts w:hint="eastAsia" w:ascii="宋体" w:hAnsi="宋体" w:eastAsia="宋体" w:cs="宋体"/>
          <w:color w:val="auto"/>
          <w:spacing w:val="0"/>
          <w:sz w:val="24"/>
          <w:szCs w:val="24"/>
          <w:highlight w:val="none"/>
        </w:rPr>
        <w:t>  </w:t>
      </w:r>
      <w:r>
        <w:rPr>
          <w:rFonts w:hint="eastAsia" w:ascii="宋体" w:hAnsi="宋体" w:eastAsia="宋体" w:cs="宋体"/>
          <w:color w:val="auto"/>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highlight w:val="none"/>
        </w:rPr>
        <w:t>   19.2其他：详见招标文件第二章。</w:t>
      </w:r>
    </w:p>
    <w:p>
      <w:pPr>
        <w:pStyle w:val="11"/>
        <w:keepNext w:val="0"/>
        <w:keepLines w:val="0"/>
        <w:widowControl/>
        <w:suppressLineNumbers w:val="0"/>
        <w:spacing w:before="75" w:beforeAutospacing="0" w:after="240" w:afterAutospacing="0"/>
        <w:ind w:left="0" w:right="0" w:firstLine="0"/>
        <w:rPr>
          <w:color w:val="auto"/>
          <w:highlight w:val="none"/>
        </w:rPr>
      </w:pPr>
    </w:p>
    <w:p>
      <w:pPr>
        <w:pStyle w:val="11"/>
        <w:keepNext w:val="0"/>
        <w:keepLines w:val="0"/>
        <w:widowControl/>
        <w:suppressLineNumbers w:val="0"/>
        <w:spacing w:before="75" w:beforeAutospacing="0" w:after="75" w:afterAutospacing="0"/>
        <w:ind w:left="0" w:right="0" w:firstLine="0"/>
        <w:jc w:val="center"/>
        <w:rPr>
          <w:color w:val="auto"/>
          <w:highlight w:val="none"/>
        </w:rPr>
      </w:pPr>
      <w:r>
        <w:rPr>
          <w:color w:val="auto"/>
          <w:spacing w:val="0"/>
          <w:sz w:val="24"/>
          <w:szCs w:val="24"/>
          <w:highlight w:val="none"/>
        </w:rPr>
        <w:t> </w:t>
      </w:r>
    </w:p>
    <w:p>
      <w:pPr>
        <w:pStyle w:val="11"/>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auto"/>
          <w:spacing w:val="0"/>
          <w:sz w:val="19"/>
          <w:szCs w:val="19"/>
          <w:highlight w:val="none"/>
        </w:rPr>
      </w:pPr>
      <w:r>
        <w:rPr>
          <w:rFonts w:hint="eastAsia" w:ascii="微软雅黑" w:hAnsi="微软雅黑" w:eastAsia="微软雅黑" w:cs="微软雅黑"/>
          <w:i w:val="0"/>
          <w:iCs w:val="0"/>
          <w:caps w:val="0"/>
          <w:color w:val="auto"/>
          <w:spacing w:val="0"/>
          <w:sz w:val="24"/>
          <w:szCs w:val="24"/>
          <w:highlight w:val="none"/>
          <w:shd w:val="clear" w:fill="FFFFFF"/>
        </w:rPr>
        <w:t> </w:t>
      </w:r>
    </w:p>
    <w:p>
      <w:pPr>
        <w:pStyle w:val="11"/>
        <w:keepNext w:val="0"/>
        <w:keepLines w:val="0"/>
        <w:widowControl/>
        <w:suppressLineNumbers w:val="0"/>
        <w:spacing w:before="75" w:beforeAutospacing="0" w:after="240" w:afterAutospacing="0"/>
        <w:ind w:left="0" w:right="0" w:firstLine="0"/>
        <w:rPr>
          <w:color w:val="auto"/>
          <w:highlight w:val="none"/>
        </w:rPr>
      </w:pPr>
      <w:r>
        <w:rPr>
          <w:rFonts w:hint="default" w:ascii="Calibri" w:hAnsi="Calibri" w:cs="Calibri"/>
          <w:color w:val="auto"/>
          <w:spacing w:val="0"/>
          <w:sz w:val="24"/>
          <w:szCs w:val="24"/>
          <w:highlight w:val="none"/>
        </w:rPr>
        <w:t> </w:t>
      </w:r>
    </w:p>
    <w:p>
      <w:pPr>
        <w:rPr>
          <w:rStyle w:val="13"/>
          <w:rFonts w:hint="eastAsia" w:ascii="宋体" w:hAnsi="宋体" w:eastAsia="宋体" w:cs="宋体"/>
          <w:b/>
          <w:bCs/>
          <w:color w:val="auto"/>
          <w:spacing w:val="0"/>
          <w:sz w:val="31"/>
          <w:szCs w:val="31"/>
          <w:highlight w:val="none"/>
        </w:rPr>
      </w:pPr>
      <w:r>
        <w:rPr>
          <w:rStyle w:val="13"/>
          <w:rFonts w:hint="eastAsia" w:ascii="宋体" w:hAnsi="宋体" w:eastAsia="宋体" w:cs="宋体"/>
          <w:b/>
          <w:bCs/>
          <w:color w:val="auto"/>
          <w:spacing w:val="0"/>
          <w:sz w:val="31"/>
          <w:szCs w:val="31"/>
          <w:highlight w:val="none"/>
        </w:rPr>
        <w:br w:type="page"/>
      </w:r>
    </w:p>
    <w:p>
      <w:pPr>
        <w:pStyle w:val="11"/>
        <w:keepNext w:val="0"/>
        <w:keepLines w:val="0"/>
        <w:widowControl/>
        <w:suppressLineNumbers w:val="0"/>
        <w:spacing w:before="75" w:beforeAutospacing="0" w:after="75" w:afterAutospacing="0"/>
        <w:ind w:left="0" w:right="0" w:firstLine="0"/>
        <w:jc w:val="center"/>
        <w:rPr>
          <w:color w:val="auto"/>
          <w:highlight w:val="none"/>
        </w:rPr>
      </w:pPr>
      <w:r>
        <w:rPr>
          <w:rStyle w:val="13"/>
          <w:rFonts w:hint="eastAsia" w:ascii="宋体" w:hAnsi="宋体" w:eastAsia="宋体" w:cs="宋体"/>
          <w:b/>
          <w:bCs/>
          <w:color w:val="auto"/>
          <w:spacing w:val="0"/>
          <w:sz w:val="31"/>
          <w:szCs w:val="31"/>
          <w:highlight w:val="none"/>
        </w:rPr>
        <w:t>第四章   资格审查与评标</w:t>
      </w:r>
    </w:p>
    <w:p>
      <w:pPr>
        <w:pStyle w:val="11"/>
        <w:keepNext w:val="0"/>
        <w:keepLines w:val="0"/>
        <w:widowControl/>
        <w:suppressLineNumbers w:val="0"/>
        <w:spacing w:before="75" w:beforeAutospacing="0" w:after="75" w:afterAutospacing="0"/>
        <w:ind w:left="0" w:right="0" w:firstLine="0"/>
        <w:jc w:val="center"/>
        <w:rPr>
          <w:color w:val="auto"/>
          <w:highlight w:val="none"/>
        </w:rPr>
      </w:pPr>
      <w:r>
        <w:rPr>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0"/>
        <w:jc w:val="center"/>
        <w:rPr>
          <w:color w:val="auto"/>
          <w:highlight w:val="none"/>
        </w:rPr>
      </w:pPr>
      <w:r>
        <w:rPr>
          <w:rStyle w:val="13"/>
          <w:rFonts w:hint="eastAsia" w:ascii="宋体" w:hAnsi="宋体" w:eastAsia="宋体" w:cs="宋体"/>
          <w:b/>
          <w:bCs/>
          <w:color w:val="auto"/>
          <w:spacing w:val="0"/>
          <w:sz w:val="24"/>
          <w:szCs w:val="24"/>
          <w:highlight w:val="none"/>
        </w:rPr>
        <w:t>一、资格审查</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1、开标结束后，由</w:t>
      </w:r>
      <w:r>
        <w:rPr>
          <w:rFonts w:hint="eastAsia" w:ascii="宋体" w:hAnsi="宋体" w:eastAsia="宋体" w:cs="宋体"/>
          <w:color w:val="auto"/>
          <w:spacing w:val="0"/>
          <w:sz w:val="24"/>
          <w:szCs w:val="24"/>
          <w:highlight w:val="none"/>
          <w:u w:val="single"/>
        </w:rPr>
        <w:t>福建省勤思项目管理有限公司</w:t>
      </w:r>
      <w:r>
        <w:rPr>
          <w:rFonts w:hint="eastAsia" w:ascii="宋体" w:hAnsi="宋体" w:eastAsia="宋体" w:cs="宋体"/>
          <w:color w:val="auto"/>
          <w:spacing w:val="0"/>
          <w:sz w:val="24"/>
          <w:szCs w:val="24"/>
          <w:highlight w:val="none"/>
        </w:rPr>
        <w:t>负责资格审查小组的组建及资格审查工作的组织。</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1.1资格审查小组由</w:t>
      </w:r>
      <w:r>
        <w:rPr>
          <w:rFonts w:hint="default" w:ascii="Calibri" w:hAnsi="Calibri" w:cs="Calibri"/>
          <w:color w:val="auto"/>
          <w:spacing w:val="0"/>
          <w:sz w:val="24"/>
          <w:szCs w:val="24"/>
          <w:highlight w:val="none"/>
        </w:rPr>
        <w:t>3</w:t>
      </w:r>
      <w:r>
        <w:rPr>
          <w:rFonts w:hint="eastAsia" w:ascii="宋体" w:hAnsi="宋体" w:eastAsia="宋体" w:cs="宋体"/>
          <w:color w:val="auto"/>
          <w:spacing w:val="0"/>
          <w:sz w:val="24"/>
          <w:szCs w:val="24"/>
          <w:highlight w:val="none"/>
        </w:rPr>
        <w:t>人组成，并负责具体审查事务，其中：由采购人派出的采购人代表至少</w:t>
      </w:r>
      <w:r>
        <w:rPr>
          <w:rFonts w:hint="eastAsia" w:ascii="宋体" w:hAnsi="宋体" w:eastAsia="宋体" w:cs="宋体"/>
          <w:color w:val="auto"/>
          <w:spacing w:val="0"/>
          <w:sz w:val="24"/>
          <w:szCs w:val="24"/>
          <w:highlight w:val="none"/>
          <w:u w:val="single"/>
        </w:rPr>
        <w:t>1</w:t>
      </w:r>
      <w:r>
        <w:rPr>
          <w:rFonts w:hint="eastAsia" w:ascii="宋体" w:hAnsi="宋体" w:eastAsia="宋体" w:cs="宋体"/>
          <w:color w:val="auto"/>
          <w:spacing w:val="0"/>
          <w:sz w:val="24"/>
          <w:szCs w:val="24"/>
          <w:highlight w:val="none"/>
        </w:rPr>
        <w:t>人，由</w:t>
      </w:r>
      <w:r>
        <w:rPr>
          <w:rFonts w:hint="eastAsia" w:ascii="宋体" w:hAnsi="宋体" w:eastAsia="宋体" w:cs="宋体"/>
          <w:color w:val="auto"/>
          <w:spacing w:val="0"/>
          <w:sz w:val="24"/>
          <w:szCs w:val="24"/>
          <w:highlight w:val="none"/>
          <w:u w:val="single"/>
        </w:rPr>
        <w:t>福建省勤思项目管理有限公司</w:t>
      </w:r>
      <w:r>
        <w:rPr>
          <w:rFonts w:hint="eastAsia" w:ascii="宋体" w:hAnsi="宋体" w:eastAsia="宋体" w:cs="宋体"/>
          <w:color w:val="auto"/>
          <w:spacing w:val="0"/>
          <w:sz w:val="24"/>
          <w:szCs w:val="24"/>
          <w:highlight w:val="none"/>
        </w:rPr>
        <w:t>派出的工作人员至少</w:t>
      </w:r>
      <w:r>
        <w:rPr>
          <w:rFonts w:hint="eastAsia" w:ascii="宋体" w:hAnsi="宋体" w:eastAsia="宋体" w:cs="宋体"/>
          <w:color w:val="auto"/>
          <w:spacing w:val="0"/>
          <w:sz w:val="24"/>
          <w:szCs w:val="24"/>
          <w:highlight w:val="none"/>
          <w:u w:val="single"/>
        </w:rPr>
        <w:t>1</w:t>
      </w:r>
      <w:r>
        <w:rPr>
          <w:rFonts w:hint="eastAsia" w:ascii="宋体" w:hAnsi="宋体" w:eastAsia="宋体" w:cs="宋体"/>
          <w:color w:val="auto"/>
          <w:spacing w:val="0"/>
          <w:sz w:val="24"/>
          <w:szCs w:val="24"/>
          <w:highlight w:val="none"/>
        </w:rPr>
        <w:t>人，其余</w:t>
      </w:r>
      <w:r>
        <w:rPr>
          <w:rFonts w:hint="eastAsia" w:ascii="宋体" w:hAnsi="宋体" w:eastAsia="宋体" w:cs="宋体"/>
          <w:color w:val="auto"/>
          <w:spacing w:val="0"/>
          <w:sz w:val="24"/>
          <w:szCs w:val="24"/>
          <w:highlight w:val="none"/>
          <w:u w:val="single"/>
        </w:rPr>
        <w:t>1</w:t>
      </w:r>
      <w:r>
        <w:rPr>
          <w:rFonts w:hint="eastAsia" w:ascii="宋体" w:hAnsi="宋体" w:eastAsia="宋体" w:cs="宋体"/>
          <w:color w:val="auto"/>
          <w:spacing w:val="0"/>
          <w:sz w:val="24"/>
          <w:szCs w:val="24"/>
          <w:highlight w:val="none"/>
        </w:rPr>
        <w:t>人可为采购人代表或</w:t>
      </w:r>
      <w:r>
        <w:rPr>
          <w:rFonts w:hint="eastAsia" w:ascii="宋体" w:hAnsi="宋体" w:eastAsia="宋体" w:cs="宋体"/>
          <w:color w:val="auto"/>
          <w:spacing w:val="0"/>
          <w:sz w:val="24"/>
          <w:szCs w:val="24"/>
          <w:highlight w:val="none"/>
          <w:u w:val="single"/>
        </w:rPr>
        <w:t>福建省勤思项目管理有限公司</w:t>
      </w:r>
      <w:r>
        <w:rPr>
          <w:rFonts w:hint="eastAsia" w:ascii="宋体" w:hAnsi="宋体" w:eastAsia="宋体" w:cs="宋体"/>
          <w:color w:val="auto"/>
          <w:spacing w:val="0"/>
          <w:sz w:val="24"/>
          <w:szCs w:val="24"/>
          <w:highlight w:val="none"/>
        </w:rPr>
        <w:t>的工作人员。</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1.2资格审查的依据是招标文件和电子投标文件。</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1.3资格审查的范围及内容：电子投标文件（资格及资信证明部分），具体如下：</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4"/>
          <w:szCs w:val="24"/>
          <w:highlight w:val="none"/>
        </w:rPr>
        <w:t>  （1）</w:t>
      </w:r>
      <w:r>
        <w:rPr>
          <w:rFonts w:hint="eastAsia" w:ascii="宋体" w:hAnsi="宋体" w:eastAsia="宋体" w:cs="宋体"/>
          <w:color w:val="auto"/>
          <w:spacing w:val="0"/>
          <w:highlight w:val="none"/>
        </w:rPr>
        <w:t>“投标函”；</w:t>
      </w:r>
      <w:r>
        <w:rPr>
          <w:rFonts w:hint="eastAsia" w:ascii="宋体" w:hAnsi="宋体" w:eastAsia="宋体" w:cs="宋体"/>
          <w:color w:val="auto"/>
          <w:spacing w:val="0"/>
          <w:highlight w:val="none"/>
        </w:rPr>
        <w:br w:type="textWrapping"/>
      </w:r>
      <w:r>
        <w:rPr>
          <w:rFonts w:hint="eastAsia" w:ascii="宋体" w:hAnsi="宋体" w:eastAsia="宋体" w:cs="宋体"/>
          <w:color w:val="auto"/>
          <w:spacing w:val="0"/>
          <w:highlight w:val="none"/>
        </w:rPr>
        <w:t>  （2）“投标人的资格及资信证明文件”</w:t>
      </w:r>
      <w:r>
        <w:rPr>
          <w:rFonts w:hint="eastAsia" w:ascii="宋体" w:hAnsi="宋体" w:eastAsia="宋体" w:cs="宋体"/>
          <w:color w:val="auto"/>
          <w:spacing w:val="0"/>
          <w:highlight w:val="none"/>
        </w:rPr>
        <w:br w:type="textWrapping"/>
      </w:r>
      <w:r>
        <w:rPr>
          <w:rFonts w:hint="eastAsia" w:ascii="宋体" w:hAnsi="宋体" w:eastAsia="宋体" w:cs="宋体"/>
          <w:color w:val="auto"/>
          <w:spacing w:val="0"/>
          <w:highlight w:val="none"/>
        </w:rPr>
        <w:t>   </w:t>
      </w:r>
      <w:r>
        <w:rPr>
          <w:rFonts w:hint="eastAsia" w:ascii="宋体" w:hAnsi="宋体" w:eastAsia="宋体" w:cs="宋体"/>
          <w:color w:val="auto"/>
          <w:highlight w:val="none"/>
        </w:rPr>
        <w:t>①</w:t>
      </w:r>
      <w:r>
        <w:rPr>
          <w:rFonts w:hint="eastAsia" w:ascii="宋体" w:hAnsi="宋体" w:eastAsia="宋体" w:cs="宋体"/>
          <w:color w:val="auto"/>
          <w:spacing w:val="0"/>
          <w:highlight w:val="none"/>
        </w:rPr>
        <w:t>一般资格证明文件：</w:t>
      </w:r>
    </w:p>
    <w:tbl>
      <w:tblPr>
        <w:tblStyle w:val="14"/>
        <w:tblW w:w="833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894"/>
        <w:gridCol w:w="644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189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bCs/>
                <w:color w:val="auto"/>
                <w:highlight w:val="none"/>
              </w:rPr>
            </w:pPr>
            <w:r>
              <w:rPr>
                <w:rFonts w:ascii="宋体" w:hAnsi="宋体" w:eastAsia="宋体" w:cs="宋体"/>
                <w:b/>
                <w:bCs/>
                <w:color w:val="auto"/>
                <w:kern w:val="0"/>
                <w:sz w:val="24"/>
                <w:szCs w:val="24"/>
                <w:highlight w:val="none"/>
                <w:lang w:val="en-US" w:eastAsia="zh-CN" w:bidi="ar"/>
              </w:rPr>
              <w:t>明细</w:t>
            </w:r>
          </w:p>
        </w:tc>
        <w:tc>
          <w:tcPr>
            <w:tcW w:w="644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bCs/>
                <w:color w:val="auto"/>
                <w:highlight w:val="none"/>
              </w:rPr>
            </w:pPr>
            <w:r>
              <w:rPr>
                <w:rFonts w:ascii="宋体" w:hAnsi="宋体" w:eastAsia="宋体" w:cs="宋体"/>
                <w:b/>
                <w:bCs/>
                <w:color w:val="auto"/>
                <w:kern w:val="0"/>
                <w:sz w:val="24"/>
                <w:szCs w:val="24"/>
                <w:highlight w:val="none"/>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89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（1）单位授权书</w:t>
            </w:r>
          </w:p>
        </w:tc>
        <w:tc>
          <w:tcPr>
            <w:tcW w:w="644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89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（2）营业执照等证明文件</w:t>
            </w:r>
          </w:p>
        </w:tc>
        <w:tc>
          <w:tcPr>
            <w:tcW w:w="644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89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（3）提供财务状况报告(财务报告、或资信证明）</w:t>
            </w:r>
          </w:p>
        </w:tc>
        <w:tc>
          <w:tcPr>
            <w:tcW w:w="644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89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（4）依法缴纳税收证明材料</w:t>
            </w:r>
          </w:p>
        </w:tc>
        <w:tc>
          <w:tcPr>
            <w:tcW w:w="644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①投标人提供的税收凭据复印件应符合下列规定： a.投标截止时间前（不含投标截止时间的当月）已依法缴纳税收的投标人，提供投标截止时间当月或上一个月的税收凭据复印件。 b.投标截止时间的当月成立且已依法缴纳税收的投标人，提供投标截止时间当月的税收凭据复印件。 c.投标截止时间的当月成立但因税务机关原因导致其尚未依法缴纳税收的投标人，提供依法缴纳税收承诺书（格式自拟），该承诺书视同税收凭据。 d.投标人若为依法减免税收范围的供应商，提供依法免税证明材料的，视同已依法缴纳税收。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89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（5）依法缴纳社会保障资金证明材料</w:t>
            </w:r>
          </w:p>
        </w:tc>
        <w:tc>
          <w:tcPr>
            <w:tcW w:w="644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①投标人提供的社会保险凭据复印件应符合下列规定： a.投标截止时间前（不含投标截止时间的当月）已依法缴纳社会保障资金的投标人，提供投标截止时间当月或上一个月的社会保险凭据复印件。 b.投标截止时间的当月成立且已依法缴纳社会保障资金的投标人，提供投标截止时间当月的社会保险凭据复印件。 c.投标截止时间的当月成立但因税务机关/社会保障资金管理机关原因导致其尚未依法缴纳社会保障资金的投标人，提供依法缴纳社会保障资金承诺书（格式自拟），该承诺书视同社会保险凭据。 d.投标人若为依法不需要缴纳或暂缓缴纳社会保障资金的供应商，提供依法不需要缴纳或暂缓缴纳社会保障资金证明材料的，视同已依法缴纳社会保障资金。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189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（6）具备履行合同所必需设备和专业技术能力的声明函(若有)</w:t>
            </w:r>
          </w:p>
        </w:tc>
        <w:tc>
          <w:tcPr>
            <w:tcW w:w="644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89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（7）参加采购活动前三年内在经营活动中没有重大违法记录的声明</w:t>
            </w:r>
          </w:p>
        </w:tc>
        <w:tc>
          <w:tcPr>
            <w:tcW w:w="644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89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（8）信用记录查询结果</w:t>
            </w:r>
          </w:p>
        </w:tc>
        <w:tc>
          <w:tcPr>
            <w:tcW w:w="644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89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（9）中小企业声明函（以资格条件落实中小企业扶持政策时适用 ）</w:t>
            </w:r>
          </w:p>
        </w:tc>
        <w:tc>
          <w:tcPr>
            <w:tcW w:w="644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189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（10）联合体协议（若有）</w:t>
            </w:r>
          </w:p>
        </w:tc>
        <w:tc>
          <w:tcPr>
            <w:tcW w:w="644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①招标文件接受联合体投标且投标人为联合体的，投标人应提供本协议；否则无须提供。 ②本协议由委托代理人签字或盖章的，应按照招标文件第七章载明的格式提供“单位授权书”。</w:t>
            </w:r>
          </w:p>
        </w:tc>
      </w:tr>
    </w:tbl>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pacing w:val="0"/>
          <w:sz w:val="24"/>
          <w:szCs w:val="24"/>
          <w:highlight w:val="none"/>
        </w:rPr>
        <w:t>备注说明</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4"/>
          <w:szCs w:val="24"/>
          <w:highlight w:val="none"/>
        </w:rPr>
        <w:t>①投标人应根据自身实际情况提供上述资格要求的证明材料，格式可参考招标文件第七章提供。</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4"/>
          <w:szCs w:val="24"/>
          <w:highlight w:val="none"/>
        </w:rPr>
        <w:t>②投标人提供的相应证明材料复印件均应符合：内容完整、清晰、整洁，并由投标人加盖其单位公章。</w:t>
      </w:r>
    </w:p>
    <w:p>
      <w:pPr>
        <w:pStyle w:val="11"/>
        <w:keepNext w:val="0"/>
        <w:keepLines w:val="0"/>
        <w:widowControl/>
        <w:suppressLineNumbers w:val="0"/>
        <w:spacing w:before="0" w:beforeAutospacing="0" w:after="150" w:afterAutospacing="0"/>
        <w:ind w:left="0" w:right="0"/>
        <w:rPr>
          <w:color w:val="auto"/>
          <w:highlight w:val="none"/>
        </w:rPr>
      </w:pPr>
      <w:r>
        <w:rPr>
          <w:color w:val="auto"/>
          <w:highlight w:val="none"/>
        </w:rPr>
        <w:br w:type="textWrapping"/>
      </w:r>
      <w:r>
        <w:rPr>
          <w:rFonts w:hint="eastAsia" w:ascii="宋体" w:hAnsi="宋体" w:eastAsia="宋体" w:cs="宋体"/>
          <w:color w:val="auto"/>
          <w:spacing w:val="0"/>
          <w:sz w:val="24"/>
          <w:szCs w:val="24"/>
          <w:highlight w:val="none"/>
        </w:rPr>
        <w:br w:type="textWrapping"/>
      </w:r>
      <w:r>
        <w:rPr>
          <w:rFonts w:hint="eastAsia" w:ascii="宋体" w:hAnsi="宋体" w:eastAsia="宋体" w:cs="宋体"/>
          <w:color w:val="auto"/>
          <w:spacing w:val="0"/>
          <w:highlight w:val="none"/>
        </w:rPr>
        <w:t>   ②.其他资格证明文件：</w:t>
      </w:r>
    </w:p>
    <w:p>
      <w:pPr>
        <w:pStyle w:val="11"/>
        <w:keepNext w:val="0"/>
        <w:keepLines w:val="0"/>
        <w:widowControl/>
        <w:suppressLineNumbers w:val="0"/>
        <w:spacing w:before="75" w:beforeAutospacing="0" w:after="75" w:afterAutospacing="0"/>
        <w:ind w:left="0" w:right="0" w:firstLine="480"/>
        <w:rPr>
          <w:color w:val="auto"/>
          <w:highlight w:val="none"/>
        </w:rPr>
      </w:pPr>
      <w:r>
        <w:rPr>
          <w:rStyle w:val="13"/>
          <w:b/>
          <w:bCs/>
          <w:color w:val="auto"/>
          <w:spacing w:val="0"/>
          <w:sz w:val="24"/>
          <w:szCs w:val="24"/>
          <w:highlight w:val="none"/>
        </w:rPr>
        <w:t>包：1</w:t>
      </w:r>
    </w:p>
    <w:tbl>
      <w:tblPr>
        <w:tblStyle w:val="14"/>
        <w:tblW w:w="833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978"/>
        <w:gridCol w:w="63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197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bCs/>
                <w:color w:val="auto"/>
                <w:highlight w:val="none"/>
              </w:rPr>
            </w:pPr>
            <w:r>
              <w:rPr>
                <w:rFonts w:ascii="宋体" w:hAnsi="宋体" w:eastAsia="宋体" w:cs="宋体"/>
                <w:b/>
                <w:bCs/>
                <w:color w:val="auto"/>
                <w:kern w:val="0"/>
                <w:sz w:val="24"/>
                <w:szCs w:val="24"/>
                <w:highlight w:val="none"/>
                <w:lang w:val="en-US" w:eastAsia="zh-CN" w:bidi="ar"/>
              </w:rPr>
              <w:t>明细</w:t>
            </w:r>
          </w:p>
        </w:tc>
        <w:tc>
          <w:tcPr>
            <w:tcW w:w="63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bCs/>
                <w:color w:val="auto"/>
                <w:highlight w:val="none"/>
              </w:rPr>
            </w:pPr>
            <w:r>
              <w:rPr>
                <w:rFonts w:ascii="宋体" w:hAnsi="宋体" w:eastAsia="宋体" w:cs="宋体"/>
                <w:b/>
                <w:bCs/>
                <w:color w:val="auto"/>
                <w:kern w:val="0"/>
                <w:sz w:val="24"/>
                <w:szCs w:val="24"/>
                <w:highlight w:val="none"/>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197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落实政府采购政策的证明材料（专门面向中小企业采购）</w:t>
            </w:r>
          </w:p>
        </w:tc>
        <w:tc>
          <w:tcPr>
            <w:tcW w:w="635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本项目为专门面向中小企业采购项目。1、投标人应按招标文件第七章的格式提交《中小企业声明函》。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投标文件正本中的本声明函（若有）应为原件。※投标人应按照招标文件第七章规定提供。 注：具体详见招标文件第三章、第七章对中小企业的相关规定；本项目为服务类采购项目，采购标的对应的中小企业划分标准所属行业为软件和信息技术服务业。若投标人提供的《中小企业声明函》中填写的行业与招标文件明确的采购标的对应的中小企业划分标准所属行业不一致，则不予认定为中小企业。</w:t>
            </w:r>
          </w:p>
        </w:tc>
      </w:tr>
    </w:tbl>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spacing w:val="0"/>
          <w:kern w:val="0"/>
          <w:sz w:val="24"/>
          <w:szCs w:val="24"/>
          <w:highlight w:val="none"/>
          <w:lang w:val="en-US" w:eastAsia="zh-CN" w:bidi="ar"/>
        </w:rPr>
        <w:t>  （3）投标保证金。</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1.4有下列情形之一的，</w:t>
      </w:r>
      <w:r>
        <w:rPr>
          <w:rStyle w:val="13"/>
          <w:rFonts w:hint="eastAsia" w:ascii="宋体" w:hAnsi="宋体" w:eastAsia="宋体" w:cs="宋体"/>
          <w:b/>
          <w:bCs/>
          <w:color w:val="auto"/>
          <w:spacing w:val="0"/>
          <w:sz w:val="24"/>
          <w:szCs w:val="24"/>
          <w:highlight w:val="none"/>
        </w:rPr>
        <w:t>资格审查不合格：</w:t>
      </w:r>
      <w:r>
        <w:rPr>
          <w:rStyle w:val="13"/>
          <w:rFonts w:hint="eastAsia" w:ascii="宋体" w:hAnsi="宋体" w:eastAsia="宋体" w:cs="宋体"/>
          <w:b/>
          <w:bCs/>
          <w:color w:val="auto"/>
          <w:spacing w:val="0"/>
          <w:sz w:val="24"/>
          <w:szCs w:val="24"/>
          <w:highlight w:val="none"/>
        </w:rPr>
        <w:br w:type="textWrapping"/>
      </w:r>
      <w:r>
        <w:rPr>
          <w:rFonts w:hint="eastAsia" w:ascii="宋体" w:hAnsi="宋体" w:eastAsia="宋体" w:cs="宋体"/>
          <w:color w:val="auto"/>
          <w:highlight w:val="none"/>
        </w:rPr>
        <w:t>  （1）一般情形：</w:t>
      </w:r>
    </w:p>
    <w:tbl>
      <w:tblPr>
        <w:tblStyle w:val="14"/>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bCs/>
                <w:color w:val="auto"/>
                <w:highlight w:val="none"/>
              </w:rPr>
            </w:pPr>
            <w:r>
              <w:rPr>
                <w:rFonts w:ascii="宋体" w:hAnsi="宋体" w:eastAsia="宋体" w:cs="宋体"/>
                <w:b/>
                <w:bCs/>
                <w:color w:val="auto"/>
                <w:kern w:val="0"/>
                <w:sz w:val="24"/>
                <w:szCs w:val="24"/>
                <w:highlight w:val="none"/>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未按照招标文件规定提交投标函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未按照招标文件规定提交投标保证金</w:t>
            </w:r>
          </w:p>
        </w:tc>
      </w:tr>
    </w:tbl>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br w:type="textWrapping"/>
      </w:r>
      <w:r>
        <w:rPr>
          <w:rFonts w:ascii="宋体" w:hAnsi="宋体" w:eastAsia="宋体" w:cs="宋体"/>
          <w:color w:val="auto"/>
          <w:kern w:val="0"/>
          <w:sz w:val="24"/>
          <w:szCs w:val="24"/>
          <w:highlight w:val="none"/>
          <w:lang w:val="en-US" w:eastAsia="zh-CN" w:bidi="ar"/>
        </w:rPr>
        <w:t>  （2）本项目规定的其他情形：</w:t>
      </w:r>
    </w:p>
    <w:p>
      <w:pPr>
        <w:pStyle w:val="11"/>
        <w:keepNext w:val="0"/>
        <w:keepLines w:val="0"/>
        <w:widowControl/>
        <w:suppressLineNumbers w:val="0"/>
        <w:spacing w:before="0" w:beforeAutospacing="0" w:after="150" w:afterAutospacing="0"/>
        <w:ind w:left="0" w:right="0" w:firstLine="480"/>
        <w:rPr>
          <w:color w:val="auto"/>
          <w:highlight w:val="none"/>
        </w:rPr>
      </w:pPr>
      <w:r>
        <w:rPr>
          <w:rStyle w:val="13"/>
          <w:b/>
          <w:bCs/>
          <w:color w:val="auto"/>
          <w:highlight w:val="none"/>
        </w:rPr>
        <w:t>包：1</w:t>
      </w:r>
      <w:r>
        <w:rPr>
          <w:color w:val="auto"/>
          <w:highlight w:val="none"/>
        </w:rPr>
        <w:br w:type="textWrapping"/>
      </w:r>
      <w:r>
        <w:rPr>
          <w:rStyle w:val="13"/>
          <w:b/>
          <w:bCs/>
          <w:color w:val="auto"/>
          <w:sz w:val="24"/>
          <w:szCs w:val="24"/>
          <w:highlight w:val="none"/>
        </w:rPr>
        <w:t>         无</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1.5若本项目接受联合体投标且投标人为联合体，联合体中有同类资质的供应商按照联合体分工承担相同工作的，应先按照资质等级较低的供应商确定资质等级，再按照本章第</w:t>
      </w:r>
      <w:r>
        <w:rPr>
          <w:rFonts w:hint="default" w:ascii="Calibri" w:hAnsi="Calibri" w:cs="Calibri"/>
          <w:color w:val="auto"/>
          <w:spacing w:val="0"/>
          <w:sz w:val="24"/>
          <w:szCs w:val="24"/>
          <w:highlight w:val="none"/>
        </w:rPr>
        <w:t>1.2</w:t>
      </w:r>
      <w:r>
        <w:rPr>
          <w:rFonts w:hint="eastAsia" w:ascii="宋体" w:hAnsi="宋体" w:eastAsia="宋体" w:cs="宋体"/>
          <w:color w:val="auto"/>
          <w:spacing w:val="0"/>
          <w:sz w:val="24"/>
          <w:szCs w:val="24"/>
          <w:highlight w:val="none"/>
        </w:rPr>
        <w:t>、</w:t>
      </w:r>
      <w:r>
        <w:rPr>
          <w:rFonts w:hint="default" w:ascii="Calibri" w:hAnsi="Calibri" w:cs="Calibri"/>
          <w:color w:val="auto"/>
          <w:spacing w:val="0"/>
          <w:sz w:val="24"/>
          <w:szCs w:val="24"/>
          <w:highlight w:val="none"/>
        </w:rPr>
        <w:t>1.3</w:t>
      </w:r>
      <w:r>
        <w:rPr>
          <w:rFonts w:hint="eastAsia" w:ascii="宋体" w:hAnsi="宋体" w:eastAsia="宋体" w:cs="宋体"/>
          <w:color w:val="auto"/>
          <w:spacing w:val="0"/>
          <w:sz w:val="24"/>
          <w:szCs w:val="24"/>
          <w:highlight w:val="none"/>
        </w:rPr>
        <w:t>、</w:t>
      </w:r>
      <w:r>
        <w:rPr>
          <w:rFonts w:hint="default" w:ascii="Calibri" w:hAnsi="Calibri" w:cs="Calibri"/>
          <w:color w:val="auto"/>
          <w:spacing w:val="0"/>
          <w:sz w:val="24"/>
          <w:szCs w:val="24"/>
          <w:highlight w:val="none"/>
        </w:rPr>
        <w:t>1.4</w:t>
      </w:r>
      <w:r>
        <w:rPr>
          <w:rFonts w:hint="eastAsia" w:ascii="宋体" w:hAnsi="宋体" w:eastAsia="宋体" w:cs="宋体"/>
          <w:color w:val="auto"/>
          <w:spacing w:val="0"/>
          <w:sz w:val="24"/>
          <w:szCs w:val="24"/>
          <w:highlight w:val="none"/>
        </w:rPr>
        <w:t>条规定进行资格审查。</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2、资格审查情况不得私自外泄，有关信息由</w:t>
      </w:r>
      <w:r>
        <w:rPr>
          <w:rFonts w:hint="eastAsia" w:ascii="宋体" w:hAnsi="宋体" w:eastAsia="宋体" w:cs="宋体"/>
          <w:color w:val="auto"/>
          <w:spacing w:val="0"/>
          <w:sz w:val="24"/>
          <w:szCs w:val="24"/>
          <w:highlight w:val="none"/>
          <w:u w:val="single"/>
        </w:rPr>
        <w:t>福建省勤思项目管理有限公司</w:t>
      </w:r>
      <w:r>
        <w:rPr>
          <w:rFonts w:hint="eastAsia" w:ascii="宋体" w:hAnsi="宋体" w:eastAsia="宋体" w:cs="宋体"/>
          <w:color w:val="auto"/>
          <w:spacing w:val="0"/>
          <w:sz w:val="24"/>
          <w:szCs w:val="24"/>
          <w:highlight w:val="none"/>
        </w:rPr>
        <w:t>统一对外发布。</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3、资格审查合格的投标人不足三家的，不进行评标。同时，本次采购活动结束，</w:t>
      </w:r>
      <w:r>
        <w:rPr>
          <w:rFonts w:hint="eastAsia" w:ascii="宋体" w:hAnsi="宋体" w:eastAsia="宋体" w:cs="宋体"/>
          <w:color w:val="auto"/>
          <w:spacing w:val="0"/>
          <w:sz w:val="24"/>
          <w:szCs w:val="24"/>
          <w:highlight w:val="none"/>
          <w:u w:val="single"/>
        </w:rPr>
        <w:t>福建省勤思项目管理有限公司</w:t>
      </w:r>
      <w:r>
        <w:rPr>
          <w:rFonts w:hint="eastAsia" w:ascii="宋体" w:hAnsi="宋体" w:eastAsia="宋体" w:cs="宋体"/>
          <w:color w:val="auto"/>
          <w:spacing w:val="0"/>
          <w:sz w:val="24"/>
          <w:szCs w:val="24"/>
          <w:highlight w:val="none"/>
        </w:rPr>
        <w:t>将依法组织后续采购活动（包括但不限于：重新招标、采用其他方式采购等）。</w:t>
      </w:r>
    </w:p>
    <w:p>
      <w:pPr>
        <w:pStyle w:val="11"/>
        <w:keepNext w:val="0"/>
        <w:keepLines w:val="0"/>
        <w:widowControl/>
        <w:suppressLineNumbers w:val="0"/>
        <w:spacing w:before="75" w:beforeAutospacing="0" w:after="75" w:afterAutospacing="0"/>
        <w:ind w:left="0" w:right="0" w:firstLine="0"/>
        <w:rPr>
          <w:color w:val="auto"/>
          <w:highlight w:val="none"/>
        </w:rPr>
      </w:pPr>
      <w:r>
        <w:rPr>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0"/>
        <w:jc w:val="center"/>
        <w:rPr>
          <w:color w:val="auto"/>
          <w:highlight w:val="none"/>
        </w:rPr>
      </w:pPr>
      <w:r>
        <w:rPr>
          <w:rStyle w:val="13"/>
          <w:rFonts w:hint="eastAsia" w:ascii="宋体" w:hAnsi="宋体" w:eastAsia="宋体" w:cs="宋体"/>
          <w:b/>
          <w:bCs/>
          <w:color w:val="auto"/>
          <w:spacing w:val="0"/>
          <w:sz w:val="24"/>
          <w:szCs w:val="24"/>
          <w:highlight w:val="none"/>
        </w:rPr>
        <w:t>二、评标</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4、</w:t>
      </w:r>
      <w:r>
        <w:rPr>
          <w:rFonts w:hint="eastAsia" w:ascii="宋体" w:hAnsi="宋体" w:eastAsia="宋体" w:cs="宋体"/>
          <w:color w:val="auto"/>
          <w:highlight w:val="none"/>
        </w:rPr>
        <w:t>资格审查结束后，由</w:t>
      </w:r>
      <w:r>
        <w:rPr>
          <w:rFonts w:hint="eastAsia" w:ascii="宋体" w:hAnsi="宋体" w:eastAsia="宋体" w:cs="宋体"/>
          <w:color w:val="auto"/>
          <w:spacing w:val="0"/>
          <w:highlight w:val="none"/>
        </w:rPr>
        <w:t>福建省勤思项目管理有限公司负责评标委员会的组建及评标工作的组织。</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5、评标委员会</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5.1评标委员会由采购人代表和评标专家两部分共</w:t>
      </w:r>
      <w:r>
        <w:rPr>
          <w:rFonts w:hint="eastAsia" w:ascii="宋体" w:hAnsi="宋体" w:eastAsia="宋体" w:cs="宋体"/>
          <w:color w:val="auto"/>
          <w:spacing w:val="0"/>
          <w:sz w:val="24"/>
          <w:szCs w:val="24"/>
          <w:highlight w:val="none"/>
          <w:u w:val="single"/>
        </w:rPr>
        <w:t>7</w:t>
      </w:r>
      <w:r>
        <w:rPr>
          <w:rFonts w:hint="eastAsia" w:ascii="宋体" w:hAnsi="宋体" w:eastAsia="宋体" w:cs="宋体"/>
          <w:color w:val="auto"/>
          <w:spacing w:val="0"/>
          <w:sz w:val="24"/>
          <w:szCs w:val="24"/>
          <w:highlight w:val="none"/>
        </w:rPr>
        <w:t>人（以下简称“评委”）组成，其中：由采购人派出的采购人代表</w:t>
      </w:r>
      <w:r>
        <w:rPr>
          <w:rFonts w:hint="eastAsia" w:ascii="宋体" w:hAnsi="宋体" w:eastAsia="宋体" w:cs="宋体"/>
          <w:color w:val="auto"/>
          <w:spacing w:val="0"/>
          <w:sz w:val="24"/>
          <w:szCs w:val="24"/>
          <w:highlight w:val="none"/>
          <w:u w:val="single"/>
        </w:rPr>
        <w:t>2</w:t>
      </w:r>
      <w:r>
        <w:rPr>
          <w:rFonts w:hint="eastAsia" w:ascii="宋体" w:hAnsi="宋体" w:eastAsia="宋体" w:cs="宋体"/>
          <w:color w:val="auto"/>
          <w:spacing w:val="0"/>
          <w:sz w:val="24"/>
          <w:szCs w:val="24"/>
          <w:highlight w:val="none"/>
        </w:rPr>
        <w:t>人，由福建省政府采购评审专家库产生的评标专家</w:t>
      </w:r>
      <w:r>
        <w:rPr>
          <w:rFonts w:hint="eastAsia" w:ascii="宋体" w:hAnsi="宋体" w:eastAsia="宋体" w:cs="宋体"/>
          <w:color w:val="auto"/>
          <w:spacing w:val="0"/>
          <w:sz w:val="24"/>
          <w:szCs w:val="24"/>
          <w:highlight w:val="none"/>
          <w:u w:val="single"/>
        </w:rPr>
        <w:t>5</w:t>
      </w:r>
      <w:r>
        <w:rPr>
          <w:rFonts w:hint="eastAsia" w:ascii="宋体" w:hAnsi="宋体" w:eastAsia="宋体" w:cs="宋体"/>
          <w:color w:val="auto"/>
          <w:spacing w:val="0"/>
          <w:sz w:val="24"/>
          <w:szCs w:val="24"/>
          <w:highlight w:val="none"/>
        </w:rPr>
        <w:t>人。</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5.2评标委员会负责具体评标事务，并按照下列原则依法独立履行有关职责：</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（1）评标应保护国家利益、社会公共利益和各方当事人合法权益，提高采购效益，保证项目质量。</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（2）评标应遵循公平、公正、科学、严谨和择优原则。</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（3）评标的依据是招标文件和电子投标文件。</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（4）应按照招标文件规定推荐中标候选人或确定中标人。</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（5）评标应遵守下列评标纪律：</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①评标情况不得私自外泄，有关信息由</w:t>
      </w:r>
      <w:r>
        <w:rPr>
          <w:rFonts w:hint="eastAsia" w:ascii="宋体" w:hAnsi="宋体" w:eastAsia="宋体" w:cs="宋体"/>
          <w:color w:val="auto"/>
          <w:spacing w:val="0"/>
          <w:sz w:val="24"/>
          <w:szCs w:val="24"/>
          <w:highlight w:val="none"/>
          <w:u w:val="single"/>
        </w:rPr>
        <w:t>福建省勤思项目管理有限公司</w:t>
      </w:r>
      <w:r>
        <w:rPr>
          <w:rFonts w:hint="eastAsia" w:ascii="宋体" w:hAnsi="宋体" w:eastAsia="宋体" w:cs="宋体"/>
          <w:color w:val="auto"/>
          <w:spacing w:val="0"/>
          <w:sz w:val="24"/>
          <w:szCs w:val="24"/>
          <w:highlight w:val="none"/>
        </w:rPr>
        <w:t>统一对外发布。</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②对</w:t>
      </w:r>
      <w:r>
        <w:rPr>
          <w:rFonts w:hint="eastAsia" w:ascii="宋体" w:hAnsi="宋体" w:eastAsia="宋体" w:cs="宋体"/>
          <w:color w:val="auto"/>
          <w:spacing w:val="0"/>
          <w:sz w:val="24"/>
          <w:szCs w:val="24"/>
          <w:highlight w:val="none"/>
          <w:u w:val="single"/>
        </w:rPr>
        <w:t>福建省勤思项目管理有限公司</w:t>
      </w:r>
      <w:r>
        <w:rPr>
          <w:rFonts w:hint="eastAsia" w:ascii="宋体" w:hAnsi="宋体" w:eastAsia="宋体" w:cs="宋体"/>
          <w:color w:val="auto"/>
          <w:spacing w:val="0"/>
          <w:sz w:val="24"/>
          <w:szCs w:val="24"/>
          <w:highlight w:val="none"/>
        </w:rPr>
        <w:t>或投标人提供的要求保密的资料，不得摘记翻印和外传。</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③不得收受投标人或有关人员的任何礼物，不得串联鼓动其他人袒护某投标人。若与投标人存在利害关系，则应主动声明并回避。</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④全体评委应按照招标文件规定进行评标，一切认定事项应查有实据且不得弄虚作假。</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⑤评标中应充分发扬民主，推荐中标候选人或确定中标人后要服从评标报告。</w:t>
      </w:r>
    </w:p>
    <w:p>
      <w:pPr>
        <w:pStyle w:val="11"/>
        <w:keepNext w:val="0"/>
        <w:keepLines w:val="0"/>
        <w:widowControl/>
        <w:suppressLineNumbers w:val="0"/>
        <w:spacing w:before="75" w:beforeAutospacing="0" w:after="75" w:afterAutospacing="0"/>
        <w:ind w:left="0" w:right="0" w:firstLine="480"/>
        <w:rPr>
          <w:color w:val="auto"/>
          <w:highlight w:val="none"/>
        </w:rPr>
      </w:pPr>
      <w:r>
        <w:rPr>
          <w:rStyle w:val="13"/>
          <w:rFonts w:hint="eastAsia" w:ascii="宋体" w:hAnsi="宋体" w:eastAsia="宋体" w:cs="宋体"/>
          <w:b/>
          <w:bCs/>
          <w:color w:val="auto"/>
          <w:spacing w:val="0"/>
          <w:sz w:val="24"/>
          <w:szCs w:val="24"/>
          <w:highlight w:val="none"/>
        </w:rPr>
        <w:t>※对违反评标纪律的评委，将取消其评委资格，对评标工作造成严重损失者将予以通报批评乃至追究法律责任。</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6、评标程序</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6.1评标前的准备工作</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（1）全体评委应认真审阅招标文件，了解评委应履行或遵守的职责、义务和评标纪律。</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（2）参加评标委员会的采购人代表可对本项目的背景和采购需求进行介绍，介绍材料应以书面形式提交（随采购文件一并存档），介绍内容不得含有歧视性、倾向性意见，不得超出招标文件所述范围。</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6.2符合性审查</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（1）评标委员会依据招标文件的实质性要求，对通过资格审查的电子投标文件进行符合性审查，以确定其是否满足招标文件的实质性要求。</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（2）满足招标文件的实质性要求指电子投标文件对招标文件实质性要求的响应不存在重大偏差或保留。</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（5）评标委员会对所有投标人都执行相同的程序和标准。</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（6）有下列情形之一的，</w:t>
      </w:r>
      <w:r>
        <w:rPr>
          <w:rStyle w:val="13"/>
          <w:rFonts w:hint="eastAsia" w:ascii="宋体" w:hAnsi="宋体" w:eastAsia="宋体" w:cs="宋体"/>
          <w:b/>
          <w:bCs/>
          <w:color w:val="auto"/>
          <w:spacing w:val="0"/>
          <w:sz w:val="24"/>
          <w:szCs w:val="24"/>
          <w:highlight w:val="none"/>
        </w:rPr>
        <w:t>符合性审查不合格：</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①项目一般情形：</w:t>
      </w:r>
    </w:p>
    <w:tbl>
      <w:tblPr>
        <w:tblStyle w:val="14"/>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bCs/>
                <w:color w:val="auto"/>
                <w:highlight w:val="none"/>
              </w:rPr>
            </w:pPr>
            <w:r>
              <w:rPr>
                <w:rFonts w:ascii="宋体" w:hAnsi="宋体" w:eastAsia="宋体" w:cs="宋体"/>
                <w:b/>
                <w:bCs/>
                <w:color w:val="auto"/>
                <w:kern w:val="0"/>
                <w:sz w:val="24"/>
                <w:szCs w:val="24"/>
                <w:highlight w:val="none"/>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投标文件对招标文件实质性要求的响应存在重大偏离或保留。</w:t>
            </w:r>
          </w:p>
        </w:tc>
      </w:tr>
    </w:tbl>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②本项目规定的其他情形：</w:t>
      </w:r>
      <w:r>
        <w:rPr>
          <w:rFonts w:hint="eastAsia" w:ascii="宋体" w:hAnsi="宋体" w:eastAsia="宋体" w:cs="宋体"/>
          <w:color w:val="auto"/>
          <w:spacing w:val="0"/>
          <w:sz w:val="24"/>
          <w:szCs w:val="24"/>
          <w:highlight w:val="none"/>
        </w:rPr>
        <w:br w:type="textWrapping"/>
      </w:r>
      <w:r>
        <w:rPr>
          <w:rFonts w:hint="eastAsia" w:ascii="宋体" w:hAnsi="宋体" w:eastAsia="宋体" w:cs="宋体"/>
          <w:color w:val="auto"/>
          <w:spacing w:val="0"/>
          <w:sz w:val="24"/>
          <w:szCs w:val="24"/>
          <w:highlight w:val="none"/>
        </w:rPr>
        <w:t>包：1</w:t>
      </w:r>
      <w:r>
        <w:rPr>
          <w:rFonts w:hint="eastAsia" w:ascii="宋体" w:hAnsi="宋体" w:eastAsia="宋体" w:cs="宋体"/>
          <w:color w:val="auto"/>
          <w:spacing w:val="0"/>
          <w:sz w:val="24"/>
          <w:szCs w:val="24"/>
          <w:highlight w:val="none"/>
        </w:rPr>
        <w:br w:type="textWrapping"/>
      </w:r>
      <w:r>
        <w:rPr>
          <w:rFonts w:hint="eastAsia" w:ascii="宋体" w:hAnsi="宋体" w:eastAsia="宋体" w:cs="宋体"/>
          <w:color w:val="auto"/>
          <w:spacing w:val="0"/>
          <w:sz w:val="24"/>
          <w:szCs w:val="24"/>
          <w:highlight w:val="none"/>
        </w:rPr>
        <w:t>包一般情形</w:t>
      </w:r>
      <w:r>
        <w:rPr>
          <w:color w:val="auto"/>
          <w:highlight w:val="none"/>
        </w:rPr>
        <w:br w:type="textWrapping"/>
      </w:r>
      <w:r>
        <w:rPr>
          <w:rStyle w:val="13"/>
          <w:b/>
          <w:bCs/>
          <w:color w:val="auto"/>
          <w:sz w:val="24"/>
          <w:szCs w:val="24"/>
          <w:highlight w:val="none"/>
        </w:rPr>
        <w:t>         无</w:t>
      </w:r>
    </w:p>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br w:type="textWrapping"/>
      </w:r>
      <w:r>
        <w:rPr>
          <w:rFonts w:ascii="宋体" w:hAnsi="宋体" w:eastAsia="宋体" w:cs="宋体"/>
          <w:color w:val="auto"/>
          <w:kern w:val="0"/>
          <w:sz w:val="24"/>
          <w:szCs w:val="24"/>
          <w:highlight w:val="none"/>
          <w:lang w:val="en-US" w:eastAsia="zh-CN" w:bidi="ar"/>
        </w:rPr>
        <w:t>技术符合性</w:t>
      </w:r>
    </w:p>
    <w:tbl>
      <w:tblPr>
        <w:tblStyle w:val="14"/>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bCs/>
                <w:color w:val="auto"/>
                <w:highlight w:val="none"/>
              </w:rPr>
            </w:pPr>
            <w:r>
              <w:rPr>
                <w:rFonts w:ascii="宋体" w:hAnsi="宋体" w:eastAsia="宋体" w:cs="宋体"/>
                <w:b/>
                <w:bCs/>
                <w:color w:val="auto"/>
                <w:kern w:val="0"/>
                <w:sz w:val="24"/>
                <w:szCs w:val="24"/>
                <w:highlight w:val="none"/>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投标文件的技术部分中出现报价部分的全部或部分的投标报价信息(或组成资料)。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投标人的技术部分实际得分少于招标文件设定的技术部分总分50%。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招标文件规定的其他投标无效情形。</w:t>
            </w:r>
          </w:p>
        </w:tc>
      </w:tr>
    </w:tbl>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br w:type="textWrapping"/>
      </w:r>
      <w:r>
        <w:rPr>
          <w:rFonts w:ascii="宋体" w:hAnsi="宋体" w:eastAsia="宋体" w:cs="宋体"/>
          <w:color w:val="auto"/>
          <w:kern w:val="0"/>
          <w:sz w:val="24"/>
          <w:szCs w:val="24"/>
          <w:highlight w:val="none"/>
          <w:lang w:val="en-US" w:eastAsia="zh-CN" w:bidi="ar"/>
        </w:rPr>
        <w:t>商务符合性</w:t>
      </w:r>
    </w:p>
    <w:tbl>
      <w:tblPr>
        <w:tblStyle w:val="14"/>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bCs/>
                <w:color w:val="auto"/>
                <w:highlight w:val="none"/>
              </w:rPr>
            </w:pPr>
            <w:r>
              <w:rPr>
                <w:rFonts w:ascii="宋体" w:hAnsi="宋体" w:eastAsia="宋体" w:cs="宋体"/>
                <w:b/>
                <w:bCs/>
                <w:color w:val="auto"/>
                <w:kern w:val="0"/>
                <w:sz w:val="24"/>
                <w:szCs w:val="24"/>
                <w:highlight w:val="none"/>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投标文件的商务部分中出现报价部分的全部或部分的投标报价信息(或组成资料)。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招标文件第五章商务条件中的条款为实质性要求出现负偏离的。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招标文件规定的其他投标无效情形。</w:t>
            </w:r>
          </w:p>
        </w:tc>
      </w:tr>
    </w:tbl>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br w:type="textWrapping"/>
      </w:r>
      <w:r>
        <w:rPr>
          <w:rFonts w:ascii="宋体" w:hAnsi="宋体" w:eastAsia="宋体" w:cs="宋体"/>
          <w:color w:val="auto"/>
          <w:kern w:val="0"/>
          <w:sz w:val="24"/>
          <w:szCs w:val="24"/>
          <w:highlight w:val="none"/>
          <w:lang w:val="en-US" w:eastAsia="zh-CN" w:bidi="ar"/>
        </w:rPr>
        <w:t>附加符合性</w:t>
      </w:r>
      <w:r>
        <w:rPr>
          <w:rFonts w:ascii="宋体" w:hAnsi="宋体" w:eastAsia="宋体" w:cs="宋体"/>
          <w:color w:val="auto"/>
          <w:kern w:val="0"/>
          <w:sz w:val="24"/>
          <w:szCs w:val="24"/>
          <w:highlight w:val="none"/>
          <w:lang w:val="en-US" w:eastAsia="zh-CN" w:bidi="ar"/>
        </w:rPr>
        <w:br w:type="textWrapping"/>
      </w:r>
      <w:r>
        <w:rPr>
          <w:rStyle w:val="13"/>
          <w:rFonts w:ascii="宋体" w:hAnsi="宋体" w:eastAsia="宋体" w:cs="宋体"/>
          <w:b/>
          <w:bCs/>
          <w:color w:val="auto"/>
          <w:kern w:val="0"/>
          <w:sz w:val="24"/>
          <w:szCs w:val="24"/>
          <w:highlight w:val="none"/>
          <w:lang w:val="en-US" w:eastAsia="zh-CN" w:bidi="ar"/>
        </w:rPr>
        <w:t>         无</w:t>
      </w:r>
      <w:r>
        <w:rPr>
          <w:rFonts w:ascii="宋体" w:hAnsi="宋体" w:eastAsia="宋体" w:cs="宋体"/>
          <w:color w:val="auto"/>
          <w:kern w:val="0"/>
          <w:sz w:val="24"/>
          <w:szCs w:val="24"/>
          <w:highlight w:val="none"/>
          <w:lang w:val="en-US" w:eastAsia="zh-CN" w:bidi="ar"/>
        </w:rPr>
        <w:br w:type="textWrapping"/>
      </w:r>
      <w:r>
        <w:rPr>
          <w:rFonts w:ascii="宋体" w:hAnsi="宋体" w:eastAsia="宋体" w:cs="宋体"/>
          <w:color w:val="auto"/>
          <w:kern w:val="0"/>
          <w:sz w:val="24"/>
          <w:szCs w:val="24"/>
          <w:highlight w:val="none"/>
          <w:lang w:val="en-US" w:eastAsia="zh-CN" w:bidi="ar"/>
        </w:rPr>
        <w:br w:type="textWrapping"/>
      </w:r>
      <w:r>
        <w:rPr>
          <w:rFonts w:ascii="宋体" w:hAnsi="宋体" w:eastAsia="宋体" w:cs="宋体"/>
          <w:color w:val="auto"/>
          <w:kern w:val="0"/>
          <w:sz w:val="24"/>
          <w:szCs w:val="24"/>
          <w:highlight w:val="none"/>
          <w:lang w:val="en-US" w:eastAsia="zh-CN" w:bidi="ar"/>
        </w:rPr>
        <w:t>价格符合性</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6.3澄清有关问题</w:t>
      </w:r>
    </w:p>
    <w:p>
      <w:pPr>
        <w:pStyle w:val="11"/>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4"/>
          <w:szCs w:val="24"/>
          <w:highlight w:val="none"/>
        </w:rPr>
        <w:t>（1）对通过符合性审查的电子投标文件中含义不明确、同类问题表述不一致或有明显文字和计算错误的内容，评标委员会将以书面形式要求投标人作出必要的澄清、说明或补正。</w:t>
      </w:r>
    </w:p>
    <w:p>
      <w:pPr>
        <w:pStyle w:val="11"/>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4"/>
          <w:szCs w:val="24"/>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（3）电子投标文件报价出现前后不一致的，除招标文件另有规定外，按照下列规定修正：</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①开标一览表内容与电子投标文件中相应内容不一致的，以开标一览表为准；</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②大写金额和小写金额不一致的，以大写金额为准；</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③单价金额小数点或百分比有明显错位的，以开标一览表的总价为准，并修改单价；</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④总价金额与按照单价汇总金额不一致的，以单价金额计算结果为准。</w:t>
      </w:r>
    </w:p>
    <w:p>
      <w:pPr>
        <w:pStyle w:val="11"/>
        <w:keepNext w:val="0"/>
        <w:keepLines w:val="0"/>
        <w:widowControl/>
        <w:suppressLineNumbers w:val="0"/>
        <w:spacing w:before="75" w:beforeAutospacing="0" w:after="75" w:afterAutospacing="0"/>
        <w:ind w:left="0" w:right="0" w:firstLine="480"/>
        <w:rPr>
          <w:color w:val="auto"/>
          <w:highlight w:val="none"/>
        </w:rPr>
      </w:pPr>
      <w:r>
        <w:rPr>
          <w:rStyle w:val="13"/>
          <w:rFonts w:hint="eastAsia" w:ascii="宋体" w:hAnsi="宋体" w:eastAsia="宋体" w:cs="宋体"/>
          <w:b/>
          <w:bCs/>
          <w:color w:val="auto"/>
          <w:spacing w:val="0"/>
          <w:sz w:val="24"/>
          <w:szCs w:val="24"/>
          <w:highlight w:val="none"/>
        </w:rPr>
        <w:t>※同时出现两种以上不一致的，按照前款规定的顺序修正。修正后的报价应按照本章第</w:t>
      </w:r>
      <w:r>
        <w:rPr>
          <w:rStyle w:val="13"/>
          <w:rFonts w:hint="default" w:ascii="Calibri" w:hAnsi="Calibri" w:cs="Calibri"/>
          <w:b/>
          <w:bCs/>
          <w:color w:val="auto"/>
          <w:spacing w:val="0"/>
          <w:sz w:val="24"/>
          <w:szCs w:val="24"/>
          <w:highlight w:val="none"/>
        </w:rPr>
        <w:t>6.3</w:t>
      </w:r>
      <w:r>
        <w:rPr>
          <w:rStyle w:val="13"/>
          <w:rFonts w:hint="eastAsia" w:ascii="宋体" w:hAnsi="宋体" w:eastAsia="宋体" w:cs="宋体"/>
          <w:b/>
          <w:bCs/>
          <w:color w:val="auto"/>
          <w:spacing w:val="0"/>
          <w:sz w:val="24"/>
          <w:szCs w:val="24"/>
          <w:highlight w:val="none"/>
        </w:rPr>
        <w:t>条第（</w:t>
      </w:r>
      <w:r>
        <w:rPr>
          <w:rStyle w:val="13"/>
          <w:rFonts w:hint="default" w:ascii="Calibri" w:hAnsi="Calibri" w:cs="Calibri"/>
          <w:b/>
          <w:bCs/>
          <w:color w:val="auto"/>
          <w:spacing w:val="0"/>
          <w:sz w:val="24"/>
          <w:szCs w:val="24"/>
          <w:highlight w:val="none"/>
        </w:rPr>
        <w:t>1</w:t>
      </w:r>
      <w:r>
        <w:rPr>
          <w:rStyle w:val="13"/>
          <w:rFonts w:hint="eastAsia" w:ascii="宋体" w:hAnsi="宋体" w:eastAsia="宋体" w:cs="宋体"/>
          <w:b/>
          <w:bCs/>
          <w:color w:val="auto"/>
          <w:spacing w:val="0"/>
          <w:sz w:val="24"/>
          <w:szCs w:val="24"/>
          <w:highlight w:val="none"/>
        </w:rPr>
        <w:t>）、（</w:t>
      </w:r>
      <w:r>
        <w:rPr>
          <w:rStyle w:val="13"/>
          <w:rFonts w:hint="default" w:ascii="Calibri" w:hAnsi="Calibri" w:cs="Calibri"/>
          <w:b/>
          <w:bCs/>
          <w:color w:val="auto"/>
          <w:spacing w:val="0"/>
          <w:sz w:val="24"/>
          <w:szCs w:val="24"/>
          <w:highlight w:val="none"/>
        </w:rPr>
        <w:t>2</w:t>
      </w:r>
      <w:r>
        <w:rPr>
          <w:rStyle w:val="13"/>
          <w:rFonts w:hint="eastAsia" w:ascii="宋体" w:hAnsi="宋体" w:eastAsia="宋体" w:cs="宋体"/>
          <w:b/>
          <w:bCs/>
          <w:color w:val="auto"/>
          <w:spacing w:val="0"/>
          <w:sz w:val="24"/>
          <w:szCs w:val="24"/>
          <w:highlight w:val="none"/>
        </w:rPr>
        <w:t>）款规定经投标人确认后产生约束力，投标人不确认的，其投标无效。</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（4）关于细微偏差</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②评标委员会将以书面形式要求存在细微偏差的投标人在评标委员会规定的时间内予以补正。若无法补正，则评标委员会将按照不利于投标人的内容进行认定。</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（5）关于投标描述（即电子投标文件中描述的内容）</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①投标描述前后不一致且不涉及证明材料的：按照本章第</w:t>
      </w:r>
      <w:r>
        <w:rPr>
          <w:rFonts w:hint="default" w:ascii="Calibri" w:hAnsi="Calibri" w:cs="Calibri"/>
          <w:color w:val="auto"/>
          <w:spacing w:val="0"/>
          <w:sz w:val="24"/>
          <w:szCs w:val="24"/>
          <w:highlight w:val="none"/>
        </w:rPr>
        <w:t>6.3</w:t>
      </w:r>
      <w:r>
        <w:rPr>
          <w:rFonts w:hint="eastAsia" w:ascii="宋体" w:hAnsi="宋体" w:eastAsia="宋体" w:cs="宋体"/>
          <w:color w:val="auto"/>
          <w:spacing w:val="0"/>
          <w:sz w:val="24"/>
          <w:szCs w:val="24"/>
          <w:highlight w:val="none"/>
        </w:rPr>
        <w:t>条第（</w:t>
      </w:r>
      <w:r>
        <w:rPr>
          <w:rFonts w:hint="default" w:ascii="Calibri" w:hAnsi="Calibri" w:cs="Calibri"/>
          <w:color w:val="auto"/>
          <w:spacing w:val="0"/>
          <w:sz w:val="24"/>
          <w:szCs w:val="24"/>
          <w:highlight w:val="none"/>
        </w:rPr>
        <w:t>1</w:t>
      </w:r>
      <w:r>
        <w:rPr>
          <w:rFonts w:hint="eastAsia" w:ascii="宋体" w:hAnsi="宋体" w:eastAsia="宋体" w:cs="宋体"/>
          <w:color w:val="auto"/>
          <w:spacing w:val="0"/>
          <w:sz w:val="24"/>
          <w:szCs w:val="24"/>
          <w:highlight w:val="none"/>
        </w:rPr>
        <w:t>）、（</w:t>
      </w:r>
      <w:r>
        <w:rPr>
          <w:rFonts w:hint="default" w:ascii="Calibri" w:hAnsi="Calibri" w:cs="Calibri"/>
          <w:color w:val="auto"/>
          <w:spacing w:val="0"/>
          <w:sz w:val="24"/>
          <w:szCs w:val="24"/>
          <w:highlight w:val="none"/>
        </w:rPr>
        <w:t>2</w:t>
      </w:r>
      <w:r>
        <w:rPr>
          <w:rFonts w:hint="eastAsia" w:ascii="宋体" w:hAnsi="宋体" w:eastAsia="宋体" w:cs="宋体"/>
          <w:color w:val="auto"/>
          <w:spacing w:val="0"/>
          <w:sz w:val="24"/>
          <w:szCs w:val="24"/>
          <w:highlight w:val="none"/>
        </w:rPr>
        <w:t>）款规定执行。</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②投标描述与证明材料不一致或多份证明材料之间不一致的：</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a.评标委员会将要求投标人进行书面澄清，并按照不利于投标人的内容进行评标。</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6.4比较与评价</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（1）按照本章第</w:t>
      </w:r>
      <w:r>
        <w:rPr>
          <w:rFonts w:hint="default" w:ascii="Calibri" w:hAnsi="Calibri" w:cs="Calibri"/>
          <w:color w:val="auto"/>
          <w:spacing w:val="0"/>
          <w:sz w:val="24"/>
          <w:szCs w:val="24"/>
          <w:highlight w:val="none"/>
        </w:rPr>
        <w:t>7</w:t>
      </w:r>
      <w:r>
        <w:rPr>
          <w:rFonts w:hint="eastAsia" w:ascii="宋体" w:hAnsi="宋体" w:eastAsia="宋体" w:cs="宋体"/>
          <w:color w:val="auto"/>
          <w:spacing w:val="0"/>
          <w:sz w:val="24"/>
          <w:szCs w:val="24"/>
          <w:highlight w:val="none"/>
        </w:rPr>
        <w:t>条载明的评标方法和标准，对符合性审查合格的电子投标文件进行比较与评价。</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（2）关于相同品牌产品</w:t>
      </w:r>
      <w:r>
        <w:rPr>
          <w:rStyle w:val="13"/>
          <w:rFonts w:hint="eastAsia" w:ascii="宋体" w:hAnsi="宋体" w:eastAsia="宋体" w:cs="宋体"/>
          <w:b/>
          <w:bCs/>
          <w:color w:val="auto"/>
          <w:spacing w:val="0"/>
          <w:sz w:val="24"/>
          <w:szCs w:val="24"/>
          <w:highlight w:val="none"/>
        </w:rPr>
        <w:t>（政府采购服务类项目不适用本条款规定）</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a.招标文件规定的方式：</w:t>
      </w:r>
      <w:r>
        <w:rPr>
          <w:color w:val="auto"/>
          <w:spacing w:val="0"/>
          <w:sz w:val="24"/>
          <w:szCs w:val="24"/>
          <w:highlight w:val="none"/>
          <w:u w:val="single"/>
        </w:rPr>
        <w:t>无。</w:t>
      </w:r>
      <w:r>
        <w:rPr>
          <w:rFonts w:hint="eastAsia" w:ascii="宋体" w:hAnsi="宋体" w:eastAsia="宋体" w:cs="宋体"/>
          <w:color w:val="auto"/>
          <w:spacing w:val="0"/>
          <w:sz w:val="24"/>
          <w:szCs w:val="24"/>
          <w:highlight w:val="none"/>
        </w:rPr>
        <w:t>。</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b.招标文件未规定的，采取随机抽取方式确定，其他</w:t>
      </w:r>
      <w:r>
        <w:rPr>
          <w:rStyle w:val="13"/>
          <w:rFonts w:hint="eastAsia" w:ascii="宋体" w:hAnsi="宋体" w:eastAsia="宋体" w:cs="宋体"/>
          <w:b/>
          <w:bCs/>
          <w:color w:val="auto"/>
          <w:spacing w:val="0"/>
          <w:sz w:val="24"/>
          <w:szCs w:val="24"/>
          <w:highlight w:val="none"/>
        </w:rPr>
        <w:t>投标无效。</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a.招标文件规定的方式：</w:t>
      </w:r>
      <w:r>
        <w:rPr>
          <w:color w:val="auto"/>
          <w:spacing w:val="0"/>
          <w:sz w:val="24"/>
          <w:szCs w:val="24"/>
          <w:highlight w:val="none"/>
          <w:u w:val="single"/>
        </w:rPr>
        <w:t>无。</w:t>
      </w:r>
      <w:r>
        <w:rPr>
          <w:rFonts w:hint="eastAsia" w:ascii="宋体" w:hAnsi="宋体" w:eastAsia="宋体" w:cs="宋体"/>
          <w:color w:val="auto"/>
          <w:spacing w:val="0"/>
          <w:sz w:val="24"/>
          <w:szCs w:val="24"/>
          <w:highlight w:val="none"/>
        </w:rPr>
        <w:t>。</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b.招标文件未规定的，采取随机抽取方式确定，其他同品牌投标人不作为中标候选人。</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③非单一产品采购项目，多家投标人提供的核心产品品牌相同的，按照本章第</w:t>
      </w:r>
      <w:r>
        <w:rPr>
          <w:rFonts w:hint="default" w:ascii="Calibri" w:hAnsi="Calibri" w:cs="Calibri"/>
          <w:color w:val="auto"/>
          <w:spacing w:val="0"/>
          <w:sz w:val="24"/>
          <w:szCs w:val="24"/>
          <w:highlight w:val="none"/>
        </w:rPr>
        <w:t>6.4</w:t>
      </w:r>
      <w:r>
        <w:rPr>
          <w:rFonts w:hint="eastAsia" w:ascii="宋体" w:hAnsi="宋体" w:eastAsia="宋体" w:cs="宋体"/>
          <w:color w:val="auto"/>
          <w:spacing w:val="0"/>
          <w:sz w:val="24"/>
          <w:szCs w:val="24"/>
          <w:highlight w:val="none"/>
        </w:rPr>
        <w:t>条第（</w:t>
      </w:r>
      <w:r>
        <w:rPr>
          <w:rFonts w:hint="default" w:ascii="Calibri" w:hAnsi="Calibri" w:cs="Calibri"/>
          <w:color w:val="auto"/>
          <w:spacing w:val="0"/>
          <w:sz w:val="24"/>
          <w:szCs w:val="24"/>
          <w:highlight w:val="none"/>
        </w:rPr>
        <w:t>2</w:t>
      </w:r>
      <w:r>
        <w:rPr>
          <w:rFonts w:hint="eastAsia" w:ascii="宋体" w:hAnsi="宋体" w:eastAsia="宋体" w:cs="宋体"/>
          <w:color w:val="auto"/>
          <w:spacing w:val="0"/>
          <w:sz w:val="24"/>
          <w:szCs w:val="24"/>
          <w:highlight w:val="none"/>
        </w:rPr>
        <w:t>）款第①、②规定处理。</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（3）漏（缺）项</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①招标文件中要求列入报价的费用（含配置、功能），漏（缺）项的报价视为已经包括在投标总价中。</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②对多报项及赠送项的价格评标时不予核减，全部进入评标价评议。</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6.5推荐中标候选人：详见本章第</w:t>
      </w:r>
      <w:r>
        <w:rPr>
          <w:rFonts w:hint="default" w:ascii="Calibri" w:hAnsi="Calibri" w:cs="Calibri"/>
          <w:color w:val="auto"/>
          <w:spacing w:val="0"/>
          <w:sz w:val="24"/>
          <w:szCs w:val="24"/>
          <w:highlight w:val="none"/>
        </w:rPr>
        <w:t>7.2</w:t>
      </w:r>
      <w:r>
        <w:rPr>
          <w:rFonts w:hint="eastAsia" w:ascii="宋体" w:hAnsi="宋体" w:eastAsia="宋体" w:cs="宋体"/>
          <w:color w:val="auto"/>
          <w:spacing w:val="0"/>
          <w:sz w:val="24"/>
          <w:szCs w:val="24"/>
          <w:highlight w:val="none"/>
        </w:rPr>
        <w:t>条规定。</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6.6编写评标报告</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（1）评标报告由评标委员会负责编写。</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（2）评标报告应包括下列内容：</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①招标公告刊登的媒体名称、开标日期和地点；</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②投标人名单和评标委员会成员名单；</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③评标方法和标准；</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④开标记录和评标情况及说明，包括无效投标人名单及原因；</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⑤评标结果，包括中标候选人名单或确定的中标人；</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⑥其他需要说明的情况，包括但不限于：评标过程中投标人的澄清、说明或补正，评委更换等。</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13"/>
          <w:rFonts w:hint="eastAsia" w:ascii="宋体" w:hAnsi="宋体" w:eastAsia="宋体" w:cs="宋体"/>
          <w:b/>
          <w:bCs/>
          <w:color w:val="auto"/>
          <w:spacing w:val="0"/>
          <w:sz w:val="24"/>
          <w:szCs w:val="24"/>
          <w:highlight w:val="none"/>
        </w:rPr>
        <w:t>投标无效</w:t>
      </w:r>
      <w:r>
        <w:rPr>
          <w:rFonts w:hint="eastAsia" w:ascii="宋体" w:hAnsi="宋体" w:eastAsia="宋体" w:cs="宋体"/>
          <w:color w:val="auto"/>
          <w:spacing w:val="0"/>
          <w:sz w:val="24"/>
          <w:szCs w:val="24"/>
          <w:highlight w:val="none"/>
        </w:rPr>
        <w:t>处理。</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6.8评委对需要共同认定的事项存在争议的，应按照少数服从多数的原则进行认定。</w:t>
      </w:r>
      <w:r>
        <w:rPr>
          <w:rStyle w:val="13"/>
          <w:rFonts w:hint="eastAsia" w:ascii="宋体" w:hAnsi="宋体" w:eastAsia="宋体" w:cs="宋体"/>
          <w:b/>
          <w:bCs/>
          <w:color w:val="auto"/>
          <w:spacing w:val="0"/>
          <w:sz w:val="24"/>
          <w:szCs w:val="24"/>
          <w:highlight w:val="none"/>
        </w:rPr>
        <w:t>持不同意见的评委应在评标报告上签署不同意见及理由，否则视为同意评标报告。</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6.9在评标过程中发现投标人有下列情形之一的，评标委员会应认定其</w:t>
      </w:r>
      <w:r>
        <w:rPr>
          <w:rStyle w:val="13"/>
          <w:rFonts w:hint="eastAsia" w:ascii="宋体" w:hAnsi="宋体" w:eastAsia="宋体" w:cs="宋体"/>
          <w:b/>
          <w:bCs/>
          <w:color w:val="auto"/>
          <w:spacing w:val="0"/>
          <w:sz w:val="24"/>
          <w:szCs w:val="24"/>
          <w:highlight w:val="none"/>
        </w:rPr>
        <w:t>投标无效</w:t>
      </w:r>
      <w:r>
        <w:rPr>
          <w:rFonts w:hint="eastAsia" w:ascii="宋体" w:hAnsi="宋体" w:eastAsia="宋体" w:cs="宋体"/>
          <w:color w:val="auto"/>
          <w:spacing w:val="0"/>
          <w:sz w:val="24"/>
          <w:szCs w:val="24"/>
          <w:highlight w:val="none"/>
        </w:rPr>
        <w:t>，并书面报告本项目监督管理部门：</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（1）恶意串通（包括但不限于招标文件第三章第</w:t>
      </w:r>
      <w:r>
        <w:rPr>
          <w:rFonts w:hint="default" w:ascii="Calibri" w:hAnsi="Calibri" w:cs="Calibri"/>
          <w:color w:val="auto"/>
          <w:spacing w:val="0"/>
          <w:sz w:val="24"/>
          <w:szCs w:val="24"/>
          <w:highlight w:val="none"/>
        </w:rPr>
        <w:t>9.7</w:t>
      </w:r>
      <w:r>
        <w:rPr>
          <w:rFonts w:hint="eastAsia" w:ascii="宋体" w:hAnsi="宋体" w:eastAsia="宋体" w:cs="宋体"/>
          <w:color w:val="auto"/>
          <w:spacing w:val="0"/>
          <w:sz w:val="24"/>
          <w:szCs w:val="24"/>
          <w:highlight w:val="none"/>
        </w:rPr>
        <w:t>条规定情形）；</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（2）妨碍其他投标人的竞争行为；</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（3）损害采购人或其他投标人的合法权益。</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6.10评标过程中，有下列情形之一的，应予废标：</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（1）符合性审查合格的投标人不足三家的；</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（2）有关法律、法规和规章规定废标的情形。</w:t>
      </w:r>
    </w:p>
    <w:p>
      <w:pPr>
        <w:pStyle w:val="11"/>
        <w:keepNext w:val="0"/>
        <w:keepLines w:val="0"/>
        <w:widowControl/>
        <w:suppressLineNumbers w:val="0"/>
        <w:spacing w:before="75" w:beforeAutospacing="0" w:after="75" w:afterAutospacing="0"/>
        <w:ind w:left="0" w:right="0" w:firstLine="480"/>
        <w:rPr>
          <w:color w:val="auto"/>
          <w:highlight w:val="none"/>
        </w:rPr>
      </w:pPr>
      <w:r>
        <w:rPr>
          <w:rStyle w:val="13"/>
          <w:rFonts w:hint="eastAsia" w:ascii="宋体" w:hAnsi="宋体" w:eastAsia="宋体" w:cs="宋体"/>
          <w:b/>
          <w:bCs/>
          <w:color w:val="auto"/>
          <w:spacing w:val="0"/>
          <w:sz w:val="24"/>
          <w:szCs w:val="24"/>
          <w:highlight w:val="none"/>
        </w:rPr>
        <w:t>※若废标，则本次采购活动结束，</w:t>
      </w:r>
      <w:r>
        <w:rPr>
          <w:rFonts w:hint="eastAsia" w:ascii="宋体" w:hAnsi="宋体" w:eastAsia="宋体" w:cs="宋体"/>
          <w:color w:val="auto"/>
          <w:spacing w:val="0"/>
          <w:sz w:val="24"/>
          <w:szCs w:val="24"/>
          <w:highlight w:val="none"/>
          <w:u w:val="single"/>
        </w:rPr>
        <w:t>福建省勤思项目管理有限公司</w:t>
      </w:r>
      <w:r>
        <w:rPr>
          <w:rStyle w:val="13"/>
          <w:rFonts w:hint="eastAsia" w:ascii="宋体" w:hAnsi="宋体" w:eastAsia="宋体" w:cs="宋体"/>
          <w:b/>
          <w:bCs/>
          <w:color w:val="auto"/>
          <w:spacing w:val="0"/>
          <w:sz w:val="24"/>
          <w:szCs w:val="24"/>
          <w:highlight w:val="none"/>
        </w:rPr>
        <w:t>将依法组织后续采购活动（包括但不限于：重新招标、采用其他方式采购等）。</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7、评标方法和标准</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7.1评标方法：</w:t>
      </w:r>
      <w:r>
        <w:rPr>
          <w:color w:val="auto"/>
          <w:spacing w:val="0"/>
          <w:sz w:val="24"/>
          <w:szCs w:val="24"/>
          <w:highlight w:val="none"/>
        </w:rPr>
        <w:t> 项目包1采用综合评分法。</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7.2评标标准</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 </w:t>
      </w:r>
    </w:p>
    <w:p>
      <w:pPr>
        <w:pStyle w:val="11"/>
        <w:keepNext w:val="0"/>
        <w:keepLines w:val="0"/>
        <w:widowControl/>
        <w:suppressLineNumbers w:val="0"/>
        <w:shd w:val="clear" w:fill="FFFFFF"/>
        <w:spacing w:before="0" w:beforeAutospacing="0" w:after="150" w:afterAutospacing="0"/>
        <w:ind w:left="0" w:right="0"/>
        <w:rPr>
          <w:rFonts w:hint="eastAsia" w:ascii="微软雅黑" w:hAnsi="微软雅黑" w:eastAsia="微软雅黑" w:cs="微软雅黑"/>
          <w:color w:val="auto"/>
          <w:sz w:val="19"/>
          <w:szCs w:val="19"/>
          <w:highlight w:val="none"/>
        </w:rPr>
      </w:pPr>
      <w:r>
        <w:rPr>
          <w:rStyle w:val="13"/>
          <w:rFonts w:hint="eastAsia" w:ascii="宋体" w:hAnsi="宋体" w:eastAsia="宋体" w:cs="宋体"/>
          <w:b/>
          <w:bCs/>
          <w:color w:val="auto"/>
          <w:sz w:val="24"/>
          <w:szCs w:val="24"/>
          <w:highlight w:val="none"/>
          <w:shd w:val="clear" w:fill="FFFFFF"/>
        </w:rPr>
        <w:t>采购包1采用综合评分法</w:t>
      </w:r>
      <w:r>
        <w:rPr>
          <w:rFonts w:hint="eastAsia" w:ascii="宋体" w:hAnsi="宋体" w:eastAsia="宋体" w:cs="宋体"/>
          <w:color w:val="auto"/>
          <w:sz w:val="24"/>
          <w:szCs w:val="24"/>
          <w:highlight w:val="none"/>
          <w:shd w:val="clear" w:fill="FFFFFF"/>
        </w:rPr>
        <w:t>：</w:t>
      </w:r>
    </w:p>
    <w:p>
      <w:pPr>
        <w:pStyle w:val="11"/>
        <w:keepNext w:val="0"/>
        <w:keepLines w:val="0"/>
        <w:widowControl/>
        <w:suppressLineNumbers w:val="0"/>
        <w:spacing w:before="0" w:beforeAutospacing="0" w:after="150" w:afterAutospacing="0"/>
        <w:ind w:left="0" w:right="0" w:firstLine="480"/>
        <w:rPr>
          <w:color w:val="auto"/>
          <w:highlight w:val="none"/>
        </w:rPr>
      </w:pPr>
      <w:r>
        <w:rPr>
          <w:rFonts w:hint="eastAsia" w:ascii="宋体" w:hAnsi="宋体" w:eastAsia="宋体" w:cs="宋体"/>
          <w:color w:val="auto"/>
          <w:sz w:val="24"/>
          <w:szCs w:val="24"/>
          <w:highlight w:val="none"/>
        </w:rPr>
        <w:t>（1）投标文件满足招标文件全部实质性要求，且按照评审因素的量化指标评审得分（即评标总得分）最高的投标人为中标候选人。</w:t>
      </w:r>
    </w:p>
    <w:p>
      <w:pPr>
        <w:pStyle w:val="11"/>
        <w:keepNext w:val="0"/>
        <w:keepLines w:val="0"/>
        <w:widowControl/>
        <w:suppressLineNumbers w:val="0"/>
        <w:spacing w:before="0" w:beforeAutospacing="0" w:after="150" w:afterAutospacing="0"/>
        <w:ind w:left="0" w:right="0" w:firstLine="480"/>
        <w:rPr>
          <w:color w:val="auto"/>
          <w:highlight w:val="none"/>
        </w:rPr>
      </w:pPr>
      <w:r>
        <w:rPr>
          <w:rFonts w:hint="eastAsia" w:ascii="宋体" w:hAnsi="宋体" w:eastAsia="宋体" w:cs="宋体"/>
          <w:color w:val="auto"/>
          <w:sz w:val="24"/>
          <w:szCs w:val="24"/>
          <w:highlight w:val="none"/>
        </w:rPr>
        <w:t>（2）每个投标人的评标总得分</w:t>
      </w:r>
      <w:r>
        <w:rPr>
          <w:rFonts w:hint="default" w:ascii="Calibri" w:hAnsi="Calibri" w:eastAsia="宋体" w:cs="Calibri"/>
          <w:color w:val="auto"/>
          <w:sz w:val="24"/>
          <w:szCs w:val="24"/>
          <w:highlight w:val="none"/>
        </w:rPr>
        <w:t>FA</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F1</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A1</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F2</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A2</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F3</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A3</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F4</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A4</w:t>
      </w:r>
      <w:r>
        <w:rPr>
          <w:rFonts w:hint="eastAsia" w:ascii="宋体" w:hAnsi="宋体" w:eastAsia="宋体" w:cs="宋体"/>
          <w:color w:val="auto"/>
          <w:sz w:val="24"/>
          <w:szCs w:val="24"/>
          <w:highlight w:val="none"/>
        </w:rPr>
        <w:t>（若有），其中：</w:t>
      </w:r>
      <w:r>
        <w:rPr>
          <w:rFonts w:hint="default" w:ascii="Calibri" w:hAnsi="Calibri" w:eastAsia="宋体" w:cs="Calibri"/>
          <w:color w:val="auto"/>
          <w:sz w:val="24"/>
          <w:szCs w:val="24"/>
          <w:highlight w:val="none"/>
        </w:rPr>
        <w:t>F1</w:t>
      </w:r>
      <w:r>
        <w:rPr>
          <w:rFonts w:hint="eastAsia" w:ascii="宋体" w:hAnsi="宋体" w:eastAsia="宋体" w:cs="宋体"/>
          <w:color w:val="auto"/>
          <w:sz w:val="24"/>
          <w:szCs w:val="24"/>
          <w:highlight w:val="none"/>
        </w:rPr>
        <w:t>指价格项评审因素得分、</w:t>
      </w:r>
      <w:r>
        <w:rPr>
          <w:rFonts w:hint="default" w:ascii="Calibri" w:hAnsi="Calibri" w:eastAsia="宋体" w:cs="Calibri"/>
          <w:color w:val="auto"/>
          <w:sz w:val="24"/>
          <w:szCs w:val="24"/>
          <w:highlight w:val="none"/>
        </w:rPr>
        <w:t>F2</w:t>
      </w:r>
      <w:r>
        <w:rPr>
          <w:rFonts w:hint="eastAsia" w:ascii="宋体" w:hAnsi="宋体" w:eastAsia="宋体" w:cs="宋体"/>
          <w:color w:val="auto"/>
          <w:sz w:val="24"/>
          <w:szCs w:val="24"/>
          <w:highlight w:val="none"/>
        </w:rPr>
        <w:t>指技术项评审因素得分、</w:t>
      </w:r>
      <w:r>
        <w:rPr>
          <w:rFonts w:hint="default" w:ascii="Calibri" w:hAnsi="Calibri" w:eastAsia="宋体" w:cs="Calibri"/>
          <w:color w:val="auto"/>
          <w:sz w:val="24"/>
          <w:szCs w:val="24"/>
          <w:highlight w:val="none"/>
        </w:rPr>
        <w:t>F3</w:t>
      </w:r>
      <w:r>
        <w:rPr>
          <w:rFonts w:hint="eastAsia" w:ascii="宋体" w:hAnsi="宋体" w:eastAsia="宋体" w:cs="宋体"/>
          <w:color w:val="auto"/>
          <w:sz w:val="24"/>
          <w:szCs w:val="24"/>
          <w:highlight w:val="none"/>
        </w:rPr>
        <w:t>指商务项评审因素得分，</w:t>
      </w:r>
      <w:r>
        <w:rPr>
          <w:rFonts w:hint="default" w:ascii="Calibri" w:hAnsi="Calibri" w:eastAsia="宋体" w:cs="Calibri"/>
          <w:color w:val="auto"/>
          <w:sz w:val="24"/>
          <w:szCs w:val="24"/>
          <w:highlight w:val="none"/>
        </w:rPr>
        <w:t>A1</w:t>
      </w:r>
      <w:r>
        <w:rPr>
          <w:rFonts w:hint="eastAsia" w:ascii="宋体" w:hAnsi="宋体" w:eastAsia="宋体" w:cs="宋体"/>
          <w:color w:val="auto"/>
          <w:sz w:val="24"/>
          <w:szCs w:val="24"/>
          <w:highlight w:val="none"/>
        </w:rPr>
        <w:t>指价格项评审因素所占的权重、</w:t>
      </w:r>
      <w:r>
        <w:rPr>
          <w:rFonts w:hint="default" w:ascii="Calibri" w:hAnsi="Calibri" w:eastAsia="宋体" w:cs="Calibri"/>
          <w:color w:val="auto"/>
          <w:sz w:val="24"/>
          <w:szCs w:val="24"/>
          <w:highlight w:val="none"/>
        </w:rPr>
        <w:t>A2</w:t>
      </w:r>
      <w:r>
        <w:rPr>
          <w:rFonts w:hint="eastAsia" w:ascii="宋体" w:hAnsi="宋体" w:eastAsia="宋体" w:cs="宋体"/>
          <w:color w:val="auto"/>
          <w:sz w:val="24"/>
          <w:szCs w:val="24"/>
          <w:highlight w:val="none"/>
        </w:rPr>
        <w:t>指技术项评审因素所占的权重、</w:t>
      </w:r>
      <w:r>
        <w:rPr>
          <w:rFonts w:hint="default" w:ascii="Calibri" w:hAnsi="Calibri" w:eastAsia="宋体" w:cs="Calibri"/>
          <w:color w:val="auto"/>
          <w:sz w:val="24"/>
          <w:szCs w:val="24"/>
          <w:highlight w:val="none"/>
        </w:rPr>
        <w:t>A3</w:t>
      </w:r>
      <w:r>
        <w:rPr>
          <w:rFonts w:hint="eastAsia" w:ascii="宋体" w:hAnsi="宋体" w:eastAsia="宋体" w:cs="宋体"/>
          <w:color w:val="auto"/>
          <w:sz w:val="24"/>
          <w:szCs w:val="24"/>
          <w:highlight w:val="none"/>
        </w:rPr>
        <w:t>指商务项评审因素所占的权重，</w:t>
      </w:r>
      <w:r>
        <w:rPr>
          <w:rFonts w:hint="default" w:ascii="Calibri" w:hAnsi="Calibri" w:eastAsia="宋体" w:cs="Calibri"/>
          <w:color w:val="auto"/>
          <w:sz w:val="24"/>
          <w:szCs w:val="24"/>
          <w:highlight w:val="none"/>
        </w:rPr>
        <w:t>A1+A2+A3=1</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F1</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A1</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F2</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A2</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F3</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A3=100</w:t>
      </w:r>
      <w:r>
        <w:rPr>
          <w:rFonts w:hint="eastAsia" w:ascii="宋体" w:hAnsi="宋体" w:eastAsia="宋体" w:cs="宋体"/>
          <w:color w:val="auto"/>
          <w:sz w:val="24"/>
          <w:szCs w:val="24"/>
          <w:highlight w:val="none"/>
        </w:rPr>
        <w:t>分（满分时），</w:t>
      </w:r>
      <w:r>
        <w:rPr>
          <w:rFonts w:hint="default" w:ascii="Calibri" w:hAnsi="Calibri" w:eastAsia="宋体" w:cs="Calibri"/>
          <w:color w:val="auto"/>
          <w:sz w:val="24"/>
          <w:szCs w:val="24"/>
          <w:highlight w:val="none"/>
        </w:rPr>
        <w:t>F4</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A4</w:t>
      </w:r>
      <w:r>
        <w:rPr>
          <w:rFonts w:hint="eastAsia" w:ascii="宋体" w:hAnsi="宋体" w:eastAsia="宋体" w:cs="宋体"/>
          <w:color w:val="auto"/>
          <w:sz w:val="24"/>
          <w:szCs w:val="24"/>
          <w:highlight w:val="none"/>
        </w:rPr>
        <w:t>为加分项（即优先类节能产品、环境标志产品在采购活动中可享有的加分优惠）。</w:t>
      </w:r>
    </w:p>
    <w:p>
      <w:pPr>
        <w:pStyle w:val="11"/>
        <w:keepNext w:val="0"/>
        <w:keepLines w:val="0"/>
        <w:widowControl/>
        <w:suppressLineNumbers w:val="0"/>
        <w:spacing w:before="0" w:beforeAutospacing="0" w:after="150" w:afterAutospacing="0"/>
        <w:ind w:left="0" w:right="0" w:firstLine="480"/>
        <w:rPr>
          <w:color w:val="auto"/>
          <w:highlight w:val="none"/>
        </w:rPr>
      </w:pPr>
      <w:r>
        <w:rPr>
          <w:rFonts w:hint="eastAsia" w:ascii="宋体" w:hAnsi="宋体" w:eastAsia="宋体" w:cs="宋体"/>
          <w:color w:val="auto"/>
          <w:sz w:val="24"/>
          <w:szCs w:val="24"/>
          <w:highlight w:val="none"/>
        </w:rPr>
        <w:t>（3）各项评审因素的设置如下：</w:t>
      </w:r>
    </w:p>
    <w:p>
      <w:pPr>
        <w:pStyle w:val="11"/>
        <w:keepNext w:val="0"/>
        <w:keepLines w:val="0"/>
        <w:widowControl/>
        <w:suppressLineNumbers w:val="0"/>
        <w:spacing w:before="0" w:beforeAutospacing="0" w:after="150" w:afterAutospacing="0"/>
        <w:ind w:left="0" w:right="0" w:firstLine="480"/>
        <w:rPr>
          <w:color w:val="auto"/>
          <w:highlight w:val="none"/>
        </w:rPr>
      </w:pPr>
      <w:r>
        <w:rPr>
          <w:rFonts w:hint="eastAsia" w:ascii="宋体" w:hAnsi="宋体" w:eastAsia="宋体" w:cs="宋体"/>
          <w:color w:val="auto"/>
          <w:sz w:val="24"/>
          <w:szCs w:val="24"/>
          <w:highlight w:val="none"/>
        </w:rPr>
        <w:t>①价格项（</w:t>
      </w:r>
      <w:r>
        <w:rPr>
          <w:rFonts w:hint="default" w:ascii="Calibri" w:hAnsi="Calibri" w:eastAsia="宋体" w:cs="Calibri"/>
          <w:color w:val="auto"/>
          <w:sz w:val="24"/>
          <w:szCs w:val="24"/>
          <w:highlight w:val="none"/>
        </w:rPr>
        <w:t>F1</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A1</w:t>
      </w:r>
      <w:r>
        <w:rPr>
          <w:rFonts w:hint="eastAsia" w:ascii="宋体" w:hAnsi="宋体" w:eastAsia="宋体" w:cs="宋体"/>
          <w:color w:val="auto"/>
          <w:sz w:val="24"/>
          <w:szCs w:val="24"/>
          <w:highlight w:val="none"/>
        </w:rPr>
        <w:t>）满分为</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rPr>
        <w:t>分。</w:t>
      </w:r>
    </w:p>
    <w:p>
      <w:pPr>
        <w:pStyle w:val="11"/>
        <w:keepNext w:val="0"/>
        <w:keepLines w:val="0"/>
        <w:widowControl/>
        <w:suppressLineNumbers w:val="0"/>
        <w:spacing w:before="0" w:beforeAutospacing="0" w:after="150" w:afterAutospacing="0"/>
        <w:ind w:left="0" w:right="0" w:firstLine="480"/>
        <w:rPr>
          <w:color w:val="auto"/>
          <w:highlight w:val="none"/>
        </w:rPr>
      </w:pPr>
      <w:r>
        <w:rPr>
          <w:rFonts w:hint="eastAsia" w:ascii="宋体" w:hAnsi="宋体" w:eastAsia="宋体" w:cs="宋体"/>
          <w:color w:val="auto"/>
          <w:sz w:val="24"/>
          <w:szCs w:val="24"/>
          <w:highlight w:val="none"/>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color w:val="auto"/>
          <w:sz w:val="24"/>
          <w:szCs w:val="24"/>
          <w:highlight w:val="none"/>
        </w:rPr>
        <w:t>=</w:t>
      </w:r>
      <w:r>
        <w:rPr>
          <w:rFonts w:hint="eastAsia" w:ascii="宋体" w:hAnsi="宋体" w:eastAsia="宋体" w:cs="宋体"/>
          <w:color w:val="auto"/>
          <w:sz w:val="24"/>
          <w:szCs w:val="24"/>
          <w:highlight w:val="none"/>
        </w:rPr>
        <w:t>（评标基准价／投标报价）×</w:t>
      </w:r>
      <w:r>
        <w:rPr>
          <w:rFonts w:hint="default" w:ascii="Calibri" w:hAnsi="Calibri" w:eastAsia="宋体" w:cs="Calibri"/>
          <w:color w:val="auto"/>
          <w:sz w:val="24"/>
          <w:szCs w:val="24"/>
          <w:highlight w:val="none"/>
        </w:rPr>
        <w:t>100</w:t>
      </w:r>
      <w:r>
        <w:rPr>
          <w:rFonts w:hint="eastAsia" w:ascii="宋体" w:hAnsi="宋体" w:eastAsia="宋体" w:cs="宋体"/>
          <w:color w:val="auto"/>
          <w:sz w:val="24"/>
          <w:szCs w:val="24"/>
          <w:highlight w:val="none"/>
        </w:rPr>
        <w:t>。因落实政府采购政策需进行价格扣除的，以扣除后的价格计算评标基准价和投标报价。</w:t>
      </w:r>
    </w:p>
    <w:p>
      <w:pPr>
        <w:pStyle w:val="11"/>
        <w:keepNext w:val="0"/>
        <w:keepLines w:val="0"/>
        <w:widowControl/>
        <w:suppressLineNumbers w:val="0"/>
        <w:spacing w:before="0" w:beforeAutospacing="0" w:after="150" w:afterAutospacing="0"/>
        <w:ind w:left="0" w:right="0" w:firstLine="480"/>
        <w:rPr>
          <w:color w:val="auto"/>
          <w:highlight w:val="none"/>
        </w:rPr>
      </w:pPr>
      <w:r>
        <w:rPr>
          <w:rFonts w:hint="default" w:ascii="Calibri" w:hAnsi="Calibri" w:cs="Calibri"/>
          <w:color w:val="auto"/>
          <w:sz w:val="24"/>
          <w:szCs w:val="24"/>
          <w:highlight w:val="none"/>
        </w:rPr>
        <w:t>b.</w:t>
      </w:r>
      <w:r>
        <w:rPr>
          <w:rFonts w:hint="eastAsia" w:ascii="宋体" w:hAnsi="宋体" w:eastAsia="宋体" w:cs="宋体"/>
          <w:color w:val="auto"/>
          <w:sz w:val="24"/>
          <w:szCs w:val="24"/>
          <w:highlight w:val="none"/>
        </w:rPr>
        <w:t>价格扣除的规则如下：</w:t>
      </w:r>
    </w:p>
    <w:tbl>
      <w:tblPr>
        <w:tblStyle w:val="14"/>
        <w:tblW w:w="834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856"/>
        <w:gridCol w:w="449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PrEx>
        <w:trPr>
          <w:tblHeader/>
        </w:trPr>
        <w:tc>
          <w:tcPr>
            <w:tcW w:w="385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评标项目</w:t>
            </w:r>
          </w:p>
        </w:tc>
        <w:tc>
          <w:tcPr>
            <w:tcW w:w="449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评标方法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85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小型、微型企业，监狱企业，残疾人</w:t>
            </w:r>
          </w:p>
        </w:tc>
        <w:tc>
          <w:tcPr>
            <w:tcW w:w="449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Style w:val="13"/>
                <w:rFonts w:ascii="宋体" w:hAnsi="宋体" w:eastAsia="宋体" w:cs="宋体"/>
                <w:b/>
                <w:bCs/>
                <w:color w:val="auto"/>
                <w:kern w:val="0"/>
                <w:sz w:val="24"/>
                <w:szCs w:val="24"/>
                <w:highlight w:val="none"/>
                <w:lang w:val="en-US" w:eastAsia="zh-CN" w:bidi="ar"/>
              </w:rPr>
              <w:t>本项目为专门面向中小企业采购项目。</w:t>
            </w:r>
          </w:p>
        </w:tc>
      </w:tr>
    </w:tbl>
    <w:p>
      <w:pPr>
        <w:pStyle w:val="11"/>
        <w:keepNext w:val="0"/>
        <w:keepLines w:val="0"/>
        <w:widowControl/>
        <w:suppressLineNumbers w:val="0"/>
        <w:spacing w:before="0" w:beforeAutospacing="0" w:after="150" w:afterAutospacing="0"/>
        <w:ind w:left="0" w:right="0" w:firstLine="480"/>
        <w:rPr>
          <w:color w:val="auto"/>
          <w:highlight w:val="none"/>
        </w:rPr>
      </w:pPr>
      <w:r>
        <w:rPr>
          <w:rFonts w:hint="eastAsia" w:ascii="宋体" w:hAnsi="宋体" w:eastAsia="宋体" w:cs="宋体"/>
          <w:color w:val="auto"/>
          <w:sz w:val="24"/>
          <w:szCs w:val="24"/>
          <w:highlight w:val="none"/>
        </w:rPr>
        <w:t>②技术项（</w:t>
      </w:r>
      <w:r>
        <w:rPr>
          <w:rFonts w:hint="default" w:ascii="Calibri" w:hAnsi="Calibri" w:eastAsia="宋体" w:cs="Calibri"/>
          <w:color w:val="auto"/>
          <w:sz w:val="24"/>
          <w:szCs w:val="24"/>
          <w:highlight w:val="none"/>
        </w:rPr>
        <w:t>F2</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A2</w:t>
      </w:r>
      <w:r>
        <w:rPr>
          <w:rFonts w:hint="eastAsia" w:ascii="宋体" w:hAnsi="宋体" w:eastAsia="宋体" w:cs="宋体"/>
          <w:color w:val="auto"/>
          <w:sz w:val="24"/>
          <w:szCs w:val="24"/>
          <w:highlight w:val="none"/>
        </w:rPr>
        <w:t>）满分为</w:t>
      </w:r>
      <w:r>
        <w:rPr>
          <w:rFonts w:hint="eastAsia" w:ascii="宋体" w:hAnsi="宋体" w:eastAsia="宋体" w:cs="宋体"/>
          <w:color w:val="auto"/>
          <w:sz w:val="24"/>
          <w:szCs w:val="24"/>
          <w:highlight w:val="none"/>
          <w:u w:val="single"/>
          <w:lang w:val="en-US" w:eastAsia="zh-CN"/>
        </w:rPr>
        <w:t>70</w:t>
      </w:r>
      <w:r>
        <w:rPr>
          <w:rFonts w:hint="eastAsia" w:ascii="宋体" w:hAnsi="宋体" w:eastAsia="宋体" w:cs="宋体"/>
          <w:color w:val="auto"/>
          <w:sz w:val="24"/>
          <w:szCs w:val="24"/>
          <w:highlight w:val="none"/>
        </w:rPr>
        <w:t>分。</w:t>
      </w:r>
    </w:p>
    <w:tbl>
      <w:tblPr>
        <w:tblStyle w:val="14"/>
        <w:tblW w:w="8411"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85"/>
        <w:gridCol w:w="655"/>
        <w:gridCol w:w="657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blCellSpacing w:w="0" w:type="dxa"/>
        </w:trPr>
        <w:tc>
          <w:tcPr>
            <w:tcW w:w="11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评标项目</w:t>
            </w:r>
          </w:p>
        </w:tc>
        <w:tc>
          <w:tcPr>
            <w:tcW w:w="65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评标分值</w:t>
            </w:r>
          </w:p>
        </w:tc>
        <w:tc>
          <w:tcPr>
            <w:tcW w:w="657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1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sz w:val="24"/>
                <w:highlight w:val="none"/>
              </w:rPr>
              <w:t>响应情况</w:t>
            </w:r>
          </w:p>
        </w:tc>
        <w:tc>
          <w:tcPr>
            <w:tcW w:w="655" w:type="dxa"/>
            <w:tcBorders>
              <w:top w:val="outset" w:color="auto" w:sz="6" w:space="0"/>
              <w:left w:val="outset" w:color="auto" w:sz="6" w:space="0"/>
              <w:bottom w:val="outset" w:color="auto" w:sz="6" w:space="0"/>
              <w:right w:val="outset" w:color="auto" w:sz="6" w:space="0"/>
            </w:tcBorders>
            <w:vAlign w:val="center"/>
          </w:tcPr>
          <w:p>
            <w:pPr>
              <w:widowControl/>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27</w:t>
            </w:r>
          </w:p>
        </w:tc>
        <w:tc>
          <w:tcPr>
            <w:tcW w:w="657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sz w:val="24"/>
                <w:highlight w:val="none"/>
              </w:rPr>
              <w:t>根据各投标人对第五章招标内容及要求中“二、技术和服务要求”的各项技术服务的响应、承诺情况，由评委进行评议打分，技术服务要求(标注“★”技术服务要求 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项，未标注“★”技术服务要求</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 xml:space="preserve">项)；完全满足招标文件要求的得 </w:t>
            </w:r>
            <w:r>
              <w:rPr>
                <w:rFonts w:hint="eastAsia" w:ascii="宋体" w:hAnsi="宋体" w:cs="宋体"/>
                <w:color w:val="auto"/>
                <w:sz w:val="24"/>
                <w:highlight w:val="none"/>
                <w:lang w:val="en-US" w:eastAsia="zh-CN"/>
              </w:rPr>
              <w:t>27</w:t>
            </w:r>
            <w:r>
              <w:rPr>
                <w:rFonts w:hint="eastAsia" w:ascii="宋体" w:hAnsi="宋体" w:eastAsia="宋体" w:cs="宋体"/>
                <w:color w:val="auto"/>
                <w:sz w:val="24"/>
                <w:highlight w:val="none"/>
              </w:rPr>
              <w:t>分；标注“★”技术服务要求为不允许负偏离的实质性要求，存在负偏离，本项评分为0分，并按无效投标处理；未标注“★”技术服务要求每负偏离一项扣</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w:t>
            </w:r>
            <w:r>
              <w:rPr>
                <w:rFonts w:hint="eastAsia" w:ascii="宋体" w:hAnsi="宋体" w:cs="宋体"/>
                <w:color w:val="auto"/>
                <w:sz w:val="24"/>
                <w:highlight w:val="none"/>
                <w:lang w:eastAsia="zh-CN"/>
              </w:rPr>
              <w:t>（共</w:t>
            </w:r>
            <w:r>
              <w:rPr>
                <w:rFonts w:hint="eastAsia" w:ascii="宋体" w:hAnsi="宋体" w:cs="宋体"/>
                <w:color w:val="auto"/>
                <w:sz w:val="24"/>
                <w:highlight w:val="none"/>
                <w:lang w:val="en-US" w:eastAsia="zh-CN"/>
              </w:rPr>
              <w:t>9项</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扣完为止，正偏离不加分。注：招标文件中技术服务要求若有要求投标人提供相应佐证材料的，投标人未提供相应佐证材料或投标人的响应承诺与其佐证材料不一致的，评标委员会将按照不利于投标人的内容进行认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1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sz w:val="24"/>
                <w:highlight w:val="none"/>
              </w:rPr>
              <w:t>整体维护方案</w:t>
            </w:r>
          </w:p>
        </w:tc>
        <w:tc>
          <w:tcPr>
            <w:tcW w:w="655"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657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sz w:val="24"/>
                <w:highlight w:val="none"/>
              </w:rPr>
              <w:t>根据投标人提供的针对“信号灯及护栏系统”整体维护方案（以目前高新区的整体情况进行编制），</w:t>
            </w:r>
            <w:r>
              <w:rPr>
                <w:rFonts w:ascii="宋体" w:hAnsi="宋体" w:eastAsia="宋体" w:cs="宋体"/>
                <w:color w:val="auto"/>
                <w:kern w:val="0"/>
                <w:sz w:val="24"/>
                <w:highlight w:val="none"/>
              </w:rPr>
              <w:t>由评委进行打分</w:t>
            </w:r>
            <w:r>
              <w:rPr>
                <w:rFonts w:hint="eastAsia" w:ascii="宋体" w:hAnsi="宋体" w:eastAsia="宋体" w:cs="宋体"/>
                <w:color w:val="auto"/>
                <w:kern w:val="0"/>
                <w:sz w:val="24"/>
                <w:highlight w:val="none"/>
              </w:rPr>
              <w:t>：</w:t>
            </w:r>
            <w:r>
              <w:rPr>
                <w:rFonts w:ascii="宋体" w:hAnsi="宋体" w:cs="宋体"/>
                <w:color w:val="auto"/>
                <w:kern w:val="0"/>
                <w:sz w:val="24"/>
                <w:highlight w:val="none"/>
              </w:rPr>
              <w:t>方案内容详细完整、实施性强</w:t>
            </w:r>
            <w:r>
              <w:rPr>
                <w:rFonts w:hint="eastAsia" w:ascii="宋体" w:hAnsi="宋体" w:cs="宋体"/>
                <w:color w:val="auto"/>
                <w:kern w:val="0"/>
                <w:sz w:val="24"/>
                <w:highlight w:val="none"/>
              </w:rPr>
              <w:t>且</w:t>
            </w:r>
            <w:r>
              <w:rPr>
                <w:rFonts w:ascii="宋体" w:hAnsi="宋体" w:cs="宋体"/>
                <w:color w:val="auto"/>
                <w:kern w:val="0"/>
                <w:sz w:val="24"/>
                <w:highlight w:val="none"/>
              </w:rPr>
              <w:t>能够完全满足采购需求的得</w:t>
            </w:r>
            <w:r>
              <w:rPr>
                <w:rFonts w:hint="eastAsia" w:ascii="宋体" w:hAnsi="宋体" w:cs="宋体"/>
                <w:color w:val="auto"/>
                <w:kern w:val="0"/>
                <w:sz w:val="24"/>
                <w:highlight w:val="none"/>
                <w:lang w:val="en-US" w:eastAsia="zh-CN"/>
              </w:rPr>
              <w:t>3</w:t>
            </w:r>
            <w:r>
              <w:rPr>
                <w:rFonts w:ascii="宋体" w:hAnsi="宋体" w:cs="宋体"/>
                <w:color w:val="auto"/>
                <w:kern w:val="0"/>
                <w:sz w:val="24"/>
                <w:highlight w:val="none"/>
              </w:rPr>
              <w:t>分；方案内容较完整、实施性较强</w:t>
            </w:r>
            <w:r>
              <w:rPr>
                <w:rFonts w:hint="eastAsia" w:ascii="宋体" w:hAnsi="宋体" w:cs="宋体"/>
                <w:color w:val="auto"/>
                <w:kern w:val="0"/>
                <w:sz w:val="24"/>
                <w:highlight w:val="none"/>
              </w:rPr>
              <w:t>且</w:t>
            </w:r>
            <w:r>
              <w:rPr>
                <w:rFonts w:ascii="宋体" w:hAnsi="宋体" w:cs="宋体"/>
                <w:color w:val="auto"/>
                <w:kern w:val="0"/>
                <w:sz w:val="24"/>
                <w:highlight w:val="none"/>
              </w:rPr>
              <w:t>能够大部分满足采购需求的得</w:t>
            </w:r>
            <w:r>
              <w:rPr>
                <w:rFonts w:hint="eastAsia" w:ascii="宋体" w:hAnsi="宋体" w:cs="宋体"/>
                <w:color w:val="auto"/>
                <w:kern w:val="0"/>
                <w:sz w:val="24"/>
                <w:highlight w:val="none"/>
                <w:lang w:val="en-US" w:eastAsia="zh-CN"/>
              </w:rPr>
              <w:t>2</w:t>
            </w:r>
            <w:r>
              <w:rPr>
                <w:rFonts w:ascii="宋体" w:hAnsi="宋体" w:cs="宋体"/>
                <w:color w:val="auto"/>
                <w:kern w:val="0"/>
                <w:sz w:val="24"/>
                <w:highlight w:val="none"/>
              </w:rPr>
              <w:t>分；内容一般、实施性一般</w:t>
            </w:r>
            <w:r>
              <w:rPr>
                <w:rFonts w:hint="eastAsia" w:ascii="宋体" w:hAnsi="宋体" w:cs="宋体"/>
                <w:color w:val="auto"/>
                <w:kern w:val="0"/>
                <w:sz w:val="24"/>
                <w:highlight w:val="none"/>
              </w:rPr>
              <w:t>且</w:t>
            </w:r>
            <w:r>
              <w:rPr>
                <w:rFonts w:ascii="宋体" w:hAnsi="宋体" w:cs="宋体"/>
                <w:color w:val="auto"/>
                <w:kern w:val="0"/>
                <w:sz w:val="24"/>
                <w:highlight w:val="none"/>
              </w:rPr>
              <w:t>能够小部分满足采购需求的得</w:t>
            </w:r>
            <w:r>
              <w:rPr>
                <w:rFonts w:hint="eastAsia" w:ascii="宋体" w:hAnsi="宋体" w:cs="宋体"/>
                <w:color w:val="auto"/>
                <w:kern w:val="0"/>
                <w:sz w:val="24"/>
                <w:highlight w:val="none"/>
                <w:lang w:val="en-US" w:eastAsia="zh-CN"/>
              </w:rPr>
              <w:t>1</w:t>
            </w:r>
            <w:r>
              <w:rPr>
                <w:rFonts w:ascii="宋体" w:hAnsi="宋体" w:cs="宋体"/>
                <w:color w:val="auto"/>
                <w:kern w:val="0"/>
                <w:sz w:val="24"/>
                <w:highlight w:val="none"/>
              </w:rPr>
              <w:t>分；其它或未提供不得分。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1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sz w:val="24"/>
                <w:highlight w:val="none"/>
              </w:rPr>
              <w:t>巡查维护抢修方案</w:t>
            </w:r>
          </w:p>
        </w:tc>
        <w:tc>
          <w:tcPr>
            <w:tcW w:w="655"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657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sz w:val="24"/>
                <w:highlight w:val="none"/>
              </w:rPr>
              <w:t>根据投标人提供的巡查维护抢修方案（以目前高新区的整体情况进行编制），</w:t>
            </w:r>
            <w:r>
              <w:rPr>
                <w:rFonts w:ascii="宋体" w:hAnsi="宋体" w:eastAsia="宋体" w:cs="宋体"/>
                <w:color w:val="auto"/>
                <w:kern w:val="0"/>
                <w:sz w:val="24"/>
                <w:highlight w:val="none"/>
              </w:rPr>
              <w:t>由评委进行打分</w:t>
            </w:r>
            <w:r>
              <w:rPr>
                <w:rFonts w:hint="eastAsia" w:ascii="宋体" w:hAnsi="宋体" w:eastAsia="宋体" w:cs="宋体"/>
                <w:color w:val="auto"/>
                <w:kern w:val="0"/>
                <w:sz w:val="24"/>
                <w:highlight w:val="none"/>
              </w:rPr>
              <w:t>：</w:t>
            </w:r>
            <w:r>
              <w:rPr>
                <w:rFonts w:ascii="宋体" w:hAnsi="宋体" w:cs="宋体"/>
                <w:color w:val="auto"/>
                <w:kern w:val="0"/>
                <w:sz w:val="24"/>
                <w:highlight w:val="none"/>
              </w:rPr>
              <w:t>方案内容详细完整、实施性强</w:t>
            </w:r>
            <w:r>
              <w:rPr>
                <w:rFonts w:hint="eastAsia" w:ascii="宋体" w:hAnsi="宋体" w:cs="宋体"/>
                <w:color w:val="auto"/>
                <w:kern w:val="0"/>
                <w:sz w:val="24"/>
                <w:highlight w:val="none"/>
              </w:rPr>
              <w:t>且</w:t>
            </w:r>
            <w:r>
              <w:rPr>
                <w:rFonts w:ascii="宋体" w:hAnsi="宋体" w:cs="宋体"/>
                <w:color w:val="auto"/>
                <w:kern w:val="0"/>
                <w:sz w:val="24"/>
                <w:highlight w:val="none"/>
              </w:rPr>
              <w:t>能够完全满足采购需求的得</w:t>
            </w:r>
            <w:r>
              <w:rPr>
                <w:rFonts w:hint="eastAsia" w:ascii="宋体" w:hAnsi="宋体" w:cs="宋体"/>
                <w:color w:val="auto"/>
                <w:kern w:val="0"/>
                <w:sz w:val="24"/>
                <w:highlight w:val="none"/>
                <w:lang w:val="en-US" w:eastAsia="zh-CN"/>
              </w:rPr>
              <w:t>3</w:t>
            </w:r>
            <w:r>
              <w:rPr>
                <w:rFonts w:ascii="宋体" w:hAnsi="宋体" w:cs="宋体"/>
                <w:color w:val="auto"/>
                <w:kern w:val="0"/>
                <w:sz w:val="24"/>
                <w:highlight w:val="none"/>
              </w:rPr>
              <w:t>分；方案内容较完整、实施性较强</w:t>
            </w:r>
            <w:r>
              <w:rPr>
                <w:rFonts w:hint="eastAsia" w:ascii="宋体" w:hAnsi="宋体" w:cs="宋体"/>
                <w:color w:val="auto"/>
                <w:kern w:val="0"/>
                <w:sz w:val="24"/>
                <w:highlight w:val="none"/>
              </w:rPr>
              <w:t>且</w:t>
            </w:r>
            <w:r>
              <w:rPr>
                <w:rFonts w:ascii="宋体" w:hAnsi="宋体" w:cs="宋体"/>
                <w:color w:val="auto"/>
                <w:kern w:val="0"/>
                <w:sz w:val="24"/>
                <w:highlight w:val="none"/>
              </w:rPr>
              <w:t>能够大部分满足采购需求的得</w:t>
            </w:r>
            <w:r>
              <w:rPr>
                <w:rFonts w:hint="eastAsia" w:ascii="宋体" w:hAnsi="宋体" w:cs="宋体"/>
                <w:color w:val="auto"/>
                <w:kern w:val="0"/>
                <w:sz w:val="24"/>
                <w:highlight w:val="none"/>
                <w:lang w:val="en-US" w:eastAsia="zh-CN"/>
              </w:rPr>
              <w:t>2</w:t>
            </w:r>
            <w:r>
              <w:rPr>
                <w:rFonts w:ascii="宋体" w:hAnsi="宋体" w:cs="宋体"/>
                <w:color w:val="auto"/>
                <w:kern w:val="0"/>
                <w:sz w:val="24"/>
                <w:highlight w:val="none"/>
              </w:rPr>
              <w:t>分；内容一般、实施性一般</w:t>
            </w:r>
            <w:r>
              <w:rPr>
                <w:rFonts w:hint="eastAsia" w:ascii="宋体" w:hAnsi="宋体" w:cs="宋体"/>
                <w:color w:val="auto"/>
                <w:kern w:val="0"/>
                <w:sz w:val="24"/>
                <w:highlight w:val="none"/>
              </w:rPr>
              <w:t>且</w:t>
            </w:r>
            <w:r>
              <w:rPr>
                <w:rFonts w:ascii="宋体" w:hAnsi="宋体" w:cs="宋体"/>
                <w:color w:val="auto"/>
                <w:kern w:val="0"/>
                <w:sz w:val="24"/>
                <w:highlight w:val="none"/>
              </w:rPr>
              <w:t>能够小部分满足采购需求的得</w:t>
            </w:r>
            <w:r>
              <w:rPr>
                <w:rFonts w:hint="eastAsia" w:ascii="宋体" w:hAnsi="宋体" w:cs="宋体"/>
                <w:color w:val="auto"/>
                <w:kern w:val="0"/>
                <w:sz w:val="24"/>
                <w:highlight w:val="none"/>
                <w:lang w:val="en-US" w:eastAsia="zh-CN"/>
              </w:rPr>
              <w:t>1</w:t>
            </w:r>
            <w:r>
              <w:rPr>
                <w:rFonts w:ascii="宋体" w:hAnsi="宋体" w:cs="宋体"/>
                <w:color w:val="auto"/>
                <w:kern w:val="0"/>
                <w:sz w:val="24"/>
                <w:highlight w:val="none"/>
              </w:rPr>
              <w:t>分；其它或未提供不得分。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33" w:hRule="atLeast"/>
          <w:tblCellSpacing w:w="0" w:type="dxa"/>
        </w:trPr>
        <w:tc>
          <w:tcPr>
            <w:tcW w:w="1185" w:type="dxa"/>
            <w:vMerge w:val="restart"/>
            <w:tcBorders>
              <w:top w:val="outset" w:color="auto" w:sz="6" w:space="0"/>
              <w:left w:val="outset" w:color="auto" w:sz="6" w:space="0"/>
              <w:right w:val="outset" w:color="auto" w:sz="6" w:space="0"/>
            </w:tcBorders>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sz w:val="24"/>
                <w:highlight w:val="none"/>
              </w:rPr>
              <w:t>配备的施工车辆</w:t>
            </w:r>
          </w:p>
        </w:tc>
        <w:tc>
          <w:tcPr>
            <w:tcW w:w="65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657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2"/>
                <w:sz w:val="24"/>
                <w:szCs w:val="24"/>
                <w:highlight w:val="none"/>
              </w:rPr>
              <w:t>根据投标人配备的</w:t>
            </w:r>
            <w:r>
              <w:rPr>
                <w:rFonts w:hint="eastAsia" w:ascii="宋体" w:hAnsi="宋体" w:cs="宋体"/>
                <w:color w:val="auto"/>
                <w:kern w:val="2"/>
                <w:sz w:val="24"/>
                <w:szCs w:val="24"/>
                <w:highlight w:val="none"/>
                <w:lang w:val="en-US" w:eastAsia="zh-CN"/>
              </w:rPr>
              <w:t>自有</w:t>
            </w:r>
            <w:r>
              <w:rPr>
                <w:rFonts w:hint="eastAsia" w:ascii="宋体" w:hAnsi="宋体" w:eastAsia="宋体" w:cs="宋体"/>
                <w:color w:val="auto"/>
                <w:kern w:val="2"/>
                <w:sz w:val="24"/>
                <w:szCs w:val="24"/>
                <w:highlight w:val="none"/>
              </w:rPr>
              <w:t>施工车辆情况进行评</w:t>
            </w:r>
            <w:r>
              <w:rPr>
                <w:rFonts w:hint="eastAsia" w:ascii="宋体" w:hAnsi="宋体" w:eastAsia="宋体" w:cs="宋体"/>
                <w:color w:val="auto"/>
                <w:kern w:val="2"/>
                <w:sz w:val="24"/>
                <w:szCs w:val="24"/>
                <w:highlight w:val="none"/>
                <w:lang w:val="en-US" w:eastAsia="zh-CN"/>
              </w:rPr>
              <w:t>分</w:t>
            </w: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val="en-US" w:eastAsia="zh-CN"/>
              </w:rPr>
              <w:t>在满足1辆抢修维护信号灯所需的高空作业车的基础上，每增加1辆得1.5分，满分3分</w:t>
            </w:r>
            <w:r>
              <w:rPr>
                <w:rFonts w:hint="eastAsia" w:ascii="宋体" w:hAnsi="宋体" w:eastAsia="宋体" w:cs="宋体"/>
                <w:color w:val="auto"/>
                <w:kern w:val="2"/>
                <w:sz w:val="24"/>
                <w:szCs w:val="24"/>
                <w:highlight w:val="none"/>
              </w:rPr>
              <w:t>。车辆应提供行驶证复印件，未提供行驶证复印件不得分。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185" w:type="dxa"/>
            <w:vMerge w:val="continue"/>
            <w:tcBorders>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sz w:val="24"/>
                <w:highlight w:val="none"/>
              </w:rPr>
            </w:pPr>
          </w:p>
        </w:tc>
        <w:tc>
          <w:tcPr>
            <w:tcW w:w="65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657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2"/>
                <w:sz w:val="24"/>
                <w:szCs w:val="24"/>
                <w:highlight w:val="none"/>
              </w:rPr>
              <w:t>除高空作业车外的其他</w:t>
            </w:r>
            <w:r>
              <w:rPr>
                <w:rFonts w:hint="eastAsia" w:ascii="宋体" w:hAnsi="宋体" w:cs="宋体"/>
                <w:color w:val="auto"/>
                <w:kern w:val="2"/>
                <w:sz w:val="24"/>
                <w:szCs w:val="24"/>
                <w:highlight w:val="none"/>
                <w:lang w:val="en-US" w:eastAsia="zh-CN"/>
              </w:rPr>
              <w:t>自有</w:t>
            </w:r>
            <w:r>
              <w:rPr>
                <w:rFonts w:hint="eastAsia" w:ascii="宋体" w:hAnsi="宋体" w:eastAsia="宋体" w:cs="宋体"/>
                <w:color w:val="auto"/>
                <w:kern w:val="2"/>
                <w:sz w:val="24"/>
                <w:szCs w:val="24"/>
                <w:highlight w:val="none"/>
              </w:rPr>
              <w:t>车辆：在抢修车辆</w:t>
            </w:r>
            <w:r>
              <w:rPr>
                <w:rFonts w:hint="eastAsia" w:ascii="宋体" w:hAnsi="宋体" w:eastAsia="宋体" w:cs="宋体"/>
                <w:color w:val="auto"/>
                <w:kern w:val="2"/>
                <w:sz w:val="24"/>
                <w:szCs w:val="24"/>
                <w:highlight w:val="none"/>
                <w:lang w:val="en-US" w:eastAsia="zh-CN"/>
              </w:rPr>
              <w:t>四</w:t>
            </w:r>
            <w:r>
              <w:rPr>
                <w:rFonts w:hint="eastAsia" w:ascii="宋体" w:hAnsi="宋体" w:eastAsia="宋体" w:cs="宋体"/>
                <w:color w:val="auto"/>
                <w:kern w:val="2"/>
                <w:sz w:val="24"/>
                <w:szCs w:val="24"/>
                <w:highlight w:val="none"/>
              </w:rPr>
              <w:t>辆的基础上，每多一辆抢修车加1</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分，满分3分；车辆应提供行驶证复印件，未提供行驶证复印件不得分。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1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sz w:val="24"/>
                <w:highlight w:val="none"/>
              </w:rPr>
              <w:t>配备的其它配套设备</w:t>
            </w:r>
          </w:p>
        </w:tc>
        <w:tc>
          <w:tcPr>
            <w:tcW w:w="65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657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2"/>
                <w:sz w:val="24"/>
                <w:szCs w:val="24"/>
                <w:highlight w:val="none"/>
              </w:rPr>
              <w:t>根据投标人配备的其它配套设备情况进行评</w:t>
            </w:r>
            <w:r>
              <w:rPr>
                <w:rFonts w:hint="eastAsia" w:ascii="宋体" w:hAnsi="宋体" w:eastAsia="宋体" w:cs="宋体"/>
                <w:color w:val="auto"/>
                <w:kern w:val="2"/>
                <w:sz w:val="24"/>
                <w:szCs w:val="24"/>
                <w:highlight w:val="none"/>
                <w:lang w:val="en-US" w:eastAsia="zh-CN"/>
              </w:rPr>
              <w:t>分</w:t>
            </w:r>
            <w:r>
              <w:rPr>
                <w:rFonts w:hint="eastAsia" w:ascii="宋体" w:hAnsi="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投标人现有其他主要配套设备</w:t>
            </w:r>
            <w:r>
              <w:rPr>
                <w:rFonts w:hint="eastAsia" w:ascii="宋体" w:hAnsi="宋体" w:eastAsia="宋体" w:cs="宋体"/>
                <w:color w:val="auto"/>
                <w:kern w:val="2"/>
                <w:sz w:val="24"/>
                <w:szCs w:val="24"/>
                <w:highlight w:val="none"/>
                <w:lang w:val="en-US" w:eastAsia="zh-CN"/>
              </w:rPr>
              <w:t>发电机应</w:t>
            </w:r>
            <w:r>
              <w:rPr>
                <w:rFonts w:hint="eastAsia" w:ascii="宋体" w:hAnsi="宋体" w:eastAsia="宋体" w:cs="宋体"/>
                <w:color w:val="auto"/>
                <w:kern w:val="2"/>
                <w:sz w:val="24"/>
                <w:szCs w:val="24"/>
                <w:highlight w:val="none"/>
              </w:rPr>
              <w:t>符合招标文件要求，且能够提供设备型号、证明材料且单台功率</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rPr>
              <w:t>5KW，得2分，提供设备</w:t>
            </w:r>
            <w:r>
              <w:rPr>
                <w:rFonts w:hint="eastAsia" w:ascii="宋体" w:hAnsi="宋体" w:eastAsia="宋体" w:cs="宋体"/>
                <w:color w:val="auto"/>
                <w:kern w:val="2"/>
                <w:sz w:val="24"/>
                <w:szCs w:val="24"/>
                <w:highlight w:val="none"/>
                <w:lang w:val="en-US" w:eastAsia="zh-CN"/>
              </w:rPr>
              <w:t>的功率≥8KW的</w:t>
            </w:r>
            <w:r>
              <w:rPr>
                <w:rFonts w:hint="eastAsia" w:ascii="宋体" w:hAnsi="宋体" w:cs="宋体"/>
                <w:color w:val="auto"/>
                <w:kern w:val="2"/>
                <w:sz w:val="24"/>
                <w:szCs w:val="24"/>
                <w:highlight w:val="none"/>
                <w:lang w:val="en-US" w:eastAsia="zh-CN"/>
              </w:rPr>
              <w:t>另</w:t>
            </w:r>
            <w:r>
              <w:rPr>
                <w:rFonts w:hint="eastAsia" w:ascii="宋体" w:hAnsi="宋体" w:eastAsia="宋体" w:cs="宋体"/>
                <w:color w:val="auto"/>
                <w:kern w:val="2"/>
                <w:sz w:val="24"/>
                <w:szCs w:val="24"/>
                <w:highlight w:val="none"/>
                <w:lang w:val="en-US" w:eastAsia="zh-CN"/>
              </w:rPr>
              <w:t>加1分</w:t>
            </w:r>
            <w:r>
              <w:rPr>
                <w:rFonts w:hint="eastAsia" w:ascii="宋体" w:hAnsi="宋体" w:cs="宋体"/>
                <w:color w:val="auto"/>
                <w:kern w:val="2"/>
                <w:sz w:val="24"/>
                <w:szCs w:val="24"/>
                <w:highlight w:val="none"/>
                <w:lang w:val="en-US" w:eastAsia="zh-CN"/>
              </w:rPr>
              <w:t>，满分3分。</w:t>
            </w:r>
            <w:r>
              <w:rPr>
                <w:rFonts w:hint="eastAsia" w:ascii="宋体" w:hAnsi="宋体" w:eastAsia="宋体" w:cs="宋体"/>
                <w:color w:val="auto"/>
                <w:sz w:val="24"/>
                <w:highlight w:val="none"/>
              </w:rPr>
              <w:t>注：以上设备需提供清单、照片以及购货</w:t>
            </w:r>
            <w:r>
              <w:rPr>
                <w:rFonts w:hint="eastAsia" w:ascii="宋体" w:hAnsi="宋体" w:eastAsia="宋体" w:cs="宋体"/>
                <w:color w:val="auto"/>
                <w:sz w:val="24"/>
                <w:highlight w:val="none"/>
                <w:lang w:val="en-US" w:eastAsia="zh-CN"/>
              </w:rPr>
              <w:t>发票</w:t>
            </w:r>
            <w:r>
              <w:rPr>
                <w:rFonts w:hint="eastAsia" w:ascii="宋体" w:hAnsi="宋体" w:eastAsia="宋体" w:cs="宋体"/>
                <w:color w:val="auto"/>
                <w:sz w:val="24"/>
                <w:highlight w:val="none"/>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rHeight w:val="1223" w:hRule="atLeast"/>
          <w:tblCellSpacing w:w="0" w:type="dxa"/>
        </w:trPr>
        <w:tc>
          <w:tcPr>
            <w:tcW w:w="1185" w:type="dxa"/>
            <w:vMerge w:val="restart"/>
            <w:tcBorders>
              <w:top w:val="outset" w:color="auto" w:sz="6" w:space="0"/>
              <w:left w:val="outset" w:color="auto" w:sz="6" w:space="0"/>
              <w:right w:val="outset" w:color="auto" w:sz="6" w:space="0"/>
            </w:tcBorders>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sz w:val="24"/>
                <w:highlight w:val="none"/>
              </w:rPr>
              <w:t>配备的项目</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团队</w:t>
            </w:r>
          </w:p>
        </w:tc>
        <w:tc>
          <w:tcPr>
            <w:tcW w:w="655"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657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2"/>
                <w:sz w:val="24"/>
                <w:szCs w:val="24"/>
                <w:highlight w:val="none"/>
              </w:rPr>
              <w:t>根据投标人为本项目配备的项目</w:t>
            </w:r>
            <w:r>
              <w:rPr>
                <w:rFonts w:hint="eastAsia" w:ascii="宋体" w:hAnsi="宋体" w:eastAsia="宋体" w:cs="宋体"/>
                <w:color w:val="auto"/>
                <w:kern w:val="2"/>
                <w:sz w:val="24"/>
                <w:szCs w:val="24"/>
                <w:highlight w:val="none"/>
                <w:lang w:val="en-US" w:eastAsia="zh-CN"/>
              </w:rPr>
              <w:t>服务</w:t>
            </w:r>
            <w:r>
              <w:rPr>
                <w:rFonts w:hint="eastAsia" w:ascii="宋体" w:hAnsi="宋体" w:eastAsia="宋体" w:cs="宋体"/>
                <w:color w:val="auto"/>
                <w:kern w:val="2"/>
                <w:sz w:val="24"/>
                <w:szCs w:val="24"/>
                <w:highlight w:val="none"/>
              </w:rPr>
              <w:t>团队的人数进行评价，配备</w:t>
            </w:r>
            <w:r>
              <w:rPr>
                <w:rFonts w:hint="eastAsia" w:ascii="宋体" w:hAnsi="宋体" w:eastAsia="宋体" w:cs="宋体"/>
                <w:color w:val="auto"/>
                <w:kern w:val="2"/>
                <w:sz w:val="24"/>
                <w:szCs w:val="24"/>
                <w:highlight w:val="none"/>
                <w:lang w:val="en-US" w:eastAsia="zh-CN"/>
              </w:rPr>
              <w:t>20</w:t>
            </w:r>
            <w:r>
              <w:rPr>
                <w:rFonts w:hint="eastAsia" w:ascii="宋体" w:hAnsi="宋体" w:eastAsia="宋体" w:cs="宋体"/>
                <w:color w:val="auto"/>
                <w:kern w:val="2"/>
                <w:sz w:val="24"/>
                <w:szCs w:val="24"/>
                <w:highlight w:val="none"/>
              </w:rPr>
              <w:t>人</w:t>
            </w:r>
            <w:r>
              <w:rPr>
                <w:rFonts w:hint="eastAsia" w:ascii="宋体" w:hAnsi="宋体" w:cs="宋体"/>
                <w:color w:val="auto"/>
                <w:kern w:val="2"/>
                <w:sz w:val="24"/>
                <w:szCs w:val="24"/>
                <w:highlight w:val="none"/>
                <w:lang w:val="en-US" w:eastAsia="zh-CN"/>
              </w:rPr>
              <w:t>的基础上</w:t>
            </w:r>
            <w:r>
              <w:rPr>
                <w:rFonts w:hint="default" w:ascii="宋体" w:hAnsi="宋体" w:eastAsia="宋体" w:cs="宋体"/>
                <w:color w:val="auto"/>
                <w:kern w:val="2"/>
                <w:sz w:val="24"/>
                <w:szCs w:val="24"/>
                <w:highlight w:val="none"/>
                <w:lang w:val="en-US"/>
              </w:rPr>
              <w:t>，</w:t>
            </w:r>
            <w:r>
              <w:rPr>
                <w:rFonts w:hint="eastAsia" w:ascii="宋体" w:hAnsi="宋体" w:eastAsia="宋体" w:cs="宋体"/>
                <w:color w:val="auto"/>
                <w:kern w:val="2"/>
                <w:sz w:val="24"/>
                <w:szCs w:val="24"/>
                <w:highlight w:val="none"/>
              </w:rPr>
              <w:t>每增加一人加</w:t>
            </w:r>
            <w:r>
              <w:rPr>
                <w:rFonts w:hint="eastAsia" w:ascii="宋体" w:hAnsi="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.5分，满分3分</w:t>
            </w:r>
            <w:r>
              <w:rPr>
                <w:rFonts w:hint="eastAsia" w:ascii="宋体" w:hAnsi="宋体" w:cs="宋体"/>
                <w:color w:val="auto"/>
                <w:kern w:val="2"/>
                <w:sz w:val="24"/>
                <w:szCs w:val="24"/>
                <w:highlight w:val="none"/>
                <w:lang w:eastAsia="zh-CN"/>
              </w:rPr>
              <w:t>。</w:t>
            </w: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团队成员须为投标人本单位的员工，应提供</w:t>
            </w:r>
            <w:r>
              <w:rPr>
                <w:rFonts w:hint="eastAsia" w:ascii="宋体" w:hAnsi="宋体" w:cs="宋体"/>
                <w:color w:val="auto"/>
                <w:sz w:val="24"/>
                <w:highlight w:val="none"/>
                <w:lang w:val="en-US" w:eastAsia="zh-CN"/>
              </w:rPr>
              <w:t>投标截止前三</w:t>
            </w:r>
            <w:r>
              <w:rPr>
                <w:rFonts w:hint="eastAsia" w:ascii="宋体" w:hAnsi="宋体" w:eastAsia="宋体" w:cs="宋体"/>
                <w:color w:val="auto"/>
                <w:sz w:val="24"/>
                <w:highlight w:val="none"/>
              </w:rPr>
              <w:t>个月的社保缴交证明，否则不得分。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185" w:type="dxa"/>
            <w:vMerge w:val="continue"/>
            <w:tcBorders>
              <w:left w:val="outset" w:color="auto" w:sz="6" w:space="0"/>
              <w:bottom w:val="outset" w:color="auto" w:sz="6" w:space="0"/>
              <w:right w:val="outset" w:color="auto" w:sz="6" w:space="0"/>
            </w:tcBorders>
            <w:vAlign w:val="center"/>
          </w:tcPr>
          <w:p>
            <w:pPr>
              <w:widowControl/>
              <w:jc w:val="left"/>
              <w:rPr>
                <w:rFonts w:hint="eastAsia" w:ascii="宋体" w:hAnsi="宋体" w:eastAsia="宋体" w:cs="宋体"/>
                <w:color w:val="auto"/>
                <w:sz w:val="24"/>
                <w:highlight w:val="none"/>
              </w:rPr>
            </w:pPr>
          </w:p>
        </w:tc>
        <w:tc>
          <w:tcPr>
            <w:tcW w:w="655"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6571"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根据投标人为本项目</w:t>
            </w:r>
            <w:r>
              <w:rPr>
                <w:rFonts w:hint="eastAsia" w:ascii="宋体" w:hAnsi="宋体" w:eastAsia="宋体" w:cs="宋体"/>
                <w:color w:val="auto"/>
                <w:kern w:val="2"/>
                <w:sz w:val="24"/>
                <w:szCs w:val="24"/>
                <w:highlight w:val="none"/>
                <w:lang w:val="en-US" w:eastAsia="zh-CN"/>
              </w:rPr>
              <w:t>拟配备的管理人员具有中级电工证或中级以上电工证的得1分，满分2分。</w:t>
            </w: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团队成员须为投标人本单位的员工，应提供相应的证书复印件</w:t>
            </w:r>
            <w:r>
              <w:rPr>
                <w:rFonts w:hint="eastAsia" w:ascii="宋体" w:hAnsi="宋体" w:eastAsia="宋体" w:cs="宋体"/>
                <w:color w:val="auto"/>
                <w:sz w:val="24"/>
                <w:highlight w:val="none"/>
                <w:lang w:val="en-US" w:eastAsia="zh-CN"/>
              </w:rPr>
              <w:t>和</w:t>
            </w:r>
            <w:r>
              <w:rPr>
                <w:rFonts w:hint="eastAsia" w:ascii="宋体" w:hAnsi="宋体" w:cs="宋体"/>
                <w:color w:val="auto"/>
                <w:sz w:val="24"/>
                <w:highlight w:val="none"/>
                <w:lang w:val="en-US" w:eastAsia="zh-CN"/>
              </w:rPr>
              <w:t>投标截止前三</w:t>
            </w:r>
            <w:r>
              <w:rPr>
                <w:rFonts w:hint="eastAsia" w:ascii="宋体" w:hAnsi="宋体" w:eastAsia="宋体" w:cs="宋体"/>
                <w:color w:val="auto"/>
                <w:sz w:val="24"/>
                <w:highlight w:val="none"/>
              </w:rPr>
              <w:t>个月的社保缴交证明，否则不得分。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1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sz w:val="24"/>
                <w:highlight w:val="none"/>
              </w:rPr>
              <w:t>配备的电工数量</w:t>
            </w:r>
          </w:p>
        </w:tc>
        <w:tc>
          <w:tcPr>
            <w:tcW w:w="65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657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rPr>
              <w:t>根据投标人拟派该项目维护人员中持有电工证（低压）情况进行评分：在满足招标文件要求的基础上（不得少于10人），每多提供1人的得1分</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满分2分</w:t>
            </w:r>
            <w:r>
              <w:rPr>
                <w:rFonts w:hint="eastAsia" w:ascii="宋体" w:hAnsi="宋体" w:eastAsia="宋体" w:cs="宋体"/>
                <w:color w:val="auto"/>
                <w:sz w:val="24"/>
                <w:highlight w:val="none"/>
              </w:rPr>
              <w:t>，须提供相应的证书复印件及</w:t>
            </w:r>
            <w:r>
              <w:rPr>
                <w:rFonts w:hint="eastAsia" w:ascii="宋体" w:hAnsi="宋体" w:cs="宋体"/>
                <w:color w:val="auto"/>
                <w:sz w:val="24"/>
                <w:highlight w:val="none"/>
                <w:lang w:val="en-US" w:eastAsia="zh-CN"/>
              </w:rPr>
              <w:t>投标截止前三</w:t>
            </w:r>
            <w:r>
              <w:rPr>
                <w:rFonts w:hint="eastAsia" w:ascii="宋体" w:hAnsi="宋体" w:eastAsia="宋体" w:cs="宋体"/>
                <w:color w:val="auto"/>
                <w:sz w:val="24"/>
                <w:highlight w:val="none"/>
              </w:rPr>
              <w:t>个月的社保缴交证明，否则不得分。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CellSpacing w:w="0" w:type="dxa"/>
        </w:trPr>
        <w:tc>
          <w:tcPr>
            <w:tcW w:w="11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sz w:val="24"/>
                <w:highlight w:val="none"/>
              </w:rPr>
              <w:t>管理措施方案</w:t>
            </w:r>
          </w:p>
        </w:tc>
        <w:tc>
          <w:tcPr>
            <w:tcW w:w="655"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657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sz w:val="24"/>
                <w:highlight w:val="none"/>
              </w:rPr>
              <w:t>根据投标人提供的维护队伍人员的管理及措施方案的合理性，</w:t>
            </w:r>
            <w:r>
              <w:rPr>
                <w:rFonts w:ascii="宋体" w:hAnsi="宋体" w:eastAsia="宋体" w:cs="宋体"/>
                <w:color w:val="auto"/>
                <w:kern w:val="0"/>
                <w:sz w:val="24"/>
                <w:highlight w:val="none"/>
              </w:rPr>
              <w:t>由评委进行打分</w:t>
            </w:r>
            <w:r>
              <w:rPr>
                <w:rFonts w:hint="eastAsia" w:ascii="宋体" w:hAnsi="宋体" w:eastAsia="宋体" w:cs="宋体"/>
                <w:color w:val="auto"/>
                <w:kern w:val="0"/>
                <w:sz w:val="24"/>
                <w:highlight w:val="none"/>
              </w:rPr>
              <w:t>：</w:t>
            </w:r>
            <w:r>
              <w:rPr>
                <w:rFonts w:ascii="宋体" w:hAnsi="宋体" w:eastAsia="宋体" w:cs="宋体"/>
                <w:color w:val="auto"/>
                <w:kern w:val="0"/>
                <w:sz w:val="24"/>
                <w:highlight w:val="none"/>
              </w:rPr>
              <w:t>由评委进行打分</w:t>
            </w:r>
            <w:r>
              <w:rPr>
                <w:rFonts w:hint="eastAsia" w:ascii="宋体" w:hAnsi="宋体" w:eastAsia="宋体" w:cs="宋体"/>
                <w:color w:val="auto"/>
                <w:kern w:val="0"/>
                <w:sz w:val="24"/>
                <w:highlight w:val="none"/>
              </w:rPr>
              <w:t>：</w:t>
            </w:r>
            <w:r>
              <w:rPr>
                <w:rFonts w:ascii="宋体" w:hAnsi="宋体" w:cs="宋体"/>
                <w:color w:val="auto"/>
                <w:kern w:val="0"/>
                <w:sz w:val="24"/>
                <w:highlight w:val="none"/>
              </w:rPr>
              <w:t>方案内容详细完整、实施性强</w:t>
            </w:r>
            <w:r>
              <w:rPr>
                <w:rFonts w:hint="eastAsia" w:ascii="宋体" w:hAnsi="宋体" w:cs="宋体"/>
                <w:color w:val="auto"/>
                <w:kern w:val="0"/>
                <w:sz w:val="24"/>
                <w:highlight w:val="none"/>
              </w:rPr>
              <w:t>且</w:t>
            </w:r>
            <w:r>
              <w:rPr>
                <w:rFonts w:ascii="宋体" w:hAnsi="宋体" w:cs="宋体"/>
                <w:color w:val="auto"/>
                <w:kern w:val="0"/>
                <w:sz w:val="24"/>
                <w:highlight w:val="none"/>
              </w:rPr>
              <w:t>能够完全满足采购需求的得</w:t>
            </w:r>
            <w:r>
              <w:rPr>
                <w:rFonts w:hint="eastAsia" w:ascii="宋体" w:hAnsi="宋体" w:cs="宋体"/>
                <w:color w:val="auto"/>
                <w:kern w:val="0"/>
                <w:sz w:val="24"/>
                <w:highlight w:val="none"/>
                <w:lang w:val="en-US" w:eastAsia="zh-CN"/>
              </w:rPr>
              <w:t>3</w:t>
            </w:r>
            <w:r>
              <w:rPr>
                <w:rFonts w:ascii="宋体" w:hAnsi="宋体" w:cs="宋体"/>
                <w:color w:val="auto"/>
                <w:kern w:val="0"/>
                <w:sz w:val="24"/>
                <w:highlight w:val="none"/>
              </w:rPr>
              <w:t>分；方案内容较完整、实施性较强</w:t>
            </w:r>
            <w:r>
              <w:rPr>
                <w:rFonts w:hint="eastAsia" w:ascii="宋体" w:hAnsi="宋体" w:cs="宋体"/>
                <w:color w:val="auto"/>
                <w:kern w:val="0"/>
                <w:sz w:val="24"/>
                <w:highlight w:val="none"/>
              </w:rPr>
              <w:t>且</w:t>
            </w:r>
            <w:r>
              <w:rPr>
                <w:rFonts w:ascii="宋体" w:hAnsi="宋体" w:cs="宋体"/>
                <w:color w:val="auto"/>
                <w:kern w:val="0"/>
                <w:sz w:val="24"/>
                <w:highlight w:val="none"/>
              </w:rPr>
              <w:t>能够大部分满足采购需求的得</w:t>
            </w:r>
            <w:r>
              <w:rPr>
                <w:rFonts w:hint="eastAsia" w:ascii="宋体" w:hAnsi="宋体" w:cs="宋体"/>
                <w:color w:val="auto"/>
                <w:kern w:val="0"/>
                <w:sz w:val="24"/>
                <w:highlight w:val="none"/>
                <w:lang w:val="en-US" w:eastAsia="zh-CN"/>
              </w:rPr>
              <w:t>2</w:t>
            </w:r>
            <w:r>
              <w:rPr>
                <w:rFonts w:ascii="宋体" w:hAnsi="宋体" w:cs="宋体"/>
                <w:color w:val="auto"/>
                <w:kern w:val="0"/>
                <w:sz w:val="24"/>
                <w:highlight w:val="none"/>
              </w:rPr>
              <w:t>分；内容一般、实施性一般</w:t>
            </w:r>
            <w:r>
              <w:rPr>
                <w:rFonts w:hint="eastAsia" w:ascii="宋体" w:hAnsi="宋体" w:cs="宋体"/>
                <w:color w:val="auto"/>
                <w:kern w:val="0"/>
                <w:sz w:val="24"/>
                <w:highlight w:val="none"/>
              </w:rPr>
              <w:t>且</w:t>
            </w:r>
            <w:r>
              <w:rPr>
                <w:rFonts w:ascii="宋体" w:hAnsi="宋体" w:cs="宋体"/>
                <w:color w:val="auto"/>
                <w:kern w:val="0"/>
                <w:sz w:val="24"/>
                <w:highlight w:val="none"/>
              </w:rPr>
              <w:t>能够小部分满足采购需求的得</w:t>
            </w:r>
            <w:r>
              <w:rPr>
                <w:rFonts w:hint="eastAsia" w:ascii="宋体" w:hAnsi="宋体" w:cs="宋体"/>
                <w:color w:val="auto"/>
                <w:kern w:val="0"/>
                <w:sz w:val="24"/>
                <w:highlight w:val="none"/>
                <w:lang w:val="en-US" w:eastAsia="zh-CN"/>
              </w:rPr>
              <w:t>1</w:t>
            </w:r>
            <w:r>
              <w:rPr>
                <w:rFonts w:ascii="宋体" w:hAnsi="宋体" w:cs="宋体"/>
                <w:color w:val="auto"/>
                <w:kern w:val="0"/>
                <w:sz w:val="24"/>
                <w:highlight w:val="none"/>
              </w:rPr>
              <w:t>分；其它或未提供不得分。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1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sz w:val="24"/>
                <w:highlight w:val="none"/>
              </w:rPr>
              <w:t>对接方案</w:t>
            </w:r>
          </w:p>
        </w:tc>
        <w:tc>
          <w:tcPr>
            <w:tcW w:w="65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657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sz w:val="24"/>
                <w:highlight w:val="none"/>
              </w:rPr>
              <w:t>根据投标人针对本项目提供的信号机备件与目前高新区大队现有的信号机平台对接方案，</w:t>
            </w:r>
            <w:r>
              <w:rPr>
                <w:rFonts w:ascii="宋体" w:hAnsi="宋体" w:eastAsia="宋体" w:cs="宋体"/>
                <w:color w:val="auto"/>
                <w:kern w:val="0"/>
                <w:sz w:val="24"/>
                <w:highlight w:val="none"/>
              </w:rPr>
              <w:t>由评委进行打分</w:t>
            </w:r>
            <w:r>
              <w:rPr>
                <w:rFonts w:hint="eastAsia" w:ascii="宋体" w:hAnsi="宋体" w:eastAsia="宋体" w:cs="宋体"/>
                <w:color w:val="auto"/>
                <w:kern w:val="0"/>
                <w:sz w:val="24"/>
                <w:highlight w:val="none"/>
              </w:rPr>
              <w:t>：</w:t>
            </w:r>
            <w:r>
              <w:rPr>
                <w:rFonts w:ascii="宋体" w:hAnsi="宋体" w:cs="宋体"/>
                <w:color w:val="auto"/>
                <w:kern w:val="0"/>
                <w:sz w:val="24"/>
                <w:highlight w:val="none"/>
              </w:rPr>
              <w:t>方案内容详细完整、实施性强</w:t>
            </w:r>
            <w:r>
              <w:rPr>
                <w:rFonts w:hint="eastAsia" w:ascii="宋体" w:hAnsi="宋体" w:cs="宋体"/>
                <w:color w:val="auto"/>
                <w:kern w:val="0"/>
                <w:sz w:val="24"/>
                <w:highlight w:val="none"/>
              </w:rPr>
              <w:t>且</w:t>
            </w:r>
            <w:r>
              <w:rPr>
                <w:rFonts w:ascii="宋体" w:hAnsi="宋体" w:cs="宋体"/>
                <w:color w:val="auto"/>
                <w:kern w:val="0"/>
                <w:sz w:val="24"/>
                <w:highlight w:val="none"/>
              </w:rPr>
              <w:t>能够完全满足采购需求的得</w:t>
            </w:r>
            <w:r>
              <w:rPr>
                <w:rFonts w:hint="eastAsia" w:ascii="宋体" w:hAnsi="宋体" w:cs="宋体"/>
                <w:color w:val="auto"/>
                <w:kern w:val="0"/>
                <w:sz w:val="24"/>
                <w:highlight w:val="none"/>
              </w:rPr>
              <w:t>3</w:t>
            </w:r>
            <w:r>
              <w:rPr>
                <w:rFonts w:ascii="宋体" w:hAnsi="宋体" w:cs="宋体"/>
                <w:color w:val="auto"/>
                <w:kern w:val="0"/>
                <w:sz w:val="24"/>
                <w:highlight w:val="none"/>
              </w:rPr>
              <w:t>分；方案内容较完整、实施性较强</w:t>
            </w:r>
            <w:r>
              <w:rPr>
                <w:rFonts w:hint="eastAsia" w:ascii="宋体" w:hAnsi="宋体" w:cs="宋体"/>
                <w:color w:val="auto"/>
                <w:kern w:val="0"/>
                <w:sz w:val="24"/>
                <w:highlight w:val="none"/>
              </w:rPr>
              <w:t>且</w:t>
            </w:r>
            <w:r>
              <w:rPr>
                <w:rFonts w:ascii="宋体" w:hAnsi="宋体" w:cs="宋体"/>
                <w:color w:val="auto"/>
                <w:kern w:val="0"/>
                <w:sz w:val="24"/>
                <w:highlight w:val="none"/>
              </w:rPr>
              <w:t>能够大部分满足采购需求的得</w:t>
            </w:r>
            <w:r>
              <w:rPr>
                <w:rFonts w:hint="eastAsia" w:ascii="宋体" w:hAnsi="宋体" w:cs="宋体"/>
                <w:color w:val="auto"/>
                <w:kern w:val="0"/>
                <w:sz w:val="24"/>
                <w:highlight w:val="none"/>
              </w:rPr>
              <w:t>2</w:t>
            </w:r>
            <w:r>
              <w:rPr>
                <w:rFonts w:ascii="宋体" w:hAnsi="宋体" w:cs="宋体"/>
                <w:color w:val="auto"/>
                <w:kern w:val="0"/>
                <w:sz w:val="24"/>
                <w:highlight w:val="none"/>
              </w:rPr>
              <w:t>分；内容一般、实施性一般</w:t>
            </w:r>
            <w:r>
              <w:rPr>
                <w:rFonts w:hint="eastAsia" w:ascii="宋体" w:hAnsi="宋体" w:cs="宋体"/>
                <w:color w:val="auto"/>
                <w:kern w:val="0"/>
                <w:sz w:val="24"/>
                <w:highlight w:val="none"/>
              </w:rPr>
              <w:t>且</w:t>
            </w:r>
            <w:r>
              <w:rPr>
                <w:rFonts w:ascii="宋体" w:hAnsi="宋体" w:cs="宋体"/>
                <w:color w:val="auto"/>
                <w:kern w:val="0"/>
                <w:sz w:val="24"/>
                <w:highlight w:val="none"/>
              </w:rPr>
              <w:t>能够小部分满足采购需求的得</w:t>
            </w:r>
            <w:r>
              <w:rPr>
                <w:rFonts w:hint="eastAsia" w:ascii="宋体" w:hAnsi="宋体" w:cs="宋体"/>
                <w:color w:val="auto"/>
                <w:kern w:val="0"/>
                <w:sz w:val="24"/>
                <w:highlight w:val="none"/>
              </w:rPr>
              <w:t>1</w:t>
            </w:r>
            <w:r>
              <w:rPr>
                <w:rFonts w:ascii="宋体" w:hAnsi="宋体" w:cs="宋体"/>
                <w:color w:val="auto"/>
                <w:kern w:val="0"/>
                <w:sz w:val="24"/>
                <w:highlight w:val="none"/>
              </w:rPr>
              <w:t>分；其它或未提供不得分。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47" w:hRule="atLeast"/>
          <w:tblCellSpacing w:w="0" w:type="dxa"/>
        </w:trPr>
        <w:tc>
          <w:tcPr>
            <w:tcW w:w="11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sz w:val="24"/>
                <w:highlight w:val="none"/>
              </w:rPr>
              <w:t>防台、防汛、重要或大型活动、节假日的保障措施进</w:t>
            </w:r>
          </w:p>
        </w:tc>
        <w:tc>
          <w:tcPr>
            <w:tcW w:w="655"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657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sz w:val="24"/>
                <w:highlight w:val="none"/>
              </w:rPr>
              <w:t>根据投标人提供的防台、防汛、重要或大型活动、节假日的保障措施方案，</w:t>
            </w:r>
            <w:r>
              <w:rPr>
                <w:rFonts w:ascii="宋体" w:hAnsi="宋体" w:eastAsia="宋体" w:cs="宋体"/>
                <w:color w:val="auto"/>
                <w:kern w:val="0"/>
                <w:sz w:val="24"/>
                <w:highlight w:val="none"/>
              </w:rPr>
              <w:t>由评委进行打分</w:t>
            </w:r>
            <w:r>
              <w:rPr>
                <w:rFonts w:hint="eastAsia" w:ascii="宋体" w:hAnsi="宋体" w:eastAsia="宋体" w:cs="宋体"/>
                <w:color w:val="auto"/>
                <w:kern w:val="0"/>
                <w:sz w:val="24"/>
                <w:highlight w:val="none"/>
              </w:rPr>
              <w:t>：</w:t>
            </w:r>
            <w:r>
              <w:rPr>
                <w:rFonts w:ascii="宋体" w:hAnsi="宋体" w:cs="宋体"/>
                <w:color w:val="auto"/>
                <w:kern w:val="0"/>
                <w:sz w:val="24"/>
                <w:highlight w:val="none"/>
              </w:rPr>
              <w:t>方案内容详细完整、实施性强</w:t>
            </w:r>
            <w:r>
              <w:rPr>
                <w:rFonts w:hint="eastAsia" w:ascii="宋体" w:hAnsi="宋体" w:cs="宋体"/>
                <w:color w:val="auto"/>
                <w:kern w:val="0"/>
                <w:sz w:val="24"/>
                <w:highlight w:val="none"/>
              </w:rPr>
              <w:t>且</w:t>
            </w:r>
            <w:r>
              <w:rPr>
                <w:rFonts w:ascii="宋体" w:hAnsi="宋体" w:cs="宋体"/>
                <w:color w:val="auto"/>
                <w:kern w:val="0"/>
                <w:sz w:val="24"/>
                <w:highlight w:val="none"/>
              </w:rPr>
              <w:t>能够完全满足采购需求的得</w:t>
            </w:r>
            <w:r>
              <w:rPr>
                <w:rFonts w:hint="eastAsia" w:ascii="宋体" w:hAnsi="宋体" w:cs="宋体"/>
                <w:color w:val="auto"/>
                <w:kern w:val="0"/>
                <w:sz w:val="24"/>
                <w:highlight w:val="none"/>
                <w:lang w:val="en-US" w:eastAsia="zh-CN"/>
              </w:rPr>
              <w:t>3</w:t>
            </w:r>
            <w:r>
              <w:rPr>
                <w:rFonts w:ascii="宋体" w:hAnsi="宋体" w:cs="宋体"/>
                <w:color w:val="auto"/>
                <w:kern w:val="0"/>
                <w:sz w:val="24"/>
                <w:highlight w:val="none"/>
              </w:rPr>
              <w:t>分；方案内容较完整、实施性较强</w:t>
            </w:r>
            <w:r>
              <w:rPr>
                <w:rFonts w:hint="eastAsia" w:ascii="宋体" w:hAnsi="宋体" w:cs="宋体"/>
                <w:color w:val="auto"/>
                <w:kern w:val="0"/>
                <w:sz w:val="24"/>
                <w:highlight w:val="none"/>
              </w:rPr>
              <w:t>且</w:t>
            </w:r>
            <w:r>
              <w:rPr>
                <w:rFonts w:ascii="宋体" w:hAnsi="宋体" w:cs="宋体"/>
                <w:color w:val="auto"/>
                <w:kern w:val="0"/>
                <w:sz w:val="24"/>
                <w:highlight w:val="none"/>
              </w:rPr>
              <w:t>能够大部分满足采购需求的得</w:t>
            </w:r>
            <w:r>
              <w:rPr>
                <w:rFonts w:hint="eastAsia" w:ascii="宋体" w:hAnsi="宋体" w:cs="宋体"/>
                <w:color w:val="auto"/>
                <w:kern w:val="0"/>
                <w:sz w:val="24"/>
                <w:highlight w:val="none"/>
                <w:lang w:val="en-US" w:eastAsia="zh-CN"/>
              </w:rPr>
              <w:t>2</w:t>
            </w:r>
            <w:r>
              <w:rPr>
                <w:rFonts w:ascii="宋体" w:hAnsi="宋体" w:cs="宋体"/>
                <w:color w:val="auto"/>
                <w:kern w:val="0"/>
                <w:sz w:val="24"/>
                <w:highlight w:val="none"/>
              </w:rPr>
              <w:t>分；内容一般、实施性一般</w:t>
            </w:r>
            <w:r>
              <w:rPr>
                <w:rFonts w:hint="eastAsia" w:ascii="宋体" w:hAnsi="宋体" w:cs="宋体"/>
                <w:color w:val="auto"/>
                <w:kern w:val="0"/>
                <w:sz w:val="24"/>
                <w:highlight w:val="none"/>
              </w:rPr>
              <w:t>且</w:t>
            </w:r>
            <w:r>
              <w:rPr>
                <w:rFonts w:ascii="宋体" w:hAnsi="宋体" w:cs="宋体"/>
                <w:color w:val="auto"/>
                <w:kern w:val="0"/>
                <w:sz w:val="24"/>
                <w:highlight w:val="none"/>
              </w:rPr>
              <w:t>能够小部分满足采购需求的得</w:t>
            </w:r>
            <w:r>
              <w:rPr>
                <w:rFonts w:hint="eastAsia" w:ascii="宋体" w:hAnsi="宋体" w:cs="宋体"/>
                <w:color w:val="auto"/>
                <w:kern w:val="0"/>
                <w:sz w:val="24"/>
                <w:highlight w:val="none"/>
                <w:lang w:val="en-US" w:eastAsia="zh-CN"/>
              </w:rPr>
              <w:t>1</w:t>
            </w:r>
            <w:r>
              <w:rPr>
                <w:rFonts w:ascii="宋体" w:hAnsi="宋体" w:cs="宋体"/>
                <w:color w:val="auto"/>
                <w:kern w:val="0"/>
                <w:sz w:val="24"/>
                <w:highlight w:val="none"/>
              </w:rPr>
              <w:t>分；其它或未提供不得分。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48" w:hRule="atLeast"/>
          <w:tblCellSpacing w:w="0" w:type="dxa"/>
        </w:trPr>
        <w:tc>
          <w:tcPr>
            <w:tcW w:w="1185" w:type="dxa"/>
            <w:tcBorders>
              <w:left w:val="outset" w:color="auto" w:sz="6" w:space="0"/>
              <w:right w:val="outset" w:color="auto" w:sz="6" w:space="0"/>
            </w:tcBorders>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sz w:val="24"/>
                <w:highlight w:val="none"/>
              </w:rPr>
              <w:t>服务方案</w:t>
            </w:r>
          </w:p>
        </w:tc>
        <w:tc>
          <w:tcPr>
            <w:tcW w:w="655"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657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sz w:val="24"/>
                <w:highlight w:val="none"/>
              </w:rPr>
              <w:t>若因道路提升改造施工、地铁施工等对信号灯造成破坏时，投标人需进行全程跟踪，并制定相应服务方案，</w:t>
            </w:r>
            <w:r>
              <w:rPr>
                <w:rFonts w:ascii="宋体" w:hAnsi="宋体" w:eastAsia="宋体" w:cs="宋体"/>
                <w:color w:val="auto"/>
                <w:kern w:val="0"/>
                <w:sz w:val="24"/>
                <w:highlight w:val="none"/>
              </w:rPr>
              <w:t>由评委进行打分</w:t>
            </w:r>
            <w:r>
              <w:rPr>
                <w:rFonts w:hint="eastAsia" w:ascii="宋体" w:hAnsi="宋体" w:eastAsia="宋体" w:cs="宋体"/>
                <w:color w:val="auto"/>
                <w:kern w:val="0"/>
                <w:sz w:val="24"/>
                <w:highlight w:val="none"/>
              </w:rPr>
              <w:t>：</w:t>
            </w:r>
            <w:r>
              <w:rPr>
                <w:rFonts w:ascii="宋体" w:hAnsi="宋体" w:cs="宋体"/>
                <w:color w:val="auto"/>
                <w:kern w:val="0"/>
                <w:sz w:val="24"/>
                <w:highlight w:val="none"/>
              </w:rPr>
              <w:t>方案内容详细完整、实施性强</w:t>
            </w:r>
            <w:r>
              <w:rPr>
                <w:rFonts w:hint="eastAsia" w:ascii="宋体" w:hAnsi="宋体" w:cs="宋体"/>
                <w:color w:val="auto"/>
                <w:kern w:val="0"/>
                <w:sz w:val="24"/>
                <w:highlight w:val="none"/>
              </w:rPr>
              <w:t>且</w:t>
            </w:r>
            <w:r>
              <w:rPr>
                <w:rFonts w:ascii="宋体" w:hAnsi="宋体" w:cs="宋体"/>
                <w:color w:val="auto"/>
                <w:kern w:val="0"/>
                <w:sz w:val="24"/>
                <w:highlight w:val="none"/>
              </w:rPr>
              <w:t>能够完全满足采购需求的得</w:t>
            </w:r>
            <w:r>
              <w:rPr>
                <w:rFonts w:hint="eastAsia" w:ascii="宋体" w:hAnsi="宋体" w:cs="宋体"/>
                <w:color w:val="auto"/>
                <w:kern w:val="0"/>
                <w:sz w:val="24"/>
                <w:highlight w:val="none"/>
                <w:lang w:val="en-US" w:eastAsia="zh-CN"/>
              </w:rPr>
              <w:t>3</w:t>
            </w:r>
            <w:r>
              <w:rPr>
                <w:rFonts w:ascii="宋体" w:hAnsi="宋体" w:cs="宋体"/>
                <w:color w:val="auto"/>
                <w:kern w:val="0"/>
                <w:sz w:val="24"/>
                <w:highlight w:val="none"/>
              </w:rPr>
              <w:t>分；方案内容较完整、实施性较强</w:t>
            </w:r>
            <w:r>
              <w:rPr>
                <w:rFonts w:hint="eastAsia" w:ascii="宋体" w:hAnsi="宋体" w:cs="宋体"/>
                <w:color w:val="auto"/>
                <w:kern w:val="0"/>
                <w:sz w:val="24"/>
                <w:highlight w:val="none"/>
              </w:rPr>
              <w:t>且</w:t>
            </w:r>
            <w:r>
              <w:rPr>
                <w:rFonts w:ascii="宋体" w:hAnsi="宋体" w:cs="宋体"/>
                <w:color w:val="auto"/>
                <w:kern w:val="0"/>
                <w:sz w:val="24"/>
                <w:highlight w:val="none"/>
              </w:rPr>
              <w:t>能够大部分满足采购需求的得</w:t>
            </w:r>
            <w:r>
              <w:rPr>
                <w:rFonts w:hint="eastAsia" w:ascii="宋体" w:hAnsi="宋体" w:cs="宋体"/>
                <w:color w:val="auto"/>
                <w:kern w:val="0"/>
                <w:sz w:val="24"/>
                <w:highlight w:val="none"/>
                <w:lang w:val="en-US" w:eastAsia="zh-CN"/>
              </w:rPr>
              <w:t>2</w:t>
            </w:r>
            <w:r>
              <w:rPr>
                <w:rFonts w:ascii="宋体" w:hAnsi="宋体" w:cs="宋体"/>
                <w:color w:val="auto"/>
                <w:kern w:val="0"/>
                <w:sz w:val="24"/>
                <w:highlight w:val="none"/>
              </w:rPr>
              <w:t>分；内容一般、实施性一般</w:t>
            </w:r>
            <w:r>
              <w:rPr>
                <w:rFonts w:hint="eastAsia" w:ascii="宋体" w:hAnsi="宋体" w:cs="宋体"/>
                <w:color w:val="auto"/>
                <w:kern w:val="0"/>
                <w:sz w:val="24"/>
                <w:highlight w:val="none"/>
              </w:rPr>
              <w:t>且</w:t>
            </w:r>
            <w:r>
              <w:rPr>
                <w:rFonts w:ascii="宋体" w:hAnsi="宋体" w:cs="宋体"/>
                <w:color w:val="auto"/>
                <w:kern w:val="0"/>
                <w:sz w:val="24"/>
                <w:highlight w:val="none"/>
              </w:rPr>
              <w:t>能够小部分满足采购需求的得</w:t>
            </w:r>
            <w:r>
              <w:rPr>
                <w:rFonts w:hint="eastAsia" w:ascii="宋体" w:hAnsi="宋体" w:cs="宋体"/>
                <w:color w:val="auto"/>
                <w:kern w:val="0"/>
                <w:sz w:val="24"/>
                <w:highlight w:val="none"/>
                <w:lang w:val="en-US" w:eastAsia="zh-CN"/>
              </w:rPr>
              <w:t>1</w:t>
            </w:r>
            <w:r>
              <w:rPr>
                <w:rFonts w:ascii="宋体" w:hAnsi="宋体" w:cs="宋体"/>
                <w:color w:val="auto"/>
                <w:kern w:val="0"/>
                <w:sz w:val="24"/>
                <w:highlight w:val="none"/>
              </w:rPr>
              <w:t>分；其它或未提供不得分。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185" w:type="dxa"/>
            <w:tcBorders>
              <w:left w:val="outset" w:color="auto" w:sz="6" w:space="0"/>
              <w:right w:val="outset" w:color="auto" w:sz="6" w:space="0"/>
            </w:tcBorders>
            <w:vAlign w:val="center"/>
          </w:tcPr>
          <w:p>
            <w:pPr>
              <w:widowControl/>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管理计划</w:t>
            </w:r>
          </w:p>
        </w:tc>
        <w:tc>
          <w:tcPr>
            <w:tcW w:w="655"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657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kern w:val="0"/>
                <w:sz w:val="24"/>
                <w:highlight w:val="none"/>
              </w:rPr>
            </w:pPr>
            <w:r>
              <w:rPr>
                <w:rFonts w:hint="default" w:ascii="宋体" w:hAnsi="宋体" w:eastAsia="宋体" w:cs="宋体"/>
                <w:color w:val="auto"/>
                <w:kern w:val="0"/>
                <w:sz w:val="24"/>
                <w:szCs w:val="24"/>
                <w:highlight w:val="none"/>
              </w:rPr>
              <w:t>根据投标人提供的维护计划（以目前高新区的整体情况）的合理性、完整性进行评价，评审内容：每天例行维护工作情况、每月例行维护工作情况、每季度例行维护工作情况、其他维护工作的响应情况，</w:t>
            </w:r>
            <w:r>
              <w:rPr>
                <w:rFonts w:ascii="宋体" w:hAnsi="宋体" w:eastAsia="宋体" w:cs="宋体"/>
                <w:color w:val="auto"/>
                <w:kern w:val="0"/>
                <w:sz w:val="24"/>
                <w:highlight w:val="none"/>
              </w:rPr>
              <w:t>由评委进行打分</w:t>
            </w:r>
            <w:r>
              <w:rPr>
                <w:rFonts w:hint="eastAsia" w:ascii="宋体" w:hAnsi="宋体" w:eastAsia="宋体" w:cs="宋体"/>
                <w:color w:val="auto"/>
                <w:kern w:val="0"/>
                <w:sz w:val="24"/>
                <w:highlight w:val="none"/>
              </w:rPr>
              <w:t>：</w:t>
            </w:r>
            <w:r>
              <w:rPr>
                <w:rFonts w:ascii="宋体" w:hAnsi="宋体" w:cs="宋体"/>
                <w:color w:val="auto"/>
                <w:kern w:val="0"/>
                <w:sz w:val="24"/>
                <w:highlight w:val="none"/>
              </w:rPr>
              <w:t>方案内容详细完整、实施性强</w:t>
            </w:r>
            <w:r>
              <w:rPr>
                <w:rFonts w:hint="eastAsia" w:ascii="宋体" w:hAnsi="宋体" w:cs="宋体"/>
                <w:color w:val="auto"/>
                <w:kern w:val="0"/>
                <w:sz w:val="24"/>
                <w:highlight w:val="none"/>
              </w:rPr>
              <w:t>且</w:t>
            </w:r>
            <w:r>
              <w:rPr>
                <w:rFonts w:ascii="宋体" w:hAnsi="宋体" w:cs="宋体"/>
                <w:color w:val="auto"/>
                <w:kern w:val="0"/>
                <w:sz w:val="24"/>
                <w:highlight w:val="none"/>
              </w:rPr>
              <w:t>能够完全满足采购需求的得</w:t>
            </w:r>
            <w:r>
              <w:rPr>
                <w:rFonts w:hint="eastAsia" w:ascii="宋体" w:hAnsi="宋体" w:cs="宋体"/>
                <w:color w:val="auto"/>
                <w:kern w:val="0"/>
                <w:sz w:val="24"/>
                <w:highlight w:val="none"/>
                <w:lang w:val="en-US" w:eastAsia="zh-CN"/>
              </w:rPr>
              <w:t>3</w:t>
            </w:r>
            <w:r>
              <w:rPr>
                <w:rFonts w:ascii="宋体" w:hAnsi="宋体" w:cs="宋体"/>
                <w:color w:val="auto"/>
                <w:kern w:val="0"/>
                <w:sz w:val="24"/>
                <w:highlight w:val="none"/>
              </w:rPr>
              <w:t>分；方案内容较完整、实施性较强</w:t>
            </w:r>
            <w:r>
              <w:rPr>
                <w:rFonts w:hint="eastAsia" w:ascii="宋体" w:hAnsi="宋体" w:cs="宋体"/>
                <w:color w:val="auto"/>
                <w:kern w:val="0"/>
                <w:sz w:val="24"/>
                <w:highlight w:val="none"/>
              </w:rPr>
              <w:t>且</w:t>
            </w:r>
            <w:r>
              <w:rPr>
                <w:rFonts w:ascii="宋体" w:hAnsi="宋体" w:cs="宋体"/>
                <w:color w:val="auto"/>
                <w:kern w:val="0"/>
                <w:sz w:val="24"/>
                <w:highlight w:val="none"/>
              </w:rPr>
              <w:t>能够大部分满足采购需求的得</w:t>
            </w:r>
            <w:r>
              <w:rPr>
                <w:rFonts w:hint="eastAsia" w:ascii="宋体" w:hAnsi="宋体" w:cs="宋体"/>
                <w:color w:val="auto"/>
                <w:kern w:val="0"/>
                <w:sz w:val="24"/>
                <w:highlight w:val="none"/>
                <w:lang w:val="en-US" w:eastAsia="zh-CN"/>
              </w:rPr>
              <w:t>2</w:t>
            </w:r>
            <w:r>
              <w:rPr>
                <w:rFonts w:ascii="宋体" w:hAnsi="宋体" w:cs="宋体"/>
                <w:color w:val="auto"/>
                <w:kern w:val="0"/>
                <w:sz w:val="24"/>
                <w:highlight w:val="none"/>
              </w:rPr>
              <w:t>分；内容一般、实施性一般</w:t>
            </w:r>
            <w:r>
              <w:rPr>
                <w:rFonts w:hint="eastAsia" w:ascii="宋体" w:hAnsi="宋体" w:cs="宋体"/>
                <w:color w:val="auto"/>
                <w:kern w:val="0"/>
                <w:sz w:val="24"/>
                <w:highlight w:val="none"/>
              </w:rPr>
              <w:t>且</w:t>
            </w:r>
            <w:r>
              <w:rPr>
                <w:rFonts w:ascii="宋体" w:hAnsi="宋体" w:cs="宋体"/>
                <w:color w:val="auto"/>
                <w:kern w:val="0"/>
                <w:sz w:val="24"/>
                <w:highlight w:val="none"/>
              </w:rPr>
              <w:t>能够小部分满足采购需求的得</w:t>
            </w:r>
            <w:r>
              <w:rPr>
                <w:rFonts w:hint="eastAsia" w:ascii="宋体" w:hAnsi="宋体" w:cs="宋体"/>
                <w:color w:val="auto"/>
                <w:kern w:val="0"/>
                <w:sz w:val="24"/>
                <w:highlight w:val="none"/>
                <w:lang w:val="en-US" w:eastAsia="zh-CN"/>
              </w:rPr>
              <w:t>1</w:t>
            </w:r>
            <w:r>
              <w:rPr>
                <w:rFonts w:ascii="宋体" w:hAnsi="宋体" w:cs="宋体"/>
                <w:color w:val="auto"/>
                <w:kern w:val="0"/>
                <w:sz w:val="24"/>
                <w:highlight w:val="none"/>
              </w:rPr>
              <w:t>分；其它或未提供不得分。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185" w:type="dxa"/>
            <w:tcBorders>
              <w:left w:val="outset" w:color="auto" w:sz="6" w:space="0"/>
              <w:right w:val="outset" w:color="auto" w:sz="6" w:space="0"/>
            </w:tcBorders>
            <w:vAlign w:val="center"/>
          </w:tcPr>
          <w:p>
            <w:pPr>
              <w:widowControl/>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人员管理</w:t>
            </w:r>
          </w:p>
        </w:tc>
        <w:tc>
          <w:tcPr>
            <w:tcW w:w="655" w:type="dxa"/>
            <w:tcBorders>
              <w:top w:val="outset" w:color="auto" w:sz="6" w:space="0"/>
              <w:left w:val="outset" w:color="auto" w:sz="6" w:space="0"/>
              <w:bottom w:val="outset" w:color="auto" w:sz="6" w:space="0"/>
              <w:right w:val="outset" w:color="auto" w:sz="6" w:space="0"/>
            </w:tcBorders>
            <w:vAlign w:val="center"/>
          </w:tcPr>
          <w:p>
            <w:pPr>
              <w:widowControl/>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6571" w:type="dxa"/>
            <w:tcBorders>
              <w:top w:val="outset" w:color="auto" w:sz="6" w:space="0"/>
              <w:left w:val="outset" w:color="auto" w:sz="6" w:space="0"/>
              <w:bottom w:val="outset" w:color="auto" w:sz="6" w:space="0"/>
              <w:right w:val="outset" w:color="auto" w:sz="6" w:space="0"/>
            </w:tcBorders>
            <w:vAlign w:val="center"/>
          </w:tcPr>
          <w:p>
            <w:pPr>
              <w:widowControl/>
              <w:jc w:val="left"/>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根据各投标人提供的如何保障维护人员工资福利方案，由评委按以下标准进行评分：方案详细完整合理，可操作性强，有针对性的得3分；针对性提出实施方案基本完整，可操作性一般的得2分，未针对性提出实施方案，且可操作性较差的得1分；未提供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185" w:type="dxa"/>
            <w:tcBorders>
              <w:left w:val="outset" w:color="auto" w:sz="6" w:space="0"/>
              <w:right w:val="outset" w:color="auto" w:sz="6" w:space="0"/>
            </w:tcBorders>
            <w:vAlign w:val="center"/>
          </w:tcPr>
          <w:p>
            <w:pPr>
              <w:widowControl/>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档案管理</w:t>
            </w:r>
          </w:p>
        </w:tc>
        <w:tc>
          <w:tcPr>
            <w:tcW w:w="655" w:type="dxa"/>
            <w:tcBorders>
              <w:top w:val="outset" w:color="auto" w:sz="6" w:space="0"/>
              <w:left w:val="outset" w:color="auto" w:sz="6" w:space="0"/>
              <w:bottom w:val="outset" w:color="auto" w:sz="6" w:space="0"/>
              <w:right w:val="outset" w:color="auto" w:sz="6" w:space="0"/>
            </w:tcBorders>
            <w:vAlign w:val="center"/>
          </w:tcPr>
          <w:p>
            <w:pPr>
              <w:widowControl/>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6571" w:type="dxa"/>
            <w:tcBorders>
              <w:top w:val="outset" w:color="auto" w:sz="6" w:space="0"/>
              <w:left w:val="outset" w:color="auto" w:sz="6" w:space="0"/>
              <w:bottom w:val="outset" w:color="auto" w:sz="6" w:space="0"/>
              <w:right w:val="outset" w:color="auto" w:sz="6" w:space="0"/>
            </w:tcBorders>
            <w:vAlign w:val="center"/>
          </w:tcPr>
          <w:p>
            <w:pPr>
              <w:widowControl/>
              <w:jc w:val="left"/>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bidi="ar"/>
              </w:rPr>
              <w:t>根据各投标人提供的针对本项目制定的交通设施档案管理方案的合理性、可行性等情况，由评标委员进行评分，方案整体思路清晰，内容描述准确，设计合理，结构清晰、逻辑性强的得3分；方案整体思路不够清晰，内容描述不够准确，设计合理性一般的得2分；内容描述模糊，内容描述简单，设计不够合理，结构简单、逻辑性差的得1分，未提供的不得分。</w:t>
            </w:r>
          </w:p>
        </w:tc>
      </w:tr>
    </w:tbl>
    <w:p>
      <w:pPr>
        <w:pStyle w:val="11"/>
        <w:keepNext w:val="0"/>
        <w:keepLines w:val="0"/>
        <w:widowControl/>
        <w:suppressLineNumbers w:val="0"/>
        <w:spacing w:before="0" w:beforeAutospacing="0" w:after="150" w:afterAutospacing="0"/>
        <w:ind w:left="0" w:right="0" w:firstLine="480"/>
        <w:rPr>
          <w:color w:val="auto"/>
          <w:highlight w:val="none"/>
        </w:rPr>
      </w:pPr>
      <w:r>
        <w:rPr>
          <w:rFonts w:hint="eastAsia" w:ascii="宋体" w:hAnsi="宋体" w:eastAsia="宋体" w:cs="宋体"/>
          <w:color w:val="auto"/>
          <w:sz w:val="24"/>
          <w:szCs w:val="24"/>
          <w:highlight w:val="none"/>
        </w:rPr>
        <w:t>③商务项（</w:t>
      </w:r>
      <w:r>
        <w:rPr>
          <w:rFonts w:hint="default" w:ascii="Calibri" w:hAnsi="Calibri" w:eastAsia="宋体" w:cs="Calibri"/>
          <w:color w:val="auto"/>
          <w:sz w:val="24"/>
          <w:szCs w:val="24"/>
          <w:highlight w:val="none"/>
        </w:rPr>
        <w:t>F3</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A3</w:t>
      </w:r>
      <w:r>
        <w:rPr>
          <w:rFonts w:hint="eastAsia" w:ascii="宋体" w:hAnsi="宋体" w:eastAsia="宋体" w:cs="宋体"/>
          <w:color w:val="auto"/>
          <w:sz w:val="24"/>
          <w:szCs w:val="24"/>
          <w:highlight w:val="none"/>
        </w:rPr>
        <w:t>）满分为</w:t>
      </w:r>
      <w:r>
        <w:rPr>
          <w:rFonts w:hint="eastAsia" w:ascii="宋体" w:hAnsi="宋体" w:eastAsia="宋体" w:cs="宋体"/>
          <w:color w:val="auto"/>
          <w:sz w:val="24"/>
          <w:szCs w:val="24"/>
          <w:highlight w:val="none"/>
          <w:u w:val="single"/>
          <w:lang w:val="en-US" w:eastAsia="zh-CN"/>
        </w:rPr>
        <w:t>20</w:t>
      </w:r>
      <w:r>
        <w:rPr>
          <w:rFonts w:hint="eastAsia" w:ascii="宋体" w:hAnsi="宋体" w:eastAsia="宋体" w:cs="宋体"/>
          <w:color w:val="auto"/>
          <w:sz w:val="24"/>
          <w:szCs w:val="24"/>
          <w:highlight w:val="none"/>
        </w:rPr>
        <w:t>分。</w:t>
      </w:r>
    </w:p>
    <w:tbl>
      <w:tblPr>
        <w:tblStyle w:val="14"/>
        <w:tblW w:w="8321"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19"/>
        <w:gridCol w:w="734"/>
        <w:gridCol w:w="64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blCellSpacing w:w="0" w:type="dxa"/>
        </w:trPr>
        <w:tc>
          <w:tcPr>
            <w:tcW w:w="111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评标项目</w:t>
            </w:r>
          </w:p>
        </w:tc>
        <w:tc>
          <w:tcPr>
            <w:tcW w:w="7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评标分值</w:t>
            </w:r>
          </w:p>
        </w:tc>
        <w:tc>
          <w:tcPr>
            <w:tcW w:w="64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11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sz w:val="24"/>
                <w:highlight w:val="none"/>
              </w:rPr>
              <w:t>综合实力1</w:t>
            </w:r>
          </w:p>
        </w:tc>
        <w:tc>
          <w:tcPr>
            <w:tcW w:w="7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64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rPr>
              <w:t>为保障维护的质量与产品的与时俱进，</w:t>
            </w:r>
            <w:r>
              <w:rPr>
                <w:rFonts w:hint="eastAsia" w:ascii="宋体" w:hAnsi="宋体" w:eastAsia="宋体" w:cs="宋体"/>
                <w:color w:val="auto"/>
                <w:kern w:val="2"/>
                <w:sz w:val="24"/>
                <w:szCs w:val="24"/>
                <w:highlight w:val="none"/>
              </w:rPr>
              <w:t>投标人所提供</w:t>
            </w:r>
            <w:r>
              <w:rPr>
                <w:rFonts w:hint="eastAsia" w:ascii="宋体" w:hAnsi="宋体" w:eastAsia="宋体" w:cs="宋体"/>
                <w:color w:val="auto"/>
                <w:kern w:val="2"/>
                <w:sz w:val="24"/>
                <w:szCs w:val="24"/>
                <w:highlight w:val="none"/>
                <w:lang w:val="en-US" w:eastAsia="zh-CN"/>
              </w:rPr>
              <w:t>的</w:t>
            </w:r>
            <w:r>
              <w:rPr>
                <w:rFonts w:hint="eastAsia" w:ascii="宋体" w:hAnsi="宋体" w:eastAsia="宋体" w:cs="宋体"/>
                <w:color w:val="auto"/>
                <w:kern w:val="2"/>
                <w:sz w:val="24"/>
                <w:szCs w:val="24"/>
                <w:highlight w:val="none"/>
              </w:rPr>
              <w:t>信号机</w:t>
            </w:r>
            <w:r>
              <w:rPr>
                <w:rFonts w:hint="eastAsia" w:ascii="宋体" w:hAnsi="宋体" w:eastAsia="宋体" w:cs="宋体"/>
                <w:color w:val="auto"/>
                <w:kern w:val="2"/>
                <w:sz w:val="24"/>
                <w:szCs w:val="24"/>
                <w:highlight w:val="none"/>
                <w:lang w:val="en-US" w:eastAsia="zh-CN"/>
              </w:rPr>
              <w:t>或监控备件</w:t>
            </w:r>
            <w:r>
              <w:rPr>
                <w:rFonts w:hint="eastAsia" w:ascii="宋体" w:hAnsi="宋体" w:eastAsia="宋体" w:cs="宋体"/>
                <w:color w:val="auto"/>
                <w:kern w:val="2"/>
                <w:sz w:val="24"/>
                <w:szCs w:val="24"/>
                <w:highlight w:val="none"/>
              </w:rPr>
              <w:t>品牌</w:t>
            </w:r>
            <w:r>
              <w:rPr>
                <w:rFonts w:hint="eastAsia" w:ascii="宋体" w:hAnsi="宋体" w:eastAsia="宋体" w:cs="宋体"/>
                <w:color w:val="auto"/>
                <w:kern w:val="2"/>
                <w:sz w:val="24"/>
                <w:szCs w:val="24"/>
                <w:highlight w:val="none"/>
                <w:lang w:val="en-US" w:eastAsia="zh-CN"/>
              </w:rPr>
              <w:t>应具备良好的研发创新能力，品牌具备省级或以上政府部门颁发的国家新一代人工智能开放创新平台的</w:t>
            </w:r>
            <w:r>
              <w:rPr>
                <w:rFonts w:hint="eastAsia" w:ascii="宋体" w:hAnsi="宋体" w:eastAsia="宋体" w:cs="宋体"/>
                <w:color w:val="auto"/>
                <w:kern w:val="2"/>
                <w:sz w:val="24"/>
                <w:szCs w:val="24"/>
                <w:highlight w:val="none"/>
              </w:rPr>
              <w:t>得1分，其他不得分</w:t>
            </w:r>
            <w:r>
              <w:rPr>
                <w:rFonts w:hint="eastAsia" w:ascii="宋体" w:hAnsi="宋体" w:eastAsia="宋体" w:cs="宋体"/>
                <w:color w:val="auto"/>
                <w:sz w:val="24"/>
                <w:highlight w:val="none"/>
              </w:rPr>
              <w:t>（投标时提供有效证明材料复印件作为佐证材料，原件备查）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11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sz w:val="24"/>
                <w:highlight w:val="none"/>
              </w:rPr>
              <w:t>综合实力2</w:t>
            </w:r>
          </w:p>
        </w:tc>
        <w:tc>
          <w:tcPr>
            <w:tcW w:w="7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64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2"/>
                <w:sz w:val="24"/>
                <w:szCs w:val="24"/>
                <w:highlight w:val="none"/>
              </w:rPr>
              <w:t>投标人所提供信号机</w:t>
            </w:r>
            <w:r>
              <w:rPr>
                <w:rFonts w:hint="eastAsia" w:ascii="宋体" w:hAnsi="宋体" w:eastAsia="宋体" w:cs="宋体"/>
                <w:color w:val="auto"/>
                <w:kern w:val="2"/>
                <w:sz w:val="24"/>
                <w:szCs w:val="24"/>
                <w:highlight w:val="none"/>
                <w:lang w:val="en-US" w:eastAsia="zh-CN"/>
              </w:rPr>
              <w:t>或监控备件</w:t>
            </w:r>
            <w:r>
              <w:rPr>
                <w:rFonts w:hint="eastAsia" w:ascii="宋体" w:hAnsi="宋体" w:eastAsia="宋体" w:cs="宋体"/>
                <w:color w:val="auto"/>
                <w:kern w:val="2"/>
                <w:sz w:val="24"/>
                <w:szCs w:val="24"/>
                <w:highlight w:val="none"/>
              </w:rPr>
              <w:t>品牌</w:t>
            </w:r>
            <w:r>
              <w:rPr>
                <w:rFonts w:hint="eastAsia" w:ascii="宋体" w:hAnsi="宋体" w:eastAsia="宋体" w:cs="宋体"/>
                <w:color w:val="auto"/>
                <w:kern w:val="2"/>
                <w:sz w:val="24"/>
                <w:szCs w:val="24"/>
                <w:highlight w:val="none"/>
                <w:lang w:val="en-US" w:eastAsia="zh-CN"/>
              </w:rPr>
              <w:t>应能提供良好的关键性技术支持，备件品牌</w:t>
            </w:r>
            <w:r>
              <w:rPr>
                <w:rFonts w:hint="eastAsia" w:ascii="宋体" w:hAnsi="宋体" w:eastAsia="宋体" w:cs="宋体"/>
                <w:color w:val="auto"/>
                <w:kern w:val="2"/>
                <w:sz w:val="24"/>
                <w:szCs w:val="24"/>
                <w:highlight w:val="none"/>
              </w:rPr>
              <w:t>获得</w:t>
            </w:r>
            <w:r>
              <w:rPr>
                <w:rFonts w:hint="eastAsia" w:ascii="宋体" w:hAnsi="宋体" w:eastAsia="宋体" w:cs="宋体"/>
                <w:color w:val="auto"/>
                <w:kern w:val="2"/>
                <w:sz w:val="24"/>
                <w:szCs w:val="24"/>
                <w:highlight w:val="none"/>
                <w:lang w:val="en-US" w:eastAsia="zh-CN"/>
              </w:rPr>
              <w:t>过国家科学技术进步奖和国家技术发明奖的</w:t>
            </w:r>
            <w:r>
              <w:rPr>
                <w:rFonts w:hint="eastAsia" w:ascii="宋体" w:hAnsi="宋体" w:eastAsia="宋体" w:cs="宋体"/>
                <w:color w:val="auto"/>
                <w:kern w:val="2"/>
                <w:sz w:val="24"/>
                <w:szCs w:val="24"/>
                <w:highlight w:val="none"/>
              </w:rPr>
              <w:t>得1分，其他不得分</w:t>
            </w:r>
            <w:r>
              <w:rPr>
                <w:rFonts w:hint="eastAsia" w:ascii="宋体" w:hAnsi="宋体" w:cs="宋体"/>
                <w:color w:val="auto"/>
                <w:kern w:val="2"/>
                <w:sz w:val="24"/>
                <w:szCs w:val="24"/>
                <w:highlight w:val="none"/>
                <w:lang w:eastAsia="zh-CN"/>
              </w:rPr>
              <w:t>。</w:t>
            </w:r>
            <w:r>
              <w:rPr>
                <w:rFonts w:hint="eastAsia" w:ascii="宋体" w:hAnsi="宋体" w:eastAsia="宋体" w:cs="宋体"/>
                <w:color w:val="auto"/>
                <w:sz w:val="24"/>
                <w:highlight w:val="none"/>
              </w:rPr>
              <w:t>（投标时提供有效证明材料复印件作为佐证材料，原件备查）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21" w:hRule="atLeast"/>
          <w:tblCellSpacing w:w="0" w:type="dxa"/>
        </w:trPr>
        <w:tc>
          <w:tcPr>
            <w:tcW w:w="1119"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拟维护人员</w:t>
            </w:r>
          </w:p>
        </w:tc>
        <w:tc>
          <w:tcPr>
            <w:tcW w:w="734"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p>
        </w:tc>
        <w:tc>
          <w:tcPr>
            <w:tcW w:w="6468"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eastAsia="宋体" w:cs="宋体"/>
                <w:color w:val="auto"/>
                <w:kern w:val="2"/>
                <w:sz w:val="24"/>
                <w:szCs w:val="24"/>
                <w:highlight w:val="none"/>
              </w:rPr>
            </w:pPr>
            <w:r>
              <w:rPr>
                <w:rFonts w:hint="eastAsia" w:ascii="宋体" w:hAnsi="宋体" w:cs="宋体"/>
                <w:color w:val="auto"/>
                <w:sz w:val="24"/>
                <w:highlight w:val="none"/>
                <w:lang w:val="en-US" w:eastAsia="zh-CN"/>
              </w:rPr>
              <w:t>投标人项目组提供1名或以上注册信息安全专业人员（CISP）的得2分；需提供有效证书的复印件，注明“与原件相符”并加盖公章及所在服务企业投标截止前三</w:t>
            </w:r>
            <w:r>
              <w:rPr>
                <w:rFonts w:hint="eastAsia" w:ascii="宋体" w:hAnsi="宋体" w:eastAsia="宋体" w:cs="宋体"/>
                <w:color w:val="auto"/>
                <w:sz w:val="24"/>
                <w:highlight w:val="none"/>
              </w:rPr>
              <w:t>个月</w:t>
            </w:r>
            <w:r>
              <w:rPr>
                <w:rFonts w:hint="eastAsia" w:ascii="宋体" w:hAnsi="宋体" w:cs="宋体"/>
                <w:color w:val="auto"/>
                <w:sz w:val="24"/>
                <w:highlight w:val="none"/>
                <w:lang w:val="en-US" w:eastAsia="zh-CN"/>
              </w:rPr>
              <w:t>社保证明材料，未提供的不得分。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119" w:type="dxa"/>
            <w:tcBorders>
              <w:top w:val="outset" w:color="auto" w:sz="6" w:space="0"/>
              <w:left w:val="outset" w:color="auto" w:sz="6" w:space="0"/>
              <w:bottom w:val="outset" w:color="auto" w:sz="6" w:space="0"/>
              <w:right w:val="outset" w:color="auto" w:sz="6" w:space="0"/>
            </w:tcBorders>
            <w:vAlign w:val="center"/>
          </w:tcPr>
          <w:p>
            <w:pPr>
              <w:widowControl/>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用户评价</w:t>
            </w:r>
          </w:p>
        </w:tc>
        <w:tc>
          <w:tcPr>
            <w:tcW w:w="7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64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rPr>
              <w:t>根据投标人提供自2019年1月1日起至本项目投标截止时间止（日期以签订合同时间为准）由投标人所完成过同类型项目用户评价情况，用户评价为“满意或优秀”的得2分，其他情况不得分。投标人须提供该评价项目的合同及用户评价证明，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11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sz w:val="24"/>
                <w:highlight w:val="none"/>
              </w:rPr>
              <w:t>人身意外承诺</w:t>
            </w:r>
          </w:p>
        </w:tc>
        <w:tc>
          <w:tcPr>
            <w:tcW w:w="7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6468" w:type="dxa"/>
            <w:tcBorders>
              <w:top w:val="outset" w:color="auto" w:sz="6" w:space="0"/>
              <w:left w:val="outset" w:color="auto" w:sz="6" w:space="0"/>
              <w:bottom w:val="outset" w:color="auto" w:sz="6" w:space="0"/>
              <w:right w:val="outset" w:color="auto" w:sz="6" w:space="0"/>
            </w:tcBorders>
            <w:vAlign w:val="center"/>
          </w:tcPr>
          <w:tbl>
            <w:tblPr>
              <w:tblStyle w:val="14"/>
              <w:tblW w:w="6438" w:type="dxa"/>
              <w:tblCellSpacing w:w="0" w:type="dxa"/>
              <w:tblInd w:w="0" w:type="dxa"/>
              <w:tblLayout w:type="fixed"/>
              <w:tblCellMar>
                <w:top w:w="0" w:type="dxa"/>
                <w:left w:w="0" w:type="dxa"/>
                <w:bottom w:w="0" w:type="dxa"/>
                <w:right w:w="0" w:type="dxa"/>
              </w:tblCellMar>
            </w:tblPr>
            <w:tblGrid>
              <w:gridCol w:w="6438"/>
            </w:tblGrid>
            <w:tr>
              <w:tblPrEx>
                <w:tblLayout w:type="fixed"/>
                <w:tblCellMar>
                  <w:top w:w="0" w:type="dxa"/>
                  <w:left w:w="0" w:type="dxa"/>
                  <w:bottom w:w="0" w:type="dxa"/>
                  <w:right w:w="0" w:type="dxa"/>
                </w:tblCellMar>
              </w:tblPrEx>
              <w:trPr>
                <w:tblCellSpacing w:w="0" w:type="dxa"/>
              </w:trPr>
              <w:tc>
                <w:tcPr>
                  <w:tcW w:w="6438" w:type="dxa"/>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sz w:val="24"/>
                      <w:highlight w:val="none"/>
                    </w:rPr>
                    <w:t>根据投标人为拟投入本项目人员购买服务有效期内的雇主责任险和团体意外伤害险承诺情况进行评分：每人保险金额≥100万元的得2分，100万元＞每人保险金额≥80万元的得1分；80万元＞每人保险金额≥70万元的得0.5分。</w:t>
                  </w:r>
                  <w:r>
                    <w:rPr>
                      <w:rFonts w:hint="eastAsia" w:ascii="宋体" w:hAnsi="宋体" w:eastAsia="宋体" w:cs="宋体"/>
                      <w:i w:val="0"/>
                      <w:iCs w:val="0"/>
                      <w:caps w:val="0"/>
                      <w:color w:val="auto"/>
                      <w:spacing w:val="0"/>
                      <w:kern w:val="2"/>
                      <w:sz w:val="24"/>
                      <w:szCs w:val="24"/>
                      <w:highlight w:val="none"/>
                      <w:lang w:val="en-US" w:eastAsia="zh-CN" w:bidi="ar"/>
                    </w:rPr>
                    <w:t>须提供承诺函（承诺函必须承诺签订合同时提供保单原件备查）并加盖投标人公章，否则不得分。（满分2分）</w:t>
                  </w:r>
                </w:p>
              </w:tc>
            </w:tr>
          </w:tbl>
          <w:p>
            <w:pPr>
              <w:widowControl/>
              <w:jc w:val="left"/>
              <w:rPr>
                <w:rFonts w:ascii="宋体" w:hAnsi="宋体" w:eastAsia="宋体" w:cs="宋体"/>
                <w:color w:val="auto"/>
                <w:sz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11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sz w:val="24"/>
                <w:highlight w:val="none"/>
              </w:rPr>
              <w:t>响应服务承诺</w:t>
            </w:r>
          </w:p>
        </w:tc>
        <w:tc>
          <w:tcPr>
            <w:tcW w:w="734"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64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sz w:val="24"/>
                <w:highlight w:val="none"/>
              </w:rPr>
              <w:t>根据投标人提供的响应服务承诺（包括具体的售后服务内容、服务需求响应时间、响应方式）等方面，</w:t>
            </w:r>
            <w:r>
              <w:rPr>
                <w:rFonts w:ascii="宋体" w:hAnsi="宋体" w:eastAsia="宋体" w:cs="宋体"/>
                <w:color w:val="auto"/>
                <w:kern w:val="0"/>
                <w:sz w:val="24"/>
                <w:highlight w:val="none"/>
              </w:rPr>
              <w:t>由评委进行打分</w:t>
            </w:r>
            <w:r>
              <w:rPr>
                <w:rFonts w:hint="eastAsia" w:ascii="宋体" w:hAnsi="宋体" w:eastAsia="宋体" w:cs="宋体"/>
                <w:color w:val="auto"/>
                <w:kern w:val="0"/>
                <w:sz w:val="24"/>
                <w:highlight w:val="none"/>
              </w:rPr>
              <w:t>：</w:t>
            </w:r>
            <w:r>
              <w:rPr>
                <w:rFonts w:ascii="宋体" w:hAnsi="宋体" w:cs="宋体"/>
                <w:color w:val="auto"/>
                <w:kern w:val="0"/>
                <w:sz w:val="24"/>
                <w:highlight w:val="none"/>
              </w:rPr>
              <w:t>方案内容详细完整、实施性强</w:t>
            </w:r>
            <w:r>
              <w:rPr>
                <w:rFonts w:hint="eastAsia" w:ascii="宋体" w:hAnsi="宋体" w:cs="宋体"/>
                <w:color w:val="auto"/>
                <w:kern w:val="0"/>
                <w:sz w:val="24"/>
                <w:highlight w:val="none"/>
              </w:rPr>
              <w:t>且</w:t>
            </w:r>
            <w:r>
              <w:rPr>
                <w:rFonts w:ascii="宋体" w:hAnsi="宋体" w:cs="宋体"/>
                <w:color w:val="auto"/>
                <w:kern w:val="0"/>
                <w:sz w:val="24"/>
                <w:highlight w:val="none"/>
              </w:rPr>
              <w:t>能够完全满足采购需求的得</w:t>
            </w:r>
            <w:r>
              <w:rPr>
                <w:rFonts w:hint="eastAsia" w:ascii="宋体" w:hAnsi="宋体" w:cs="宋体"/>
                <w:color w:val="auto"/>
                <w:kern w:val="0"/>
                <w:sz w:val="24"/>
                <w:highlight w:val="none"/>
                <w:lang w:val="en-US" w:eastAsia="zh-CN"/>
              </w:rPr>
              <w:t>3</w:t>
            </w:r>
            <w:r>
              <w:rPr>
                <w:rFonts w:ascii="宋体" w:hAnsi="宋体" w:cs="宋体"/>
                <w:color w:val="auto"/>
                <w:kern w:val="0"/>
                <w:sz w:val="24"/>
                <w:highlight w:val="none"/>
              </w:rPr>
              <w:t>分；方案内容较完整、实施性较强</w:t>
            </w:r>
            <w:r>
              <w:rPr>
                <w:rFonts w:hint="eastAsia" w:ascii="宋体" w:hAnsi="宋体" w:cs="宋体"/>
                <w:color w:val="auto"/>
                <w:kern w:val="0"/>
                <w:sz w:val="24"/>
                <w:highlight w:val="none"/>
              </w:rPr>
              <w:t>且</w:t>
            </w:r>
            <w:r>
              <w:rPr>
                <w:rFonts w:ascii="宋体" w:hAnsi="宋体" w:cs="宋体"/>
                <w:color w:val="auto"/>
                <w:kern w:val="0"/>
                <w:sz w:val="24"/>
                <w:highlight w:val="none"/>
              </w:rPr>
              <w:t>能够大部分满足采购需求的得</w:t>
            </w:r>
            <w:r>
              <w:rPr>
                <w:rFonts w:hint="eastAsia" w:ascii="宋体" w:hAnsi="宋体" w:cs="宋体"/>
                <w:color w:val="auto"/>
                <w:kern w:val="0"/>
                <w:sz w:val="24"/>
                <w:highlight w:val="none"/>
                <w:lang w:val="en-US" w:eastAsia="zh-CN"/>
              </w:rPr>
              <w:t>2</w:t>
            </w:r>
            <w:r>
              <w:rPr>
                <w:rFonts w:ascii="宋体" w:hAnsi="宋体" w:cs="宋体"/>
                <w:color w:val="auto"/>
                <w:kern w:val="0"/>
                <w:sz w:val="24"/>
                <w:highlight w:val="none"/>
              </w:rPr>
              <w:t>分；内容一般、实施性一般</w:t>
            </w:r>
            <w:r>
              <w:rPr>
                <w:rFonts w:hint="eastAsia" w:ascii="宋体" w:hAnsi="宋体" w:cs="宋体"/>
                <w:color w:val="auto"/>
                <w:kern w:val="0"/>
                <w:sz w:val="24"/>
                <w:highlight w:val="none"/>
              </w:rPr>
              <w:t>且</w:t>
            </w:r>
            <w:r>
              <w:rPr>
                <w:rFonts w:ascii="宋体" w:hAnsi="宋体" w:cs="宋体"/>
                <w:color w:val="auto"/>
                <w:kern w:val="0"/>
                <w:sz w:val="24"/>
                <w:highlight w:val="none"/>
              </w:rPr>
              <w:t>能够小部分满足采购需求的得</w:t>
            </w:r>
            <w:r>
              <w:rPr>
                <w:rFonts w:hint="eastAsia" w:ascii="宋体" w:hAnsi="宋体" w:cs="宋体"/>
                <w:color w:val="auto"/>
                <w:kern w:val="0"/>
                <w:sz w:val="24"/>
                <w:highlight w:val="none"/>
                <w:lang w:val="en-US" w:eastAsia="zh-CN"/>
              </w:rPr>
              <w:t>1</w:t>
            </w:r>
            <w:r>
              <w:rPr>
                <w:rFonts w:ascii="宋体" w:hAnsi="宋体" w:cs="宋体"/>
                <w:color w:val="auto"/>
                <w:kern w:val="0"/>
                <w:sz w:val="24"/>
                <w:highlight w:val="none"/>
              </w:rPr>
              <w:t>分；其它或未提供不得分。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853" w:hRule="atLeast"/>
          <w:tblCellSpacing w:w="0" w:type="dxa"/>
        </w:trPr>
        <w:tc>
          <w:tcPr>
            <w:tcW w:w="1119" w:type="dxa"/>
            <w:tcBorders>
              <w:top w:val="outset" w:color="auto" w:sz="6" w:space="0"/>
              <w:left w:val="outset" w:color="auto" w:sz="6" w:space="0"/>
              <w:bottom w:val="outset" w:color="auto" w:sz="6" w:space="0"/>
              <w:right w:val="outset" w:color="auto" w:sz="6" w:space="0"/>
            </w:tcBorders>
            <w:vAlign w:val="center"/>
          </w:tcPr>
          <w:p>
            <w:pPr>
              <w:widowControl/>
              <w:jc w:val="left"/>
              <w:rPr>
                <w:rFonts w:hint="default" w:ascii="宋体" w:hAnsi="宋体" w:eastAsia="宋体" w:cs="宋体"/>
                <w:color w:val="auto"/>
                <w:sz w:val="24"/>
                <w:highlight w:val="none"/>
                <w:lang w:val="en-US" w:eastAsia="zh-CN"/>
              </w:rPr>
            </w:pPr>
            <w:r>
              <w:rPr>
                <w:rFonts w:hint="eastAsia" w:ascii="宋体" w:hAnsi="宋体" w:cs="宋体"/>
                <w:color w:val="auto"/>
                <w:sz w:val="24"/>
                <w:szCs w:val="24"/>
                <w:highlight w:val="none"/>
                <w:lang w:val="en-US" w:eastAsia="zh-CN"/>
              </w:rPr>
              <w:t>律师服务</w:t>
            </w:r>
          </w:p>
        </w:tc>
        <w:tc>
          <w:tcPr>
            <w:tcW w:w="7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6468" w:type="dxa"/>
            <w:tcBorders>
              <w:top w:val="outset" w:color="auto" w:sz="6" w:space="0"/>
              <w:left w:val="outset" w:color="auto" w:sz="6" w:space="0"/>
              <w:bottom w:val="outset" w:color="auto" w:sz="6" w:space="0"/>
              <w:right w:val="outset" w:color="auto" w:sz="6" w:space="0"/>
            </w:tcBorders>
            <w:vAlign w:val="center"/>
          </w:tcPr>
          <w:p>
            <w:pPr>
              <w:widowControl/>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投标人有与律师事务所合作，解决企业相关法律咨询问题得3分（满分3分）。注：须同时提供相关合作协议证明、汇款转账凭证、发票复印件等证明并加盖投标人公章，否则不得分。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119" w:type="dxa"/>
            <w:tcBorders>
              <w:top w:val="outset" w:color="auto" w:sz="6" w:space="0"/>
              <w:left w:val="outset" w:color="auto" w:sz="6" w:space="0"/>
              <w:bottom w:val="outset" w:color="auto" w:sz="6" w:space="0"/>
              <w:right w:val="outset" w:color="auto" w:sz="6" w:space="0"/>
            </w:tcBorders>
            <w:vAlign w:val="center"/>
          </w:tcPr>
          <w:p>
            <w:pPr>
              <w:widowControl/>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管理制度</w:t>
            </w:r>
          </w:p>
        </w:tc>
        <w:tc>
          <w:tcPr>
            <w:tcW w:w="7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6468" w:type="dxa"/>
            <w:tcBorders>
              <w:top w:val="outset" w:color="auto" w:sz="6" w:space="0"/>
              <w:left w:val="outset" w:color="auto" w:sz="6" w:space="0"/>
              <w:bottom w:val="outset" w:color="auto" w:sz="6" w:space="0"/>
              <w:right w:val="outset" w:color="auto" w:sz="6" w:space="0"/>
            </w:tcBorders>
            <w:vAlign w:val="center"/>
          </w:tcPr>
          <w:p>
            <w:pPr>
              <w:widowControl/>
              <w:jc w:val="left"/>
              <w:rPr>
                <w:rFonts w:hint="default"/>
                <w:color w:val="auto"/>
                <w:highlight w:val="none"/>
                <w:lang w:val="en-US" w:eastAsia="zh-CN"/>
              </w:rPr>
            </w:pPr>
            <w:r>
              <w:rPr>
                <w:rFonts w:hint="eastAsia" w:ascii="宋体" w:hAnsi="宋体" w:cs="宋体"/>
                <w:color w:val="auto"/>
                <w:sz w:val="24"/>
                <w:highlight w:val="none"/>
                <w:lang w:val="en-US" w:eastAsia="zh-CN"/>
              </w:rPr>
              <w:t>根据投标人提供的组织架构、管理制度方案（包括人员岗位安排、工作流程、资料档案管理、财务管理制度、劳动保障等管理规章制度）等制度，</w:t>
            </w:r>
            <w:r>
              <w:rPr>
                <w:rFonts w:hint="default" w:ascii="宋体" w:hAnsi="宋体" w:eastAsia="宋体" w:cs="宋体"/>
                <w:color w:val="auto"/>
                <w:kern w:val="0"/>
                <w:sz w:val="24"/>
                <w:szCs w:val="24"/>
                <w:highlight w:val="none"/>
                <w:lang w:val="en-US" w:eastAsia="zh-CN" w:bidi="ar"/>
              </w:rPr>
              <w:t>由评标委员进行评分，方案整体思路清晰，内容描述准确，设计合理，结构清晰、逻辑性强的得3分；方案整体思路不够清晰，内容描述不够准确，设计合理性一般的得2分；内容描述模糊，内容描述简单，设计不够合理，结构简单、逻辑性差的得1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119"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材料编制</w:t>
            </w:r>
          </w:p>
        </w:tc>
        <w:tc>
          <w:tcPr>
            <w:tcW w:w="734"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6468"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根据提供的投标文件的制作规范合理、节点清晰、提供资料齐全等情况，由评委进行横向评议。文件制作规范合理、节点清晰、材料齐全，语句表达优美的得3分；文件制作粗糙、节点较清晰、资料较齐全，语句表达一般的得2分；文件制作不完善、节点模糊，得1分。</w:t>
            </w:r>
          </w:p>
        </w:tc>
      </w:tr>
    </w:tbl>
    <w:p>
      <w:pPr>
        <w:pStyle w:val="11"/>
        <w:keepNext w:val="0"/>
        <w:keepLines w:val="0"/>
        <w:widowControl/>
        <w:suppressLineNumbers w:val="0"/>
        <w:spacing w:before="0" w:beforeAutospacing="0" w:after="150" w:afterAutospacing="0"/>
        <w:ind w:left="0" w:right="0" w:firstLine="480"/>
        <w:rPr>
          <w:color w:val="auto"/>
          <w:highlight w:val="none"/>
        </w:rPr>
      </w:pPr>
      <w:r>
        <w:rPr>
          <w:rFonts w:hint="eastAsia" w:ascii="宋体" w:hAnsi="宋体" w:eastAsia="宋体" w:cs="宋体"/>
          <w:color w:val="auto"/>
          <w:sz w:val="24"/>
          <w:szCs w:val="24"/>
          <w:highlight w:val="none"/>
        </w:rPr>
        <w:t>④加分项（</w:t>
      </w:r>
      <w:r>
        <w:rPr>
          <w:rFonts w:hint="default" w:ascii="Calibri" w:hAnsi="Calibri" w:eastAsia="宋体" w:cs="Calibri"/>
          <w:color w:val="auto"/>
          <w:sz w:val="24"/>
          <w:szCs w:val="24"/>
          <w:highlight w:val="none"/>
        </w:rPr>
        <w:t>F4</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A4</w:t>
      </w:r>
      <w:r>
        <w:rPr>
          <w:rFonts w:hint="eastAsia" w:ascii="宋体" w:hAnsi="宋体" w:eastAsia="宋体" w:cs="宋体"/>
          <w:color w:val="auto"/>
          <w:sz w:val="24"/>
          <w:szCs w:val="24"/>
          <w:highlight w:val="none"/>
        </w:rPr>
        <w:t>）</w:t>
      </w:r>
    </w:p>
    <w:p>
      <w:pPr>
        <w:pStyle w:val="11"/>
        <w:keepNext w:val="0"/>
        <w:keepLines w:val="0"/>
        <w:widowControl/>
        <w:suppressLineNumbers w:val="0"/>
        <w:spacing w:before="0" w:beforeAutospacing="0" w:after="150" w:afterAutospacing="0"/>
        <w:ind w:left="0" w:right="0" w:firstLine="480"/>
        <w:rPr>
          <w:color w:val="auto"/>
          <w:highlight w:val="none"/>
        </w:rPr>
      </w:pPr>
      <w:r>
        <w:rPr>
          <w:rFonts w:hint="eastAsia" w:ascii="宋体" w:hAnsi="宋体" w:eastAsia="宋体" w:cs="宋体"/>
          <w:color w:val="auto"/>
          <w:sz w:val="24"/>
          <w:szCs w:val="24"/>
          <w:highlight w:val="none"/>
        </w:rPr>
        <w:t>a.优先类节能产品、环境标志产品：</w:t>
      </w:r>
    </w:p>
    <w:p>
      <w:pPr>
        <w:pStyle w:val="11"/>
        <w:keepNext w:val="0"/>
        <w:keepLines w:val="0"/>
        <w:widowControl/>
        <w:suppressLineNumbers w:val="0"/>
        <w:spacing w:before="0" w:beforeAutospacing="0" w:after="150" w:afterAutospacing="0"/>
        <w:ind w:left="0" w:right="0" w:firstLine="480"/>
        <w:rPr>
          <w:color w:val="auto"/>
          <w:highlight w:val="none"/>
        </w:rPr>
      </w:pPr>
      <w:r>
        <w:rPr>
          <w:rFonts w:hint="eastAsia" w:ascii="宋体" w:hAnsi="宋体" w:eastAsia="宋体" w:cs="宋体"/>
          <w:color w:val="auto"/>
          <w:sz w:val="24"/>
          <w:szCs w:val="24"/>
          <w:highlight w:val="none"/>
        </w:rPr>
        <w:t>a1若同一采购包内节能、环境标志产品报价总金额低于该采购包报价总金额</w:t>
      </w:r>
      <w:r>
        <w:rPr>
          <w:rFonts w:hint="default" w:ascii="Calibri" w:hAnsi="Calibri" w:eastAsia="宋体" w:cs="Calibri"/>
          <w:color w:val="auto"/>
          <w:sz w:val="24"/>
          <w:szCs w:val="24"/>
          <w:highlight w:val="none"/>
        </w:rPr>
        <w:t>20%</w:t>
      </w:r>
      <w:r>
        <w:rPr>
          <w:rFonts w:hint="eastAsia" w:ascii="宋体" w:hAnsi="宋体" w:eastAsia="宋体" w:cs="宋体"/>
          <w:color w:val="auto"/>
          <w:sz w:val="24"/>
          <w:szCs w:val="24"/>
          <w:highlight w:val="none"/>
        </w:rPr>
        <w:t>（含</w:t>
      </w:r>
      <w:r>
        <w:rPr>
          <w:rFonts w:hint="default" w:ascii="Calibri" w:hAnsi="Calibri" w:eastAsia="宋体" w:cs="Calibri"/>
          <w:color w:val="auto"/>
          <w:sz w:val="24"/>
          <w:szCs w:val="24"/>
          <w:highlight w:val="none"/>
        </w:rPr>
        <w:t>20%</w:t>
      </w:r>
      <w:r>
        <w:rPr>
          <w:rFonts w:hint="eastAsia" w:ascii="宋体" w:hAnsi="宋体" w:eastAsia="宋体" w:cs="宋体"/>
          <w:color w:val="auto"/>
          <w:sz w:val="24"/>
          <w:szCs w:val="24"/>
          <w:highlight w:val="none"/>
        </w:rPr>
        <w:t>）以下，将分别给予节能、环境标志产品价格项（</w:t>
      </w:r>
      <w:r>
        <w:rPr>
          <w:rFonts w:hint="default" w:ascii="Calibri" w:hAnsi="Calibri" w:eastAsia="宋体" w:cs="Calibri"/>
          <w:color w:val="auto"/>
          <w:sz w:val="24"/>
          <w:szCs w:val="24"/>
          <w:highlight w:val="none"/>
        </w:rPr>
        <w:t>F1</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A1</w:t>
      </w:r>
      <w:r>
        <w:rPr>
          <w:rFonts w:hint="eastAsia" w:ascii="宋体" w:hAnsi="宋体" w:eastAsia="宋体" w:cs="宋体"/>
          <w:color w:val="auto"/>
          <w:sz w:val="24"/>
          <w:szCs w:val="24"/>
          <w:highlight w:val="none"/>
        </w:rPr>
        <w:t>，按照满分计）和技术项（</w:t>
      </w:r>
      <w:r>
        <w:rPr>
          <w:rFonts w:hint="default" w:ascii="Calibri" w:hAnsi="Calibri" w:eastAsia="宋体" w:cs="Calibri"/>
          <w:color w:val="auto"/>
          <w:sz w:val="24"/>
          <w:szCs w:val="24"/>
          <w:highlight w:val="none"/>
        </w:rPr>
        <w:t>F2</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A2</w:t>
      </w:r>
      <w:r>
        <w:rPr>
          <w:rFonts w:hint="eastAsia" w:ascii="宋体" w:hAnsi="宋体" w:eastAsia="宋体" w:cs="宋体"/>
          <w:color w:val="auto"/>
          <w:sz w:val="24"/>
          <w:szCs w:val="24"/>
          <w:highlight w:val="none"/>
        </w:rPr>
        <w:t>，按照满分计）</w:t>
      </w:r>
      <w:r>
        <w:rPr>
          <w:rFonts w:hint="default" w:ascii="Calibri" w:hAnsi="Calibri" w:eastAsia="宋体" w:cs="Calibri"/>
          <w:color w:val="auto"/>
          <w:sz w:val="24"/>
          <w:szCs w:val="24"/>
          <w:highlight w:val="none"/>
        </w:rPr>
        <w:t>4%</w:t>
      </w:r>
      <w:r>
        <w:rPr>
          <w:rFonts w:hint="eastAsia" w:ascii="宋体" w:hAnsi="宋体" w:eastAsia="宋体" w:cs="宋体"/>
          <w:color w:val="auto"/>
          <w:sz w:val="24"/>
          <w:szCs w:val="24"/>
          <w:highlight w:val="none"/>
        </w:rPr>
        <w:t>的加分；若同一采购包内节能、环境标志产品报价总金额占该采购包报价总金额</w:t>
      </w:r>
      <w:r>
        <w:rPr>
          <w:rFonts w:hint="default" w:ascii="Calibri" w:hAnsi="Calibri" w:eastAsia="宋体" w:cs="Calibri"/>
          <w:color w:val="auto"/>
          <w:sz w:val="24"/>
          <w:szCs w:val="24"/>
          <w:highlight w:val="none"/>
        </w:rPr>
        <w:t>20%-50%</w:t>
      </w:r>
      <w:r>
        <w:rPr>
          <w:rFonts w:hint="eastAsia" w:ascii="宋体" w:hAnsi="宋体" w:eastAsia="宋体" w:cs="宋体"/>
          <w:color w:val="auto"/>
          <w:sz w:val="24"/>
          <w:szCs w:val="24"/>
          <w:highlight w:val="none"/>
        </w:rPr>
        <w:t>（含</w:t>
      </w:r>
      <w:r>
        <w:rPr>
          <w:rFonts w:hint="default" w:ascii="Calibri" w:hAnsi="Calibri" w:eastAsia="宋体" w:cs="Calibri"/>
          <w:color w:val="auto"/>
          <w:sz w:val="24"/>
          <w:szCs w:val="24"/>
          <w:highlight w:val="none"/>
        </w:rPr>
        <w:t>50%</w:t>
      </w:r>
      <w:r>
        <w:rPr>
          <w:rFonts w:hint="eastAsia" w:ascii="宋体" w:hAnsi="宋体" w:eastAsia="宋体" w:cs="宋体"/>
          <w:color w:val="auto"/>
          <w:sz w:val="24"/>
          <w:szCs w:val="24"/>
          <w:highlight w:val="none"/>
        </w:rPr>
        <w:t>），将分别给予节能、环境标志产品价格项（</w:t>
      </w:r>
      <w:r>
        <w:rPr>
          <w:rFonts w:hint="default" w:ascii="Calibri" w:hAnsi="Calibri" w:eastAsia="宋体" w:cs="Calibri"/>
          <w:color w:val="auto"/>
          <w:sz w:val="24"/>
          <w:szCs w:val="24"/>
          <w:highlight w:val="none"/>
        </w:rPr>
        <w:t>F1</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A1</w:t>
      </w:r>
      <w:r>
        <w:rPr>
          <w:rFonts w:hint="eastAsia" w:ascii="宋体" w:hAnsi="宋体" w:eastAsia="宋体" w:cs="宋体"/>
          <w:color w:val="auto"/>
          <w:sz w:val="24"/>
          <w:szCs w:val="24"/>
          <w:highlight w:val="none"/>
        </w:rPr>
        <w:t>，按照满分计）和技术项（</w:t>
      </w:r>
      <w:r>
        <w:rPr>
          <w:rFonts w:hint="default" w:ascii="Calibri" w:hAnsi="Calibri" w:eastAsia="宋体" w:cs="Calibri"/>
          <w:color w:val="auto"/>
          <w:sz w:val="24"/>
          <w:szCs w:val="24"/>
          <w:highlight w:val="none"/>
        </w:rPr>
        <w:t>F2</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A2</w:t>
      </w:r>
      <w:r>
        <w:rPr>
          <w:rFonts w:hint="eastAsia" w:ascii="宋体" w:hAnsi="宋体" w:eastAsia="宋体" w:cs="宋体"/>
          <w:color w:val="auto"/>
          <w:sz w:val="24"/>
          <w:szCs w:val="24"/>
          <w:highlight w:val="none"/>
        </w:rPr>
        <w:t>，按照满分计）</w:t>
      </w:r>
      <w:r>
        <w:rPr>
          <w:rFonts w:hint="default" w:ascii="Calibri" w:hAnsi="Calibri" w:eastAsia="宋体" w:cs="Calibri"/>
          <w:color w:val="auto"/>
          <w:sz w:val="24"/>
          <w:szCs w:val="24"/>
          <w:highlight w:val="none"/>
        </w:rPr>
        <w:t>6%</w:t>
      </w:r>
      <w:r>
        <w:rPr>
          <w:rFonts w:hint="eastAsia" w:ascii="宋体" w:hAnsi="宋体" w:eastAsia="宋体" w:cs="宋体"/>
          <w:color w:val="auto"/>
          <w:sz w:val="24"/>
          <w:szCs w:val="24"/>
          <w:highlight w:val="none"/>
        </w:rPr>
        <w:t>的加分；若同一采购包内节能、环境标志产品报价总金额占该采购包报价总金额</w:t>
      </w:r>
      <w:r>
        <w:rPr>
          <w:rFonts w:hint="default" w:ascii="Calibri" w:hAnsi="Calibri" w:eastAsia="宋体" w:cs="Calibri"/>
          <w:color w:val="auto"/>
          <w:sz w:val="24"/>
          <w:szCs w:val="24"/>
          <w:highlight w:val="none"/>
        </w:rPr>
        <w:t>50%</w:t>
      </w:r>
      <w:r>
        <w:rPr>
          <w:rFonts w:hint="eastAsia" w:ascii="宋体" w:hAnsi="宋体" w:eastAsia="宋体" w:cs="宋体"/>
          <w:color w:val="auto"/>
          <w:sz w:val="24"/>
          <w:szCs w:val="24"/>
          <w:highlight w:val="none"/>
        </w:rPr>
        <w:t>以上的，将分别给予节能、环境标志产品价格项（</w:t>
      </w:r>
      <w:r>
        <w:rPr>
          <w:rFonts w:hint="default" w:ascii="Calibri" w:hAnsi="Calibri" w:eastAsia="宋体" w:cs="Calibri"/>
          <w:color w:val="auto"/>
          <w:sz w:val="24"/>
          <w:szCs w:val="24"/>
          <w:highlight w:val="none"/>
        </w:rPr>
        <w:t>F1</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A1</w:t>
      </w:r>
      <w:r>
        <w:rPr>
          <w:rFonts w:hint="eastAsia" w:ascii="宋体" w:hAnsi="宋体" w:eastAsia="宋体" w:cs="宋体"/>
          <w:color w:val="auto"/>
          <w:sz w:val="24"/>
          <w:szCs w:val="24"/>
          <w:highlight w:val="none"/>
        </w:rPr>
        <w:t>，按照满分计）和技术项（</w:t>
      </w:r>
      <w:r>
        <w:rPr>
          <w:rFonts w:hint="default" w:ascii="Calibri" w:hAnsi="Calibri" w:eastAsia="宋体" w:cs="Calibri"/>
          <w:color w:val="auto"/>
          <w:sz w:val="24"/>
          <w:szCs w:val="24"/>
          <w:highlight w:val="none"/>
        </w:rPr>
        <w:t>F2</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A2</w:t>
      </w:r>
      <w:r>
        <w:rPr>
          <w:rFonts w:hint="eastAsia" w:ascii="宋体" w:hAnsi="宋体" w:eastAsia="宋体" w:cs="宋体"/>
          <w:color w:val="auto"/>
          <w:sz w:val="24"/>
          <w:szCs w:val="24"/>
          <w:highlight w:val="none"/>
        </w:rPr>
        <w:t>，按照满分计）</w:t>
      </w:r>
      <w:r>
        <w:rPr>
          <w:rFonts w:hint="default" w:ascii="Calibri" w:hAnsi="Calibri" w:eastAsia="宋体" w:cs="Calibri"/>
          <w:color w:val="auto"/>
          <w:sz w:val="24"/>
          <w:szCs w:val="24"/>
          <w:highlight w:val="none"/>
        </w:rPr>
        <w:t>8%</w:t>
      </w:r>
      <w:r>
        <w:rPr>
          <w:rFonts w:hint="eastAsia" w:ascii="宋体" w:hAnsi="宋体" w:eastAsia="宋体" w:cs="宋体"/>
          <w:color w:val="auto"/>
          <w:sz w:val="24"/>
          <w:szCs w:val="24"/>
          <w:highlight w:val="none"/>
        </w:rPr>
        <w:t>的加分。</w:t>
      </w:r>
    </w:p>
    <w:p>
      <w:pPr>
        <w:pStyle w:val="11"/>
        <w:keepNext w:val="0"/>
        <w:keepLines w:val="0"/>
        <w:widowControl/>
        <w:suppressLineNumbers w:val="0"/>
        <w:spacing w:before="0" w:beforeAutospacing="0" w:after="150" w:afterAutospacing="0"/>
        <w:ind w:left="0" w:right="0" w:firstLine="480"/>
        <w:rPr>
          <w:color w:val="auto"/>
          <w:highlight w:val="none"/>
        </w:rPr>
      </w:pPr>
      <w:r>
        <w:rPr>
          <w:rFonts w:hint="eastAsia" w:ascii="宋体" w:hAnsi="宋体" w:eastAsia="宋体" w:cs="宋体"/>
          <w:color w:val="auto"/>
          <w:sz w:val="24"/>
          <w:szCs w:val="24"/>
          <w:highlight w:val="none"/>
        </w:rPr>
        <w:t>a2若节能、环境标志产品仅是构成投标产品的部件、组件或零件，则该投标产品不享受鼓励优惠政策。同一品目中各认证证书不重复计算加分。强制类节能产品不享受加分。</w:t>
      </w:r>
    </w:p>
    <w:p>
      <w:pPr>
        <w:pStyle w:val="11"/>
        <w:keepNext w:val="0"/>
        <w:keepLines w:val="0"/>
        <w:widowControl/>
        <w:suppressLineNumbers w:val="0"/>
        <w:spacing w:before="0" w:beforeAutospacing="0" w:after="150" w:afterAutospacing="0"/>
        <w:ind w:left="0" w:right="0" w:firstLine="480"/>
        <w:rPr>
          <w:color w:val="auto"/>
          <w:highlight w:val="none"/>
        </w:rPr>
      </w:pPr>
      <w:r>
        <w:rPr>
          <w:color w:val="auto"/>
          <w:highlight w:val="none"/>
        </w:rPr>
        <w:br w:type="textWrapping"/>
      </w:r>
      <w:r>
        <w:rPr>
          <w:rStyle w:val="13"/>
          <w:b/>
          <w:bCs/>
          <w:color w:val="auto"/>
          <w:sz w:val="24"/>
          <w:szCs w:val="24"/>
          <w:highlight w:val="none"/>
        </w:rPr>
        <w:t>         无</w:t>
      </w:r>
    </w:p>
    <w:p>
      <w:pPr>
        <w:pStyle w:val="11"/>
        <w:keepNext w:val="0"/>
        <w:keepLines w:val="0"/>
        <w:widowControl/>
        <w:suppressLineNumbers w:val="0"/>
        <w:spacing w:before="0" w:beforeAutospacing="0" w:after="150" w:afterAutospacing="0"/>
        <w:ind w:left="0" w:right="0" w:firstLine="480"/>
        <w:rPr>
          <w:color w:val="auto"/>
          <w:highlight w:val="none"/>
        </w:rPr>
      </w:pPr>
      <w:r>
        <w:rPr>
          <w:rFonts w:hint="eastAsia" w:ascii="宋体" w:hAnsi="宋体" w:eastAsia="宋体" w:cs="宋体"/>
          <w:color w:val="auto"/>
          <w:sz w:val="24"/>
          <w:szCs w:val="24"/>
          <w:highlight w:val="none"/>
        </w:rPr>
        <w:t>（4）中标候选人排列规则顺序如下：</w:t>
      </w:r>
    </w:p>
    <w:p>
      <w:pPr>
        <w:pStyle w:val="11"/>
        <w:keepNext w:val="0"/>
        <w:keepLines w:val="0"/>
        <w:widowControl/>
        <w:suppressLineNumbers w:val="0"/>
        <w:spacing w:before="0" w:beforeAutospacing="0" w:after="150" w:afterAutospacing="0"/>
        <w:ind w:left="0" w:right="0" w:firstLine="480"/>
        <w:rPr>
          <w:color w:val="auto"/>
          <w:highlight w:val="none"/>
        </w:rPr>
      </w:pPr>
      <w:r>
        <w:rPr>
          <w:rFonts w:hint="eastAsia" w:ascii="宋体" w:hAnsi="宋体" w:eastAsia="宋体" w:cs="宋体"/>
          <w:color w:val="auto"/>
          <w:sz w:val="24"/>
          <w:szCs w:val="24"/>
          <w:highlight w:val="none"/>
        </w:rPr>
        <w:t>a.按照评标总得分（</w:t>
      </w:r>
      <w:r>
        <w:rPr>
          <w:rFonts w:hint="default" w:ascii="Calibri" w:hAnsi="Calibri" w:eastAsia="宋体" w:cs="Calibri"/>
          <w:color w:val="auto"/>
          <w:sz w:val="24"/>
          <w:szCs w:val="24"/>
          <w:highlight w:val="none"/>
        </w:rPr>
        <w:t>FA</w:t>
      </w:r>
      <w:r>
        <w:rPr>
          <w:rFonts w:hint="eastAsia" w:ascii="宋体" w:hAnsi="宋体" w:eastAsia="宋体" w:cs="宋体"/>
          <w:color w:val="auto"/>
          <w:sz w:val="24"/>
          <w:szCs w:val="24"/>
          <w:highlight w:val="none"/>
        </w:rPr>
        <w:t>）由高到低顺序排列。</w:t>
      </w:r>
    </w:p>
    <w:p>
      <w:pPr>
        <w:pStyle w:val="11"/>
        <w:keepNext w:val="0"/>
        <w:keepLines w:val="0"/>
        <w:widowControl/>
        <w:suppressLineNumbers w:val="0"/>
        <w:spacing w:before="0" w:beforeAutospacing="0" w:after="150" w:afterAutospacing="0"/>
        <w:ind w:left="0" w:right="0" w:firstLine="480"/>
        <w:rPr>
          <w:color w:val="auto"/>
          <w:highlight w:val="none"/>
        </w:rPr>
      </w:pPr>
      <w:r>
        <w:rPr>
          <w:rFonts w:hint="eastAsia" w:ascii="宋体" w:hAnsi="宋体" w:eastAsia="宋体" w:cs="宋体"/>
          <w:color w:val="auto"/>
          <w:sz w:val="24"/>
          <w:szCs w:val="24"/>
          <w:highlight w:val="none"/>
        </w:rPr>
        <w:t>b.评标总得分（</w:t>
      </w:r>
      <w:r>
        <w:rPr>
          <w:rFonts w:hint="default" w:ascii="Calibri" w:hAnsi="Calibri" w:eastAsia="宋体" w:cs="Calibri"/>
          <w:color w:val="auto"/>
          <w:sz w:val="24"/>
          <w:szCs w:val="24"/>
          <w:highlight w:val="none"/>
        </w:rPr>
        <w:t>FA</w:t>
      </w:r>
      <w:r>
        <w:rPr>
          <w:rFonts w:hint="eastAsia" w:ascii="宋体" w:hAnsi="宋体" w:eastAsia="宋体" w:cs="宋体"/>
          <w:color w:val="auto"/>
          <w:sz w:val="24"/>
          <w:szCs w:val="24"/>
          <w:highlight w:val="none"/>
        </w:rPr>
        <w:t>）相同的，按照评标价（即价格扣除后的投标报价）由低到高顺序排列。</w:t>
      </w:r>
    </w:p>
    <w:p>
      <w:pPr>
        <w:pStyle w:val="11"/>
        <w:keepNext w:val="0"/>
        <w:keepLines w:val="0"/>
        <w:widowControl/>
        <w:suppressLineNumbers w:val="0"/>
        <w:spacing w:before="0" w:beforeAutospacing="0" w:after="150" w:afterAutospacing="0"/>
        <w:ind w:left="0" w:right="0" w:firstLine="480"/>
        <w:rPr>
          <w:color w:val="auto"/>
          <w:highlight w:val="none"/>
        </w:rPr>
      </w:pPr>
      <w:r>
        <w:rPr>
          <w:rFonts w:hint="eastAsia" w:ascii="宋体" w:hAnsi="宋体" w:eastAsia="宋体" w:cs="宋体"/>
          <w:color w:val="auto"/>
          <w:sz w:val="24"/>
          <w:szCs w:val="24"/>
          <w:highlight w:val="none"/>
        </w:rPr>
        <w:t>c.评标总得分（</w:t>
      </w:r>
      <w:r>
        <w:rPr>
          <w:rFonts w:hint="default" w:ascii="Calibri" w:hAnsi="Calibri" w:eastAsia="宋体" w:cs="Calibri"/>
          <w:color w:val="auto"/>
          <w:sz w:val="24"/>
          <w:szCs w:val="24"/>
          <w:highlight w:val="none"/>
        </w:rPr>
        <w:t>FA</w:t>
      </w:r>
      <w:r>
        <w:rPr>
          <w:rFonts w:hint="eastAsia" w:ascii="宋体" w:hAnsi="宋体" w:eastAsia="宋体" w:cs="宋体"/>
          <w:color w:val="auto"/>
          <w:sz w:val="24"/>
          <w:szCs w:val="24"/>
          <w:highlight w:val="none"/>
        </w:rPr>
        <w:t>）且评标价（即价格扣除后的投标报价）相同的并列。</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8、其他规定</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8.1评标应全程保密且不得透露给任一投标人或与评标工作无关的人员。</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8.2评标将进行全程实时录音录像，录音录像资料随采购文件一并存档。</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8.3若投标人有任何试图干扰具体评标事务，影响评标委员会独立履行职责的行为，其投标无效且不予退还投标保证金。情节严重的，由财政部门列入不良行为记录。</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8.4其他：</w:t>
      </w:r>
      <w:r>
        <w:rPr>
          <w:color w:val="auto"/>
          <w:spacing w:val="0"/>
          <w:sz w:val="24"/>
          <w:szCs w:val="24"/>
          <w:highlight w:val="none"/>
        </w:rPr>
        <w:t>投标保证金收取理由：为了避免因投标人投标后随意撤回、撤销投标或随意变更应承担相应的义务给采购人造成损失。</w:t>
      </w:r>
    </w:p>
    <w:p>
      <w:pPr>
        <w:pStyle w:val="11"/>
        <w:keepNext w:val="0"/>
        <w:keepLines w:val="0"/>
        <w:widowControl/>
        <w:suppressLineNumbers w:val="0"/>
        <w:spacing w:before="75" w:beforeAutospacing="0" w:after="75" w:afterAutospacing="0"/>
        <w:ind w:left="0" w:right="0" w:firstLine="0"/>
        <w:jc w:val="center"/>
        <w:rPr>
          <w:color w:val="auto"/>
          <w:highlight w:val="none"/>
        </w:rPr>
      </w:pPr>
      <w:r>
        <w:rPr>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0"/>
        <w:jc w:val="center"/>
        <w:rPr>
          <w:color w:val="auto"/>
          <w:highlight w:val="none"/>
        </w:rPr>
      </w:pPr>
      <w:r>
        <w:rPr>
          <w:rFonts w:hint="eastAsia" w:ascii="宋体" w:hAnsi="宋体" w:eastAsia="宋体" w:cs="宋体"/>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 </w:t>
      </w:r>
    </w:p>
    <w:p>
      <w:pPr>
        <w:rPr>
          <w:rStyle w:val="13"/>
          <w:rFonts w:hint="eastAsia" w:ascii="宋体" w:hAnsi="宋体" w:eastAsia="宋体" w:cs="宋体"/>
          <w:b/>
          <w:bCs/>
          <w:color w:val="auto"/>
          <w:spacing w:val="0"/>
          <w:sz w:val="31"/>
          <w:szCs w:val="31"/>
          <w:highlight w:val="none"/>
        </w:rPr>
      </w:pPr>
      <w:r>
        <w:rPr>
          <w:rStyle w:val="13"/>
          <w:rFonts w:hint="eastAsia" w:ascii="宋体" w:hAnsi="宋体" w:eastAsia="宋体" w:cs="宋体"/>
          <w:b/>
          <w:bCs/>
          <w:color w:val="auto"/>
          <w:spacing w:val="0"/>
          <w:sz w:val="31"/>
          <w:szCs w:val="31"/>
          <w:highlight w:val="none"/>
        </w:rPr>
        <w:br w:type="page"/>
      </w:r>
    </w:p>
    <w:p>
      <w:pPr>
        <w:pStyle w:val="11"/>
        <w:keepNext w:val="0"/>
        <w:keepLines w:val="0"/>
        <w:widowControl/>
        <w:suppressLineNumbers w:val="0"/>
        <w:spacing w:before="75" w:beforeAutospacing="0" w:after="75" w:afterAutospacing="0"/>
        <w:ind w:left="0" w:right="0" w:firstLine="0"/>
        <w:jc w:val="center"/>
        <w:rPr>
          <w:color w:val="auto"/>
          <w:highlight w:val="none"/>
        </w:rPr>
      </w:pPr>
      <w:r>
        <w:rPr>
          <w:rStyle w:val="13"/>
          <w:rFonts w:hint="eastAsia" w:ascii="宋体" w:hAnsi="宋体" w:eastAsia="宋体" w:cs="宋体"/>
          <w:b/>
          <w:bCs/>
          <w:color w:val="auto"/>
          <w:spacing w:val="0"/>
          <w:sz w:val="31"/>
          <w:szCs w:val="31"/>
          <w:highlight w:val="none"/>
        </w:rPr>
        <w:t>第五章</w:t>
      </w:r>
      <w:r>
        <w:rPr>
          <w:rStyle w:val="13"/>
          <w:b/>
          <w:bCs/>
          <w:color w:val="auto"/>
          <w:spacing w:val="0"/>
          <w:sz w:val="31"/>
          <w:szCs w:val="31"/>
          <w:highlight w:val="none"/>
        </w:rPr>
        <w:t>   </w:t>
      </w:r>
      <w:r>
        <w:rPr>
          <w:rStyle w:val="13"/>
          <w:rFonts w:hint="eastAsia" w:ascii="宋体" w:hAnsi="宋体" w:eastAsia="宋体" w:cs="宋体"/>
          <w:b/>
          <w:bCs/>
          <w:color w:val="auto"/>
          <w:spacing w:val="0"/>
          <w:sz w:val="31"/>
          <w:szCs w:val="31"/>
          <w:highlight w:val="none"/>
        </w:rPr>
        <w:t>招标内容及要求</w:t>
      </w:r>
    </w:p>
    <w:p>
      <w:pPr>
        <w:pStyle w:val="11"/>
        <w:keepNext w:val="0"/>
        <w:keepLines w:val="0"/>
        <w:widowControl/>
        <w:suppressLineNumbers w:val="0"/>
        <w:spacing w:before="75" w:beforeAutospacing="0" w:after="75" w:afterAutospacing="0"/>
        <w:ind w:left="0" w:right="0" w:firstLine="0"/>
        <w:rPr>
          <w:color w:val="auto"/>
          <w:highlight w:val="none"/>
        </w:rPr>
      </w:pPr>
      <w:r>
        <w:rPr>
          <w:color w:val="auto"/>
          <w:spacing w:val="0"/>
          <w:sz w:val="24"/>
          <w:szCs w:val="24"/>
          <w:highlight w:val="none"/>
        </w:rPr>
        <w:t>一、项目概况（采购标的）</w:t>
      </w:r>
    </w:p>
    <w:p>
      <w:pPr>
        <w:pStyle w:val="11"/>
        <w:widowControl/>
        <w:spacing w:before="75" w:beforeAutospacing="0" w:after="75" w:afterAutospacing="0"/>
        <w:rPr>
          <w:rFonts w:ascii="宋体" w:hAnsi="宋体" w:eastAsia="宋体" w:cs="宋体"/>
          <w:color w:val="auto"/>
          <w:highlight w:val="none"/>
        </w:rPr>
      </w:pPr>
      <w:r>
        <w:rPr>
          <w:rFonts w:hint="eastAsia" w:ascii="宋体" w:hAnsi="宋体" w:eastAsia="宋体" w:cs="宋体"/>
          <w:color w:val="auto"/>
          <w:highlight w:val="none"/>
        </w:rPr>
        <w:t>1.1福州高新技术产业开发区综治信访中心高新区交通设施及智控中心运维服务采购项目。</w:t>
      </w:r>
    </w:p>
    <w:p>
      <w:pPr>
        <w:pStyle w:val="11"/>
        <w:widowControl/>
        <w:spacing w:before="75" w:beforeAutospacing="0" w:after="75" w:afterAutospacing="0"/>
        <w:rPr>
          <w:rFonts w:ascii="宋体" w:hAnsi="宋体" w:eastAsia="宋体" w:cs="宋体"/>
          <w:color w:val="auto"/>
          <w:highlight w:val="none"/>
        </w:rPr>
      </w:pPr>
      <w:r>
        <w:rPr>
          <w:rFonts w:hint="eastAsia" w:ascii="宋体" w:hAnsi="宋体" w:eastAsia="宋体" w:cs="宋体"/>
          <w:color w:val="auto"/>
          <w:highlight w:val="none"/>
        </w:rPr>
        <w:t>1.2本项目要求中标人作为2022-2025年（具体维护期开始时间以签订合同之日起算）三年福州市高新区交通设施及智控中心运维服务采购项目的服务方，必须负责项目自始至终全过程。报价应包含正常作业所需的一切费用：人员工资、国家规定的五险、国家法定节假日工作补贴、设备器具、各项岗位培训费、行政管理费、税费、各类保险、利润等完成合同条件所需的一切开支。合同价格除按合同的规定外，不能作任何调整，任何计算错误皆视为已获双方接受，合同价亦不会因人工、物价或汇率等的变动而作任何调整。</w:t>
      </w:r>
    </w:p>
    <w:p>
      <w:pPr>
        <w:pStyle w:val="11"/>
        <w:keepNext w:val="0"/>
        <w:keepLines w:val="0"/>
        <w:widowControl/>
        <w:suppressLineNumbers w:val="0"/>
        <w:spacing w:before="0" w:beforeAutospacing="0" w:after="150" w:afterAutospacing="0"/>
        <w:ind w:left="0" w:right="0"/>
        <w:rPr>
          <w:color w:val="auto"/>
          <w:highlight w:val="none"/>
        </w:rPr>
      </w:pP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二、技术和服务要求</w:t>
      </w:r>
      <w:r>
        <w:rPr>
          <w:rStyle w:val="13"/>
          <w:rFonts w:hint="eastAsia" w:ascii="宋体" w:hAnsi="宋体" w:eastAsia="宋体" w:cs="宋体"/>
          <w:b/>
          <w:bCs/>
          <w:color w:val="auto"/>
          <w:spacing w:val="0"/>
          <w:sz w:val="24"/>
          <w:szCs w:val="24"/>
          <w:highlight w:val="none"/>
        </w:rPr>
        <w:t>（以“★”标示的内容为不允许负偏离的实质性要求）</w:t>
      </w:r>
    </w:p>
    <w:p>
      <w:pPr>
        <w:pStyle w:val="11"/>
        <w:widowControl/>
        <w:spacing w:beforeAutospacing="0" w:afterAutospacing="0"/>
        <w:ind w:right="-94"/>
        <w:rPr>
          <w:rFonts w:ascii="宋体" w:hAnsi="宋体" w:eastAsia="宋体" w:cs="宋体"/>
          <w:b/>
          <w:color w:val="auto"/>
          <w:highlight w:val="none"/>
          <w:shd w:val="clear" w:color="FFFFFF" w:fill="D9D9D9"/>
        </w:rPr>
      </w:pPr>
      <w:r>
        <w:rPr>
          <w:rStyle w:val="13"/>
          <w:rFonts w:hint="eastAsia" w:ascii="宋体" w:hAnsi="宋体" w:eastAsia="宋体" w:cs="宋体"/>
          <w:color w:val="auto"/>
          <w:highlight w:val="none"/>
          <w:shd w:val="clear" w:color="auto" w:fill="FFFFFF"/>
        </w:rPr>
        <w:t>(本章技术规格要求中未作出大于、小于等幅度表述的尺寸、重量、体积的，允许在规定的数值存在±3%的偏离。)</w:t>
      </w:r>
    </w:p>
    <w:p>
      <w:pPr>
        <w:pStyle w:val="11"/>
        <w:widowControl/>
        <w:spacing w:beforeAutospacing="0" w:afterAutospacing="0"/>
        <w:ind w:right="-362"/>
        <w:rPr>
          <w:rFonts w:ascii="宋体" w:hAnsi="宋体" w:eastAsia="宋体" w:cs="宋体"/>
          <w:bCs/>
          <w:color w:val="auto"/>
          <w:highlight w:val="none"/>
          <w:shd w:val="clear" w:color="FFFFFF" w:fill="D9D9D9"/>
        </w:rPr>
      </w:pPr>
      <w:r>
        <w:rPr>
          <w:rFonts w:hint="eastAsia" w:ascii="宋体" w:hAnsi="宋体" w:eastAsia="宋体" w:cs="宋体"/>
          <w:bCs/>
          <w:color w:val="auto"/>
          <w:highlight w:val="none"/>
        </w:rPr>
        <w:t>注：</w:t>
      </w:r>
    </w:p>
    <w:p>
      <w:pPr>
        <w:pStyle w:val="11"/>
        <w:widowControl/>
        <w:spacing w:beforeAutospacing="0" w:afterAutospacing="0"/>
        <w:ind w:right="-94" w:firstLine="480" w:firstLineChars="200"/>
        <w:rPr>
          <w:rFonts w:ascii="宋体" w:hAnsi="宋体" w:eastAsia="宋体" w:cs="宋体"/>
          <w:bCs/>
          <w:color w:val="auto"/>
          <w:highlight w:val="none"/>
        </w:rPr>
      </w:pPr>
      <w:r>
        <w:rPr>
          <w:rStyle w:val="13"/>
          <w:rFonts w:hint="eastAsia" w:ascii="宋体" w:hAnsi="宋体" w:eastAsia="宋体" w:cs="宋体"/>
          <w:b w:val="0"/>
          <w:bCs/>
          <w:color w:val="auto"/>
          <w:highlight w:val="none"/>
        </w:rPr>
        <w:t>（1）若所投产品属于国家强制性要求或认证（包括3C、节能、信息安全产品等）的，投标人可提供有效证书复印件或提供所投产品满足国家强制性要求（或认证）的承诺函，并对其真实性负责，承诺函格式自拟。</w:t>
      </w:r>
    </w:p>
    <w:p>
      <w:pPr>
        <w:ind w:firstLine="480" w:firstLineChars="200"/>
        <w:rPr>
          <w:rFonts w:ascii="宋体" w:hAnsi="宋体" w:eastAsia="宋体" w:cs="宋体"/>
          <w:b/>
          <w:bCs/>
          <w:color w:val="auto"/>
          <w:sz w:val="24"/>
          <w:highlight w:val="none"/>
        </w:rPr>
      </w:pPr>
      <w:r>
        <w:rPr>
          <w:rStyle w:val="13"/>
          <w:rFonts w:hint="eastAsia" w:ascii="宋体" w:hAnsi="宋体" w:eastAsia="宋体" w:cs="宋体"/>
          <w:b w:val="0"/>
          <w:bCs/>
          <w:color w:val="auto"/>
          <w:sz w:val="24"/>
          <w:highlight w:val="none"/>
        </w:rPr>
        <w:t>（2）本次采购货物中如有属政府强制采购节能产品的，投标产品必须是最新一期《节能产品政府采购清单》内产品，并在电子技术部分提供产品的证明资料复印件（国家确定的认证机构出具的、处于有效期之内的节能产品、环境标志产品认证证书）加盖投标人公章，否则投标无效。【节能清单所列产品包括政府强制采购和优先采购的节能产品。其中，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其他品目为政府优先采购的节能产品。】</w:t>
      </w:r>
    </w:p>
    <w:p>
      <w:pPr>
        <w:rPr>
          <w:rStyle w:val="13"/>
          <w:rFonts w:ascii="宋体" w:hAnsi="宋体" w:eastAsia="宋体" w:cs="宋体"/>
          <w:bCs/>
          <w:color w:val="auto"/>
          <w:sz w:val="24"/>
          <w:highlight w:val="none"/>
        </w:rPr>
      </w:pPr>
      <w:r>
        <w:rPr>
          <w:rFonts w:hint="eastAsia" w:ascii="宋体" w:hAnsi="宋体" w:eastAsia="宋体" w:cs="宋体"/>
          <w:b/>
          <w:bCs/>
          <w:color w:val="auto"/>
          <w:sz w:val="24"/>
          <w:highlight w:val="none"/>
        </w:rPr>
        <w:t>（一）</w:t>
      </w:r>
      <w:r>
        <w:rPr>
          <w:rStyle w:val="13"/>
          <w:rFonts w:hint="eastAsia" w:ascii="宋体" w:hAnsi="宋体" w:eastAsia="宋体" w:cs="宋体"/>
          <w:bCs/>
          <w:color w:val="auto"/>
          <w:sz w:val="24"/>
          <w:highlight w:val="none"/>
        </w:rPr>
        <w:t>信号灯维护内容</w:t>
      </w:r>
    </w:p>
    <w:p>
      <w:pPr>
        <w:rPr>
          <w:rFonts w:ascii="宋体" w:hAnsi="宋体" w:eastAsia="宋体" w:cs="宋体"/>
          <w:color w:val="auto"/>
          <w:sz w:val="24"/>
          <w:highlight w:val="none"/>
        </w:rPr>
      </w:pPr>
      <w:r>
        <w:rPr>
          <w:rFonts w:hint="eastAsia" w:ascii="宋体" w:hAnsi="宋体" w:eastAsia="宋体" w:cs="宋体"/>
          <w:b/>
          <w:bCs/>
          <w:color w:val="auto"/>
          <w:kern w:val="0"/>
          <w:sz w:val="24"/>
          <w:highlight w:val="none"/>
        </w:rPr>
        <w:t>★（1）</w:t>
      </w:r>
      <w:r>
        <w:rPr>
          <w:rFonts w:hint="eastAsia" w:ascii="宋体" w:hAnsi="宋体" w:eastAsia="宋体" w:cs="宋体"/>
          <w:color w:val="auto"/>
          <w:sz w:val="24"/>
          <w:highlight w:val="none"/>
        </w:rPr>
        <w:t>交通信号灯设施工程日常维护项目</w:t>
      </w:r>
    </w:p>
    <w:tbl>
      <w:tblPr>
        <w:tblStyle w:val="14"/>
        <w:tblW w:w="8369" w:type="dxa"/>
        <w:tblCellSpacing w:w="15"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309" w:type="dxa"/>
            <w:tcMar>
              <w:top w:w="0" w:type="dxa"/>
              <w:left w:w="105" w:type="dxa"/>
              <w:bottom w:w="0" w:type="dxa"/>
              <w:right w:w="105" w:type="dxa"/>
            </w:tcMar>
            <w:vAlign w:val="top"/>
          </w:tcPr>
          <w:p>
            <w:pPr>
              <w:pStyle w:val="11"/>
              <w:widowControl/>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高新区辖区内所有交通信号灯路口（所有新增信号灯路口将同步纳入维护范围）的交通信号灯（含太阳能黄闪灯和临时信号灯）相关设备、信号机、配电箱、UPS、倒计时器（含改造升级）等附属设施的日常巡查、维护和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309" w:type="dxa"/>
            <w:tcMar>
              <w:top w:w="0" w:type="dxa"/>
              <w:left w:w="105" w:type="dxa"/>
              <w:bottom w:w="0" w:type="dxa"/>
              <w:right w:w="105" w:type="dxa"/>
            </w:tcMar>
            <w:vAlign w:val="top"/>
          </w:tcPr>
          <w:p>
            <w:pPr>
              <w:pStyle w:val="11"/>
              <w:widowControl/>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辖区内所有的交通信号灯路口所涉及的电源、管道、线路和手孔井（包括井盖和井圈）等附属设施的日常巡查、维护和更换。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309" w:type="dxa"/>
            <w:tcMar>
              <w:top w:w="0" w:type="dxa"/>
              <w:left w:w="105" w:type="dxa"/>
              <w:bottom w:w="0" w:type="dxa"/>
              <w:right w:w="105" w:type="dxa"/>
            </w:tcMar>
            <w:vAlign w:val="top"/>
          </w:tcPr>
          <w:p>
            <w:pPr>
              <w:pStyle w:val="11"/>
              <w:widowControl/>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所有涉及信号灯维护需要的相关设备的维护更换，如杆件（含基础）、灯具、信号机和配电箱、UPS、管道、线路、手孔井（包括井盖和井圈）等的维护更换。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309" w:type="dxa"/>
            <w:tcMar>
              <w:top w:w="0" w:type="dxa"/>
              <w:left w:w="105" w:type="dxa"/>
              <w:bottom w:w="0" w:type="dxa"/>
              <w:right w:w="105" w:type="dxa"/>
            </w:tcMar>
            <w:vAlign w:val="top"/>
          </w:tcPr>
          <w:p>
            <w:pPr>
              <w:pStyle w:val="11"/>
              <w:widowControl/>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信号灯所涉及的相关设备保洁、清除小广告、油漆以及修剪树枝等工作。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309" w:type="dxa"/>
            <w:tcMar>
              <w:top w:w="0" w:type="dxa"/>
              <w:left w:w="105" w:type="dxa"/>
              <w:bottom w:w="0" w:type="dxa"/>
              <w:right w:w="105" w:type="dxa"/>
            </w:tcMar>
            <w:vAlign w:val="top"/>
          </w:tcPr>
          <w:p>
            <w:pPr>
              <w:pStyle w:val="11"/>
              <w:widowControl/>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涉及信号灯相关系统平台的设备及网络链路的日常巡查和维护。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309" w:type="dxa"/>
            <w:tcMar>
              <w:top w:w="0" w:type="dxa"/>
              <w:left w:w="105" w:type="dxa"/>
              <w:bottom w:w="0" w:type="dxa"/>
              <w:right w:w="105" w:type="dxa"/>
            </w:tcMar>
            <w:vAlign w:val="top"/>
          </w:tcPr>
          <w:p>
            <w:pPr>
              <w:pStyle w:val="11"/>
              <w:widowControl/>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信号灯相关基础数据排查、统计、分析以及信号灯相关系统数据维护等。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309" w:type="dxa"/>
            <w:tcMar>
              <w:top w:w="0" w:type="dxa"/>
              <w:left w:w="105" w:type="dxa"/>
              <w:bottom w:w="0" w:type="dxa"/>
              <w:right w:w="105" w:type="dxa"/>
            </w:tcMar>
            <w:vAlign w:val="top"/>
          </w:tcPr>
          <w:p>
            <w:pPr>
              <w:pStyle w:val="11"/>
              <w:widowControl/>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提供交通信号灯的配时方案的制作、下发及仿真优化等服务。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8309" w:type="dxa"/>
            <w:tcMar>
              <w:top w:w="0" w:type="dxa"/>
              <w:left w:w="105" w:type="dxa"/>
              <w:bottom w:w="0" w:type="dxa"/>
              <w:right w:w="105" w:type="dxa"/>
            </w:tcMar>
            <w:vAlign w:val="top"/>
          </w:tcPr>
          <w:p>
            <w:pPr>
              <w:pStyle w:val="11"/>
              <w:widowControl/>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重大交通警卫保卫活动的信号灯维护人员定点巡查和维护。</w:t>
            </w:r>
          </w:p>
          <w:p>
            <w:pPr>
              <w:pStyle w:val="11"/>
              <w:widowControl/>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要求的其它工作（例如交通组织变化期间，杆件新建或拆除、灯具增减、信号机迁移以及由事故导致的信号灯设施破损修复等）。</w:t>
            </w:r>
          </w:p>
        </w:tc>
      </w:tr>
    </w:tbl>
    <w:p>
      <w:pPr>
        <w:pStyle w:val="11"/>
        <w:widowControl/>
        <w:spacing w:beforeAutospacing="0" w:afterAutospacing="0"/>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本次项目维护采用包干制，包括所有信号灯相关设备设施的维护和更换，在维护期间所需的费用将由中标人自行承担，提醒各投标人应理性评估可能存在的风险。</w:t>
      </w:r>
    </w:p>
    <w:p>
      <w:pPr>
        <w:widowControl/>
        <w:rPr>
          <w:rFonts w:ascii="宋体" w:hAnsi="宋体" w:eastAsia="宋体" w:cs="宋体"/>
          <w:color w:val="auto"/>
          <w:kern w:val="0"/>
          <w:sz w:val="24"/>
          <w:highlight w:val="none"/>
        </w:rPr>
      </w:pPr>
      <w:r>
        <w:rPr>
          <w:rStyle w:val="13"/>
          <w:rFonts w:hint="eastAsia" w:ascii="宋体" w:hAnsi="宋体" w:eastAsia="宋体" w:cs="宋体"/>
          <w:color w:val="auto"/>
          <w:sz w:val="24"/>
          <w:highlight w:val="none"/>
        </w:rPr>
        <w:t>★</w:t>
      </w:r>
      <w:r>
        <w:rPr>
          <w:rFonts w:hint="eastAsia" w:ascii="宋体" w:hAnsi="宋体" w:eastAsia="宋体" w:cs="宋体"/>
          <w:b/>
          <w:bCs/>
          <w:color w:val="auto"/>
          <w:sz w:val="24"/>
          <w:highlight w:val="none"/>
        </w:rPr>
        <w:t>（2）</w:t>
      </w:r>
      <w:r>
        <w:rPr>
          <w:rFonts w:hint="eastAsia" w:ascii="宋体" w:hAnsi="宋体" w:eastAsia="宋体" w:cs="宋体"/>
          <w:b/>
          <w:bCs/>
          <w:color w:val="auto"/>
          <w:kern w:val="0"/>
          <w:sz w:val="24"/>
          <w:highlight w:val="none"/>
        </w:rPr>
        <w:t>信号灯人员要求：</w:t>
      </w:r>
    </w:p>
    <w:p>
      <w:pPr>
        <w:widowControl/>
        <w:ind w:firstLine="435"/>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中标人必须组建一支稳定、有能力胜任相应维修工作能力的技术队伍，熟悉掌握交通工程基本原理；熟悉掌握信号灯相关系统平台的工作原理、实际运用操作、 故障查询及检修方法；熟悉掌握交通流量检测方法并能实际操作；熟悉掌握交通信号配时方案制作和下发，维护队伍总人数不得少于</w:t>
      </w:r>
      <w:r>
        <w:rPr>
          <w:rFonts w:hint="eastAsia" w:ascii="宋体" w:hAnsi="宋体" w:eastAsia="宋体" w:cs="宋体"/>
          <w:color w:val="auto"/>
          <w:kern w:val="0"/>
          <w:sz w:val="24"/>
          <w:highlight w:val="none"/>
          <w:lang w:val="en-US" w:eastAsia="zh-CN"/>
        </w:rPr>
        <w:t>20</w:t>
      </w:r>
      <w:r>
        <w:rPr>
          <w:rFonts w:hint="eastAsia" w:ascii="宋体" w:hAnsi="宋体" w:eastAsia="宋体" w:cs="宋体"/>
          <w:color w:val="auto"/>
          <w:kern w:val="0"/>
          <w:sz w:val="24"/>
          <w:highlight w:val="none"/>
        </w:rPr>
        <w:t>（不含行政管理人员），中标人必须自行在</w:t>
      </w:r>
      <w:r>
        <w:rPr>
          <w:rFonts w:hint="default" w:ascii="宋体" w:hAnsi="宋体" w:eastAsia="宋体" w:cs="宋体"/>
          <w:color w:val="auto"/>
          <w:kern w:val="0"/>
          <w:sz w:val="24"/>
          <w:highlight w:val="none"/>
          <w:lang w:val="en-US"/>
        </w:rPr>
        <w:t>高新区</w:t>
      </w:r>
      <w:r>
        <w:rPr>
          <w:rFonts w:hint="eastAsia" w:ascii="宋体" w:hAnsi="宋体" w:eastAsia="宋体" w:cs="宋体"/>
          <w:color w:val="auto"/>
          <w:kern w:val="0"/>
          <w:sz w:val="24"/>
          <w:highlight w:val="none"/>
        </w:rPr>
        <w:t>设置固定办公场所、仓库以及路边停车场所（经采购人确定），在日常维护工作期间，维护人员应统一制式着装（身上有反光背心及发光夹），具体人员组成如下：</w:t>
      </w:r>
    </w:p>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外场巡查和抢修维护组同时出警不得少于4组，维护人员不得少于16人（要求熟悉配时方案制作人员不得少于4人、持有高空作业车驾驶证的不得少于2人、持有电工证不得少于10人）；</w:t>
      </w:r>
    </w:p>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后台系统抢修维护技术人员和数据处理人员不得少于1人（要求熟悉通信或计算机相关知识，具备本科文凭以上；要求常驻交警大队现场，由大队进行统一管理）；</w:t>
      </w:r>
    </w:p>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中心信号灯控制人员不得少于1人（要求常驻交警大队现场，由大队进行统一管理）。</w:t>
      </w:r>
    </w:p>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接警中心值班人员不得少于2人（要求常驻交警大队信号灯接警中心，由大队进行统一管理，并负责接警电话迁移工作）。 </w:t>
      </w:r>
    </w:p>
    <w:p>
      <w:pPr>
        <w:pStyle w:val="11"/>
        <w:widowControl/>
        <w:spacing w:beforeAutospacing="0" w:afterAutospacing="0"/>
        <w:jc w:val="both"/>
        <w:rPr>
          <w:rStyle w:val="13"/>
          <w:rFonts w:ascii="宋体" w:hAnsi="宋体" w:eastAsia="宋体" w:cs="宋体"/>
          <w:color w:val="auto"/>
          <w:highlight w:val="none"/>
        </w:rPr>
      </w:pPr>
      <w:r>
        <w:rPr>
          <w:rStyle w:val="13"/>
          <w:rFonts w:hint="eastAsia" w:ascii="宋体" w:hAnsi="宋体" w:eastAsia="宋体" w:cs="宋体"/>
          <w:color w:val="auto"/>
          <w:highlight w:val="none"/>
        </w:rPr>
        <w:t>★（3）车辆及设备要求</w:t>
      </w:r>
    </w:p>
    <w:p>
      <w:pPr>
        <w:widowControl/>
        <w:ind w:firstLine="48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中标人要自备的0.5T或以下货车</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抢修车辆</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不少于4辆（同时出警车辆数量）、高空作业车不少于1辆，巡查小车不少于1辆（巡查小车用于全区巡查维护），新电动自行车不少于3辆，并在全区巡查保障。上述所有车辆均应为中标人所有，并按照交警大队要求统一外观标识，中 标 后提供所有维护机动 车辆的行驶证原件进行审核。所有维护车辆均应由中标人自费安装GPS设备（含数据通讯费），并确保在维护期间设备均能正常运行，定位数据需接入统一系统并实现维护车辆定位功能。</w:t>
      </w:r>
    </w:p>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中标人要自备5台（含）以上便携式单相发电机，遇供电线路停电时投入使用，为路口信号灯临时供电，自备三相发电机2台。</w:t>
      </w:r>
    </w:p>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中标人要自备4套以上（含）的便携式计算机。</w:t>
      </w:r>
    </w:p>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中标人要自备1套以上（含）路口管道高压喷流疏通设备。</w:t>
      </w:r>
    </w:p>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中标人要自备专用联络固定电话1台以上（含）和移动电话6台以上（含），并保证24小时通讯畅通。</w:t>
      </w:r>
    </w:p>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中标人应备有足够的备品、备件、维护器材。</w:t>
      </w:r>
    </w:p>
    <w:p>
      <w:pPr>
        <w:pStyle w:val="11"/>
        <w:widowControl/>
        <w:spacing w:beforeAutospacing="0" w:afterAutospacing="0"/>
        <w:ind w:firstLine="480" w:firstLineChars="200"/>
        <w:jc w:val="both"/>
        <w:rPr>
          <w:rFonts w:ascii="宋体" w:hAnsi="宋体" w:eastAsia="宋体" w:cs="宋体"/>
          <w:color w:val="auto"/>
          <w:highlight w:val="none"/>
        </w:rPr>
      </w:pPr>
      <w:r>
        <w:rPr>
          <w:rFonts w:hint="eastAsia" w:ascii="宋体" w:hAnsi="宋体" w:eastAsia="宋体" w:cs="宋体"/>
          <w:color w:val="auto"/>
          <w:highlight w:val="none"/>
        </w:rPr>
        <w:t>上述中标人自备或提供给交警大队的所有设备、备品、备件、维护器材必须为新采购并在维护期间保证始终能正常使用，若故障无法修复则必须重新采购。</w:t>
      </w:r>
    </w:p>
    <w:p>
      <w:pPr>
        <w:rPr>
          <w:rStyle w:val="13"/>
          <w:rFonts w:ascii="宋体" w:hAnsi="宋体" w:eastAsia="宋体" w:cs="宋体"/>
          <w:color w:val="auto"/>
          <w:sz w:val="24"/>
          <w:highlight w:val="none"/>
        </w:rPr>
      </w:pPr>
      <w:r>
        <w:rPr>
          <w:rStyle w:val="13"/>
          <w:rFonts w:hint="eastAsia" w:ascii="宋体" w:hAnsi="宋体" w:eastAsia="宋体" w:cs="宋体"/>
          <w:color w:val="auto"/>
          <w:sz w:val="24"/>
          <w:highlight w:val="none"/>
        </w:rPr>
        <w:t>★（4） 维护工作要求</w:t>
      </w:r>
    </w:p>
    <w:p>
      <w:pPr>
        <w:widowControl/>
        <w:numPr>
          <w:ilvl w:val="0"/>
          <w:numId w:val="1"/>
        </w:numPr>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本次项目维护采用包干制，包括所有信号灯相关设备设施的维护和更换，在维护期间所需的费用将由中标人自行承担。</w:t>
      </w:r>
    </w:p>
    <w:p>
      <w:pPr>
        <w:widowControl/>
        <w:numPr>
          <w:ilvl w:val="0"/>
          <w:numId w:val="1"/>
        </w:numPr>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中标人安排值班员（须保证有一名值班员常驻交警大队交通指挥中心，由大队进行统一管理）专门接收接警中心指令并实时下发任务单，建立相应数量的巡查和抢修维护组，并按照大队要求的地点在城区定点值守，每个维护组需配备一整套完整的维护工具搭建维护子平台，通过无线网络和电话两种方式实时接受呼叫中心下派的任务单，及时开展维护工作并及时反馈。呼叫中心通过管理平台的GPS定位实时监管整个维修工作。若发现维护人员到现场后未带齐工具、维护后未及时反馈等一次，处违约金 300元。所有人员实行上班签到制度，若发现维护人员迟到、早退等一次，处300元违约金。</w:t>
      </w:r>
    </w:p>
    <w:p>
      <w:pPr>
        <w:widowControl/>
        <w:numPr>
          <w:ilvl w:val="0"/>
          <w:numId w:val="1"/>
        </w:numPr>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中标人所有工作人员在日常维护工作期间，应随时接受大队下达的保障工作和维护工作，统一着装，按大队要求做好内务卫生。不按规定执行的，发现一次处违约金500元。</w:t>
      </w:r>
    </w:p>
    <w:p>
      <w:pPr>
        <w:widowControl/>
        <w:numPr>
          <w:ilvl w:val="0"/>
          <w:numId w:val="1"/>
        </w:numPr>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维护的及时性。中标人接到接警中心指令后应在20分钟内赶到现场开展维护，并第一时间通过现场拍照后上传进行到场签到，且修复时间原则上不得长于30分钟，修复后拍照上传进行修复报告，维护时间以上传签到和修复2个时间为依据。交警大队通过系统和实际检查监督维护及时性、发现1 次到场时间超时或维护时间超时将处违约金800元，发现未到场维护的处违约金3000元。</w:t>
      </w:r>
    </w:p>
    <w:p>
      <w:pPr>
        <w:widowControl/>
        <w:numPr>
          <w:ilvl w:val="0"/>
          <w:numId w:val="1"/>
        </w:numPr>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维护的完整性。</w:t>
      </w:r>
      <w:r>
        <w:rPr>
          <w:rFonts w:hint="eastAsia" w:ascii="宋体" w:hAnsi="宋体" w:eastAsia="宋体" w:cs="宋体"/>
          <w:color w:val="auto"/>
          <w:kern w:val="0"/>
          <w:sz w:val="24"/>
          <w:highlight w:val="none"/>
          <w:lang w:val="en-US" w:eastAsia="zh-CN"/>
        </w:rPr>
        <w:t>交警大队</w:t>
      </w:r>
      <w:r>
        <w:rPr>
          <w:rFonts w:hint="eastAsia" w:ascii="宋体" w:hAnsi="宋体" w:eastAsia="宋体" w:cs="宋体"/>
          <w:color w:val="auto"/>
          <w:kern w:val="0"/>
          <w:sz w:val="24"/>
          <w:highlight w:val="none"/>
        </w:rPr>
        <w:t>将随时对维护工作进行抽查，必须有全面完整的实际维护记录；交警大队将按合同规定的维护任务要求对各项维护结果进行合格性抽查；交警大队将按合同规定的维护任务，随时抽查巡检记录与维护结果或根据投诉、来件反应可能存在的问题进行突击性检查。对抽查中发现维护未记录或记录 不完整、以及其他信号灯故障的，发现一次处违约金800元。</w:t>
      </w:r>
    </w:p>
    <w:p>
      <w:pPr>
        <w:widowControl/>
        <w:numPr>
          <w:ilvl w:val="0"/>
          <w:numId w:val="1"/>
        </w:numPr>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维护的可靠性。在技术上对各项维护工作必须做到有所保证。系统同一部位发生同一性质的技术性故障的复，一天内反复出现不得超过2次，发现一起处违约金800元。</w:t>
      </w:r>
    </w:p>
    <w:p>
      <w:pPr>
        <w:widowControl/>
        <w:numPr>
          <w:ilvl w:val="0"/>
          <w:numId w:val="1"/>
        </w:numPr>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维护的安全性。除保证维护设备的安全运行外，中标人必须具备有相应资质的工作人员，严格按照工程施工相关规范要求进行现场作业，内场外场维护巡查的所有安 全责任由中标人承担。现场作业时必须着反光背心，高空作业参与人员（包括司机）必须戴安全帽，维护施工前必须按规定设置施工围挡及反光路锥，必须随时保证 交通信号设备安装、接线及维修后的现场安全性等处理，中标人未按照以上要求保障维护安全性地，发现一起处违约金800元，并自身负责承担在维护期发生的伤亡、财产损失等其它经济、法律责任和安全责任。并且，在维护服务期内发生的一切安全责任全部由中标方负责，采购方不承担任何责任。</w:t>
      </w:r>
    </w:p>
    <w:p>
      <w:pPr>
        <w:widowControl/>
        <w:numPr>
          <w:ilvl w:val="0"/>
          <w:numId w:val="1"/>
        </w:numPr>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维护的准确性。对各项维护工作必须做到判断准确、统计准确、参数设置合理等，对因错误处理故障造成相关损失的，中标人应照价赔偿，造成重大事故或致使道路 瘫痪的，采购人有权解除合同，中标人须承担相关法律责任，向采购人支付年维护金额30%的违约金，并承担因违约造成采购人的损失。没有按照制作和下发配时方案的，每发生一次，处违约金800元；方案下发严重冲突且导致交通混乱的，每发生一次，处违约金6000元；因配时方案制作和下发错误，导致交通事故的，由中标人负责承担所有责任。</w:t>
      </w:r>
    </w:p>
    <w:p>
      <w:pPr>
        <w:widowControl/>
        <w:numPr>
          <w:ilvl w:val="0"/>
          <w:numId w:val="1"/>
        </w:numPr>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维护的主动性。中标人在开展具体巡查维护工作中，应加强主动巡查和及时维护，同时做好系统录入。无论什么原因（含施工、事故、人为故意）导致的信号灯任何故障，中标人都必须主动按照及时、完整、可靠、安全、准确的原则无条件进行维护。如信号灯灭灯、系统故障、树枝遮挡、小广告、信号配时严重不符合交通流现状导致拥堵等直观问题没有巡查到位被交警大队或采购方检查，每发生一次，处违约 金500元；交警大队或采购方督促后仍不及时修复，每发生一次，处违约金5000元，性质严重恶劣无法胜任维护的，采购方有权解除合同，中标人须承担相关法律责任，向采购方支付年维护金额30%的违约金，并承担因违约造成采购人的损失。</w:t>
      </w:r>
    </w:p>
    <w:p>
      <w:pPr>
        <w:widowControl/>
        <w:numPr>
          <w:ilvl w:val="0"/>
          <w:numId w:val="1"/>
        </w:numPr>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维护的保证性。中标人在合同签订后5日内必须将办公场所、仓库以及停车场所设置到位，若设置不到位，按每天处违约金1000元，维护期内第一季度结束时， 中标人仍未达到合同要求的，采购方有权解除合同，中标人向采购方偿付年维护金额30%的违约金，并承担因违约造成采购方的损失。中标人应在合同签订后一个月内配齐维护班组和相关人员，如果未配齐的，按每天处违约金500元，维护期内第一季度结束时，中标人维护人员仍未达到合同要求的，采购方有权解除合同，中标人向采购方偿付年维护金额30%的违约金，并承担因违约造成采购方的损失。在日常维护过程中，中标人必须始终保证交通信号系统日常的正常运行，任何时候（含周末和节假日）全天24小时维护组数量不得少于合同要求。中标人未按此规定执行，发现一次处违约金500元，并按照交警大队要求及时恢复维护班组，拒不恢复的，采购方有权要求中标人偿付年维护金额30%的违约金，并承担因违约造成采购人的损失。另外，在维护过程中，信号机相关配件发生故障时，若相关配件使用年限超过3年的必须更换为新的，中标人未按此规定执行，发现一次处违约金500元，并按照交警大队要求及时执行，拒不执行的，采购方有权要求中标人偿付年维护金额30%的违约金。</w:t>
      </w:r>
    </w:p>
    <w:p>
      <w:pPr>
        <w:widowControl/>
        <w:numPr>
          <w:ilvl w:val="0"/>
          <w:numId w:val="1"/>
        </w:numPr>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中标人必须使用交警大队要求的信号灯管理控制平台，所有维护信息均要在维护日志上进行录入，交警大队将通过维护日志对中标人提供的维护服务进行实时监督。同时，中标人应按照交警大队要求负责做好信号机前端及后台的升级工作。</w:t>
      </w:r>
    </w:p>
    <w:p>
      <w:pPr>
        <w:widowControl/>
        <w:numPr>
          <w:ilvl w:val="0"/>
          <w:numId w:val="1"/>
        </w:numPr>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所有维护车辆在没有出警情况下均必须在交警大队要求的地点待命，中标人未按此规定执行，发现一次处违约金500元。</w:t>
      </w:r>
    </w:p>
    <w:p>
      <w:pPr>
        <w:widowControl/>
        <w:numPr>
          <w:ilvl w:val="0"/>
          <w:numId w:val="1"/>
        </w:numPr>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外场交通信号灯系统巡查和维护。保障交通信号灯系统（包括信号机、信号机系统时间、信号灯具、信号灯杆、信号灯基础及接地、车辆检测器及馈线、倒计时器通 讯连接、信号灯电缆、电源连接、路口各类管道、缆线、检查井、光纤连接等附属设施）和太阳能黄闪灯的设置符合道路交通安全、畅通的要求和国家 标准，并保持清晰、醒目、准确、完好。特别是遇到管道堵塞情况，中标人应免费疏通管道，实在无法疏通的情况应先采用飞线方式保障信号灯正常运行并于第二 天及时疏通管道，实现缆线下地，路面修复。</w:t>
      </w:r>
    </w:p>
    <w:p>
      <w:pPr>
        <w:widowControl/>
        <w:numPr>
          <w:ilvl w:val="0"/>
          <w:numId w:val="1"/>
        </w:numPr>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中心交通信号灯管理控制系统维护。保障交通信号灯管理控制相关系统之间的链路、与路口信号机之间的链路（光纤、光端机、网线）、与交通安全设施维护平的链路、其它属于信号灯方面的链路，以及信号灯管理控制平台各项功能运行正常，发现问题时应负责修复处理，无法自行处理的应及时协调相关单位解决。对所有后台信号灯相关的链路运行情况进行每日巡查并填写巡查日志，发现问题应及时修复或协调相关单位进行修复。以上巡查发现的问题，中标方应当场采取措施，及时排除问题，若因条件限制，不能当场处理的立即上报交警大队或采购方，并立即采取防护措施，如无检查发现或发现后未采取防护措施造成人员伤亡和财产损失，由中标人负全部责任。</w:t>
      </w:r>
    </w:p>
    <w:p>
      <w:pPr>
        <w:widowControl/>
        <w:numPr>
          <w:ilvl w:val="0"/>
          <w:numId w:val="1"/>
        </w:numPr>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建立24小时值班抢修制度。为了保证抢修工作的顺利进行，中标人必须按照交警大队要求备有值班电话、值班人员以及值班抢修小组24小时待命（不分节假日）， 并做好详细的值班记录。抢修任务完成后应时上传维修情况、通报抢修指令下达单位，并同时上报值班人员备案。对抢修过程中需实施对交通通有较 大影响的措施时要事先征得大队领导的同意方能开工，联系不上大队领导且现场存在严重安全隐患的、可能导致严重交通堵塞的可以先行施工，但事后须及时向大队领导汇报，并依据现场照片补办任务单。对于损坏的交通设施，中标人须将现场进行照相经责任民警确认作为工程的结算依据，如无相片、责任民警作为依据的，不能进行工程结算，其损失由中标人自行承担。发现信号机或部分部件被盗、被人为破坏时，需第一时间报警，并安排维修人员免费完善和修复。中标人应根据交警大队要求安排值班员24小时实时监测相关系统，遇到任何连接故障或系统自动报警情况的，应立即组织人员排查抢修，保障所有数据通讯正常和路口交通信号灯运行正常。</w:t>
      </w:r>
    </w:p>
    <w:p>
      <w:pPr>
        <w:widowControl/>
        <w:numPr>
          <w:ilvl w:val="0"/>
          <w:numId w:val="1"/>
        </w:numPr>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建立相应级别应急预案制度。因自然灾害（如台风、电力故障等原因）可能引发路口交通设施受损和路口路段的交通堵塞严重的事件，中标人必须制定一套完整的预防及处置方案；抢修抢险先保证重点区域，重点保障重要路口路段。</w:t>
      </w:r>
    </w:p>
    <w:p>
      <w:pPr>
        <w:widowControl/>
        <w:numPr>
          <w:ilvl w:val="0"/>
          <w:numId w:val="1"/>
        </w:numPr>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配时方案管理、制作、下发和数据统计。中标人应通过系统管理所有路口交通信号灯配时方案，支持交警大队进行配时方案制作，通过系统或到实地独立下发配时方案。</w:t>
      </w:r>
    </w:p>
    <w:p>
      <w:pPr>
        <w:widowControl/>
        <w:numPr>
          <w:ilvl w:val="0"/>
          <w:numId w:val="1"/>
        </w:numPr>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系统性巡查。每月应按计划完成服务范围内所有交通信号灯路口进行不间断巡查，并将计划报交警大队。中标人必须每天安排除正常维护人员外不少于1辆巡查专车和一定的人员进行巡查工作，并做好巡查记录。中标人的维护车辆不得中断GPS系统使用，采购人有权通过GPS系统对巡查情况实时监督，发现巡查车辆在巡查时间内非因特殊情况在30分钟内没有移动且没有向交警大队报告的，发现一次处违约金500元。中标人应完成采购人制定的每日、每周必须巡查的路线的巡查工作。同时，中标方人每日安排1名计算机技术人员对交通信号灯管理与控制平台及相关子系统进行故障轮巡，发现问题应及时修复或协调其他单位进行修复。</w:t>
      </w:r>
    </w:p>
    <w:p>
      <w:pPr>
        <w:widowControl/>
        <w:numPr>
          <w:ilvl w:val="0"/>
          <w:numId w:val="1"/>
        </w:numPr>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外场巡查。中标人每天要对交警大队制定的纵横干道进行巡查，其他路口应完成至少每周2次巡查，内容包括信号灯、（含太阳能黄闪灯）、信号机、车辆检测器及馈线、信号灯具（含太阳能）、电控箱及不间断电源、管线、灯杆、检查井、倒计时器等设施，同时检查各类机柜的外观。对巡查中所发现的 信号控制灯系统及附属设施运行存在问题（特别是安全问题）的要查明原因，并进行处理。对损坏的信号灯控制系统及附属设施及时进行修复并做好维修记录。巡查 具体要求如下：</w:t>
      </w:r>
    </w:p>
    <w:p>
      <w:pPr>
        <w:widowControl/>
        <w:ind w:firstLine="375"/>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信号灯杆安装牢固、垂直，紧固件无松动。机动车信号灯具显示面正对所控制的机动车道，人行横道信号灯具显示面应正对人行横道。信号灯杆、配电箱、机箱等无破裂，无变形，机械强度满足要求。信号灯壳无破裂，无变形，显示单元亮度符合最新国标要求，无部分缺显现象，信号灯完好率保持100％。信号机内电路板、外接线路及其它配件无松动或接触不良现象；机箱内照明灯、机箱防盗设施必须完好，信号机的手动控制部件、感应部件必须完好有效；确保控制方案 无降级；机箱内液晶显示板显示正常。检查井盖必须完好，检查井内地下管道口两端必须封口，避免鼠虫、淤泥等进入，造成管道堵塞损坏。手孔井如果出现坍塌、低于路面或高于路面（无论是不是道路改造导致的）都要及时重建手孔井，确保手孔井完好并与路面平齐。</w:t>
      </w:r>
    </w:p>
    <w:p>
      <w:pPr>
        <w:widowControl/>
        <w:ind w:firstLine="375"/>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信号灯与信号机之间的电缆应采用1灯1线的连接方式，电缆中间无接头，电缆颜色要与灯具颜色对应连接，电缆在灯具端和信号机端连接牢固，电缆线在信号机端要根据交警大队的要求进行编号。对被盗窃、短路、断线、老化、绝缘不符合要求的电缆应及时及时修复或更换，费用由中标人自行承担（包括架高空线的人工及线缆材料费）。</w:t>
      </w:r>
    </w:p>
    <w:p>
      <w:pPr>
        <w:widowControl/>
        <w:ind w:firstLine="285"/>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路口所有信号灯杆及信号机箱外壳必须接地良好，符合要求。路口信号灯和高空标志牌有树木或其他障碍物遮挡视线时，应马上进行处理，不能自行处理的应及时联系相关部门进行处理。对电源接电点进行检查。对路口电源接电点不符合永久接电要求的，应上报交警大队或采购方，并协助交警大队申请安装及时通电。对巡查中发现质量已不满足使用要求的信号灯设施（如灯杆、灯具）应及时更换并上报交警大队或采购方。</w:t>
      </w:r>
    </w:p>
    <w:p>
      <w:pPr>
        <w:widowControl/>
        <w:ind w:firstLine="375"/>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对已安装在路口但长期不使用的信号灯设施、路口改造后暂时不用的信号灯设施，设施改造工程更换的信号灯设施，按交警大队要求拆回仓库存放并输入电脑造册登记，内容包括拆回交通灯设施的类型、数量、时间、地点及拆回原因，填写一式几份的入库单据，这些资料要每个月更新并上报给交警大队。</w:t>
      </w:r>
    </w:p>
    <w:p>
      <w:pPr>
        <w:widowControl/>
        <w:numPr>
          <w:ilvl w:val="0"/>
          <w:numId w:val="1"/>
        </w:numPr>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抽查和巡查报告。中标人应主动配合交警大队对路口信号灯设施进行定期或不定期的抽查，对抽查中发现的问题及时进行处理。中标人应定期提交系统性与日常例行巡查的报告及合理化建议。</w:t>
      </w:r>
    </w:p>
    <w:p>
      <w:pPr>
        <w:widowControl/>
        <w:numPr>
          <w:ilvl w:val="0"/>
          <w:numId w:val="1"/>
        </w:numPr>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特殊任务巡查。依照交警大队要求和给出的路线进行信号灯控制系统及附属设施的巡查，确保路口信号机方案、手控、信号灯等运行正常，并根据需要安排保障点，进 行路口保障工作。在执行特殊任务巡查中，中标人及其人员必须严守秘密，为了处置突发事件的需要，中标人必须备有足够执行特殊任务巡查用的设备、工程车及技 术人员，发生突发事件时，应在接到通知后在规定时间内到达现场，并及时修复（在执行特殊任务巡查中如遇其它接警工作，需上报交警大队领导以协调完成特殊任务 巡查与接警的抢修工作）。参与特殊任务巡查的中标人及其人员必须加强责任心，做好保密工作，要按时、保质完成任务。对于达不到要求的要追究当事人及单位领导的责任，造成严重后果的除终止合同外，并追究当事人和单位领导的相关法律责任。</w:t>
      </w:r>
    </w:p>
    <w:p>
      <w:pPr>
        <w:widowControl/>
        <w:numPr>
          <w:ilvl w:val="0"/>
          <w:numId w:val="1"/>
        </w:numPr>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专项排查。中标人应服从交警大队的要求，在大队要求合理的时限内完成任何形式的全市信号灯专项排查。如电源排查、黄灯排查、管线排查、灯具数量排查等等，不能按时完成的，每延迟一日处违约金500元。</w:t>
      </w:r>
    </w:p>
    <w:p>
      <w:pPr>
        <w:widowControl/>
        <w:numPr>
          <w:ilvl w:val="0"/>
          <w:numId w:val="1"/>
        </w:numPr>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维护更换要求。中标人应及时更换老旧、安全性不足、故障率过高等已不符合使用要求的所有信号灯相关设备，如信号灯具、管道、交通信号灯杆件及配套基础建设、机柜、接线手孔井建设、防盗报警配电箱及配套基础安装、交通信号机及配套基础安装、UPS不间断电源（含4节配套蓄电池）、光端机安装、以及道路开挖 及修复（修复不含路面沥青层）。维护更换中所需工具及相关零配件（包括线缆）由中标人自行承担，使交通信号灯及附属设施始终处于良好工作状态。</w:t>
      </w:r>
    </w:p>
    <w:p>
      <w:pPr>
        <w:widowControl/>
        <w:numPr>
          <w:ilvl w:val="0"/>
          <w:numId w:val="1"/>
        </w:numPr>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流量检测要求。根据交警大队需求和任意给出的点位，中标人应免费安排专人全力支持采购人进行流量检测并完成数据采集报送给采购人。</w:t>
      </w:r>
    </w:p>
    <w:p>
      <w:pPr>
        <w:widowControl/>
        <w:numPr>
          <w:ilvl w:val="0"/>
          <w:numId w:val="1"/>
        </w:numPr>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信号配时、交通仿真。中标人应进行每日巡查，观察所有信号灯路口交通运行情况，对交通信号配时不满足当前交通流量时，应积极安排专业工程技术人员支持交警大队结合交通流量检测和交通仿真评价制定科学配时方案并下发。中标人应在规定时间内科学调整交警大队给出的信号灯路口的配时方案。每个区要按照采购人要求完成3个路口的交通仿真，仿真效果要达到交警大队需求。</w:t>
      </w:r>
    </w:p>
    <w:p>
      <w:pPr>
        <w:widowControl/>
        <w:numPr>
          <w:ilvl w:val="0"/>
          <w:numId w:val="1"/>
        </w:numPr>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保洁内容及要求。每半年一次或根据交警大队要求不定期对信号机、配电箱和信号灯具清洗和保养，做到信号机内部和外观、灯具外壳、背板、遮阳罩、倒计时器、杆件、机箱等无污物，灯壳内无积水，保证信号灯亮度符合要求。清洗保养工作不得造成交通阻塞，清洗保养工作时间应避开交通高峰期，服从执勤民警的现场指挥。交警大队经检查发现1起上述设备存在保洁不到位的，对中标人处违约金500元。每周对所有路口配电箱、信号机箱、电子警察主机柜、灯杆等的涂抹和张贴小广告 进行一次全面清除，对小广告应进行拍照汇总后上报采购人并通知相关部门进行封号。每周对交警大队要求的区主干道以及周边道路沿线路口配电箱、信号机箱、电子 警察主机柜、灯杆等的涂抹和张贴小广告进行清除，对小广告应进行拍照汇总后上报交警大队并通知相关部门进行封号。对媒体、群众、采购人发现的小广告要立即清 除。采购人经检查发现1起上述设备存在小广告的，对中标人处违约金500元。</w:t>
      </w:r>
    </w:p>
    <w:p>
      <w:pPr>
        <w:widowControl/>
        <w:numPr>
          <w:ilvl w:val="0"/>
          <w:numId w:val="1"/>
        </w:numPr>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内业、档案内容及要求。中标人应按照交警大队的要求免费完善更新信号灯管理控制平台等后台管理软件的数据，应在中标之后一个月内建立涉 及维护范围内所有交通控制设备包括信号灯、信号机、太阳能信号灯含黄闪、倒计时器、配电箱、UPS、杆件、管道、线路、路口渠化图等的各类详细信息档案 （包括厂家、型号、生产时间、安装时间、维护记录等），每日应将信号灯日维护记录和配时方案修改下发记录在规定时间内报送交警大队。</w:t>
      </w:r>
    </w:p>
    <w:p>
      <w:pPr>
        <w:widowControl/>
        <w:numPr>
          <w:ilvl w:val="0"/>
          <w:numId w:val="1"/>
        </w:numPr>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中标人应每季度对高新区所有交通信号灯路口设备的运行及安全性进行综合分析评估，并形成评估报告加盖单位公章报送交警大队。维护期间，中标人对高新区信号灯所有设备的运行安全负一切责任。</w:t>
      </w:r>
    </w:p>
    <w:p>
      <w:pPr>
        <w:widowControl/>
        <w:numPr>
          <w:ilvl w:val="0"/>
          <w:numId w:val="1"/>
        </w:numPr>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道路扩、改建和维修开挖等原因影响到交通信号灯控制系统及附属设施正常使用时，中标人应主动派人到路口了解设施损坏或要进行迁移的情况，并先行修复，同时及时向交警大队汇报施工对交通信号灯控制系统及附属设施造成的影响，代表交警大队向施工单位交涉，追讨迁移和损坏补偿的费用。</w:t>
      </w:r>
    </w:p>
    <w:p>
      <w:pPr>
        <w:widowControl/>
        <w:numPr>
          <w:ilvl w:val="0"/>
          <w:numId w:val="1"/>
        </w:numPr>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中标人配合交警大队对新建或重新改造的路口交通信号灯控制系统及附属设施按招标文件进行接收。如不符合施工图纸和技术规范质量要求的，及时向交警大队提出意见和建议。</w:t>
      </w:r>
    </w:p>
    <w:p>
      <w:pPr>
        <w:widowControl/>
        <w:numPr>
          <w:ilvl w:val="0"/>
          <w:numId w:val="1"/>
        </w:numPr>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中标人应根据交警大队要求免费进行路口间信号机迁移以及信号机基础制作。若道路改造后管道重新布设，中标人应免费进行管线重新铺设穿线。</w:t>
      </w:r>
    </w:p>
    <w:p>
      <w:pPr>
        <w:widowControl/>
        <w:numPr>
          <w:ilvl w:val="0"/>
          <w:numId w:val="1"/>
        </w:numPr>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中标人应对现有信号灯管控平台软件的运维功能升级维护，增加前端信号机网络参数设置功能、信号机UDP搜索、信号机固件在线更新功能，升级后的平台软件须兼容接入全区所有信号机。</w:t>
      </w:r>
    </w:p>
    <w:p>
      <w:pPr>
        <w:widowControl/>
        <w:numPr>
          <w:ilvl w:val="0"/>
          <w:numId w:val="1"/>
        </w:numPr>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根据交通工作及项目管理需要，中标人需采购国标移动信号灯提供给交警大队，至少5台。</w:t>
      </w:r>
    </w:p>
    <w:p>
      <w:pPr>
        <w:widowControl/>
        <w:numPr>
          <w:ilvl w:val="0"/>
          <w:numId w:val="1"/>
        </w:numPr>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根据交通工作及项目管理需要，中标人需采购5台新交通信号机（含基础施工和安装）；中标人需保证所采购的信号机（品 牌由采购方确定）能接入至交警大队现有的信号灯管理控制平台。支持利用交通信号控制机自身的时钟、通过设定相位差实现不同路口之间的离线协调；支持自动按照时段切换协调方案；具有相应的配置和监控界面，提供公安部授权机构出具的有效检测报告复印件，原件备查。</w:t>
      </w:r>
    </w:p>
    <w:p>
      <w:pPr>
        <w:widowControl/>
        <w:numPr>
          <w:ilvl w:val="0"/>
          <w:numId w:val="1"/>
        </w:numPr>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采购方有权对上诉规定进行监督和抽查，拒不配合，可以解除合同并追究中标人一切经济损失及相应的法律责任。</w:t>
      </w:r>
    </w:p>
    <w:p>
      <w:pPr>
        <w:widowControl/>
        <w:jc w:val="left"/>
        <w:rPr>
          <w:rFonts w:ascii="宋体" w:hAnsi="宋体" w:eastAsia="宋体" w:cs="宋体"/>
          <w:color w:val="auto"/>
          <w:kern w:val="0"/>
          <w:sz w:val="24"/>
          <w:highlight w:val="none"/>
        </w:rPr>
      </w:pPr>
      <w:r>
        <w:rPr>
          <w:rFonts w:hint="eastAsia" w:ascii="宋体" w:hAnsi="宋体" w:eastAsia="宋体" w:cs="宋体"/>
          <w:b/>
          <w:bCs/>
          <w:color w:val="auto"/>
          <w:sz w:val="24"/>
          <w:highlight w:val="none"/>
        </w:rPr>
        <w:t>（二）</w:t>
      </w:r>
      <w:r>
        <w:rPr>
          <w:rFonts w:hint="eastAsia" w:ascii="宋体" w:hAnsi="宋体" w:eastAsia="宋体" w:cs="宋体"/>
          <w:b/>
          <w:bCs/>
          <w:color w:val="auto"/>
          <w:kern w:val="0"/>
          <w:sz w:val="24"/>
          <w:highlight w:val="none"/>
        </w:rPr>
        <w:t>护栏维护内容</w:t>
      </w:r>
    </w:p>
    <w:p>
      <w:pPr>
        <w:widowControl/>
        <w:ind w:firstLine="285"/>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高新区范围内所有因车辆撞毁、丢失、逃逸及自然灾害等各种恶劣天气导致损坏的交通护栏（包含道口柱），以下所有交通护栏均包含道口柱。</w:t>
      </w:r>
    </w:p>
    <w:p>
      <w:pPr>
        <w:ind w:left="120"/>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（1）护栏等交通设施维护人员及设备要求（评审项1）</w:t>
      </w:r>
    </w:p>
    <w:p>
      <w:pPr>
        <w:widowControl/>
        <w:ind w:firstLine="285"/>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人员配置：必须有一支稳定、有能力胜任相应维修工作的不少8人的技术队伍。具备基本了解、掌握交通护栏基本原理，实际运用操作、故障查询及检修方法。所有人员需购买团体意外伤害保险、反光工作服。每日必须保证上述人员在岗在位，若遇有事假、病假等，必须有相同能力的人员替补。</w:t>
      </w:r>
    </w:p>
    <w:p>
      <w:pPr>
        <w:widowControl/>
        <w:ind w:firstLine="285"/>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设备要求：</w:t>
      </w:r>
    </w:p>
    <w:tbl>
      <w:tblPr>
        <w:tblStyle w:val="14"/>
        <w:tblW w:w="8478"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718"/>
        <w:gridCol w:w="2759"/>
        <w:gridCol w:w="981"/>
        <w:gridCol w:w="40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53" w:hRule="atLeast"/>
        </w:trPr>
        <w:tc>
          <w:tcPr>
            <w:tcW w:w="718" w:type="dxa"/>
            <w:tcBorders>
              <w:top w:val="outset" w:color="auto" w:sz="6" w:space="0"/>
              <w:left w:val="outset" w:color="auto" w:sz="6" w:space="0"/>
              <w:bottom w:val="outset" w:color="auto" w:sz="6" w:space="0"/>
              <w:right w:val="outset" w:color="auto" w:sz="6" w:space="0"/>
            </w:tcBorders>
            <w:tcMar>
              <w:top w:w="0" w:type="dxa"/>
              <w:left w:w="90" w:type="dxa"/>
              <w:bottom w:w="0" w:type="dxa"/>
              <w:right w:w="90" w:type="dxa"/>
            </w:tcMar>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2759" w:type="dxa"/>
            <w:tcBorders>
              <w:top w:val="outset" w:color="auto" w:sz="6" w:space="0"/>
              <w:left w:val="outset" w:color="auto" w:sz="6" w:space="0"/>
              <w:bottom w:val="outset" w:color="auto" w:sz="6" w:space="0"/>
              <w:right w:val="outset" w:color="auto" w:sz="6" w:space="0"/>
            </w:tcBorders>
            <w:tcMar>
              <w:top w:w="0" w:type="dxa"/>
              <w:left w:w="90" w:type="dxa"/>
              <w:bottom w:w="0" w:type="dxa"/>
              <w:right w:w="90" w:type="dxa"/>
            </w:tcMar>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设备</w:t>
            </w:r>
          </w:p>
        </w:tc>
        <w:tc>
          <w:tcPr>
            <w:tcW w:w="981" w:type="dxa"/>
            <w:tcBorders>
              <w:top w:val="outset" w:color="auto" w:sz="6" w:space="0"/>
              <w:left w:val="outset" w:color="auto" w:sz="6" w:space="0"/>
              <w:bottom w:val="outset" w:color="auto" w:sz="6" w:space="0"/>
              <w:right w:val="outset" w:color="auto" w:sz="6" w:space="0"/>
            </w:tcBorders>
            <w:tcMar>
              <w:top w:w="0" w:type="dxa"/>
              <w:left w:w="90" w:type="dxa"/>
              <w:bottom w:w="0" w:type="dxa"/>
              <w:right w:w="90" w:type="dxa"/>
            </w:tcMar>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数量</w:t>
            </w:r>
          </w:p>
        </w:tc>
        <w:tc>
          <w:tcPr>
            <w:tcW w:w="4020" w:type="dxa"/>
            <w:tcBorders>
              <w:top w:val="outset" w:color="auto" w:sz="6" w:space="0"/>
              <w:left w:val="outset" w:color="auto" w:sz="6" w:space="0"/>
              <w:bottom w:val="outset" w:color="auto" w:sz="6" w:space="0"/>
              <w:right w:val="outset" w:color="auto" w:sz="6" w:space="0"/>
            </w:tcBorders>
            <w:tcMar>
              <w:top w:w="0" w:type="dxa"/>
              <w:left w:w="90" w:type="dxa"/>
              <w:bottom w:w="0" w:type="dxa"/>
              <w:right w:w="90" w:type="dxa"/>
            </w:tcMar>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718" w:type="dxa"/>
            <w:tcBorders>
              <w:top w:val="outset" w:color="auto" w:sz="6" w:space="0"/>
              <w:left w:val="outset" w:color="auto" w:sz="6" w:space="0"/>
              <w:bottom w:val="outset" w:color="auto" w:sz="6" w:space="0"/>
              <w:right w:val="outset" w:color="auto" w:sz="6" w:space="0"/>
            </w:tcBorders>
            <w:tcMar>
              <w:top w:w="0" w:type="dxa"/>
              <w:left w:w="90" w:type="dxa"/>
              <w:bottom w:w="0" w:type="dxa"/>
              <w:right w:w="90" w:type="dxa"/>
            </w:tcMar>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759" w:type="dxa"/>
            <w:tcBorders>
              <w:top w:val="outset" w:color="auto" w:sz="6" w:space="0"/>
              <w:left w:val="outset" w:color="auto" w:sz="6" w:space="0"/>
              <w:bottom w:val="outset" w:color="auto" w:sz="6" w:space="0"/>
              <w:right w:val="outset" w:color="auto" w:sz="6" w:space="0"/>
            </w:tcBorders>
            <w:tcMar>
              <w:top w:w="0" w:type="dxa"/>
              <w:left w:w="90" w:type="dxa"/>
              <w:bottom w:w="0" w:type="dxa"/>
              <w:right w:w="90" w:type="dxa"/>
            </w:tcMar>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0.75T小货车(抢修车辆)</w:t>
            </w:r>
          </w:p>
        </w:tc>
        <w:tc>
          <w:tcPr>
            <w:tcW w:w="981" w:type="dxa"/>
            <w:tcBorders>
              <w:top w:val="outset" w:color="auto" w:sz="6" w:space="0"/>
              <w:left w:val="outset" w:color="auto" w:sz="6" w:space="0"/>
              <w:bottom w:val="outset" w:color="auto" w:sz="6" w:space="0"/>
              <w:right w:val="outset" w:color="auto" w:sz="6" w:space="0"/>
            </w:tcBorders>
            <w:tcMar>
              <w:top w:w="0" w:type="dxa"/>
              <w:left w:w="90" w:type="dxa"/>
              <w:bottom w:w="0" w:type="dxa"/>
              <w:right w:w="90" w:type="dxa"/>
            </w:tcMar>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1辆</w:t>
            </w:r>
          </w:p>
        </w:tc>
        <w:tc>
          <w:tcPr>
            <w:tcW w:w="4020" w:type="dxa"/>
            <w:tcBorders>
              <w:top w:val="outset" w:color="auto" w:sz="6" w:space="0"/>
              <w:left w:val="outset" w:color="auto" w:sz="6" w:space="0"/>
              <w:bottom w:val="outset" w:color="auto" w:sz="6" w:space="0"/>
              <w:right w:val="outset" w:color="auto" w:sz="6" w:space="0"/>
            </w:tcBorders>
            <w:tcMar>
              <w:top w:w="0" w:type="dxa"/>
              <w:left w:w="90" w:type="dxa"/>
              <w:bottom w:w="0" w:type="dxa"/>
              <w:right w:w="90" w:type="dxa"/>
            </w:tcMar>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保险齐全，性能完好，能满足日常巡查及抢修需求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53" w:hRule="atLeast"/>
        </w:trPr>
        <w:tc>
          <w:tcPr>
            <w:tcW w:w="718" w:type="dxa"/>
            <w:tcBorders>
              <w:top w:val="outset" w:color="auto" w:sz="6" w:space="0"/>
              <w:left w:val="outset" w:color="auto" w:sz="6" w:space="0"/>
              <w:bottom w:val="outset" w:color="auto" w:sz="6" w:space="0"/>
              <w:right w:val="outset" w:color="auto" w:sz="6" w:space="0"/>
            </w:tcBorders>
            <w:tcMar>
              <w:top w:w="0" w:type="dxa"/>
              <w:left w:w="90" w:type="dxa"/>
              <w:bottom w:w="0" w:type="dxa"/>
              <w:right w:w="90" w:type="dxa"/>
            </w:tcMar>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759" w:type="dxa"/>
            <w:tcBorders>
              <w:top w:val="outset" w:color="auto" w:sz="6" w:space="0"/>
              <w:left w:val="outset" w:color="auto" w:sz="6" w:space="0"/>
              <w:bottom w:val="outset" w:color="auto" w:sz="6" w:space="0"/>
              <w:right w:val="outset" w:color="auto" w:sz="6" w:space="0"/>
            </w:tcBorders>
            <w:tcMar>
              <w:top w:w="0" w:type="dxa"/>
              <w:left w:w="90" w:type="dxa"/>
              <w:bottom w:w="0" w:type="dxa"/>
              <w:right w:w="90" w:type="dxa"/>
            </w:tcMar>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车载发电机</w:t>
            </w:r>
          </w:p>
        </w:tc>
        <w:tc>
          <w:tcPr>
            <w:tcW w:w="981" w:type="dxa"/>
            <w:tcBorders>
              <w:top w:val="outset" w:color="auto" w:sz="6" w:space="0"/>
              <w:left w:val="outset" w:color="auto" w:sz="6" w:space="0"/>
              <w:bottom w:val="outset" w:color="auto" w:sz="6" w:space="0"/>
              <w:right w:val="outset" w:color="auto" w:sz="6" w:space="0"/>
            </w:tcBorders>
            <w:tcMar>
              <w:top w:w="0" w:type="dxa"/>
              <w:left w:w="90" w:type="dxa"/>
              <w:bottom w:w="0" w:type="dxa"/>
              <w:right w:w="90" w:type="dxa"/>
            </w:tcMar>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2台</w:t>
            </w:r>
          </w:p>
        </w:tc>
        <w:tc>
          <w:tcPr>
            <w:tcW w:w="4020" w:type="dxa"/>
            <w:tcBorders>
              <w:top w:val="outset" w:color="auto" w:sz="6" w:space="0"/>
              <w:left w:val="outset" w:color="auto" w:sz="6" w:space="0"/>
              <w:bottom w:val="outset" w:color="auto" w:sz="6" w:space="0"/>
              <w:right w:val="outset" w:color="auto" w:sz="6" w:space="0"/>
            </w:tcBorders>
            <w:tcMar>
              <w:top w:w="0" w:type="dxa"/>
              <w:left w:w="90" w:type="dxa"/>
              <w:bottom w:w="0" w:type="dxa"/>
              <w:right w:w="90" w:type="dxa"/>
            </w:tcMar>
            <w:vAlign w:val="center"/>
          </w:tcPr>
          <w:p>
            <w:pPr>
              <w:widowControl/>
              <w:jc w:val="center"/>
              <w:rPr>
                <w:rFonts w:ascii="宋体" w:hAnsi="宋体" w:eastAsia="宋体" w:cs="宋体"/>
                <w:color w:val="auto"/>
                <w:kern w:val="0"/>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53" w:hRule="atLeast"/>
        </w:trPr>
        <w:tc>
          <w:tcPr>
            <w:tcW w:w="718" w:type="dxa"/>
            <w:tcBorders>
              <w:top w:val="outset" w:color="auto" w:sz="6" w:space="0"/>
              <w:left w:val="outset" w:color="auto" w:sz="6" w:space="0"/>
              <w:bottom w:val="outset" w:color="auto" w:sz="6" w:space="0"/>
              <w:right w:val="outset" w:color="auto" w:sz="6" w:space="0"/>
            </w:tcBorders>
            <w:tcMar>
              <w:top w:w="0" w:type="dxa"/>
              <w:left w:w="90" w:type="dxa"/>
              <w:bottom w:w="0" w:type="dxa"/>
              <w:right w:w="90" w:type="dxa"/>
            </w:tcMar>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759" w:type="dxa"/>
            <w:tcBorders>
              <w:top w:val="outset" w:color="auto" w:sz="6" w:space="0"/>
              <w:left w:val="outset" w:color="auto" w:sz="6" w:space="0"/>
              <w:bottom w:val="outset" w:color="auto" w:sz="6" w:space="0"/>
              <w:right w:val="outset" w:color="auto" w:sz="6" w:space="0"/>
            </w:tcBorders>
            <w:tcMar>
              <w:top w:w="0" w:type="dxa"/>
              <w:left w:w="90" w:type="dxa"/>
              <w:bottom w:w="0" w:type="dxa"/>
              <w:right w:w="90" w:type="dxa"/>
            </w:tcMar>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砂轮切割机</w:t>
            </w:r>
          </w:p>
        </w:tc>
        <w:tc>
          <w:tcPr>
            <w:tcW w:w="981" w:type="dxa"/>
            <w:tcBorders>
              <w:top w:val="outset" w:color="auto" w:sz="6" w:space="0"/>
              <w:left w:val="outset" w:color="auto" w:sz="6" w:space="0"/>
              <w:bottom w:val="outset" w:color="auto" w:sz="6" w:space="0"/>
              <w:right w:val="outset" w:color="auto" w:sz="6" w:space="0"/>
            </w:tcBorders>
            <w:tcMar>
              <w:top w:w="0" w:type="dxa"/>
              <w:left w:w="90" w:type="dxa"/>
              <w:bottom w:w="0" w:type="dxa"/>
              <w:right w:w="90" w:type="dxa"/>
            </w:tcMar>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1台</w:t>
            </w:r>
          </w:p>
        </w:tc>
        <w:tc>
          <w:tcPr>
            <w:tcW w:w="4020" w:type="dxa"/>
            <w:tcBorders>
              <w:top w:val="outset" w:color="auto" w:sz="6" w:space="0"/>
              <w:left w:val="outset" w:color="auto" w:sz="6" w:space="0"/>
              <w:bottom w:val="outset" w:color="auto" w:sz="6" w:space="0"/>
              <w:right w:val="outset" w:color="auto" w:sz="6" w:space="0"/>
            </w:tcBorders>
            <w:tcMar>
              <w:top w:w="0" w:type="dxa"/>
              <w:left w:w="90" w:type="dxa"/>
              <w:bottom w:w="0" w:type="dxa"/>
              <w:right w:w="90" w:type="dxa"/>
            </w:tcMar>
            <w:vAlign w:val="center"/>
          </w:tcPr>
          <w:p>
            <w:pPr>
              <w:widowControl/>
              <w:jc w:val="center"/>
              <w:rPr>
                <w:rFonts w:ascii="宋体" w:hAnsi="宋体" w:eastAsia="宋体" w:cs="宋体"/>
                <w:color w:val="auto"/>
                <w:kern w:val="0"/>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53" w:hRule="atLeast"/>
        </w:trPr>
        <w:tc>
          <w:tcPr>
            <w:tcW w:w="718" w:type="dxa"/>
            <w:tcBorders>
              <w:top w:val="outset" w:color="auto" w:sz="6" w:space="0"/>
              <w:left w:val="outset" w:color="auto" w:sz="6" w:space="0"/>
              <w:bottom w:val="outset" w:color="auto" w:sz="6" w:space="0"/>
              <w:right w:val="outset" w:color="auto" w:sz="6" w:space="0"/>
            </w:tcBorders>
            <w:tcMar>
              <w:top w:w="0" w:type="dxa"/>
              <w:left w:w="90" w:type="dxa"/>
              <w:bottom w:w="0" w:type="dxa"/>
              <w:right w:w="90" w:type="dxa"/>
            </w:tcMar>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2759" w:type="dxa"/>
            <w:tcBorders>
              <w:top w:val="outset" w:color="auto" w:sz="6" w:space="0"/>
              <w:left w:val="outset" w:color="auto" w:sz="6" w:space="0"/>
              <w:bottom w:val="outset" w:color="auto" w:sz="6" w:space="0"/>
              <w:right w:val="outset" w:color="auto" w:sz="6" w:space="0"/>
            </w:tcBorders>
            <w:tcMar>
              <w:top w:w="0" w:type="dxa"/>
              <w:left w:w="90" w:type="dxa"/>
              <w:bottom w:w="0" w:type="dxa"/>
              <w:right w:w="90" w:type="dxa"/>
            </w:tcMar>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氧气机</w:t>
            </w:r>
          </w:p>
        </w:tc>
        <w:tc>
          <w:tcPr>
            <w:tcW w:w="981" w:type="dxa"/>
            <w:tcBorders>
              <w:top w:val="outset" w:color="auto" w:sz="6" w:space="0"/>
              <w:left w:val="outset" w:color="auto" w:sz="6" w:space="0"/>
              <w:bottom w:val="outset" w:color="auto" w:sz="6" w:space="0"/>
              <w:right w:val="outset" w:color="auto" w:sz="6" w:space="0"/>
            </w:tcBorders>
            <w:tcMar>
              <w:top w:w="0" w:type="dxa"/>
              <w:left w:w="90" w:type="dxa"/>
              <w:bottom w:w="0" w:type="dxa"/>
              <w:right w:w="90" w:type="dxa"/>
            </w:tcMar>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1台</w:t>
            </w:r>
          </w:p>
        </w:tc>
        <w:tc>
          <w:tcPr>
            <w:tcW w:w="4020" w:type="dxa"/>
            <w:tcBorders>
              <w:top w:val="outset" w:color="auto" w:sz="6" w:space="0"/>
              <w:left w:val="outset" w:color="auto" w:sz="6" w:space="0"/>
              <w:bottom w:val="outset" w:color="auto" w:sz="6" w:space="0"/>
              <w:right w:val="outset" w:color="auto" w:sz="6" w:space="0"/>
            </w:tcBorders>
            <w:tcMar>
              <w:top w:w="0" w:type="dxa"/>
              <w:left w:w="90" w:type="dxa"/>
              <w:bottom w:w="0" w:type="dxa"/>
              <w:right w:w="90" w:type="dxa"/>
            </w:tcMar>
            <w:vAlign w:val="center"/>
          </w:tcPr>
          <w:p>
            <w:pPr>
              <w:widowControl/>
              <w:jc w:val="center"/>
              <w:rPr>
                <w:rFonts w:ascii="宋体" w:hAnsi="宋体" w:eastAsia="宋体" w:cs="宋体"/>
                <w:color w:val="auto"/>
                <w:kern w:val="0"/>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68" w:hRule="atLeast"/>
        </w:trPr>
        <w:tc>
          <w:tcPr>
            <w:tcW w:w="718" w:type="dxa"/>
            <w:tcBorders>
              <w:top w:val="outset" w:color="auto" w:sz="6" w:space="0"/>
              <w:left w:val="outset" w:color="auto" w:sz="6" w:space="0"/>
              <w:bottom w:val="outset" w:color="auto" w:sz="6" w:space="0"/>
              <w:right w:val="outset" w:color="auto" w:sz="6" w:space="0"/>
            </w:tcBorders>
            <w:tcMar>
              <w:top w:w="0" w:type="dxa"/>
              <w:left w:w="90" w:type="dxa"/>
              <w:bottom w:w="0" w:type="dxa"/>
              <w:right w:w="90" w:type="dxa"/>
            </w:tcMar>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2759" w:type="dxa"/>
            <w:tcBorders>
              <w:top w:val="outset" w:color="auto" w:sz="6" w:space="0"/>
              <w:left w:val="outset" w:color="auto" w:sz="6" w:space="0"/>
              <w:bottom w:val="outset" w:color="auto" w:sz="6" w:space="0"/>
              <w:right w:val="outset" w:color="auto" w:sz="6" w:space="0"/>
            </w:tcBorders>
            <w:tcMar>
              <w:top w:w="0" w:type="dxa"/>
              <w:left w:w="90" w:type="dxa"/>
              <w:bottom w:w="0" w:type="dxa"/>
              <w:right w:w="90" w:type="dxa"/>
            </w:tcMar>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GPS定位</w:t>
            </w:r>
          </w:p>
        </w:tc>
        <w:tc>
          <w:tcPr>
            <w:tcW w:w="981" w:type="dxa"/>
            <w:tcBorders>
              <w:top w:val="outset" w:color="auto" w:sz="6" w:space="0"/>
              <w:left w:val="outset" w:color="auto" w:sz="6" w:space="0"/>
              <w:bottom w:val="outset" w:color="auto" w:sz="6" w:space="0"/>
              <w:right w:val="outset" w:color="auto" w:sz="6" w:space="0"/>
            </w:tcBorders>
            <w:tcMar>
              <w:top w:w="0" w:type="dxa"/>
              <w:left w:w="90" w:type="dxa"/>
              <w:bottom w:w="0" w:type="dxa"/>
              <w:right w:w="90" w:type="dxa"/>
            </w:tcMar>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3台</w:t>
            </w:r>
          </w:p>
        </w:tc>
        <w:tc>
          <w:tcPr>
            <w:tcW w:w="4020" w:type="dxa"/>
            <w:tcBorders>
              <w:top w:val="outset" w:color="auto" w:sz="6" w:space="0"/>
              <w:left w:val="outset" w:color="auto" w:sz="6" w:space="0"/>
              <w:bottom w:val="outset" w:color="auto" w:sz="6" w:space="0"/>
              <w:right w:val="outset" w:color="auto" w:sz="6" w:space="0"/>
            </w:tcBorders>
            <w:tcMar>
              <w:top w:w="0" w:type="dxa"/>
              <w:left w:w="90" w:type="dxa"/>
              <w:bottom w:w="0" w:type="dxa"/>
              <w:right w:w="90" w:type="dxa"/>
            </w:tcMar>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用于巡查抢修车辆的定位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68" w:hRule="atLeast"/>
        </w:trPr>
        <w:tc>
          <w:tcPr>
            <w:tcW w:w="718" w:type="dxa"/>
            <w:tcBorders>
              <w:top w:val="outset" w:color="auto" w:sz="6" w:space="0"/>
              <w:left w:val="outset" w:color="auto" w:sz="6" w:space="0"/>
              <w:bottom w:val="outset" w:color="auto" w:sz="6" w:space="0"/>
              <w:right w:val="outset" w:color="auto" w:sz="6" w:space="0"/>
            </w:tcBorders>
            <w:tcMar>
              <w:top w:w="0" w:type="dxa"/>
              <w:left w:w="90" w:type="dxa"/>
              <w:bottom w:w="0" w:type="dxa"/>
              <w:right w:w="90" w:type="dxa"/>
            </w:tcMar>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w:t>
            </w:r>
          </w:p>
        </w:tc>
        <w:tc>
          <w:tcPr>
            <w:tcW w:w="2759" w:type="dxa"/>
            <w:tcBorders>
              <w:top w:val="outset" w:color="auto" w:sz="6" w:space="0"/>
              <w:left w:val="outset" w:color="auto" w:sz="6" w:space="0"/>
              <w:bottom w:val="outset" w:color="auto" w:sz="6" w:space="0"/>
              <w:right w:val="outset" w:color="auto" w:sz="6" w:space="0"/>
            </w:tcBorders>
            <w:tcMar>
              <w:top w:w="0" w:type="dxa"/>
              <w:left w:w="90" w:type="dxa"/>
              <w:bottom w:w="0" w:type="dxa"/>
              <w:right w:w="90" w:type="dxa"/>
            </w:tcMar>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电焊机</w:t>
            </w:r>
          </w:p>
        </w:tc>
        <w:tc>
          <w:tcPr>
            <w:tcW w:w="981" w:type="dxa"/>
            <w:tcBorders>
              <w:top w:val="outset" w:color="auto" w:sz="6" w:space="0"/>
              <w:left w:val="outset" w:color="auto" w:sz="6" w:space="0"/>
              <w:bottom w:val="outset" w:color="auto" w:sz="6" w:space="0"/>
              <w:right w:val="outset" w:color="auto" w:sz="6" w:space="0"/>
            </w:tcBorders>
            <w:tcMar>
              <w:top w:w="0" w:type="dxa"/>
              <w:left w:w="90" w:type="dxa"/>
              <w:bottom w:w="0" w:type="dxa"/>
              <w:right w:w="90" w:type="dxa"/>
            </w:tcMar>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1台</w:t>
            </w:r>
          </w:p>
        </w:tc>
        <w:tc>
          <w:tcPr>
            <w:tcW w:w="4020" w:type="dxa"/>
            <w:tcBorders>
              <w:top w:val="outset" w:color="auto" w:sz="6" w:space="0"/>
              <w:left w:val="outset" w:color="auto" w:sz="6" w:space="0"/>
              <w:bottom w:val="outset" w:color="auto" w:sz="6" w:space="0"/>
              <w:right w:val="outset" w:color="auto" w:sz="6" w:space="0"/>
            </w:tcBorders>
            <w:tcMar>
              <w:top w:w="0" w:type="dxa"/>
              <w:left w:w="90" w:type="dxa"/>
              <w:bottom w:w="0" w:type="dxa"/>
              <w:right w:w="90" w:type="dxa"/>
            </w:tcMar>
            <w:vAlign w:val="center"/>
          </w:tcPr>
          <w:p>
            <w:pPr>
              <w:widowControl/>
              <w:jc w:val="center"/>
              <w:rPr>
                <w:rFonts w:ascii="宋体" w:hAnsi="宋体" w:eastAsia="宋体" w:cs="宋体"/>
                <w:color w:val="auto"/>
                <w:kern w:val="0"/>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603" w:hRule="atLeast"/>
        </w:trPr>
        <w:tc>
          <w:tcPr>
            <w:tcW w:w="718" w:type="dxa"/>
            <w:tcBorders>
              <w:top w:val="outset" w:color="auto" w:sz="6" w:space="0"/>
              <w:left w:val="outset" w:color="auto" w:sz="6" w:space="0"/>
              <w:bottom w:val="outset" w:color="auto" w:sz="6" w:space="0"/>
              <w:right w:val="outset" w:color="auto" w:sz="6" w:space="0"/>
            </w:tcBorders>
            <w:tcMar>
              <w:top w:w="0" w:type="dxa"/>
              <w:left w:w="90" w:type="dxa"/>
              <w:bottom w:w="0" w:type="dxa"/>
              <w:right w:w="90" w:type="dxa"/>
            </w:tcMar>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w:t>
            </w:r>
          </w:p>
        </w:tc>
        <w:tc>
          <w:tcPr>
            <w:tcW w:w="2759" w:type="dxa"/>
            <w:tcBorders>
              <w:top w:val="outset" w:color="auto" w:sz="6" w:space="0"/>
              <w:left w:val="outset" w:color="auto" w:sz="6" w:space="0"/>
              <w:bottom w:val="outset" w:color="auto" w:sz="6" w:space="0"/>
              <w:right w:val="outset" w:color="auto" w:sz="6" w:space="0"/>
            </w:tcBorders>
            <w:tcMar>
              <w:top w:w="0" w:type="dxa"/>
              <w:left w:w="90" w:type="dxa"/>
              <w:bottom w:w="0" w:type="dxa"/>
              <w:right w:w="90" w:type="dxa"/>
            </w:tcMar>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其它工具</w:t>
            </w:r>
          </w:p>
        </w:tc>
        <w:tc>
          <w:tcPr>
            <w:tcW w:w="981" w:type="dxa"/>
            <w:tcBorders>
              <w:top w:val="outset" w:color="auto" w:sz="6" w:space="0"/>
              <w:left w:val="outset" w:color="auto" w:sz="6" w:space="0"/>
              <w:bottom w:val="outset" w:color="auto" w:sz="6" w:space="0"/>
              <w:right w:val="outset" w:color="auto" w:sz="6" w:space="0"/>
            </w:tcBorders>
            <w:tcMar>
              <w:top w:w="0" w:type="dxa"/>
              <w:left w:w="90" w:type="dxa"/>
              <w:bottom w:w="0" w:type="dxa"/>
              <w:right w:w="90" w:type="dxa"/>
            </w:tcMar>
            <w:vAlign w:val="center"/>
          </w:tcPr>
          <w:p>
            <w:pPr>
              <w:widowControl/>
              <w:jc w:val="center"/>
              <w:rPr>
                <w:rFonts w:ascii="宋体" w:hAnsi="宋体" w:eastAsia="宋体" w:cs="宋体"/>
                <w:color w:val="auto"/>
                <w:kern w:val="0"/>
                <w:sz w:val="24"/>
                <w:highlight w:val="none"/>
              </w:rPr>
            </w:pPr>
          </w:p>
        </w:tc>
        <w:tc>
          <w:tcPr>
            <w:tcW w:w="4020" w:type="dxa"/>
            <w:tcBorders>
              <w:top w:val="outset" w:color="auto" w:sz="6" w:space="0"/>
              <w:left w:val="outset" w:color="auto" w:sz="6" w:space="0"/>
              <w:bottom w:val="outset" w:color="auto" w:sz="6" w:space="0"/>
              <w:right w:val="outset" w:color="auto" w:sz="6" w:space="0"/>
            </w:tcBorders>
            <w:tcMar>
              <w:top w:w="0" w:type="dxa"/>
              <w:left w:w="90" w:type="dxa"/>
              <w:bottom w:w="0" w:type="dxa"/>
              <w:right w:w="90" w:type="dxa"/>
            </w:tcMar>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万用表、扳手、钳子、螺丝刀、穿线管等包干</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68" w:hRule="atLeast"/>
        </w:trPr>
        <w:tc>
          <w:tcPr>
            <w:tcW w:w="718" w:type="dxa"/>
            <w:tcBorders>
              <w:top w:val="outset" w:color="auto" w:sz="6" w:space="0"/>
              <w:left w:val="outset" w:color="auto" w:sz="6" w:space="0"/>
              <w:bottom w:val="outset" w:color="auto" w:sz="6" w:space="0"/>
              <w:right w:val="outset" w:color="auto" w:sz="6" w:space="0"/>
            </w:tcBorders>
            <w:tcMar>
              <w:top w:w="0" w:type="dxa"/>
              <w:left w:w="90" w:type="dxa"/>
              <w:bottom w:w="0" w:type="dxa"/>
              <w:right w:w="90" w:type="dxa"/>
            </w:tcMar>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w:t>
            </w:r>
          </w:p>
        </w:tc>
        <w:tc>
          <w:tcPr>
            <w:tcW w:w="2759" w:type="dxa"/>
            <w:tcBorders>
              <w:top w:val="outset" w:color="auto" w:sz="6" w:space="0"/>
              <w:left w:val="outset" w:color="auto" w:sz="6" w:space="0"/>
              <w:bottom w:val="outset" w:color="auto" w:sz="6" w:space="0"/>
              <w:right w:val="outset" w:color="auto" w:sz="6" w:space="0"/>
            </w:tcBorders>
            <w:tcMar>
              <w:top w:w="0" w:type="dxa"/>
              <w:left w:w="90" w:type="dxa"/>
              <w:bottom w:w="0" w:type="dxa"/>
              <w:right w:w="90" w:type="dxa"/>
            </w:tcMar>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接报修通讯设备</w:t>
            </w:r>
          </w:p>
        </w:tc>
        <w:tc>
          <w:tcPr>
            <w:tcW w:w="981" w:type="dxa"/>
            <w:tcBorders>
              <w:top w:val="outset" w:color="auto" w:sz="6" w:space="0"/>
              <w:left w:val="outset" w:color="auto" w:sz="6" w:space="0"/>
              <w:bottom w:val="outset" w:color="auto" w:sz="6" w:space="0"/>
              <w:right w:val="outset" w:color="auto" w:sz="6" w:space="0"/>
            </w:tcBorders>
            <w:tcMar>
              <w:top w:w="0" w:type="dxa"/>
              <w:left w:w="90" w:type="dxa"/>
              <w:bottom w:w="0" w:type="dxa"/>
              <w:right w:w="90" w:type="dxa"/>
            </w:tcMar>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2部</w:t>
            </w:r>
          </w:p>
        </w:tc>
        <w:tc>
          <w:tcPr>
            <w:tcW w:w="4020" w:type="dxa"/>
            <w:tcBorders>
              <w:top w:val="outset" w:color="auto" w:sz="6" w:space="0"/>
              <w:left w:val="outset" w:color="auto" w:sz="6" w:space="0"/>
              <w:bottom w:val="outset" w:color="auto" w:sz="6" w:space="0"/>
              <w:right w:val="outset" w:color="auto" w:sz="6" w:space="0"/>
            </w:tcBorders>
            <w:tcMar>
              <w:top w:w="0" w:type="dxa"/>
              <w:left w:w="90" w:type="dxa"/>
              <w:bottom w:w="0" w:type="dxa"/>
              <w:right w:w="90" w:type="dxa"/>
            </w:tcMar>
            <w:vAlign w:val="center"/>
          </w:tcPr>
          <w:p>
            <w:pPr>
              <w:widowControl/>
              <w:jc w:val="center"/>
              <w:rPr>
                <w:rFonts w:ascii="宋体" w:hAnsi="宋体" w:eastAsia="宋体" w:cs="宋体"/>
                <w:color w:val="auto"/>
                <w:kern w:val="0"/>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617" w:hRule="atLeast"/>
        </w:trPr>
        <w:tc>
          <w:tcPr>
            <w:tcW w:w="718" w:type="dxa"/>
            <w:tcBorders>
              <w:top w:val="outset" w:color="auto" w:sz="6" w:space="0"/>
              <w:left w:val="outset" w:color="auto" w:sz="6" w:space="0"/>
              <w:bottom w:val="outset" w:color="auto" w:sz="6" w:space="0"/>
              <w:right w:val="outset" w:color="auto" w:sz="6" w:space="0"/>
            </w:tcBorders>
            <w:tcMar>
              <w:top w:w="0" w:type="dxa"/>
              <w:left w:w="90" w:type="dxa"/>
              <w:bottom w:w="0" w:type="dxa"/>
              <w:right w:w="90" w:type="dxa"/>
            </w:tcMar>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w:t>
            </w:r>
          </w:p>
        </w:tc>
        <w:tc>
          <w:tcPr>
            <w:tcW w:w="2759" w:type="dxa"/>
            <w:tcBorders>
              <w:top w:val="outset" w:color="auto" w:sz="6" w:space="0"/>
              <w:left w:val="outset" w:color="auto" w:sz="6" w:space="0"/>
              <w:bottom w:val="outset" w:color="auto" w:sz="6" w:space="0"/>
              <w:right w:val="outset" w:color="auto" w:sz="6" w:space="0"/>
            </w:tcBorders>
            <w:tcMar>
              <w:top w:w="0" w:type="dxa"/>
              <w:left w:w="90" w:type="dxa"/>
              <w:bottom w:w="0" w:type="dxa"/>
              <w:right w:w="90" w:type="dxa"/>
            </w:tcMar>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现场布控设备</w:t>
            </w:r>
          </w:p>
        </w:tc>
        <w:tc>
          <w:tcPr>
            <w:tcW w:w="981" w:type="dxa"/>
            <w:tcBorders>
              <w:top w:val="outset" w:color="auto" w:sz="6" w:space="0"/>
              <w:left w:val="outset" w:color="auto" w:sz="6" w:space="0"/>
              <w:bottom w:val="outset" w:color="auto" w:sz="6" w:space="0"/>
              <w:right w:val="outset" w:color="auto" w:sz="6" w:space="0"/>
            </w:tcBorders>
            <w:tcMar>
              <w:top w:w="0" w:type="dxa"/>
              <w:left w:w="90" w:type="dxa"/>
              <w:bottom w:w="0" w:type="dxa"/>
              <w:right w:w="90" w:type="dxa"/>
            </w:tcMar>
            <w:vAlign w:val="center"/>
          </w:tcPr>
          <w:p>
            <w:pPr>
              <w:widowControl/>
              <w:jc w:val="center"/>
              <w:rPr>
                <w:rFonts w:ascii="宋体" w:hAnsi="宋体" w:eastAsia="宋体" w:cs="宋体"/>
                <w:color w:val="auto"/>
                <w:kern w:val="0"/>
                <w:sz w:val="24"/>
                <w:highlight w:val="none"/>
              </w:rPr>
            </w:pPr>
          </w:p>
        </w:tc>
        <w:tc>
          <w:tcPr>
            <w:tcW w:w="4020" w:type="dxa"/>
            <w:tcBorders>
              <w:top w:val="outset" w:color="auto" w:sz="6" w:space="0"/>
              <w:left w:val="outset" w:color="auto" w:sz="6" w:space="0"/>
              <w:bottom w:val="outset" w:color="auto" w:sz="6" w:space="0"/>
              <w:right w:val="outset" w:color="auto" w:sz="6" w:space="0"/>
            </w:tcBorders>
            <w:tcMar>
              <w:top w:w="0" w:type="dxa"/>
              <w:left w:w="90" w:type="dxa"/>
              <w:bottom w:w="0" w:type="dxa"/>
              <w:right w:w="90" w:type="dxa"/>
            </w:tcMar>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反光衣（背心、雨衣）、反光锥、提示牌等安全防护设施</w:t>
            </w:r>
          </w:p>
        </w:tc>
      </w:tr>
    </w:tbl>
    <w:p>
      <w:pPr>
        <w:widowControl/>
        <w:ind w:firstLine="241" w:firstLineChars="100"/>
        <w:jc w:val="left"/>
        <w:rPr>
          <w:rFonts w:ascii="宋体" w:hAnsi="宋体" w:eastAsia="宋体" w:cs="宋体"/>
          <w:color w:val="auto"/>
          <w:kern w:val="0"/>
          <w:sz w:val="24"/>
          <w:highlight w:val="none"/>
        </w:rPr>
      </w:pPr>
      <w:r>
        <w:rPr>
          <w:rFonts w:hint="eastAsia" w:ascii="宋体" w:hAnsi="宋体" w:eastAsia="宋体" w:cs="宋体"/>
          <w:b/>
          <w:bCs/>
          <w:color w:val="auto"/>
          <w:kern w:val="0"/>
          <w:sz w:val="24"/>
          <w:highlight w:val="none"/>
        </w:rPr>
        <w:t>（2）交通设施维护任务（评审项2）</w:t>
      </w:r>
    </w:p>
    <w:p>
      <w:pPr>
        <w:widowControl/>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维护任务：是指日常派出人员分区、分片、分路段对各类交通护栏按要求，主动巡查发现问题并及时修复的工作。</w:t>
      </w:r>
    </w:p>
    <w:p>
      <w:pPr>
        <w:widowControl/>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抢修任务：抢修是指人为损坏、交通事故逃逸、自然灾害等造成交通护栏损坏后，接到报警立即组织力量赶赴现场抢修恢复的工作。完成对辖区内交通护栏等损坏（弯曲、变形、脱焊、反光轮廓标及道钉掉失、损坏，反光膜脱落等）进行维护修复。</w:t>
      </w:r>
    </w:p>
    <w:p>
      <w:pPr>
        <w:widowControl/>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巡查任务：巡查是指日常派出人员分区、分片、分路段对交通护栏主动巡查发现问题并及时修复的工作。</w:t>
      </w:r>
    </w:p>
    <w:p>
      <w:pPr>
        <w:widowControl/>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紧急任务：因重大活动或紧急任务的需要，应承担其他的交通设施建设任务。</w:t>
      </w:r>
    </w:p>
    <w:p>
      <w:pPr>
        <w:widowControl/>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维护范围：必须按有关规定完成高新全区交通护栏维护任务。在合同期内另有新建的交通护栏，均属于维护范围，增加维护费用由中标人承担。</w:t>
      </w:r>
    </w:p>
    <w:p>
      <w:pPr>
        <w:widowControl/>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预案制度：因自然灾害（如台风、电力故障等原因）及其他重大交通事故等可能引发路口交通护栏受损和路口路段的交通堵塞严重的事件，必须制定一套完整的预防及处置方案；同时在接到通知后的10分钟内响应，30分钟内到达现场开展维护，并至少保证有三组人员（每组不少于三名技术人员）到达现场进行维护工作。</w:t>
      </w:r>
    </w:p>
    <w:p>
      <w:pPr>
        <w:ind w:left="120"/>
        <w:rPr>
          <w:rFonts w:ascii="宋体" w:hAnsi="宋体" w:eastAsia="宋体" w:cs="宋体"/>
          <w:b/>
          <w:bCs/>
          <w:color w:val="auto"/>
          <w:kern w:val="0"/>
          <w:sz w:val="24"/>
          <w:highlight w:val="none"/>
        </w:rPr>
      </w:pPr>
      <w:r>
        <w:rPr>
          <w:rStyle w:val="13"/>
          <w:rFonts w:hint="eastAsia" w:ascii="宋体" w:hAnsi="宋体" w:eastAsia="宋体" w:cs="宋体"/>
          <w:color w:val="auto"/>
          <w:sz w:val="24"/>
          <w:highlight w:val="none"/>
        </w:rPr>
        <w:t>★（3）</w:t>
      </w:r>
      <w:r>
        <w:rPr>
          <w:rFonts w:hint="eastAsia" w:ascii="宋体" w:hAnsi="宋体" w:eastAsia="宋体" w:cs="宋体"/>
          <w:b/>
          <w:bCs/>
          <w:color w:val="auto"/>
          <w:kern w:val="0"/>
          <w:sz w:val="24"/>
          <w:highlight w:val="none"/>
        </w:rPr>
        <w:t>交通设施维护要求</w:t>
      </w:r>
    </w:p>
    <w:p>
      <w:pPr>
        <w:widowControl/>
        <w:numPr>
          <w:ilvl w:val="0"/>
          <w:numId w:val="2"/>
        </w:numPr>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维护基本要求：必须始终保证本辖区交通护栏的正常使用。交通护栏的“点、线、面”做到“平、正、直、齐、净”，即：交通护栏上端整体在一个水平面上、底座要正（与护栏垂直）、侧面要直（侧面成一个平面，且与道路垂直）、整体整齐、洁净。</w:t>
      </w:r>
    </w:p>
    <w:p>
      <w:pPr>
        <w:widowControl/>
        <w:numPr>
          <w:ilvl w:val="0"/>
          <w:numId w:val="2"/>
        </w:numPr>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抢修时限要求：对于交通护栏抢修，必须在接到通知后，30分钟内响应，1个小时内到达现场(特殊原因且经认可的除外)，并立即进行抢修损坏的交通设施。因自然灾害（如台风、电力故障等原因）及其他重大交通事故等可能引发路口交通护栏受损和路口路段的交通堵塞严重的事件，按照紧急预案处理。</w:t>
      </w:r>
    </w:p>
    <w:p>
      <w:pPr>
        <w:widowControl/>
        <w:numPr>
          <w:ilvl w:val="0"/>
          <w:numId w:val="2"/>
        </w:numPr>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日常巡查要求：必须建立二十四小时值班备勤制度，必须具备处理各种突发事件的实力，每日巡查一次并做巡查记录（文字、照片）。</w:t>
      </w:r>
    </w:p>
    <w:p>
      <w:pPr>
        <w:widowControl/>
        <w:numPr>
          <w:ilvl w:val="0"/>
          <w:numId w:val="2"/>
        </w:numPr>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交通护栏维护标准：严格按照交通护栏的原有规格尺寸修复，保持每片护栏原状。</w:t>
      </w:r>
    </w:p>
    <w:p>
      <w:pPr>
        <w:widowControl/>
        <w:numPr>
          <w:ilvl w:val="0"/>
          <w:numId w:val="2"/>
        </w:numPr>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维护队管理要求：</w:t>
      </w:r>
    </w:p>
    <w:p>
      <w:pPr>
        <w:widowControl/>
        <w:ind w:firstLine="21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能力：应具备修复、安装交通设施能力。并具备能承担每日拆装护栏1公里。</w:t>
      </w:r>
    </w:p>
    <w:p>
      <w:pPr>
        <w:widowControl/>
        <w:ind w:firstLine="21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人员：具备24小时值班备勤、处置各种突发事件的人员，其中维护人员人数等按照《人员、车辆等配备要求》的规定要求执行。抢修、巡查人员应按规定统一着装。驾驶员等必须持证上岗。</w:t>
      </w:r>
    </w:p>
    <w:p>
      <w:pPr>
        <w:widowControl/>
        <w:ind w:firstLine="21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设备：配备足够的设备，具备工具车。</w:t>
      </w:r>
    </w:p>
    <w:p>
      <w:pPr>
        <w:widowControl/>
        <w:ind w:firstLine="21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场所：</w:t>
      </w:r>
      <w:r>
        <w:rPr>
          <w:rFonts w:hint="eastAsia" w:ascii="宋体" w:hAnsi="宋体" w:eastAsia="宋体" w:cs="Helvetica"/>
          <w:color w:val="auto"/>
          <w:kern w:val="0"/>
          <w:sz w:val="24"/>
          <w:szCs w:val="24"/>
          <w:highlight w:val="none"/>
        </w:rPr>
        <w:t>具备办公场所</w:t>
      </w:r>
      <w:r>
        <w:rPr>
          <w:rFonts w:hint="eastAsia" w:ascii="宋体" w:hAnsi="宋体" w:eastAsia="宋体" w:cs="Helvetica"/>
          <w:color w:val="auto"/>
          <w:kern w:val="0"/>
          <w:sz w:val="24"/>
          <w:szCs w:val="24"/>
          <w:highlight w:val="none"/>
          <w:lang w:val="en-US" w:eastAsia="zh-CN"/>
        </w:rPr>
        <w:t>及仓库应能满足备品备件、维护所需物品以及护栏的存放</w:t>
      </w:r>
      <w:r>
        <w:rPr>
          <w:rFonts w:hint="eastAsia" w:ascii="宋体" w:hAnsi="宋体" w:eastAsia="宋体" w:cs="宋体"/>
          <w:color w:val="auto"/>
          <w:kern w:val="0"/>
          <w:sz w:val="24"/>
          <w:highlight w:val="none"/>
        </w:rPr>
        <w:t>、24小时响应的城区内值班电话。</w:t>
      </w:r>
    </w:p>
    <w:p>
      <w:pPr>
        <w:numPr>
          <w:ilvl w:val="0"/>
          <w:numId w:val="2"/>
        </w:numPr>
        <w:rPr>
          <w:rFonts w:ascii="宋体" w:hAnsi="宋体" w:eastAsia="宋体" w:cs="宋体"/>
          <w:b/>
          <w:bCs/>
          <w:color w:val="auto"/>
          <w:kern w:val="0"/>
          <w:sz w:val="24"/>
          <w:highlight w:val="none"/>
        </w:rPr>
      </w:pPr>
      <w:r>
        <w:rPr>
          <w:rFonts w:hint="eastAsia" w:ascii="宋体" w:hAnsi="宋体" w:eastAsia="宋体" w:cs="宋体"/>
          <w:color w:val="auto"/>
          <w:kern w:val="0"/>
          <w:sz w:val="24"/>
          <w:highlight w:val="none"/>
        </w:rPr>
        <w:t>其他要求：需补齐目前高新区所丢失护栏（截止2022年8月1日需补约60.5公里护栏）。</w:t>
      </w:r>
    </w:p>
    <w:p>
      <w:pPr>
        <w:numPr>
          <w:ilvl w:val="0"/>
          <w:numId w:val="3"/>
        </w:numPr>
        <w:ind w:left="0"/>
        <w:rPr>
          <w:rFonts w:ascii="宋体" w:hAnsi="宋体" w:eastAsia="宋体" w:cs="宋体"/>
          <w:b/>
          <w:bCs/>
          <w:color w:val="auto"/>
          <w:sz w:val="24"/>
          <w:highlight w:val="none"/>
        </w:rPr>
      </w:pPr>
      <w:r>
        <w:rPr>
          <w:rFonts w:hint="eastAsia" w:ascii="宋体" w:hAnsi="宋体" w:eastAsia="宋体" w:cs="宋体"/>
          <w:b/>
          <w:bCs/>
          <w:color w:val="auto"/>
          <w:sz w:val="24"/>
          <w:highlight w:val="none"/>
        </w:rPr>
        <w:t>道路监控维护内容</w:t>
      </w:r>
    </w:p>
    <w:p>
      <w:pPr>
        <w:ind w:firstLine="481"/>
        <w:rPr>
          <w:rFonts w:ascii="宋体" w:hAnsi="宋体" w:eastAsia="宋体" w:cs="宋体"/>
          <w:color w:val="auto"/>
          <w:sz w:val="24"/>
          <w:highlight w:val="none"/>
        </w:rPr>
      </w:pPr>
      <w:r>
        <w:rPr>
          <w:rStyle w:val="13"/>
          <w:rFonts w:hint="eastAsia" w:ascii="宋体" w:hAnsi="宋体" w:eastAsia="宋体" w:cs="宋体"/>
          <w:color w:val="auto"/>
          <w:sz w:val="24"/>
          <w:highlight w:val="none"/>
        </w:rPr>
        <w:t>★</w:t>
      </w:r>
      <w:r>
        <w:rPr>
          <w:rFonts w:hint="eastAsia" w:ascii="宋体" w:hAnsi="宋体" w:eastAsia="宋体" w:cs="宋体"/>
          <w:b/>
          <w:bCs/>
          <w:color w:val="auto"/>
          <w:sz w:val="24"/>
          <w:highlight w:val="none"/>
        </w:rPr>
        <w:t>（1）监控维护内容</w:t>
      </w:r>
    </w:p>
    <w:p>
      <w:pPr>
        <w:ind w:firstLine="481"/>
        <w:rPr>
          <w:rFonts w:ascii="宋体" w:hAnsi="宋体" w:eastAsia="宋体" w:cs="宋体"/>
          <w:color w:val="auto"/>
          <w:sz w:val="24"/>
          <w:highlight w:val="none"/>
        </w:rPr>
      </w:pPr>
      <w:r>
        <w:rPr>
          <w:rFonts w:hint="eastAsia" w:ascii="宋体" w:hAnsi="宋体" w:eastAsia="宋体" w:cs="宋体"/>
          <w:color w:val="auto"/>
          <w:sz w:val="24"/>
          <w:highlight w:val="none"/>
        </w:rPr>
        <w:t>本项目是高新区辖区内所有交通电子警察、交通卡口、监控球机以及高空球机等设备维护服务，共计556 路。维护所需备品备件费用由中标人承担，中标人需提供3台900万像素电子警察、3台900万像素交通卡口以及3台400万像素监控球机（生产日期需为2022年1月1日之后）作为备品。</w:t>
      </w:r>
    </w:p>
    <w:p>
      <w:pPr>
        <w:ind w:left="120" w:firstLine="241" w:firstLineChars="100"/>
        <w:rPr>
          <w:rFonts w:ascii="宋体" w:hAnsi="宋体" w:eastAsia="宋体" w:cs="宋体"/>
          <w:b/>
          <w:bCs/>
          <w:color w:val="auto"/>
          <w:sz w:val="24"/>
          <w:highlight w:val="none"/>
        </w:rPr>
      </w:pPr>
      <w:r>
        <w:rPr>
          <w:rStyle w:val="13"/>
          <w:rFonts w:hint="eastAsia" w:ascii="宋体" w:hAnsi="宋体" w:eastAsia="宋体" w:cs="宋体"/>
          <w:color w:val="auto"/>
          <w:sz w:val="24"/>
          <w:highlight w:val="none"/>
        </w:rPr>
        <w:t>（2）</w:t>
      </w:r>
      <w:r>
        <w:rPr>
          <w:rFonts w:hint="eastAsia" w:ascii="宋体" w:hAnsi="宋体" w:eastAsia="宋体" w:cs="宋体"/>
          <w:b/>
          <w:bCs/>
          <w:color w:val="auto"/>
          <w:sz w:val="24"/>
          <w:highlight w:val="none"/>
        </w:rPr>
        <w:t xml:space="preserve"> 监控设备分布清单</w:t>
      </w:r>
      <w:r>
        <w:rPr>
          <w:rFonts w:hint="eastAsia" w:ascii="宋体" w:hAnsi="宋体" w:eastAsia="宋体" w:cs="宋体"/>
          <w:b/>
          <w:bCs/>
          <w:color w:val="auto"/>
          <w:kern w:val="0"/>
          <w:sz w:val="24"/>
          <w:highlight w:val="none"/>
        </w:rPr>
        <w:t>（评审项</w:t>
      </w:r>
      <w:r>
        <w:rPr>
          <w:rFonts w:hint="eastAsia" w:ascii="宋体" w:hAnsi="宋体" w:cs="宋体"/>
          <w:b/>
          <w:bCs/>
          <w:color w:val="auto"/>
          <w:kern w:val="0"/>
          <w:sz w:val="24"/>
          <w:highlight w:val="none"/>
          <w:lang w:val="en-US" w:eastAsia="zh-CN"/>
        </w:rPr>
        <w:t>3</w:t>
      </w:r>
      <w:r>
        <w:rPr>
          <w:rFonts w:hint="eastAsia" w:ascii="宋体" w:hAnsi="宋体" w:eastAsia="宋体" w:cs="宋体"/>
          <w:b/>
          <w:bCs/>
          <w:color w:val="auto"/>
          <w:kern w:val="0"/>
          <w:sz w:val="24"/>
          <w:highlight w:val="none"/>
        </w:rPr>
        <w:t>）</w:t>
      </w:r>
    </w:p>
    <w:tbl>
      <w:tblPr>
        <w:tblStyle w:val="14"/>
        <w:tblW w:w="8277" w:type="dxa"/>
        <w:tblInd w:w="93" w:type="dxa"/>
        <w:tblLayout w:type="fixed"/>
        <w:tblCellMar>
          <w:top w:w="0" w:type="dxa"/>
          <w:left w:w="108" w:type="dxa"/>
          <w:bottom w:w="0" w:type="dxa"/>
          <w:right w:w="108" w:type="dxa"/>
        </w:tblCellMar>
      </w:tblPr>
      <w:tblGrid>
        <w:gridCol w:w="3576"/>
        <w:gridCol w:w="830"/>
        <w:gridCol w:w="2791"/>
        <w:gridCol w:w="1080"/>
      </w:tblGrid>
      <w:tr>
        <w:tblPrEx>
          <w:tblLayout w:type="fixed"/>
          <w:tblCellMar>
            <w:top w:w="0" w:type="dxa"/>
            <w:left w:w="108" w:type="dxa"/>
            <w:bottom w:w="0" w:type="dxa"/>
            <w:right w:w="108" w:type="dxa"/>
          </w:tblCellMar>
        </w:tblPrEx>
        <w:trPr>
          <w:trHeight w:val="375"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bCs/>
                <w:color w:val="auto"/>
                <w:sz w:val="24"/>
                <w:highlight w:val="none"/>
              </w:rPr>
            </w:pPr>
            <w:r>
              <w:rPr>
                <w:rFonts w:hint="eastAsia" w:ascii="宋体" w:hAnsi="宋体" w:eastAsia="宋体" w:cs="宋体"/>
                <w:b/>
                <w:bCs/>
                <w:color w:val="auto"/>
                <w:kern w:val="0"/>
                <w:sz w:val="24"/>
                <w:highlight w:val="none"/>
              </w:rPr>
              <w:t>地点</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bCs/>
                <w:color w:val="auto"/>
                <w:sz w:val="24"/>
                <w:highlight w:val="none"/>
              </w:rPr>
            </w:pPr>
            <w:r>
              <w:rPr>
                <w:rFonts w:hint="eastAsia" w:ascii="宋体" w:hAnsi="宋体" w:eastAsia="宋体" w:cs="宋体"/>
                <w:b/>
                <w:bCs/>
                <w:color w:val="auto"/>
                <w:kern w:val="0"/>
                <w:sz w:val="24"/>
                <w:highlight w:val="none"/>
              </w:rPr>
              <w:t>方向</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bCs/>
                <w:color w:val="auto"/>
                <w:sz w:val="24"/>
                <w:highlight w:val="none"/>
              </w:rPr>
            </w:pPr>
            <w:r>
              <w:rPr>
                <w:rFonts w:hint="eastAsia" w:ascii="宋体" w:hAnsi="宋体" w:eastAsia="宋体" w:cs="宋体"/>
                <w:b/>
                <w:bCs/>
                <w:color w:val="auto"/>
                <w:kern w:val="0"/>
                <w:sz w:val="24"/>
                <w:highlight w:val="none"/>
              </w:rPr>
              <w:t>设备</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bCs/>
                <w:color w:val="auto"/>
                <w:sz w:val="24"/>
                <w:highlight w:val="none"/>
              </w:rPr>
            </w:pPr>
            <w:r>
              <w:rPr>
                <w:rFonts w:hint="eastAsia" w:ascii="宋体" w:hAnsi="宋体" w:eastAsia="宋体" w:cs="宋体"/>
                <w:b/>
                <w:bCs/>
                <w:color w:val="auto"/>
                <w:kern w:val="0"/>
                <w:sz w:val="24"/>
                <w:highlight w:val="none"/>
              </w:rPr>
              <w:t>路数</w:t>
            </w:r>
          </w:p>
        </w:tc>
      </w:tr>
      <w:tr>
        <w:tblPrEx>
          <w:tblLayout w:type="fixed"/>
          <w:tblCellMar>
            <w:top w:w="0" w:type="dxa"/>
            <w:left w:w="108" w:type="dxa"/>
            <w:bottom w:w="0" w:type="dxa"/>
            <w:right w:w="108" w:type="dxa"/>
          </w:tblCellMar>
        </w:tblPrEx>
        <w:trPr>
          <w:trHeight w:val="270" w:hRule="atLeast"/>
        </w:trPr>
        <w:tc>
          <w:tcPr>
            <w:tcW w:w="35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乌龙江大道与创意路交叉口</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4</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3</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西</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3</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橘园洲大桥东往西匝道</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2</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乌龙江大道与明德路交叉口</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2</w:t>
            </w:r>
          </w:p>
        </w:tc>
      </w:tr>
      <w:tr>
        <w:tblPrEx>
          <w:tblLayout w:type="fixed"/>
          <w:tblCellMar>
            <w:top w:w="0" w:type="dxa"/>
            <w:left w:w="108" w:type="dxa"/>
            <w:bottom w:w="0" w:type="dxa"/>
            <w:right w:w="108" w:type="dxa"/>
          </w:tblCellMar>
        </w:tblPrEx>
        <w:trPr>
          <w:trHeight w:val="270" w:hRule="atLeast"/>
        </w:trPr>
        <w:tc>
          <w:tcPr>
            <w:tcW w:w="35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乌龙江大道与科技东路交叉口</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电警</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2</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乌龙江大道与创新路交叉口</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乌龙江大道新洲村路段</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3</w:t>
            </w:r>
          </w:p>
        </w:tc>
      </w:tr>
      <w:tr>
        <w:tblPrEx>
          <w:tblLayout w:type="fixed"/>
          <w:tblCellMar>
            <w:top w:w="0" w:type="dxa"/>
            <w:left w:w="108" w:type="dxa"/>
            <w:bottom w:w="0" w:type="dxa"/>
            <w:right w:w="108" w:type="dxa"/>
          </w:tblCellMar>
        </w:tblPrEx>
        <w:trPr>
          <w:trHeight w:val="270" w:hRule="atLeast"/>
        </w:trPr>
        <w:tc>
          <w:tcPr>
            <w:tcW w:w="35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乌龙江大道与学园路交叉口</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电警</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电警</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西</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电警</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乌龙江大道浦上大桥底路段</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北往南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2</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南往北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4</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乌龙江大道浦上桥底路段</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北往南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2</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乌龙江大道创意路至创新路路段</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4</w:t>
            </w:r>
          </w:p>
        </w:tc>
      </w:tr>
      <w:tr>
        <w:tblPrEx>
          <w:tblLayout w:type="fixed"/>
          <w:tblCellMar>
            <w:top w:w="0" w:type="dxa"/>
            <w:left w:w="108" w:type="dxa"/>
            <w:bottom w:w="0" w:type="dxa"/>
            <w:right w:w="108" w:type="dxa"/>
          </w:tblCellMar>
        </w:tblPrEx>
        <w:trPr>
          <w:trHeight w:val="270" w:hRule="atLeast"/>
        </w:trPr>
        <w:tc>
          <w:tcPr>
            <w:tcW w:w="35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乌龙江大道与高岐路交叉口</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3</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2</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西</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3</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乌龙江大道创新路至高岐路路段</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6</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乌龙江大道与滨北二路交叉口</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乌龙江大道与滨北一路交叉口</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乌龙江大道市政管理中心交叉口</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乌龙江大道湖滨北路交叉口</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创业路与科技东路交叉口</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电警</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创业路与科技一路交叉口</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创业路与创新路交叉口</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高新大道中海寰宇路段</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卡口、违停球</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7</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高新大道与明德路交叉口</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高新大道与创意路交叉口</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高新大道市政管理中心路段</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违停球</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高新大道与科技东路交叉口</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2</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2</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西</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2</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东</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电警</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高新大道与科技一路交叉口</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高新大道与创新路交叉口</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高新大道与学园路交叉口</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5</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3</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西</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电警、卡口</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2</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东</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电警</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高新大道与浦上大桥交叉口</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南往北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2</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北往南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3</w:t>
            </w:r>
          </w:p>
        </w:tc>
      </w:tr>
      <w:tr>
        <w:tblPrEx>
          <w:tblLayout w:type="fixed"/>
          <w:tblCellMar>
            <w:top w:w="0" w:type="dxa"/>
            <w:left w:w="108" w:type="dxa"/>
            <w:bottom w:w="0" w:type="dxa"/>
            <w:right w:w="108" w:type="dxa"/>
          </w:tblCellMar>
        </w:tblPrEx>
        <w:trPr>
          <w:trHeight w:val="270" w:hRule="atLeast"/>
        </w:trPr>
        <w:tc>
          <w:tcPr>
            <w:tcW w:w="35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高新大道与高岐路交叉口</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4</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5</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西</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5</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东</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4</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高新大道创新路至学园路路段</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4</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高新大道与滨北二路</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高新大道与滨北一路</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高新大道与湖滨北路</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明德路蔗洲滨江苑</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西往东</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2</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东往西</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旗山大道与建平路交叉口</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电警</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2</w:t>
            </w:r>
          </w:p>
        </w:tc>
      </w:tr>
      <w:tr>
        <w:tblPrEx>
          <w:tblLayout w:type="fixed"/>
          <w:tblCellMar>
            <w:top w:w="0" w:type="dxa"/>
            <w:left w:w="108" w:type="dxa"/>
            <w:bottom w:w="0" w:type="dxa"/>
            <w:right w:w="108" w:type="dxa"/>
          </w:tblCellMar>
        </w:tblPrEx>
        <w:trPr>
          <w:trHeight w:val="270" w:hRule="atLeast"/>
        </w:trPr>
        <w:tc>
          <w:tcPr>
            <w:tcW w:w="35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旗山大道与明德路交叉口</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5</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5</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西</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3</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东</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3</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旗山大道与创意路交叉口</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高新区实验小学周边路段</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球机、违停球</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10</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高新一路实验小学</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2</w:t>
            </w:r>
          </w:p>
        </w:tc>
      </w:tr>
      <w:tr>
        <w:tblPrEx>
          <w:tblLayout w:type="fixed"/>
          <w:tblCellMar>
            <w:top w:w="0" w:type="dxa"/>
            <w:left w:w="108" w:type="dxa"/>
            <w:bottom w:w="0" w:type="dxa"/>
            <w:right w:w="108" w:type="dxa"/>
          </w:tblCellMar>
        </w:tblPrEx>
        <w:trPr>
          <w:trHeight w:val="270" w:hRule="atLeast"/>
        </w:trPr>
        <w:tc>
          <w:tcPr>
            <w:tcW w:w="35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旗山大道与广贤路交叉口</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5</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5</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西</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3</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东</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3</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旗山大道董屿地铁站C2口</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旗山大道董屿地铁站C1口</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旗山大道明德路桥面</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旗山大道创新园入口</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旗山大道与创新路交叉口</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5</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5</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东</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3</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创新路与高新一路交叉口</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西</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2</w:t>
            </w:r>
          </w:p>
        </w:tc>
      </w:tr>
      <w:tr>
        <w:tblPrEx>
          <w:tblLayout w:type="fixed"/>
          <w:tblCellMar>
            <w:top w:w="0" w:type="dxa"/>
            <w:left w:w="108" w:type="dxa"/>
            <w:bottom w:w="0" w:type="dxa"/>
            <w:right w:w="108" w:type="dxa"/>
          </w:tblCellMar>
        </w:tblPrEx>
        <w:trPr>
          <w:trHeight w:val="270" w:hRule="atLeast"/>
        </w:trPr>
        <w:tc>
          <w:tcPr>
            <w:tcW w:w="35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旗山大道师大东门</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5</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5</w:t>
            </w:r>
          </w:p>
        </w:tc>
      </w:tr>
      <w:tr>
        <w:tblPrEx>
          <w:tblLayout w:type="fixed"/>
          <w:tblCellMar>
            <w:top w:w="0" w:type="dxa"/>
            <w:left w:w="108" w:type="dxa"/>
            <w:bottom w:w="0" w:type="dxa"/>
            <w:right w:w="108" w:type="dxa"/>
          </w:tblCellMar>
        </w:tblPrEx>
        <w:trPr>
          <w:trHeight w:val="270" w:hRule="atLeast"/>
        </w:trPr>
        <w:tc>
          <w:tcPr>
            <w:tcW w:w="35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旗山大道与学府南路交叉口</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5</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5</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西</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2</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东</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2</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旗山大道正荣财富中心</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不礼让行人、违停球</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2</w:t>
            </w:r>
          </w:p>
        </w:tc>
      </w:tr>
      <w:tr>
        <w:tblPrEx>
          <w:tblLayout w:type="fixed"/>
          <w:tblCellMar>
            <w:top w:w="0" w:type="dxa"/>
            <w:left w:w="108" w:type="dxa"/>
            <w:bottom w:w="0" w:type="dxa"/>
            <w:right w:w="108" w:type="dxa"/>
          </w:tblCellMar>
        </w:tblPrEx>
        <w:trPr>
          <w:trHeight w:val="270" w:hRule="atLeast"/>
        </w:trPr>
        <w:tc>
          <w:tcPr>
            <w:tcW w:w="35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旗山大道与新保路交叉口</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4</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4</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西</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4</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东</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5</w:t>
            </w:r>
          </w:p>
        </w:tc>
      </w:tr>
      <w:tr>
        <w:tblPrEx>
          <w:tblLayout w:type="fixed"/>
          <w:tblCellMar>
            <w:top w:w="0" w:type="dxa"/>
            <w:left w:w="108" w:type="dxa"/>
            <w:bottom w:w="0" w:type="dxa"/>
            <w:right w:w="108" w:type="dxa"/>
          </w:tblCellMar>
        </w:tblPrEx>
        <w:trPr>
          <w:trHeight w:val="270" w:hRule="atLeast"/>
        </w:trPr>
        <w:tc>
          <w:tcPr>
            <w:tcW w:w="35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旗山大道与高岐路交叉口</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5</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5</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东</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3</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旗山大道清华紫光科技路段</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违停球</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旗山大道与智恒科技路交叉口</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旗山大道与高晓路交叉口</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3</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3</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西</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3</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东</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3</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高晓路段</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违停球</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2</w:t>
            </w:r>
          </w:p>
        </w:tc>
      </w:tr>
      <w:tr>
        <w:tblPrEx>
          <w:tblLayout w:type="fixed"/>
          <w:tblCellMar>
            <w:top w:w="0" w:type="dxa"/>
            <w:left w:w="108" w:type="dxa"/>
            <w:bottom w:w="0" w:type="dxa"/>
            <w:right w:w="108" w:type="dxa"/>
          </w:tblCellMar>
        </w:tblPrEx>
        <w:trPr>
          <w:trHeight w:val="270" w:hRule="atLeast"/>
        </w:trPr>
        <w:tc>
          <w:tcPr>
            <w:tcW w:w="35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旗山大道与晓岐路交叉口</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5</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5</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西</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3</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东</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3</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晓岐路路段</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3</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旗山大道信通中心路段</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违停球</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2</w:t>
            </w:r>
          </w:p>
        </w:tc>
      </w:tr>
      <w:tr>
        <w:tblPrEx>
          <w:tblLayout w:type="fixed"/>
          <w:tblCellMar>
            <w:top w:w="0" w:type="dxa"/>
            <w:left w:w="108" w:type="dxa"/>
            <w:bottom w:w="0" w:type="dxa"/>
            <w:right w:w="108" w:type="dxa"/>
          </w:tblCellMar>
        </w:tblPrEx>
        <w:trPr>
          <w:trHeight w:val="270" w:hRule="atLeast"/>
        </w:trPr>
        <w:tc>
          <w:tcPr>
            <w:tcW w:w="35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旗山大道与元峰路交叉口</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3</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5</w:t>
            </w:r>
          </w:p>
        </w:tc>
      </w:tr>
      <w:tr>
        <w:tblPrEx>
          <w:tblLayout w:type="fixed"/>
          <w:tblCellMar>
            <w:top w:w="0" w:type="dxa"/>
            <w:left w:w="108" w:type="dxa"/>
            <w:bottom w:w="0" w:type="dxa"/>
            <w:right w:w="108" w:type="dxa"/>
          </w:tblCellMar>
        </w:tblPrEx>
        <w:trPr>
          <w:trHeight w:val="270" w:hRule="atLeast"/>
        </w:trPr>
        <w:tc>
          <w:tcPr>
            <w:tcW w:w="35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旗山大道与南元路交叉口</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5</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2</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东</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3</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南元路路段</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违停球</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3</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旗山大道耶鲁幼儿园路段</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球机、违停球</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2</w:t>
            </w:r>
          </w:p>
        </w:tc>
      </w:tr>
      <w:tr>
        <w:tblPrEx>
          <w:tblLayout w:type="fixed"/>
          <w:tblCellMar>
            <w:top w:w="0" w:type="dxa"/>
            <w:left w:w="108" w:type="dxa"/>
            <w:bottom w:w="0" w:type="dxa"/>
            <w:right w:w="108" w:type="dxa"/>
          </w:tblCellMar>
        </w:tblPrEx>
        <w:trPr>
          <w:trHeight w:val="270" w:hRule="atLeast"/>
        </w:trPr>
        <w:tc>
          <w:tcPr>
            <w:tcW w:w="35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旗山大道与智慧大道交叉口</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5</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5</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西</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2</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旗山大道第二中心小学路段</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旗山大道与G355国道交叉口</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4</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西</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3</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东</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3</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六十份村</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5</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湾边大桥</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4</w:t>
            </w:r>
          </w:p>
        </w:tc>
      </w:tr>
      <w:tr>
        <w:tblPrEx>
          <w:tblLayout w:type="fixed"/>
          <w:tblCellMar>
            <w:top w:w="0" w:type="dxa"/>
            <w:left w:w="108" w:type="dxa"/>
            <w:bottom w:w="0" w:type="dxa"/>
            <w:right w:w="108" w:type="dxa"/>
          </w:tblCellMar>
        </w:tblPrEx>
        <w:trPr>
          <w:trHeight w:val="54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智慧大道泰禾红悦路段</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卡口、不礼让行人、球机</w:t>
            </w:r>
          </w:p>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违停球</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4</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智慧大道高速桥底逆行</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2</w:t>
            </w:r>
          </w:p>
        </w:tc>
      </w:tr>
      <w:tr>
        <w:tblPrEx>
          <w:tblLayout w:type="fixed"/>
          <w:tblCellMar>
            <w:top w:w="0" w:type="dxa"/>
            <w:left w:w="108" w:type="dxa"/>
            <w:bottom w:w="0" w:type="dxa"/>
            <w:right w:w="108" w:type="dxa"/>
          </w:tblCellMar>
        </w:tblPrEx>
        <w:trPr>
          <w:trHeight w:val="270" w:hRule="atLeast"/>
        </w:trPr>
        <w:tc>
          <w:tcPr>
            <w:tcW w:w="35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智慧大道新塘洋路口</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4</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4</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智慧大道闽辉汽修</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智慧大道智慧浦口公交站</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智慧大道浦口村交叉口</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4</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4</w:t>
            </w:r>
          </w:p>
        </w:tc>
      </w:tr>
      <w:tr>
        <w:tblPrEx>
          <w:tblLayout w:type="fixed"/>
          <w:tblCellMar>
            <w:top w:w="0" w:type="dxa"/>
            <w:left w:w="108" w:type="dxa"/>
            <w:bottom w:w="0" w:type="dxa"/>
            <w:right w:w="108" w:type="dxa"/>
          </w:tblCellMar>
        </w:tblPrEx>
        <w:trPr>
          <w:trHeight w:val="270" w:hRule="atLeast"/>
        </w:trPr>
        <w:tc>
          <w:tcPr>
            <w:tcW w:w="35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智慧大道与江南路交叉口</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4</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卡口1、电警</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3</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智慧大道与117县道交叉口北侧</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智慧大道与白漫溪路交叉口北侧</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智慧大道与白漫溪路交叉口</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3</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3</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西</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3</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白漫溪路路段</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2</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白漫溪路官塘尾路段</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4</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智慧大道与星湖路交叉口</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3</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星湖路路段</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2</w:t>
            </w:r>
          </w:p>
        </w:tc>
      </w:tr>
      <w:tr>
        <w:tblPrEx>
          <w:tblLayout w:type="fixed"/>
          <w:tblCellMar>
            <w:top w:w="0" w:type="dxa"/>
            <w:left w:w="108" w:type="dxa"/>
            <w:bottom w:w="0" w:type="dxa"/>
            <w:right w:w="108" w:type="dxa"/>
          </w:tblCellMar>
        </w:tblPrEx>
        <w:trPr>
          <w:trHeight w:val="270" w:hRule="atLeast"/>
        </w:trPr>
        <w:tc>
          <w:tcPr>
            <w:tcW w:w="35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智慧大道与尧溪路交叉口</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5</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5</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西</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4</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东</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4</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尧溪路天宇电气股份</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4</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智慧大道芯园路南往北</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2</w:t>
            </w:r>
          </w:p>
        </w:tc>
      </w:tr>
      <w:tr>
        <w:tblPrEx>
          <w:tblLayout w:type="fixed"/>
          <w:tblCellMar>
            <w:top w:w="0" w:type="dxa"/>
            <w:left w:w="108" w:type="dxa"/>
            <w:bottom w:w="0" w:type="dxa"/>
            <w:right w:w="108" w:type="dxa"/>
          </w:tblCellMar>
        </w:tblPrEx>
        <w:trPr>
          <w:trHeight w:val="270" w:hRule="atLeast"/>
        </w:trPr>
        <w:tc>
          <w:tcPr>
            <w:tcW w:w="35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智慧大道与新南大道交叉口</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4</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西</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4</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东</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4</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智慧大道与庐隐路交叉口</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东</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2</w:t>
            </w:r>
          </w:p>
        </w:tc>
      </w:tr>
      <w:tr>
        <w:tblPrEx>
          <w:tblLayout w:type="fixed"/>
          <w:tblCellMar>
            <w:top w:w="0" w:type="dxa"/>
            <w:left w:w="108" w:type="dxa"/>
            <w:bottom w:w="0" w:type="dxa"/>
            <w:right w:w="108" w:type="dxa"/>
          </w:tblCellMar>
        </w:tblPrEx>
        <w:trPr>
          <w:trHeight w:val="270" w:hRule="atLeast"/>
        </w:trPr>
        <w:tc>
          <w:tcPr>
            <w:tcW w:w="35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旗山高速出口</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3</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西</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3</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东</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3</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117县道与晓岐路交叉口</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117县道与元峰路交叉口</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117县道博雅家具过街路段</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117县道与忠观街</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117县道与五都路</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117县道南屿街</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117县道中梁佰悦城路口</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117县道南井村路口</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4</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117县道两园安置房路段</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3</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117县道与龙好公路</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电警</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橘园洲大桥建平村</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西往东</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3</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东往西</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3</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新保路群升江山城路段</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西往东</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不礼让行人、球机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2</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新保路路段</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违停球</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3</w:t>
            </w:r>
          </w:p>
        </w:tc>
      </w:tr>
      <w:tr>
        <w:tblPrEx>
          <w:tblLayout w:type="fixed"/>
          <w:tblCellMar>
            <w:top w:w="0" w:type="dxa"/>
            <w:left w:w="108" w:type="dxa"/>
            <w:bottom w:w="0" w:type="dxa"/>
            <w:right w:w="108" w:type="dxa"/>
          </w:tblCellMar>
        </w:tblPrEx>
        <w:trPr>
          <w:trHeight w:val="270" w:hRule="atLeast"/>
        </w:trPr>
        <w:tc>
          <w:tcPr>
            <w:tcW w:w="35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学府南路闽师专附小</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西往东</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2</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东往西</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2</w:t>
            </w:r>
          </w:p>
        </w:tc>
      </w:tr>
      <w:tr>
        <w:tblPrEx>
          <w:tblLayout w:type="fixed"/>
          <w:tblCellMar>
            <w:top w:w="0" w:type="dxa"/>
            <w:left w:w="108" w:type="dxa"/>
            <w:bottom w:w="0" w:type="dxa"/>
            <w:right w:w="108" w:type="dxa"/>
          </w:tblCellMar>
        </w:tblPrEx>
        <w:trPr>
          <w:trHeight w:val="270" w:hRule="atLeast"/>
        </w:trPr>
        <w:tc>
          <w:tcPr>
            <w:tcW w:w="35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学府南路师大南门</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西往东</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电警、卡口、球机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3</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东往西</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电警、卡口、球机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3</w:t>
            </w:r>
          </w:p>
        </w:tc>
      </w:tr>
      <w:tr>
        <w:tblPrEx>
          <w:tblLayout w:type="fixed"/>
          <w:tblCellMar>
            <w:top w:w="0" w:type="dxa"/>
            <w:left w:w="108" w:type="dxa"/>
            <w:bottom w:w="0" w:type="dxa"/>
            <w:right w:w="108" w:type="dxa"/>
          </w:tblCellMar>
        </w:tblPrEx>
        <w:trPr>
          <w:trHeight w:val="270" w:hRule="atLeast"/>
        </w:trPr>
        <w:tc>
          <w:tcPr>
            <w:tcW w:w="35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五都路与正向路口</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西</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2</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东</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2</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2</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违停球</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2</w:t>
            </w:r>
          </w:p>
        </w:tc>
      </w:tr>
      <w:tr>
        <w:tblPrEx>
          <w:tblLayout w:type="fixed"/>
          <w:tblCellMar>
            <w:top w:w="0" w:type="dxa"/>
            <w:left w:w="108" w:type="dxa"/>
            <w:bottom w:w="0" w:type="dxa"/>
            <w:right w:w="108" w:type="dxa"/>
          </w:tblCellMar>
        </w:tblPrEx>
        <w:trPr>
          <w:trHeight w:val="270" w:hRule="atLeast"/>
        </w:trPr>
        <w:tc>
          <w:tcPr>
            <w:tcW w:w="35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五都路与虎秀路交叉口</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西</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2</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东</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2</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电警、卡口、球机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3</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2</w:t>
            </w:r>
          </w:p>
        </w:tc>
      </w:tr>
      <w:tr>
        <w:tblPrEx>
          <w:tblLayout w:type="fixed"/>
          <w:tblCellMar>
            <w:top w:w="0" w:type="dxa"/>
            <w:left w:w="108" w:type="dxa"/>
            <w:bottom w:w="0" w:type="dxa"/>
            <w:right w:w="108" w:type="dxa"/>
          </w:tblCellMar>
        </w:tblPrEx>
        <w:trPr>
          <w:trHeight w:val="270" w:hRule="atLeast"/>
        </w:trPr>
        <w:tc>
          <w:tcPr>
            <w:tcW w:w="35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五都路与南前路交叉口</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西</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2</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东</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2</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2</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G355国道省少管所路段</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3</w:t>
            </w:r>
          </w:p>
        </w:tc>
      </w:tr>
      <w:tr>
        <w:tblPrEx>
          <w:tblLayout w:type="fixed"/>
          <w:tblCellMar>
            <w:top w:w="0" w:type="dxa"/>
            <w:left w:w="108" w:type="dxa"/>
            <w:bottom w:w="0" w:type="dxa"/>
            <w:right w:w="108" w:type="dxa"/>
          </w:tblCellMar>
        </w:tblPrEx>
        <w:trPr>
          <w:trHeight w:val="270" w:hRule="atLeast"/>
        </w:trPr>
        <w:tc>
          <w:tcPr>
            <w:tcW w:w="35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虎秀路安源禅寺路段</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北往南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2</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南往北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2</w:t>
            </w:r>
          </w:p>
        </w:tc>
      </w:tr>
      <w:tr>
        <w:tblPrEx>
          <w:tblLayout w:type="fixed"/>
          <w:tblCellMar>
            <w:top w:w="0" w:type="dxa"/>
            <w:left w:w="108" w:type="dxa"/>
            <w:bottom w:w="0" w:type="dxa"/>
            <w:right w:w="108" w:type="dxa"/>
          </w:tblCellMar>
        </w:tblPrEx>
        <w:trPr>
          <w:trHeight w:val="270" w:hRule="atLeast"/>
        </w:trPr>
        <w:tc>
          <w:tcPr>
            <w:tcW w:w="35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虎秀路与星湖路交叉口</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电警、卡口、球机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3</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2</w:t>
            </w:r>
          </w:p>
        </w:tc>
      </w:tr>
      <w:tr>
        <w:tblPrEx>
          <w:tblLayout w:type="fixed"/>
          <w:tblCellMar>
            <w:top w:w="0" w:type="dxa"/>
            <w:left w:w="108" w:type="dxa"/>
            <w:bottom w:w="0" w:type="dxa"/>
            <w:right w:w="108" w:type="dxa"/>
          </w:tblCellMar>
        </w:tblPrEx>
        <w:trPr>
          <w:trHeight w:val="270" w:hRule="atLeast"/>
        </w:trPr>
        <w:tc>
          <w:tcPr>
            <w:tcW w:w="35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虎秀路与尧溪路交叉口</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3</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南</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3</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东</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卡口、电警、球机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3</w:t>
            </w:r>
          </w:p>
        </w:tc>
      </w:tr>
      <w:tr>
        <w:tblPrEx>
          <w:tblLayout w:type="fixed"/>
          <w:tblCellMar>
            <w:top w:w="0" w:type="dxa"/>
            <w:left w:w="108" w:type="dxa"/>
            <w:bottom w:w="0" w:type="dxa"/>
            <w:right w:w="108" w:type="dxa"/>
          </w:tblCellMar>
        </w:tblPrEx>
        <w:trPr>
          <w:trHeight w:val="270" w:hRule="atLeast"/>
        </w:trPr>
        <w:tc>
          <w:tcPr>
            <w:tcW w:w="35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白漫溪路南屿特大桥底</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西往东</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2</w:t>
            </w:r>
          </w:p>
        </w:tc>
      </w:tr>
      <w:tr>
        <w:tblPrEx>
          <w:tblLayout w:type="fixed"/>
          <w:tblCellMar>
            <w:top w:w="0" w:type="dxa"/>
            <w:left w:w="108" w:type="dxa"/>
            <w:bottom w:w="0" w:type="dxa"/>
            <w:right w:w="108" w:type="dxa"/>
          </w:tblCellMar>
        </w:tblPrEx>
        <w:trPr>
          <w:trHeight w:val="270" w:hRule="atLeast"/>
        </w:trPr>
        <w:tc>
          <w:tcPr>
            <w:tcW w:w="35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东往西</w:t>
            </w: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2</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学府南路与马保路</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违停球</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智恒科技路</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违停球</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2</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忠观街</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违停球</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2</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高新苑</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违停球</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长安派出所</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违停球</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高新一路与高新大道交叉口</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117县道海阳隆便利店路段</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117县道与马保路交叉口</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卡口</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117县道与广贤路口</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117县道协和学院西门</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117县道马保村西公公交站</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117县道中联至诚机械</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117县道澳星同方净水业</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117县道与新保路口北</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学府南路与广贤路</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球机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高新苑</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高空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碧桂园十里江湾</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高空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2</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群升广场</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高空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高新技术产业园(科技东路)</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高空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高新技术产业园（创新路）</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高空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乌龙江顺华路易城堡小区</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高空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两园安置房一期</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高空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新药创新制作中心</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高空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中海寰宇天下</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高空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正荣财富中心</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高空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三盛托斯卡纳</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高空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康桥丹堤</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高空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旗山领秀</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高空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正详林语墅</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高空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祥禾公社</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高空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博士后悦府</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高空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中海观澜府</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高空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融侨誉江</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高空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中梁百悦城</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高空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1</w:t>
            </w:r>
          </w:p>
        </w:tc>
      </w:tr>
      <w:tr>
        <w:tblPrEx>
          <w:tblLayout w:type="fixed"/>
          <w:tblCellMar>
            <w:top w:w="0" w:type="dxa"/>
            <w:left w:w="108" w:type="dxa"/>
            <w:bottom w:w="0" w:type="dxa"/>
            <w:right w:w="108" w:type="dxa"/>
          </w:tblCellMar>
        </w:tblPrEx>
        <w:trPr>
          <w:trHeight w:val="270"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总计</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279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556</w:t>
            </w:r>
          </w:p>
        </w:tc>
      </w:tr>
    </w:tbl>
    <w:p>
      <w:pPr>
        <w:ind w:left="120"/>
        <w:rPr>
          <w:rFonts w:ascii="宋体" w:hAnsi="宋体" w:eastAsia="宋体" w:cs="宋体"/>
          <w:b/>
          <w:bCs/>
          <w:color w:val="auto"/>
          <w:sz w:val="24"/>
          <w:highlight w:val="none"/>
        </w:rPr>
      </w:pPr>
      <w:r>
        <w:rPr>
          <w:rStyle w:val="13"/>
          <w:rFonts w:hint="eastAsia" w:ascii="宋体" w:hAnsi="宋体" w:eastAsia="宋体" w:cs="宋体"/>
          <w:color w:val="auto"/>
          <w:sz w:val="24"/>
          <w:highlight w:val="none"/>
        </w:rPr>
        <w:t>★（</w:t>
      </w:r>
      <w:r>
        <w:rPr>
          <w:rStyle w:val="13"/>
          <w:rFonts w:hint="eastAsia" w:ascii="宋体" w:hAnsi="宋体" w:eastAsia="宋体" w:cs="宋体"/>
          <w:color w:val="auto"/>
          <w:sz w:val="24"/>
          <w:highlight w:val="none"/>
          <w:lang w:val="en-US" w:eastAsia="zh-CN"/>
        </w:rPr>
        <w:t>3</w:t>
      </w:r>
      <w:r>
        <w:rPr>
          <w:rStyle w:val="13"/>
          <w:rFonts w:hint="eastAsia" w:ascii="宋体" w:hAnsi="宋体" w:eastAsia="宋体" w:cs="宋体"/>
          <w:color w:val="auto"/>
          <w:sz w:val="24"/>
          <w:highlight w:val="none"/>
        </w:rPr>
        <w:t>）</w:t>
      </w:r>
      <w:r>
        <w:rPr>
          <w:rFonts w:hint="eastAsia" w:ascii="宋体" w:hAnsi="宋体" w:eastAsia="宋体" w:cs="宋体"/>
          <w:b/>
          <w:bCs/>
          <w:color w:val="auto"/>
          <w:sz w:val="24"/>
          <w:highlight w:val="none"/>
        </w:rPr>
        <w:t>具体维护要求</w:t>
      </w:r>
    </w:p>
    <w:p>
      <w:pPr>
        <w:numPr>
          <w:ilvl w:val="0"/>
          <w:numId w:val="4"/>
        </w:numPr>
        <w:ind w:firstLine="480" w:firstLineChars="200"/>
        <w:rPr>
          <w:rFonts w:ascii="宋体" w:hAnsi="宋体" w:eastAsia="宋体" w:cs="宋体"/>
          <w:b/>
          <w:bCs/>
          <w:color w:val="auto"/>
          <w:sz w:val="24"/>
          <w:highlight w:val="none"/>
        </w:rPr>
      </w:pPr>
      <w:r>
        <w:rPr>
          <w:rFonts w:hint="eastAsia" w:ascii="宋体" w:hAnsi="宋体" w:eastAsia="宋体" w:cs="宋体"/>
          <w:color w:val="auto"/>
          <w:sz w:val="24"/>
          <w:highlight w:val="none"/>
        </w:rPr>
        <w:t>7*24小时售后服务，十分钟响应，半小时内到场修复，24小时内修复完成或给出解决方案，72小时内保证完成故障抢修。</w:t>
      </w:r>
    </w:p>
    <w:p>
      <w:pPr>
        <w:numPr>
          <w:ilvl w:val="0"/>
          <w:numId w:val="4"/>
        </w:numPr>
        <w:ind w:firstLine="480" w:firstLineChars="200"/>
        <w:rPr>
          <w:rFonts w:ascii="宋体" w:hAnsi="宋体" w:eastAsia="宋体" w:cs="宋体"/>
          <w:b/>
          <w:bCs/>
          <w:color w:val="auto"/>
          <w:sz w:val="24"/>
          <w:highlight w:val="none"/>
        </w:rPr>
      </w:pPr>
      <w:r>
        <w:rPr>
          <w:rFonts w:hint="eastAsia" w:ascii="宋体" w:hAnsi="宋体" w:eastAsia="宋体" w:cs="宋体"/>
          <w:color w:val="auto"/>
          <w:sz w:val="24"/>
          <w:highlight w:val="none"/>
        </w:rPr>
        <w:t>每日项目经理或专职技术工程师到高新区（上街）交警大队指挥中心，对项目前端点位维护部分中的前端点位逐一进行巡检，及时发现前端摄像机故障问题和视频图像上传问题，并及时安排技术支持工程师、维护工程师和工程抢修车进行故障排查和维护。</w:t>
      </w:r>
    </w:p>
    <w:p>
      <w:pPr>
        <w:numPr>
          <w:ilvl w:val="0"/>
          <w:numId w:val="4"/>
        </w:numPr>
        <w:ind w:firstLine="480" w:firstLineChars="200"/>
        <w:rPr>
          <w:rFonts w:ascii="宋体" w:hAnsi="宋体" w:eastAsia="宋体" w:cs="宋体"/>
          <w:b/>
          <w:bCs/>
          <w:color w:val="auto"/>
          <w:sz w:val="24"/>
          <w:highlight w:val="none"/>
        </w:rPr>
      </w:pPr>
      <w:r>
        <w:rPr>
          <w:rFonts w:hint="eastAsia" w:ascii="宋体" w:hAnsi="宋体" w:eastAsia="宋体" w:cs="宋体"/>
          <w:color w:val="auto"/>
          <w:sz w:val="24"/>
          <w:highlight w:val="none"/>
        </w:rPr>
        <w:t>每季度定期对设备进行一次全面保养，每季度不定期的对整体系统进行一次性能测试。设备的除尘、清理，扫净监控设备显露的尘土，对摄像机、防护罩等部件要卸下彻底吹风除尘，之后用无水酒精棉将各个镜头擦干净，调整清晰度，防止机器运转、静电等因素将尘土吸入监控设备机体内，确保机器正常运行。</w:t>
      </w:r>
    </w:p>
    <w:p>
      <w:pPr>
        <w:numPr>
          <w:ilvl w:val="0"/>
          <w:numId w:val="4"/>
        </w:numPr>
        <w:ind w:firstLine="480" w:firstLineChars="200"/>
        <w:rPr>
          <w:rFonts w:ascii="宋体" w:hAnsi="宋体" w:eastAsia="宋体" w:cs="宋体"/>
          <w:b/>
          <w:bCs/>
          <w:color w:val="auto"/>
          <w:sz w:val="24"/>
          <w:highlight w:val="none"/>
        </w:rPr>
      </w:pPr>
      <w:r>
        <w:rPr>
          <w:rFonts w:hint="eastAsia" w:ascii="宋体" w:hAnsi="宋体" w:eastAsia="宋体" w:cs="宋体"/>
          <w:color w:val="auto"/>
          <w:sz w:val="24"/>
          <w:highlight w:val="none"/>
        </w:rPr>
        <w:t>根据项目前端点位部分中各部分设备的使用说明，每月检测其各项技术参数及监控系统传输线路质量，处理故障隐患，协助高新区（上街）交警大队管理人员设定使用级别等各种数据，确保所有设备各项功能良好，能够正常运行。</w:t>
      </w:r>
    </w:p>
    <w:p>
      <w:pPr>
        <w:numPr>
          <w:ilvl w:val="0"/>
          <w:numId w:val="4"/>
        </w:numPr>
        <w:ind w:firstLine="480" w:firstLineChars="200"/>
        <w:rPr>
          <w:rFonts w:ascii="宋体" w:hAnsi="宋体" w:eastAsia="宋体" w:cs="宋体"/>
          <w:b/>
          <w:bCs/>
          <w:color w:val="auto"/>
          <w:sz w:val="24"/>
          <w:highlight w:val="none"/>
        </w:rPr>
      </w:pPr>
      <w:r>
        <w:rPr>
          <w:rFonts w:hint="eastAsia" w:ascii="宋体" w:hAnsi="宋体" w:eastAsia="宋体" w:cs="宋体"/>
          <w:color w:val="auto"/>
          <w:sz w:val="24"/>
          <w:highlight w:val="none"/>
        </w:rPr>
        <w:t>对容易老化的监控设备部件每月一次进行全面检查，一旦发现老化现象应及时更换、维修，如视频头等。</w:t>
      </w:r>
    </w:p>
    <w:p>
      <w:pPr>
        <w:numPr>
          <w:ilvl w:val="0"/>
          <w:numId w:val="4"/>
        </w:numPr>
        <w:ind w:firstLine="480" w:firstLineChars="200"/>
        <w:rPr>
          <w:rFonts w:ascii="宋体" w:hAnsi="宋体" w:eastAsia="宋体" w:cs="宋体"/>
          <w:b/>
          <w:bCs/>
          <w:color w:val="auto"/>
          <w:sz w:val="24"/>
          <w:highlight w:val="none"/>
        </w:rPr>
      </w:pPr>
      <w:r>
        <w:rPr>
          <w:rFonts w:hint="eastAsia" w:ascii="宋体" w:hAnsi="宋体" w:eastAsia="宋体" w:cs="宋体"/>
          <w:color w:val="auto"/>
          <w:sz w:val="24"/>
          <w:highlight w:val="none"/>
        </w:rPr>
        <w:t>对易吸尘部分没每季度定期清理一次，如光纤收发器、室外摄像机、防护罩等暴露在空气中，由于静电及潮湿的作用，会使很多灰尘吸附在设备表面，影响设备性能，尤其是摄像机，许多灰尘被吸附在摄像机防护罩表面，会影响图像的清晰度。</w:t>
      </w:r>
    </w:p>
    <w:p>
      <w:pPr>
        <w:numPr>
          <w:ilvl w:val="0"/>
          <w:numId w:val="4"/>
        </w:numPr>
        <w:ind w:firstLine="480" w:firstLineChars="200"/>
        <w:rPr>
          <w:rFonts w:ascii="宋体" w:hAnsi="宋体" w:eastAsia="宋体" w:cs="宋体"/>
          <w:b/>
          <w:bCs/>
          <w:color w:val="auto"/>
          <w:sz w:val="24"/>
          <w:highlight w:val="none"/>
        </w:rPr>
      </w:pPr>
      <w:r>
        <w:rPr>
          <w:rFonts w:hint="eastAsia" w:ascii="宋体" w:hAnsi="宋体" w:eastAsia="宋体" w:cs="宋体"/>
          <w:color w:val="auto"/>
          <w:sz w:val="24"/>
          <w:highlight w:val="none"/>
        </w:rPr>
        <w:t>对长时间工作的监控设备每月定期维护一次，如光纤收发器长时间工作会产生较多的热量，如果散热措施不好会造成设备工作不正常。</w:t>
      </w:r>
    </w:p>
    <w:p>
      <w:pPr>
        <w:numPr>
          <w:ilvl w:val="0"/>
          <w:numId w:val="4"/>
        </w:numPr>
        <w:ind w:firstLine="480" w:firstLineChars="200"/>
        <w:rPr>
          <w:rFonts w:ascii="宋体" w:hAnsi="宋体" w:eastAsia="宋体" w:cs="宋体"/>
          <w:b/>
          <w:bCs/>
          <w:color w:val="auto"/>
          <w:sz w:val="24"/>
          <w:highlight w:val="none"/>
        </w:rPr>
      </w:pPr>
      <w:r>
        <w:rPr>
          <w:rFonts w:hint="eastAsia" w:ascii="宋体" w:hAnsi="宋体" w:eastAsia="宋体" w:cs="宋体"/>
          <w:color w:val="auto"/>
          <w:sz w:val="24"/>
          <w:highlight w:val="none"/>
        </w:rPr>
        <w:t>配备相应的人力及物力（专用工具、通讯器材、交通工具等）负责项目中所有设备的日常监测、监测、维护、服务、管理，承担设备日常的维护保养服务工作，以保障系统的长期、安全、稳定、有效地运行；</w:t>
      </w:r>
    </w:p>
    <w:p>
      <w:pPr>
        <w:numPr>
          <w:ilvl w:val="0"/>
          <w:numId w:val="4"/>
        </w:numPr>
        <w:ind w:firstLine="480" w:firstLineChars="200"/>
        <w:rPr>
          <w:rFonts w:ascii="宋体" w:hAnsi="宋体" w:eastAsia="宋体" w:cs="宋体"/>
          <w:b/>
          <w:bCs/>
          <w:color w:val="auto"/>
          <w:sz w:val="24"/>
          <w:highlight w:val="none"/>
        </w:rPr>
      </w:pPr>
      <w:r>
        <w:rPr>
          <w:rFonts w:hint="eastAsia" w:ascii="宋体" w:hAnsi="宋体" w:eastAsia="宋体" w:cs="宋体"/>
          <w:color w:val="auto"/>
          <w:sz w:val="24"/>
          <w:highlight w:val="none"/>
        </w:rPr>
        <w:t>建立完善的设备的维护工作管理制度和保障系统稳定运行的长效机制；</w:t>
      </w:r>
    </w:p>
    <w:p>
      <w:pPr>
        <w:numPr>
          <w:ilvl w:val="0"/>
          <w:numId w:val="4"/>
        </w:numPr>
        <w:ind w:firstLine="480" w:firstLineChars="200"/>
        <w:rPr>
          <w:rFonts w:ascii="宋体" w:hAnsi="宋体" w:eastAsia="宋体" w:cs="宋体"/>
          <w:b/>
          <w:bCs/>
          <w:color w:val="auto"/>
          <w:sz w:val="24"/>
          <w:highlight w:val="none"/>
        </w:rPr>
      </w:pPr>
      <w:r>
        <w:rPr>
          <w:rFonts w:hint="eastAsia" w:ascii="宋体" w:hAnsi="宋体" w:eastAsia="宋体" w:cs="宋体"/>
          <w:color w:val="auto"/>
          <w:sz w:val="24"/>
          <w:highlight w:val="none"/>
        </w:rPr>
        <w:t>重大活动和重大节假日根据交警大队的需求，至少2名维护工程师到现场进行维护保障。</w:t>
      </w:r>
    </w:p>
    <w:p>
      <w:pPr>
        <w:numPr>
          <w:ilvl w:val="0"/>
          <w:numId w:val="4"/>
        </w:numPr>
        <w:ind w:firstLine="480" w:firstLineChars="200"/>
        <w:rPr>
          <w:rFonts w:ascii="宋体" w:hAnsi="宋体" w:eastAsia="宋体" w:cs="宋体"/>
          <w:b/>
          <w:bCs/>
          <w:color w:val="auto"/>
          <w:sz w:val="24"/>
          <w:highlight w:val="none"/>
        </w:rPr>
      </w:pPr>
      <w:r>
        <w:rPr>
          <w:rFonts w:hint="eastAsia" w:ascii="宋体" w:hAnsi="宋体" w:eastAsia="宋体" w:cs="宋体"/>
          <w:color w:val="auto"/>
          <w:sz w:val="24"/>
          <w:highlight w:val="none"/>
        </w:rPr>
        <w:t>建立定期巡检制度，至少每周例行检查1次，进行系统测试和检查，检查所有设备、管线、接头、接线、引线等；</w:t>
      </w:r>
    </w:p>
    <w:p>
      <w:pPr>
        <w:numPr>
          <w:ilvl w:val="0"/>
          <w:numId w:val="4"/>
        </w:numPr>
        <w:ind w:firstLine="480" w:firstLineChars="200"/>
        <w:rPr>
          <w:rFonts w:ascii="宋体" w:hAnsi="宋体" w:eastAsia="宋体" w:cs="宋体"/>
          <w:b/>
          <w:bCs/>
          <w:color w:val="auto"/>
          <w:sz w:val="24"/>
          <w:highlight w:val="none"/>
        </w:rPr>
      </w:pPr>
      <w:r>
        <w:rPr>
          <w:rFonts w:hint="eastAsia" w:ascii="宋体" w:hAnsi="宋体" w:eastAsia="宋体" w:cs="宋体"/>
          <w:color w:val="auto"/>
          <w:sz w:val="24"/>
          <w:highlight w:val="none"/>
        </w:rPr>
        <w:t>做好日常维护记录、设备维修记录以及相关往来文件的存档工作；</w:t>
      </w:r>
    </w:p>
    <w:p>
      <w:pPr>
        <w:numPr>
          <w:ilvl w:val="0"/>
          <w:numId w:val="4"/>
        </w:numPr>
        <w:ind w:firstLine="480" w:firstLineChars="200"/>
        <w:rPr>
          <w:rFonts w:ascii="宋体" w:hAnsi="宋体" w:eastAsia="宋体" w:cs="宋体"/>
          <w:b/>
          <w:bCs/>
          <w:color w:val="auto"/>
          <w:sz w:val="24"/>
          <w:highlight w:val="none"/>
        </w:rPr>
      </w:pPr>
      <w:r>
        <w:rPr>
          <w:rFonts w:hint="eastAsia" w:ascii="宋体" w:hAnsi="宋体" w:eastAsia="宋体" w:cs="宋体"/>
          <w:color w:val="auto"/>
          <w:sz w:val="24"/>
          <w:highlight w:val="none"/>
        </w:rPr>
        <w:t>做好日常各个子系统设备运行状态统计工作，确保维修工作快速有效；定期进行系统测试和检查，并根据系统设备的运行状况及时向交警大队等相关的单位提出合理化建议；</w:t>
      </w:r>
    </w:p>
    <w:p>
      <w:pPr>
        <w:numPr>
          <w:ilvl w:val="0"/>
          <w:numId w:val="4"/>
        </w:numPr>
        <w:ind w:firstLine="480" w:firstLineChars="200"/>
        <w:rPr>
          <w:rFonts w:ascii="宋体" w:hAnsi="宋体" w:eastAsia="宋体" w:cs="宋体"/>
          <w:b/>
          <w:bCs/>
          <w:color w:val="auto"/>
          <w:sz w:val="24"/>
          <w:highlight w:val="none"/>
        </w:rPr>
      </w:pPr>
      <w:r>
        <w:rPr>
          <w:rFonts w:hint="eastAsia" w:ascii="宋体" w:hAnsi="宋体" w:eastAsia="宋体" w:cs="宋体"/>
          <w:color w:val="auto"/>
          <w:sz w:val="24"/>
          <w:highlight w:val="none"/>
        </w:rPr>
        <w:t>确保在重大事件及特殊任务期间正常运行，提供必要的应急值班、处理及抢修措施。</w:t>
      </w:r>
    </w:p>
    <w:p>
      <w:pPr>
        <w:numPr>
          <w:ilvl w:val="0"/>
          <w:numId w:val="4"/>
        </w:numPr>
        <w:ind w:firstLine="480" w:firstLineChars="200"/>
        <w:rPr>
          <w:rFonts w:ascii="宋体" w:hAnsi="宋体" w:eastAsia="宋体" w:cs="宋体"/>
          <w:b/>
          <w:bCs/>
          <w:color w:val="auto"/>
          <w:sz w:val="24"/>
          <w:highlight w:val="none"/>
        </w:rPr>
      </w:pPr>
      <w:r>
        <w:rPr>
          <w:rFonts w:hint="eastAsia" w:ascii="宋体" w:hAnsi="宋体" w:eastAsia="宋体" w:cs="宋体"/>
          <w:color w:val="auto"/>
          <w:sz w:val="24"/>
          <w:highlight w:val="none"/>
        </w:rPr>
        <w:t>在维护管理期间，</w:t>
      </w:r>
      <w:r>
        <w:rPr>
          <w:rFonts w:hint="eastAsia" w:ascii="宋体" w:hAnsi="宋体" w:eastAsia="宋体" w:cs="宋体"/>
          <w:color w:val="auto"/>
          <w:sz w:val="24"/>
          <w:highlight w:val="none"/>
          <w:lang w:val="en-US" w:eastAsia="zh-CN"/>
        </w:rPr>
        <w:t>中标人</w:t>
      </w:r>
      <w:r>
        <w:rPr>
          <w:rFonts w:hint="eastAsia" w:ascii="宋体" w:hAnsi="宋体" w:eastAsia="宋体" w:cs="宋体"/>
          <w:color w:val="auto"/>
          <w:sz w:val="24"/>
          <w:highlight w:val="none"/>
        </w:rPr>
        <w:t>需配备足够的满足需要的备品备件，并对备品备件及易损易耗品由专人负责进行规范化管理。维护单位储备的备品备件及易损易耗品需能保证各项运维指标达到相应的运维标准要求，保证故障解决时间需满足招标要求。需结合实际情况储备常用线缆、防雷器、硬盘、路口交换机、路口光纤收发器等易损易耗品，以保证系统稳定运行。</w:t>
      </w:r>
    </w:p>
    <w:p>
      <w:pPr>
        <w:numPr>
          <w:ilvl w:val="0"/>
          <w:numId w:val="4"/>
        </w:numPr>
        <w:ind w:firstLine="480" w:firstLineChars="200"/>
        <w:rPr>
          <w:rFonts w:ascii="宋体" w:hAnsi="宋体" w:eastAsia="宋体" w:cs="宋体"/>
          <w:b/>
          <w:bCs/>
          <w:color w:val="auto"/>
          <w:sz w:val="24"/>
          <w:highlight w:val="none"/>
        </w:rPr>
      </w:pPr>
      <w:r>
        <w:rPr>
          <w:rFonts w:hint="eastAsia" w:ascii="宋体" w:hAnsi="宋体" w:eastAsia="宋体" w:cs="宋体"/>
          <w:color w:val="auto"/>
          <w:sz w:val="24"/>
          <w:highlight w:val="none"/>
        </w:rPr>
        <w:t>维护单位须加强日常安全文明施工检查，每月对维护人员进行安全教育培训。维护单位须按照国家规定为维护人员购买保险，对于维护人员因为在工作中引起的各种工伤、安全事件和事故由中标人负全责，采购人免于一切责任。</w:t>
      </w:r>
    </w:p>
    <w:p>
      <w:pPr>
        <w:numPr>
          <w:ilvl w:val="0"/>
          <w:numId w:val="3"/>
        </w:numPr>
        <w:ind w:left="0"/>
        <w:rPr>
          <w:rFonts w:ascii="宋体" w:hAnsi="宋体" w:eastAsia="宋体" w:cs="宋体"/>
          <w:b/>
          <w:bCs/>
          <w:color w:val="auto"/>
          <w:sz w:val="24"/>
          <w:highlight w:val="none"/>
        </w:rPr>
      </w:pPr>
      <w:r>
        <w:rPr>
          <w:rFonts w:hint="eastAsia" w:ascii="宋体" w:hAnsi="宋体" w:eastAsia="宋体" w:cs="宋体"/>
          <w:b/>
          <w:bCs/>
          <w:color w:val="auto"/>
          <w:sz w:val="24"/>
          <w:highlight w:val="none"/>
        </w:rPr>
        <w:t>交警大队后端系统整体维护</w:t>
      </w:r>
    </w:p>
    <w:p>
      <w:pPr>
        <w:rPr>
          <w:rFonts w:ascii="宋体" w:hAnsi="宋体" w:eastAsia="宋体" w:cs="宋体"/>
          <w:color w:val="auto"/>
          <w:sz w:val="24"/>
          <w:highlight w:val="none"/>
        </w:rPr>
      </w:pPr>
      <w:r>
        <w:rPr>
          <w:rFonts w:hint="eastAsia" w:ascii="宋体" w:hAnsi="宋体" w:eastAsia="宋体" w:cs="宋体"/>
          <w:color w:val="auto"/>
          <w:sz w:val="24"/>
          <w:highlight w:val="none"/>
        </w:rPr>
        <w:t>交警大队后端系统含大屏显示系统、执法办案系统、视频会议系统、不间断电源系统、门禁系统、交通智能控制系统、智能监控系统以及机房软硬件维护等服务。</w:t>
      </w:r>
    </w:p>
    <w:p>
      <w:pPr>
        <w:numPr>
          <w:ilvl w:val="0"/>
          <w:numId w:val="5"/>
        </w:numPr>
        <w:ind w:left="420" w:left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机房硬件清单（含南屿中队）</w:t>
      </w:r>
      <w:r>
        <w:rPr>
          <w:rFonts w:hint="eastAsia" w:ascii="宋体" w:hAnsi="宋体" w:eastAsia="宋体" w:cs="宋体"/>
          <w:b/>
          <w:bCs/>
          <w:color w:val="auto"/>
          <w:kern w:val="0"/>
          <w:sz w:val="24"/>
          <w:highlight w:val="none"/>
        </w:rPr>
        <w:t>（评审项</w:t>
      </w:r>
      <w:r>
        <w:rPr>
          <w:rFonts w:hint="eastAsia" w:ascii="宋体" w:hAnsi="宋体" w:cs="宋体"/>
          <w:b/>
          <w:bCs/>
          <w:color w:val="auto"/>
          <w:kern w:val="0"/>
          <w:sz w:val="24"/>
          <w:highlight w:val="none"/>
          <w:lang w:val="en-US" w:eastAsia="zh-CN"/>
        </w:rPr>
        <w:t>4</w:t>
      </w:r>
      <w:r>
        <w:rPr>
          <w:rFonts w:hint="eastAsia" w:ascii="宋体" w:hAnsi="宋体" w:eastAsia="宋体" w:cs="宋体"/>
          <w:b/>
          <w:bCs/>
          <w:color w:val="auto"/>
          <w:kern w:val="0"/>
          <w:sz w:val="24"/>
          <w:highlight w:val="none"/>
        </w:rPr>
        <w:t>）</w:t>
      </w:r>
    </w:p>
    <w:tbl>
      <w:tblPr>
        <w:tblStyle w:val="15"/>
        <w:tblW w:w="8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388"/>
        <w:gridCol w:w="4140"/>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826"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388"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品牌</w:t>
            </w:r>
          </w:p>
        </w:tc>
        <w:tc>
          <w:tcPr>
            <w:tcW w:w="414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型号</w:t>
            </w:r>
          </w:p>
        </w:tc>
        <w:tc>
          <w:tcPr>
            <w:tcW w:w="1144"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826"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2388"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科达（服务器）</w:t>
            </w:r>
          </w:p>
        </w:tc>
        <w:tc>
          <w:tcPr>
            <w:tcW w:w="414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Kproserver-2000</w:t>
            </w:r>
          </w:p>
        </w:tc>
        <w:tc>
          <w:tcPr>
            <w:tcW w:w="1144"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826"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2388"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科达（存储）</w:t>
            </w:r>
          </w:p>
        </w:tc>
        <w:tc>
          <w:tcPr>
            <w:tcW w:w="414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KCloudStor 2000(-64T)</w:t>
            </w:r>
          </w:p>
        </w:tc>
        <w:tc>
          <w:tcPr>
            <w:tcW w:w="1144"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826"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2388"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海康（服务器）</w:t>
            </w:r>
          </w:p>
        </w:tc>
        <w:tc>
          <w:tcPr>
            <w:tcW w:w="414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DS-VM21S-B</w:t>
            </w:r>
          </w:p>
        </w:tc>
        <w:tc>
          <w:tcPr>
            <w:tcW w:w="1144"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826"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4</w:t>
            </w:r>
          </w:p>
        </w:tc>
        <w:tc>
          <w:tcPr>
            <w:tcW w:w="2388"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海康（云存）</w:t>
            </w:r>
          </w:p>
        </w:tc>
        <w:tc>
          <w:tcPr>
            <w:tcW w:w="414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DS-A71024R</w:t>
            </w:r>
          </w:p>
        </w:tc>
        <w:tc>
          <w:tcPr>
            <w:tcW w:w="1144"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trPr>
        <w:tc>
          <w:tcPr>
            <w:tcW w:w="826"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5</w:t>
            </w:r>
          </w:p>
        </w:tc>
        <w:tc>
          <w:tcPr>
            <w:tcW w:w="2388"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海康（云存）</w:t>
            </w:r>
          </w:p>
        </w:tc>
        <w:tc>
          <w:tcPr>
            <w:tcW w:w="414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DS-A71036R</w:t>
            </w:r>
          </w:p>
        </w:tc>
        <w:tc>
          <w:tcPr>
            <w:tcW w:w="1144"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826"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6</w:t>
            </w:r>
          </w:p>
        </w:tc>
        <w:tc>
          <w:tcPr>
            <w:tcW w:w="2388"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海康</w:t>
            </w:r>
          </w:p>
        </w:tc>
        <w:tc>
          <w:tcPr>
            <w:tcW w:w="414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DS-VE2208D-BBD</w:t>
            </w:r>
          </w:p>
        </w:tc>
        <w:tc>
          <w:tcPr>
            <w:tcW w:w="1144"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826"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7</w:t>
            </w:r>
          </w:p>
        </w:tc>
        <w:tc>
          <w:tcPr>
            <w:tcW w:w="2388"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海康</w:t>
            </w:r>
          </w:p>
        </w:tc>
        <w:tc>
          <w:tcPr>
            <w:tcW w:w="414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DA-VE2208C-BBC</w:t>
            </w:r>
          </w:p>
        </w:tc>
        <w:tc>
          <w:tcPr>
            <w:tcW w:w="1144"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826"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8</w:t>
            </w:r>
          </w:p>
        </w:tc>
        <w:tc>
          <w:tcPr>
            <w:tcW w:w="2388"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海康</w:t>
            </w:r>
          </w:p>
        </w:tc>
        <w:tc>
          <w:tcPr>
            <w:tcW w:w="414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DS-IB1600-03U</w:t>
            </w:r>
          </w:p>
        </w:tc>
        <w:tc>
          <w:tcPr>
            <w:tcW w:w="1144"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826"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9</w:t>
            </w:r>
          </w:p>
        </w:tc>
        <w:tc>
          <w:tcPr>
            <w:tcW w:w="2388"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科华</w:t>
            </w:r>
          </w:p>
        </w:tc>
        <w:tc>
          <w:tcPr>
            <w:tcW w:w="414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YTR3320-J</w:t>
            </w:r>
          </w:p>
        </w:tc>
        <w:tc>
          <w:tcPr>
            <w:tcW w:w="1144"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826"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10</w:t>
            </w:r>
          </w:p>
        </w:tc>
        <w:tc>
          <w:tcPr>
            <w:tcW w:w="2388"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英维克</w:t>
            </w:r>
          </w:p>
        </w:tc>
        <w:tc>
          <w:tcPr>
            <w:tcW w:w="414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CyberMate512P1U1A</w:t>
            </w:r>
          </w:p>
        </w:tc>
        <w:tc>
          <w:tcPr>
            <w:tcW w:w="1144"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826"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11</w:t>
            </w:r>
          </w:p>
        </w:tc>
        <w:tc>
          <w:tcPr>
            <w:tcW w:w="2388"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网御</w:t>
            </w:r>
          </w:p>
        </w:tc>
        <w:tc>
          <w:tcPr>
            <w:tcW w:w="414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LA-DAP-1600-UR</w:t>
            </w:r>
          </w:p>
        </w:tc>
        <w:tc>
          <w:tcPr>
            <w:tcW w:w="1144"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826"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12</w:t>
            </w:r>
          </w:p>
        </w:tc>
        <w:tc>
          <w:tcPr>
            <w:tcW w:w="2388"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网御</w:t>
            </w:r>
          </w:p>
        </w:tc>
        <w:tc>
          <w:tcPr>
            <w:tcW w:w="414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Leadsec-RS-500</w:t>
            </w:r>
          </w:p>
        </w:tc>
        <w:tc>
          <w:tcPr>
            <w:tcW w:w="1144"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826"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13</w:t>
            </w:r>
          </w:p>
        </w:tc>
        <w:tc>
          <w:tcPr>
            <w:tcW w:w="2388"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网御</w:t>
            </w:r>
          </w:p>
        </w:tc>
        <w:tc>
          <w:tcPr>
            <w:tcW w:w="414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Leadsec-6000WAF-C-T</w:t>
            </w:r>
          </w:p>
        </w:tc>
        <w:tc>
          <w:tcPr>
            <w:tcW w:w="1144"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826"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14</w:t>
            </w:r>
          </w:p>
        </w:tc>
        <w:tc>
          <w:tcPr>
            <w:tcW w:w="2388"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网御</w:t>
            </w:r>
          </w:p>
        </w:tc>
        <w:tc>
          <w:tcPr>
            <w:tcW w:w="414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Leadsec-6500IPS-VSG</w:t>
            </w:r>
          </w:p>
        </w:tc>
        <w:tc>
          <w:tcPr>
            <w:tcW w:w="1144"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826"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15</w:t>
            </w:r>
          </w:p>
        </w:tc>
        <w:tc>
          <w:tcPr>
            <w:tcW w:w="2388"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网御</w:t>
            </w:r>
          </w:p>
        </w:tc>
        <w:tc>
          <w:tcPr>
            <w:tcW w:w="414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V6000-NF3310</w:t>
            </w:r>
          </w:p>
        </w:tc>
        <w:tc>
          <w:tcPr>
            <w:tcW w:w="1144"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826"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16</w:t>
            </w:r>
          </w:p>
        </w:tc>
        <w:tc>
          <w:tcPr>
            <w:tcW w:w="2388"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海康</w:t>
            </w:r>
          </w:p>
        </w:tc>
        <w:tc>
          <w:tcPr>
            <w:tcW w:w="414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DS-1H1032-03U/DC</w:t>
            </w:r>
          </w:p>
        </w:tc>
        <w:tc>
          <w:tcPr>
            <w:tcW w:w="1144"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826"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17</w:t>
            </w:r>
          </w:p>
        </w:tc>
        <w:tc>
          <w:tcPr>
            <w:tcW w:w="2388"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海康</w:t>
            </w:r>
          </w:p>
        </w:tc>
        <w:tc>
          <w:tcPr>
            <w:tcW w:w="414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DS-A72024RK-ICVS</w:t>
            </w:r>
          </w:p>
        </w:tc>
        <w:tc>
          <w:tcPr>
            <w:tcW w:w="1144"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8498" w:type="dxa"/>
            <w:gridSpan w:val="4"/>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826"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2388"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中兴</w:t>
            </w:r>
          </w:p>
        </w:tc>
        <w:tc>
          <w:tcPr>
            <w:tcW w:w="414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ZXCTN6110F</w:t>
            </w:r>
          </w:p>
        </w:tc>
        <w:tc>
          <w:tcPr>
            <w:tcW w:w="1144"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826"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2388"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TG</w:t>
            </w:r>
          </w:p>
        </w:tc>
        <w:tc>
          <w:tcPr>
            <w:tcW w:w="414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P2026M-24POE-450W-VS</w:t>
            </w:r>
          </w:p>
        </w:tc>
        <w:tc>
          <w:tcPr>
            <w:tcW w:w="1144"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826"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2388"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TP-LINK</w:t>
            </w:r>
          </w:p>
        </w:tc>
        <w:tc>
          <w:tcPr>
            <w:tcW w:w="414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TL-SG2226</w:t>
            </w:r>
          </w:p>
        </w:tc>
        <w:tc>
          <w:tcPr>
            <w:tcW w:w="1144"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826"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4</w:t>
            </w:r>
          </w:p>
        </w:tc>
        <w:tc>
          <w:tcPr>
            <w:tcW w:w="2388"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瑞斯康达</w:t>
            </w:r>
          </w:p>
        </w:tc>
        <w:tc>
          <w:tcPr>
            <w:tcW w:w="414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ISCOM5800E</w:t>
            </w:r>
          </w:p>
        </w:tc>
        <w:tc>
          <w:tcPr>
            <w:tcW w:w="1144"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826"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5</w:t>
            </w:r>
          </w:p>
        </w:tc>
        <w:tc>
          <w:tcPr>
            <w:tcW w:w="2388"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锐捷</w:t>
            </w:r>
          </w:p>
        </w:tc>
        <w:tc>
          <w:tcPr>
            <w:tcW w:w="414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RG-NBS5750-28GT4XS-E</w:t>
            </w:r>
          </w:p>
        </w:tc>
        <w:tc>
          <w:tcPr>
            <w:tcW w:w="1144"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826"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6</w:t>
            </w:r>
          </w:p>
        </w:tc>
        <w:tc>
          <w:tcPr>
            <w:tcW w:w="2388"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锐捷</w:t>
            </w:r>
          </w:p>
        </w:tc>
        <w:tc>
          <w:tcPr>
            <w:tcW w:w="414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RG-S2952G-E</w:t>
            </w:r>
          </w:p>
        </w:tc>
        <w:tc>
          <w:tcPr>
            <w:tcW w:w="1144"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826"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7</w:t>
            </w:r>
          </w:p>
        </w:tc>
        <w:tc>
          <w:tcPr>
            <w:tcW w:w="2388"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锐捷</w:t>
            </w:r>
          </w:p>
        </w:tc>
        <w:tc>
          <w:tcPr>
            <w:tcW w:w="414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RG-S2910-24GT4XS-L</w:t>
            </w:r>
          </w:p>
        </w:tc>
        <w:tc>
          <w:tcPr>
            <w:tcW w:w="1144"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826"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8</w:t>
            </w:r>
          </w:p>
        </w:tc>
        <w:tc>
          <w:tcPr>
            <w:tcW w:w="2388"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锐捷</w:t>
            </w:r>
          </w:p>
        </w:tc>
        <w:tc>
          <w:tcPr>
            <w:tcW w:w="414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RG-S2928G-E</w:t>
            </w:r>
          </w:p>
        </w:tc>
        <w:tc>
          <w:tcPr>
            <w:tcW w:w="1144"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826"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9</w:t>
            </w:r>
          </w:p>
        </w:tc>
        <w:tc>
          <w:tcPr>
            <w:tcW w:w="2388"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锐捷</w:t>
            </w:r>
          </w:p>
        </w:tc>
        <w:tc>
          <w:tcPr>
            <w:tcW w:w="414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RG-NBS2028G-S</w:t>
            </w:r>
          </w:p>
        </w:tc>
        <w:tc>
          <w:tcPr>
            <w:tcW w:w="1144"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826"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10</w:t>
            </w:r>
          </w:p>
        </w:tc>
        <w:tc>
          <w:tcPr>
            <w:tcW w:w="2388"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H3C</w:t>
            </w:r>
          </w:p>
        </w:tc>
        <w:tc>
          <w:tcPr>
            <w:tcW w:w="414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S5500V2</w:t>
            </w:r>
          </w:p>
        </w:tc>
        <w:tc>
          <w:tcPr>
            <w:tcW w:w="1144"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826"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11</w:t>
            </w:r>
          </w:p>
        </w:tc>
        <w:tc>
          <w:tcPr>
            <w:tcW w:w="2388"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H3C</w:t>
            </w:r>
          </w:p>
        </w:tc>
        <w:tc>
          <w:tcPr>
            <w:tcW w:w="414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S5560</w:t>
            </w:r>
          </w:p>
        </w:tc>
        <w:tc>
          <w:tcPr>
            <w:tcW w:w="1144"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826"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12</w:t>
            </w:r>
          </w:p>
        </w:tc>
        <w:tc>
          <w:tcPr>
            <w:tcW w:w="2388"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锐捷</w:t>
            </w:r>
          </w:p>
        </w:tc>
        <w:tc>
          <w:tcPr>
            <w:tcW w:w="414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RG-S2910-24GT4SFP-UP-H(V3.0)</w:t>
            </w:r>
          </w:p>
        </w:tc>
        <w:tc>
          <w:tcPr>
            <w:tcW w:w="1144"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826"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13</w:t>
            </w:r>
          </w:p>
        </w:tc>
        <w:tc>
          <w:tcPr>
            <w:tcW w:w="2388"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锐捷</w:t>
            </w:r>
          </w:p>
        </w:tc>
        <w:tc>
          <w:tcPr>
            <w:tcW w:w="414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RG-S7805C</w:t>
            </w:r>
          </w:p>
        </w:tc>
        <w:tc>
          <w:tcPr>
            <w:tcW w:w="1144"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8498" w:type="dxa"/>
            <w:gridSpan w:val="4"/>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门禁、消防、动环监控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826"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2388"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信锐</w:t>
            </w:r>
          </w:p>
        </w:tc>
        <w:tc>
          <w:tcPr>
            <w:tcW w:w="414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YD2060-J1K</w:t>
            </w:r>
          </w:p>
        </w:tc>
        <w:tc>
          <w:tcPr>
            <w:tcW w:w="1144"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826"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2388"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信锐</w:t>
            </w:r>
          </w:p>
        </w:tc>
        <w:tc>
          <w:tcPr>
            <w:tcW w:w="414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CT19-400/80</w:t>
            </w:r>
          </w:p>
        </w:tc>
        <w:tc>
          <w:tcPr>
            <w:tcW w:w="1144"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826"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2388"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信锐</w:t>
            </w:r>
          </w:p>
        </w:tc>
        <w:tc>
          <w:tcPr>
            <w:tcW w:w="414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SI-DAS-S201-M1</w:t>
            </w:r>
          </w:p>
        </w:tc>
        <w:tc>
          <w:tcPr>
            <w:tcW w:w="1144"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826"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4</w:t>
            </w:r>
          </w:p>
        </w:tc>
        <w:tc>
          <w:tcPr>
            <w:tcW w:w="2388"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信锐</w:t>
            </w:r>
          </w:p>
        </w:tc>
        <w:tc>
          <w:tcPr>
            <w:tcW w:w="414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SI-WLD-CT-M0-ASD</w:t>
            </w:r>
          </w:p>
        </w:tc>
        <w:tc>
          <w:tcPr>
            <w:tcW w:w="1144"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826"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5</w:t>
            </w:r>
          </w:p>
        </w:tc>
        <w:tc>
          <w:tcPr>
            <w:tcW w:w="2388"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信锐</w:t>
            </w:r>
          </w:p>
        </w:tc>
        <w:tc>
          <w:tcPr>
            <w:tcW w:w="414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SI-WLD-CAB-M0-15M</w:t>
            </w:r>
          </w:p>
        </w:tc>
        <w:tc>
          <w:tcPr>
            <w:tcW w:w="1144"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826"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6</w:t>
            </w:r>
          </w:p>
        </w:tc>
        <w:tc>
          <w:tcPr>
            <w:tcW w:w="2388"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泛海三江</w:t>
            </w:r>
          </w:p>
        </w:tc>
        <w:tc>
          <w:tcPr>
            <w:tcW w:w="414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JTY-GD-T12</w:t>
            </w:r>
          </w:p>
        </w:tc>
        <w:tc>
          <w:tcPr>
            <w:tcW w:w="1144"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826"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7</w:t>
            </w:r>
          </w:p>
        </w:tc>
        <w:tc>
          <w:tcPr>
            <w:tcW w:w="2388"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信锐</w:t>
            </w:r>
          </w:p>
        </w:tc>
        <w:tc>
          <w:tcPr>
            <w:tcW w:w="414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SI-DAS-S201-M2</w:t>
            </w:r>
          </w:p>
        </w:tc>
        <w:tc>
          <w:tcPr>
            <w:tcW w:w="1144"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826"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8</w:t>
            </w:r>
          </w:p>
        </w:tc>
        <w:tc>
          <w:tcPr>
            <w:tcW w:w="2388"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信锐</w:t>
            </w:r>
          </w:p>
        </w:tc>
        <w:tc>
          <w:tcPr>
            <w:tcW w:w="414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SI-TH-M1-D485</w:t>
            </w:r>
          </w:p>
        </w:tc>
        <w:tc>
          <w:tcPr>
            <w:tcW w:w="1144"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826"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9</w:t>
            </w:r>
          </w:p>
        </w:tc>
        <w:tc>
          <w:tcPr>
            <w:tcW w:w="2388"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信锐</w:t>
            </w:r>
          </w:p>
        </w:tc>
        <w:tc>
          <w:tcPr>
            <w:tcW w:w="414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SI-DAS-S201-M1</w:t>
            </w:r>
          </w:p>
        </w:tc>
        <w:tc>
          <w:tcPr>
            <w:tcW w:w="1144"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826"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19</w:t>
            </w:r>
          </w:p>
        </w:tc>
        <w:tc>
          <w:tcPr>
            <w:tcW w:w="2388"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信锐</w:t>
            </w:r>
          </w:p>
        </w:tc>
        <w:tc>
          <w:tcPr>
            <w:tcW w:w="414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DS-K1T671M</w:t>
            </w:r>
          </w:p>
        </w:tc>
        <w:tc>
          <w:tcPr>
            <w:tcW w:w="1144"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826"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20</w:t>
            </w:r>
          </w:p>
        </w:tc>
        <w:tc>
          <w:tcPr>
            <w:tcW w:w="2388"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信锐</w:t>
            </w:r>
          </w:p>
        </w:tc>
        <w:tc>
          <w:tcPr>
            <w:tcW w:w="414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SIC-3100</w:t>
            </w:r>
          </w:p>
        </w:tc>
        <w:tc>
          <w:tcPr>
            <w:tcW w:w="1144"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826"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21</w:t>
            </w:r>
          </w:p>
        </w:tc>
        <w:tc>
          <w:tcPr>
            <w:tcW w:w="2388"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泛海三江（消防系统）</w:t>
            </w:r>
          </w:p>
        </w:tc>
        <w:tc>
          <w:tcPr>
            <w:tcW w:w="414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QM-AN-965型</w:t>
            </w:r>
          </w:p>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JB-QBL-QM210</w:t>
            </w:r>
          </w:p>
        </w:tc>
        <w:tc>
          <w:tcPr>
            <w:tcW w:w="1144"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826"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22</w:t>
            </w:r>
          </w:p>
        </w:tc>
        <w:tc>
          <w:tcPr>
            <w:tcW w:w="2388"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联想</w:t>
            </w:r>
          </w:p>
        </w:tc>
        <w:tc>
          <w:tcPr>
            <w:tcW w:w="414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TE24-10</w:t>
            </w:r>
          </w:p>
        </w:tc>
        <w:tc>
          <w:tcPr>
            <w:tcW w:w="1144"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826"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23</w:t>
            </w:r>
          </w:p>
        </w:tc>
        <w:tc>
          <w:tcPr>
            <w:tcW w:w="2388"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海康</w:t>
            </w:r>
          </w:p>
        </w:tc>
        <w:tc>
          <w:tcPr>
            <w:tcW w:w="414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DS-K1F600-D6E</w:t>
            </w:r>
          </w:p>
        </w:tc>
        <w:tc>
          <w:tcPr>
            <w:tcW w:w="1144"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826"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24</w:t>
            </w:r>
          </w:p>
        </w:tc>
        <w:tc>
          <w:tcPr>
            <w:tcW w:w="2388"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海康</w:t>
            </w:r>
          </w:p>
        </w:tc>
        <w:tc>
          <w:tcPr>
            <w:tcW w:w="414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DS-K1T671M</w:t>
            </w:r>
          </w:p>
        </w:tc>
        <w:tc>
          <w:tcPr>
            <w:tcW w:w="1144"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826"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25</w:t>
            </w:r>
          </w:p>
        </w:tc>
        <w:tc>
          <w:tcPr>
            <w:tcW w:w="2388"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信锐</w:t>
            </w:r>
          </w:p>
        </w:tc>
        <w:tc>
          <w:tcPr>
            <w:tcW w:w="414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SOFTPXWEB</w:t>
            </w:r>
          </w:p>
        </w:tc>
        <w:tc>
          <w:tcPr>
            <w:tcW w:w="1144"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1台</w:t>
            </w:r>
          </w:p>
        </w:tc>
      </w:tr>
    </w:tbl>
    <w:p>
      <w:pPr>
        <w:ind w:firstLine="482" w:firstLineChars="200"/>
        <w:rPr>
          <w:rFonts w:ascii="宋体" w:hAnsi="宋体" w:eastAsia="宋体" w:cs="宋体"/>
          <w:b/>
          <w:bCs/>
          <w:color w:val="auto"/>
          <w:sz w:val="24"/>
          <w:highlight w:val="none"/>
        </w:rPr>
      </w:pPr>
      <w:r>
        <w:rPr>
          <w:rStyle w:val="13"/>
          <w:rFonts w:hint="eastAsia" w:ascii="宋体" w:hAnsi="宋体" w:eastAsia="宋体" w:cs="宋体"/>
          <w:color w:val="auto"/>
          <w:sz w:val="24"/>
          <w:highlight w:val="none"/>
        </w:rPr>
        <w:t>★（2）</w:t>
      </w:r>
      <w:r>
        <w:rPr>
          <w:rFonts w:hint="eastAsia" w:ascii="宋体" w:hAnsi="宋体" w:eastAsia="宋体" w:cs="宋体"/>
          <w:b/>
          <w:bCs/>
          <w:color w:val="auto"/>
          <w:sz w:val="24"/>
          <w:highlight w:val="none"/>
        </w:rPr>
        <w:t>大队软件平台</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2574"/>
        <w:gridCol w:w="5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 w:type="dxa"/>
            <w:vAlign w:val="top"/>
          </w:tcPr>
          <w:p>
            <w:pPr>
              <w:rPr>
                <w:rFonts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2574" w:type="dxa"/>
            <w:vAlign w:val="top"/>
          </w:tcPr>
          <w:p>
            <w:pPr>
              <w:rPr>
                <w:rFonts w:ascii="宋体" w:hAnsi="宋体" w:eastAsia="宋体" w:cs="宋体"/>
                <w:b/>
                <w:bCs/>
                <w:color w:val="auto"/>
                <w:sz w:val="24"/>
                <w:highlight w:val="none"/>
              </w:rPr>
            </w:pPr>
            <w:r>
              <w:rPr>
                <w:rFonts w:hint="eastAsia" w:ascii="宋体" w:hAnsi="宋体" w:eastAsia="宋体" w:cs="宋体"/>
                <w:b/>
                <w:bCs/>
                <w:color w:val="auto"/>
                <w:sz w:val="24"/>
                <w:highlight w:val="none"/>
              </w:rPr>
              <w:t>平台名称</w:t>
            </w:r>
          </w:p>
        </w:tc>
        <w:tc>
          <w:tcPr>
            <w:tcW w:w="5074" w:type="dxa"/>
            <w:vAlign w:val="top"/>
          </w:tcPr>
          <w:p>
            <w:pPr>
              <w:rPr>
                <w:rFonts w:ascii="宋体" w:hAnsi="宋体" w:eastAsia="宋体" w:cs="宋体"/>
                <w:b/>
                <w:bCs/>
                <w:color w:val="auto"/>
                <w:sz w:val="24"/>
                <w:highlight w:val="none"/>
              </w:rPr>
            </w:pPr>
            <w:r>
              <w:rPr>
                <w:rFonts w:hint="eastAsia" w:ascii="宋体" w:hAnsi="宋体" w:eastAsia="宋体" w:cs="宋体"/>
                <w:b/>
                <w:bCs/>
                <w:color w:val="auto"/>
                <w:sz w:val="24"/>
                <w:highlight w:val="none"/>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 w:type="dxa"/>
            <w:vAlign w:val="top"/>
          </w:tcPr>
          <w:p>
            <w:pPr>
              <w:rPr>
                <w:rFonts w:ascii="宋体" w:hAnsi="宋体" w:eastAsia="宋体" w:cs="宋体"/>
                <w:b/>
                <w:bCs/>
                <w:color w:val="auto"/>
                <w:sz w:val="24"/>
                <w:highlight w:val="none"/>
              </w:rPr>
            </w:pPr>
            <w:r>
              <w:rPr>
                <w:rFonts w:hint="eastAsia" w:ascii="宋体" w:hAnsi="宋体" w:eastAsia="宋体" w:cs="宋体"/>
                <w:b/>
                <w:bCs/>
                <w:color w:val="auto"/>
                <w:sz w:val="24"/>
                <w:highlight w:val="none"/>
              </w:rPr>
              <w:t>1</w:t>
            </w:r>
          </w:p>
        </w:tc>
        <w:tc>
          <w:tcPr>
            <w:tcW w:w="2574" w:type="dxa"/>
            <w:vAlign w:val="top"/>
          </w:tcPr>
          <w:p>
            <w:pPr>
              <w:rPr>
                <w:rFonts w:ascii="宋体" w:hAnsi="宋体" w:eastAsia="宋体" w:cs="宋体"/>
                <w:b/>
                <w:bCs/>
                <w:color w:val="auto"/>
                <w:sz w:val="24"/>
                <w:highlight w:val="none"/>
              </w:rPr>
            </w:pPr>
            <w:r>
              <w:rPr>
                <w:rFonts w:hint="eastAsia" w:ascii="宋体" w:hAnsi="宋体" w:eastAsia="宋体" w:cs="宋体"/>
                <w:b/>
                <w:bCs/>
                <w:color w:val="auto"/>
                <w:sz w:val="24"/>
                <w:highlight w:val="none"/>
              </w:rPr>
              <w:t>交通违法管理平台</w:t>
            </w:r>
          </w:p>
        </w:tc>
        <w:tc>
          <w:tcPr>
            <w:tcW w:w="5074" w:type="dxa"/>
            <w:vAlign w:val="top"/>
          </w:tcPr>
          <w:p>
            <w:pPr>
              <w:rPr>
                <w:rFonts w:ascii="宋体" w:hAnsi="宋体" w:eastAsia="宋体" w:cs="宋体"/>
                <w:b/>
                <w:bCs/>
                <w:color w:val="auto"/>
                <w:sz w:val="24"/>
                <w:highlight w:val="none"/>
              </w:rPr>
            </w:pPr>
            <w:r>
              <w:rPr>
                <w:rFonts w:hint="eastAsia" w:ascii="宋体" w:hAnsi="宋体" w:eastAsia="宋体" w:cs="宋体"/>
                <w:b/>
                <w:bCs/>
                <w:color w:val="auto"/>
                <w:sz w:val="24"/>
                <w:highlight w:val="none"/>
              </w:rPr>
              <w:t>海康V1.0.3</w:t>
            </w:r>
            <w:r>
              <w:rPr>
                <w:rFonts w:hint="eastAsia" w:ascii="宋体" w:hAnsi="宋体" w:eastAsia="宋体" w:cs="宋体"/>
                <w:color w:val="auto"/>
                <w:sz w:val="24"/>
                <w:highlight w:val="none"/>
              </w:rPr>
              <w:t>具备智能分析（区域碰撞、假套牌车、频度分析、车辆积分、综合研判等）、重点车辆监控、电子警察违法数据分拣上传等功能。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 w:type="dxa"/>
            <w:vAlign w:val="top"/>
          </w:tcPr>
          <w:p>
            <w:pPr>
              <w:rPr>
                <w:rFonts w:ascii="宋体" w:hAnsi="宋体" w:eastAsia="宋体" w:cs="宋体"/>
                <w:b/>
                <w:bCs/>
                <w:color w:val="auto"/>
                <w:sz w:val="24"/>
                <w:highlight w:val="none"/>
              </w:rPr>
            </w:pPr>
            <w:r>
              <w:rPr>
                <w:rFonts w:hint="eastAsia" w:ascii="宋体" w:hAnsi="宋体" w:eastAsia="宋体" w:cs="宋体"/>
                <w:b/>
                <w:bCs/>
                <w:color w:val="auto"/>
                <w:sz w:val="24"/>
                <w:highlight w:val="none"/>
              </w:rPr>
              <w:t>2</w:t>
            </w:r>
          </w:p>
        </w:tc>
        <w:tc>
          <w:tcPr>
            <w:tcW w:w="2574" w:type="dxa"/>
            <w:vAlign w:val="top"/>
          </w:tcPr>
          <w:p>
            <w:pPr>
              <w:rPr>
                <w:rFonts w:ascii="宋体" w:hAnsi="宋体" w:eastAsia="宋体" w:cs="宋体"/>
                <w:b/>
                <w:bCs/>
                <w:color w:val="auto"/>
                <w:sz w:val="24"/>
                <w:highlight w:val="none"/>
              </w:rPr>
            </w:pPr>
            <w:r>
              <w:rPr>
                <w:rFonts w:hint="eastAsia" w:ascii="宋体" w:hAnsi="宋体" w:eastAsia="宋体" w:cs="宋体"/>
                <w:b/>
                <w:bCs/>
                <w:color w:val="auto"/>
                <w:sz w:val="24"/>
                <w:highlight w:val="none"/>
              </w:rPr>
              <w:t>监控管理客户端</w:t>
            </w:r>
          </w:p>
        </w:tc>
        <w:tc>
          <w:tcPr>
            <w:tcW w:w="5074" w:type="dxa"/>
            <w:vAlign w:val="top"/>
          </w:tcPr>
          <w:p>
            <w:pPr>
              <w:rPr>
                <w:rFonts w:ascii="宋体" w:hAnsi="宋体" w:eastAsia="宋体" w:cs="宋体"/>
                <w:b/>
                <w:bCs/>
                <w:color w:val="auto"/>
                <w:sz w:val="24"/>
                <w:highlight w:val="none"/>
              </w:rPr>
            </w:pPr>
            <w:r>
              <w:rPr>
                <w:rFonts w:hint="eastAsia" w:ascii="宋体" w:hAnsi="宋体" w:eastAsia="宋体" w:cs="宋体"/>
                <w:b/>
                <w:bCs/>
                <w:color w:val="auto"/>
                <w:sz w:val="24"/>
                <w:highlight w:val="none"/>
              </w:rPr>
              <w:t>科达CU2.3</w:t>
            </w:r>
            <w:r>
              <w:rPr>
                <w:rFonts w:hint="eastAsia" w:ascii="宋体" w:hAnsi="宋体" w:eastAsia="宋体" w:cs="宋体"/>
                <w:color w:val="auto"/>
                <w:sz w:val="24"/>
                <w:highlight w:val="none"/>
              </w:rPr>
              <w:t>提供手动抓拍的违法行为的分拣、数据上传等功能。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 w:type="dxa"/>
            <w:vAlign w:val="top"/>
          </w:tcPr>
          <w:p>
            <w:pPr>
              <w:rPr>
                <w:rFonts w:ascii="宋体" w:hAnsi="宋体" w:eastAsia="宋体" w:cs="宋体"/>
                <w:b/>
                <w:bCs/>
                <w:color w:val="auto"/>
                <w:sz w:val="24"/>
                <w:highlight w:val="none"/>
              </w:rPr>
            </w:pPr>
            <w:r>
              <w:rPr>
                <w:rFonts w:hint="eastAsia" w:ascii="宋体" w:hAnsi="宋体" w:eastAsia="宋体" w:cs="宋体"/>
                <w:b/>
                <w:bCs/>
                <w:color w:val="auto"/>
                <w:sz w:val="24"/>
                <w:highlight w:val="none"/>
              </w:rPr>
              <w:t>3</w:t>
            </w:r>
          </w:p>
        </w:tc>
        <w:tc>
          <w:tcPr>
            <w:tcW w:w="2574" w:type="dxa"/>
            <w:vAlign w:val="top"/>
          </w:tcPr>
          <w:p>
            <w:pPr>
              <w:rPr>
                <w:rFonts w:ascii="宋体" w:hAnsi="宋体" w:eastAsia="宋体" w:cs="宋体"/>
                <w:b/>
                <w:bCs/>
                <w:color w:val="auto"/>
                <w:sz w:val="24"/>
                <w:highlight w:val="none"/>
              </w:rPr>
            </w:pPr>
            <w:r>
              <w:rPr>
                <w:rFonts w:hint="eastAsia" w:ascii="宋体" w:hAnsi="宋体" w:eastAsia="宋体" w:cs="宋体"/>
                <w:b/>
                <w:bCs/>
                <w:color w:val="auto"/>
                <w:sz w:val="24"/>
                <w:highlight w:val="none"/>
              </w:rPr>
              <w:t>信号控制平台</w:t>
            </w:r>
          </w:p>
        </w:tc>
        <w:tc>
          <w:tcPr>
            <w:tcW w:w="5074" w:type="dxa"/>
            <w:vAlign w:val="top"/>
          </w:tcPr>
          <w:p>
            <w:pPr>
              <w:rPr>
                <w:rFonts w:ascii="宋体" w:hAnsi="宋体" w:eastAsia="宋体" w:cs="宋体"/>
                <w:b/>
                <w:bCs/>
                <w:color w:val="auto"/>
                <w:sz w:val="24"/>
                <w:highlight w:val="none"/>
              </w:rPr>
            </w:pPr>
            <w:r>
              <w:rPr>
                <w:rFonts w:hint="eastAsia" w:ascii="宋体" w:hAnsi="宋体" w:eastAsia="宋体" w:cs="宋体"/>
                <w:color w:val="auto"/>
                <w:sz w:val="24"/>
                <w:highlight w:val="none"/>
              </w:rPr>
              <w:t>具有信号灯控制、信号灯配时、设备运维、交通数据统计等功能，对高新区交通信号灯进行管理控制。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 w:type="dxa"/>
            <w:vAlign w:val="top"/>
          </w:tcPr>
          <w:p>
            <w:pPr>
              <w:rPr>
                <w:rFonts w:ascii="宋体" w:hAnsi="宋体" w:eastAsia="宋体" w:cs="宋体"/>
                <w:b/>
                <w:bCs/>
                <w:color w:val="auto"/>
                <w:sz w:val="24"/>
                <w:highlight w:val="none"/>
              </w:rPr>
            </w:pPr>
            <w:r>
              <w:rPr>
                <w:rFonts w:hint="eastAsia" w:ascii="宋体" w:hAnsi="宋体" w:eastAsia="宋体" w:cs="宋体"/>
                <w:b/>
                <w:bCs/>
                <w:color w:val="auto"/>
                <w:sz w:val="24"/>
                <w:highlight w:val="none"/>
              </w:rPr>
              <w:t>4</w:t>
            </w:r>
          </w:p>
        </w:tc>
        <w:tc>
          <w:tcPr>
            <w:tcW w:w="2574" w:type="dxa"/>
            <w:vAlign w:val="top"/>
          </w:tcPr>
          <w:p>
            <w:pPr>
              <w:rPr>
                <w:rFonts w:ascii="宋体" w:hAnsi="宋体" w:eastAsia="宋体" w:cs="宋体"/>
                <w:b/>
                <w:bCs/>
                <w:color w:val="auto"/>
                <w:sz w:val="24"/>
                <w:highlight w:val="none"/>
              </w:rPr>
            </w:pPr>
            <w:r>
              <w:rPr>
                <w:rFonts w:hint="eastAsia" w:ascii="宋体" w:hAnsi="宋体" w:eastAsia="宋体" w:cs="宋体"/>
                <w:b/>
                <w:bCs/>
                <w:color w:val="auto"/>
                <w:sz w:val="24"/>
                <w:highlight w:val="none"/>
              </w:rPr>
              <w:t>执法办案综合管理平台</w:t>
            </w:r>
          </w:p>
        </w:tc>
        <w:tc>
          <w:tcPr>
            <w:tcW w:w="5074" w:type="dxa"/>
            <w:vAlign w:val="top"/>
          </w:tcPr>
          <w:p>
            <w:pPr>
              <w:rPr>
                <w:rFonts w:ascii="宋体" w:hAnsi="宋体" w:eastAsia="宋体" w:cs="宋体"/>
                <w:b/>
                <w:bCs/>
                <w:color w:val="auto"/>
                <w:sz w:val="24"/>
                <w:highlight w:val="none"/>
              </w:rPr>
            </w:pPr>
            <w:r>
              <w:rPr>
                <w:rFonts w:hint="eastAsia" w:ascii="宋体" w:hAnsi="宋体" w:eastAsia="宋体" w:cs="宋体"/>
                <w:color w:val="auto"/>
                <w:kern w:val="0"/>
                <w:sz w:val="24"/>
                <w:highlight w:val="none"/>
              </w:rPr>
              <w:t>海康威视Infovision Interrogation-PS针对案件流程管理（案件采集、询训问流程及刻录管理综合管理平台）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 w:type="dxa"/>
            <w:vAlign w:val="top"/>
          </w:tcPr>
          <w:p>
            <w:pPr>
              <w:rPr>
                <w:rFonts w:ascii="宋体" w:hAnsi="宋体" w:eastAsia="宋体" w:cs="宋体"/>
                <w:b/>
                <w:bCs/>
                <w:color w:val="auto"/>
                <w:sz w:val="24"/>
                <w:highlight w:val="none"/>
              </w:rPr>
            </w:pPr>
            <w:r>
              <w:rPr>
                <w:rFonts w:hint="eastAsia" w:ascii="宋体" w:hAnsi="宋体" w:eastAsia="宋体" w:cs="宋体"/>
                <w:b/>
                <w:bCs/>
                <w:color w:val="auto"/>
                <w:sz w:val="24"/>
                <w:highlight w:val="none"/>
              </w:rPr>
              <w:t>5</w:t>
            </w:r>
          </w:p>
        </w:tc>
        <w:tc>
          <w:tcPr>
            <w:tcW w:w="2574" w:type="dxa"/>
            <w:vAlign w:val="top"/>
          </w:tcPr>
          <w:p>
            <w:pPr>
              <w:rPr>
                <w:rFonts w:ascii="宋体" w:hAnsi="宋体" w:eastAsia="宋体" w:cs="宋体"/>
                <w:b/>
                <w:bCs/>
                <w:color w:val="auto"/>
                <w:sz w:val="24"/>
                <w:highlight w:val="none"/>
              </w:rPr>
            </w:pPr>
            <w:r>
              <w:rPr>
                <w:rFonts w:hint="eastAsia" w:ascii="宋体" w:hAnsi="宋体" w:eastAsia="宋体" w:cs="宋体"/>
                <w:b/>
                <w:bCs/>
                <w:color w:val="auto"/>
                <w:sz w:val="24"/>
                <w:highlight w:val="none"/>
              </w:rPr>
              <w:t>视频会议系统</w:t>
            </w:r>
          </w:p>
        </w:tc>
        <w:tc>
          <w:tcPr>
            <w:tcW w:w="5074" w:type="dxa"/>
            <w:vAlign w:val="top"/>
          </w:tcPr>
          <w:p>
            <w:pPr>
              <w:rPr>
                <w:rFonts w:ascii="宋体" w:hAnsi="宋体" w:eastAsia="宋体" w:cs="宋体"/>
                <w:color w:val="auto"/>
                <w:kern w:val="0"/>
                <w:sz w:val="24"/>
                <w:highlight w:val="none"/>
              </w:rPr>
            </w:pPr>
            <w:r>
              <w:rPr>
                <w:rFonts w:hint="eastAsia" w:ascii="宋体" w:hAnsi="宋体" w:eastAsia="宋体" w:cs="宋体"/>
                <w:color w:val="auto"/>
                <w:sz w:val="24"/>
                <w:highlight w:val="none"/>
              </w:rPr>
              <w:t>多方视频会议，文档共享等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 w:type="dxa"/>
            <w:vAlign w:val="top"/>
          </w:tcPr>
          <w:p>
            <w:pPr>
              <w:rPr>
                <w:rFonts w:ascii="宋体" w:hAnsi="宋体" w:eastAsia="宋体" w:cs="宋体"/>
                <w:b/>
                <w:bCs/>
                <w:color w:val="auto"/>
                <w:sz w:val="24"/>
                <w:highlight w:val="none"/>
              </w:rPr>
            </w:pPr>
            <w:r>
              <w:rPr>
                <w:rFonts w:hint="eastAsia" w:ascii="宋体" w:hAnsi="宋体" w:eastAsia="宋体" w:cs="宋体"/>
                <w:b/>
                <w:bCs/>
                <w:color w:val="auto"/>
                <w:sz w:val="24"/>
                <w:highlight w:val="none"/>
              </w:rPr>
              <w:t>6</w:t>
            </w:r>
          </w:p>
        </w:tc>
        <w:tc>
          <w:tcPr>
            <w:tcW w:w="2574" w:type="dxa"/>
            <w:vAlign w:val="top"/>
          </w:tcPr>
          <w:p>
            <w:pPr>
              <w:rPr>
                <w:rFonts w:ascii="宋体" w:hAnsi="宋体" w:eastAsia="宋体" w:cs="宋体"/>
                <w:b/>
                <w:bCs/>
                <w:color w:val="auto"/>
                <w:sz w:val="24"/>
                <w:highlight w:val="none"/>
              </w:rPr>
            </w:pPr>
            <w:r>
              <w:rPr>
                <w:rFonts w:hint="eastAsia" w:ascii="宋体" w:hAnsi="宋体" w:eastAsia="宋体" w:cs="宋体"/>
                <w:b/>
                <w:bCs/>
                <w:color w:val="auto"/>
                <w:sz w:val="24"/>
                <w:highlight w:val="none"/>
              </w:rPr>
              <w:t>楼宇监控平台</w:t>
            </w:r>
          </w:p>
        </w:tc>
        <w:tc>
          <w:tcPr>
            <w:tcW w:w="5074" w:type="dxa"/>
            <w:vAlign w:val="top"/>
          </w:tcPr>
          <w:p>
            <w:pPr>
              <w:rPr>
                <w:rFonts w:ascii="宋体" w:hAnsi="宋体" w:eastAsia="宋体" w:cs="宋体"/>
                <w:color w:val="auto"/>
                <w:sz w:val="24"/>
                <w:highlight w:val="none"/>
              </w:rPr>
            </w:pPr>
            <w:r>
              <w:rPr>
                <w:rFonts w:hint="eastAsia" w:ascii="宋体" w:hAnsi="宋体" w:eastAsia="宋体" w:cs="宋体"/>
                <w:color w:val="auto"/>
                <w:sz w:val="24"/>
                <w:highlight w:val="none"/>
              </w:rPr>
              <w:t>楼道及办公环境智能监控管理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 w:type="dxa"/>
            <w:vAlign w:val="top"/>
          </w:tcPr>
          <w:p>
            <w:pPr>
              <w:rPr>
                <w:rFonts w:ascii="宋体" w:hAnsi="宋体" w:eastAsia="宋体" w:cs="宋体"/>
                <w:b/>
                <w:bCs/>
                <w:color w:val="auto"/>
                <w:sz w:val="24"/>
                <w:highlight w:val="none"/>
              </w:rPr>
            </w:pPr>
            <w:r>
              <w:rPr>
                <w:rFonts w:hint="eastAsia" w:ascii="宋体" w:hAnsi="宋体" w:eastAsia="宋体" w:cs="宋体"/>
                <w:b/>
                <w:bCs/>
                <w:color w:val="auto"/>
                <w:sz w:val="24"/>
                <w:highlight w:val="none"/>
              </w:rPr>
              <w:t>7</w:t>
            </w:r>
          </w:p>
        </w:tc>
        <w:tc>
          <w:tcPr>
            <w:tcW w:w="2574" w:type="dxa"/>
            <w:vAlign w:val="top"/>
          </w:tcPr>
          <w:p>
            <w:pPr>
              <w:rPr>
                <w:rFonts w:ascii="宋体" w:hAnsi="宋体" w:eastAsia="宋体" w:cs="宋体"/>
                <w:b/>
                <w:bCs/>
                <w:color w:val="auto"/>
                <w:sz w:val="24"/>
                <w:highlight w:val="none"/>
              </w:rPr>
            </w:pPr>
            <w:r>
              <w:rPr>
                <w:rFonts w:hint="eastAsia" w:ascii="宋体" w:hAnsi="宋体" w:eastAsia="宋体" w:cs="宋体"/>
                <w:b/>
                <w:bCs/>
                <w:color w:val="auto"/>
                <w:sz w:val="24"/>
                <w:highlight w:val="none"/>
              </w:rPr>
              <w:t>数据机房动环监控平台</w:t>
            </w:r>
          </w:p>
        </w:tc>
        <w:tc>
          <w:tcPr>
            <w:tcW w:w="5074" w:type="dxa"/>
            <w:vAlign w:val="top"/>
          </w:tcPr>
          <w:p>
            <w:pPr>
              <w:rPr>
                <w:rFonts w:ascii="宋体" w:hAnsi="宋体" w:eastAsia="宋体" w:cs="宋体"/>
                <w:color w:val="auto"/>
                <w:sz w:val="24"/>
                <w:highlight w:val="none"/>
              </w:rPr>
            </w:pPr>
            <w:r>
              <w:rPr>
                <w:rFonts w:hint="eastAsia" w:ascii="宋体" w:hAnsi="宋体" w:eastAsia="宋体" w:cs="宋体"/>
                <w:color w:val="auto"/>
                <w:sz w:val="24"/>
                <w:highlight w:val="none"/>
              </w:rPr>
              <w:t>信锐softpxV1.2</w:t>
            </w:r>
            <w:r>
              <w:rPr>
                <w:rFonts w:hint="eastAsia" w:ascii="宋体" w:hAnsi="宋体" w:eastAsia="宋体" w:cs="宋体"/>
                <w:color w:val="auto"/>
                <w:sz w:val="24"/>
                <w:highlight w:val="none"/>
                <w:shd w:val="clear" w:color="auto" w:fill="FFFFFF"/>
              </w:rPr>
              <w:t>机房中的动力设备及环境变量进行集中监控管理平台</w:t>
            </w:r>
          </w:p>
        </w:tc>
      </w:tr>
    </w:tbl>
    <w:p>
      <w:pPr>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（3）服务内容</w:t>
      </w:r>
      <w:r>
        <w:rPr>
          <w:rFonts w:hint="eastAsia" w:ascii="宋体" w:hAnsi="宋体" w:eastAsia="宋体" w:cs="宋体"/>
          <w:b/>
          <w:bCs/>
          <w:color w:val="auto"/>
          <w:kern w:val="0"/>
          <w:sz w:val="24"/>
          <w:highlight w:val="none"/>
        </w:rPr>
        <w:t>（评审项</w:t>
      </w:r>
      <w:r>
        <w:rPr>
          <w:rFonts w:hint="eastAsia" w:ascii="宋体" w:hAnsi="宋体" w:cs="宋体"/>
          <w:b/>
          <w:bCs/>
          <w:color w:val="auto"/>
          <w:kern w:val="0"/>
          <w:sz w:val="24"/>
          <w:highlight w:val="none"/>
          <w:lang w:val="en-US" w:eastAsia="zh-CN"/>
        </w:rPr>
        <w:t>5</w:t>
      </w:r>
      <w:r>
        <w:rPr>
          <w:rFonts w:hint="eastAsia" w:ascii="宋体" w:hAnsi="宋体" w:eastAsia="宋体" w:cs="宋体"/>
          <w:b/>
          <w:bCs/>
          <w:color w:val="auto"/>
          <w:kern w:val="0"/>
          <w:sz w:val="24"/>
          <w:highlight w:val="none"/>
        </w:rPr>
        <w:t>）</w:t>
      </w:r>
    </w:p>
    <w:p>
      <w:pPr>
        <w:rPr>
          <w:rFonts w:ascii="宋体" w:hAnsi="宋体" w:eastAsia="宋体" w:cs="宋体"/>
          <w:color w:val="auto"/>
          <w:sz w:val="24"/>
          <w:highlight w:val="none"/>
        </w:rPr>
      </w:pPr>
      <w:r>
        <w:rPr>
          <w:rFonts w:hint="eastAsia" w:ascii="宋体" w:hAnsi="宋体" w:eastAsia="宋体" w:cs="宋体"/>
          <w:color w:val="auto"/>
          <w:sz w:val="24"/>
          <w:highlight w:val="none"/>
        </w:rPr>
        <w:t>根据交警大队指挥中心及执法办案中心的特性和实际运行情况，针对机房硬件设备及操作系统维护，定期排除隐患故障、及时更换故障配件。（维护设备详见机房硬件设备清单）</w:t>
      </w:r>
    </w:p>
    <w:p>
      <w:pPr>
        <w:rPr>
          <w:rFonts w:ascii="宋体" w:hAnsi="宋体" w:eastAsia="宋体" w:cs="宋体"/>
          <w:color w:val="auto"/>
          <w:sz w:val="24"/>
          <w:highlight w:val="none"/>
        </w:rPr>
      </w:pPr>
      <w:r>
        <w:rPr>
          <w:rFonts w:hint="eastAsia" w:ascii="宋体" w:hAnsi="宋体" w:eastAsia="宋体" w:cs="宋体"/>
          <w:color w:val="auto"/>
          <w:sz w:val="24"/>
          <w:highlight w:val="none"/>
        </w:rPr>
        <w:t>中标人根据维护工作需要，自行配置一定数量的备品备件，当系统出现故障时，中标人需在要求的时间内把该备品备件运抵相应地点使用，保障应用系统、网络系统的正常运行。为提高故障处置效率，缩短重要业务中断时间，部分备品备件须存放在采购人机房。（存放机房的备品备件详见备品备件清单。）</w:t>
      </w:r>
    </w:p>
    <w:p>
      <w:pPr>
        <w:rPr>
          <w:rFonts w:ascii="宋体" w:hAnsi="宋体" w:eastAsia="宋体" w:cs="宋体"/>
          <w:color w:val="auto"/>
          <w:sz w:val="24"/>
          <w:highlight w:val="none"/>
        </w:rPr>
      </w:pPr>
      <w:r>
        <w:rPr>
          <w:rFonts w:hint="eastAsia" w:ascii="宋体" w:hAnsi="宋体" w:eastAsia="宋体" w:cs="宋体"/>
          <w:color w:val="auto"/>
          <w:sz w:val="24"/>
          <w:highlight w:val="none"/>
        </w:rPr>
        <w:t>解决交警智能交通控制相关系统平台、执法办案相关系统及应用软件运行过程中出现的问题，保证各应用软件正常稳定运行。</w:t>
      </w:r>
    </w:p>
    <w:p>
      <w:pPr>
        <w:ind w:left="420" w:leftChars="200"/>
        <w:rPr>
          <w:rFonts w:ascii="宋体" w:hAnsi="宋体" w:eastAsia="宋体" w:cs="宋体"/>
          <w:color w:val="auto"/>
          <w:sz w:val="24"/>
          <w:highlight w:val="none"/>
        </w:rPr>
      </w:pPr>
      <w:r>
        <w:rPr>
          <w:rStyle w:val="13"/>
          <w:rFonts w:hint="eastAsia" w:ascii="宋体" w:hAnsi="宋体" w:eastAsia="宋体" w:cs="宋体"/>
          <w:color w:val="auto"/>
          <w:sz w:val="24"/>
          <w:highlight w:val="none"/>
        </w:rPr>
        <w:t>★（4）</w:t>
      </w:r>
      <w:r>
        <w:rPr>
          <w:rFonts w:hint="eastAsia" w:ascii="宋体" w:hAnsi="宋体" w:eastAsia="宋体" w:cs="宋体"/>
          <w:b/>
          <w:bCs/>
          <w:color w:val="auto"/>
          <w:sz w:val="24"/>
          <w:highlight w:val="none"/>
        </w:rPr>
        <w:t xml:space="preserve">服务总体要求 </w:t>
      </w:r>
    </w:p>
    <w:p>
      <w:pPr>
        <w:pStyle w:val="11"/>
        <w:widowControl/>
        <w:spacing w:beforeAutospacing="0" w:afterAutospacing="0"/>
        <w:ind w:firstLine="480" w:firstLineChars="200"/>
        <w:rPr>
          <w:rFonts w:ascii="宋体" w:hAnsi="宋体" w:eastAsia="宋体" w:cs="宋体"/>
          <w:color w:val="auto"/>
          <w:highlight w:val="none"/>
        </w:rPr>
      </w:pPr>
      <w:r>
        <w:rPr>
          <w:rFonts w:hint="eastAsia" w:ascii="宋体" w:hAnsi="宋体" w:eastAsia="宋体" w:cs="宋体"/>
          <w:color w:val="auto"/>
          <w:highlight w:val="none"/>
        </w:rPr>
        <w:t>中标人必须在合同签订后15日内编制提交《维护实施方案》，经采购人审核后开始实施。方案至少包括项目组织机构、人员安排、进度安排、计划控制、质量管理和风险管理等内容，以及备品备件的到位进度计划表等。</w:t>
      </w:r>
    </w:p>
    <w:p>
      <w:pPr>
        <w:widowControl/>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中标人必须在合同签订后5日内安排现场驻点人员入场。在合同签订后15日内准备好就近维护人员办公场所。</w:t>
      </w:r>
    </w:p>
    <w:p>
      <w:pPr>
        <w:widowControl/>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中标人必须在合同签订后15日内对所有设备进行清点，形成设备详细清单（品 牌、型号、序列号、IP地址等），按照设备类型分类造册，报送采购人审核、存档。</w:t>
      </w:r>
    </w:p>
    <w:p>
      <w:pPr>
        <w:widowControl/>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本项目涉及的设备和应用系统的每次故障报修，须填写《维护任务单》，完成任务后1日内提交，任务单包括故障发生日期、故障现象、故障排除情况、维护人员等。</w:t>
      </w:r>
    </w:p>
    <w:p>
      <w:pPr>
        <w:pStyle w:val="11"/>
        <w:widowControl/>
        <w:spacing w:beforeAutospacing="0" w:afterAutospacing="0"/>
        <w:ind w:firstLine="480" w:firstLineChars="200"/>
        <w:rPr>
          <w:rFonts w:ascii="宋体" w:hAnsi="宋体" w:eastAsia="宋体" w:cs="宋体"/>
          <w:color w:val="auto"/>
          <w:highlight w:val="none"/>
        </w:rPr>
      </w:pPr>
      <w:r>
        <w:rPr>
          <w:rFonts w:hint="eastAsia" w:ascii="宋体" w:hAnsi="宋体" w:eastAsia="宋体" w:cs="宋体"/>
          <w:color w:val="auto"/>
          <w:highlight w:val="none"/>
        </w:rPr>
        <w:t>根据采购人下达对本项目涉及的设备和应用系统的相关维护任务，须填写《维护任务单》，完成任务后1日内提交，任务单包括维护日期、维护完成情况等。</w:t>
      </w:r>
    </w:p>
    <w:p>
      <w:pPr>
        <w:pStyle w:val="11"/>
        <w:widowControl/>
        <w:spacing w:beforeAutospacing="0" w:afterAutospacing="0"/>
        <w:ind w:firstLine="480" w:firstLineChars="200"/>
        <w:rPr>
          <w:rFonts w:ascii="宋体" w:hAnsi="宋体" w:eastAsia="宋体" w:cs="宋体"/>
          <w:color w:val="auto"/>
          <w:highlight w:val="none"/>
        </w:rPr>
      </w:pPr>
      <w:r>
        <w:rPr>
          <w:rFonts w:hint="eastAsia" w:ascii="宋体" w:hAnsi="宋体" w:eastAsia="宋体" w:cs="宋体"/>
          <w:color w:val="auto"/>
          <w:highlight w:val="none"/>
        </w:rPr>
        <w:t>中标人每月对软硬件设备、系统、平台等进行1次全面巡检，并在每个月结束后的5日内提交《系统健康状态巡检服务报告》，系统健康状态巡检服务报告需包括巡检日期、设备或系统名 称、状态、巡检人员等，报送采购人审核、存档。</w:t>
      </w:r>
    </w:p>
    <w:p>
      <w:pPr>
        <w:pStyle w:val="11"/>
        <w:widowControl/>
        <w:spacing w:beforeAutospacing="0" w:afterAutospacing="0"/>
        <w:ind w:firstLine="480" w:firstLineChars="200"/>
        <w:rPr>
          <w:rFonts w:ascii="宋体" w:hAnsi="宋体" w:eastAsia="宋体" w:cs="宋体"/>
          <w:color w:val="auto"/>
          <w:highlight w:val="none"/>
        </w:rPr>
      </w:pPr>
      <w:r>
        <w:rPr>
          <w:rFonts w:hint="eastAsia" w:ascii="宋体" w:hAnsi="宋体" w:eastAsia="宋体" w:cs="宋体"/>
          <w:color w:val="auto"/>
          <w:highlight w:val="none"/>
        </w:rPr>
        <w:t>中标人在每季度结束后的5日内提交《季度维护工作报告》，季度维护工作报告需包括季度时间、维护日期、维护设备名称、故障原因、现象、排除、分析和建议、维护人员等，报送采购人审核、存档。</w:t>
      </w:r>
    </w:p>
    <w:p>
      <w:pPr>
        <w:pStyle w:val="11"/>
        <w:widowControl/>
        <w:spacing w:beforeAutospacing="0" w:afterAutospacing="0"/>
        <w:ind w:firstLine="480" w:firstLineChars="200"/>
        <w:rPr>
          <w:rFonts w:ascii="宋体" w:hAnsi="宋体" w:eastAsia="宋体" w:cs="宋体"/>
          <w:color w:val="auto"/>
          <w:highlight w:val="none"/>
        </w:rPr>
      </w:pPr>
      <w:r>
        <w:rPr>
          <w:rFonts w:hint="eastAsia" w:ascii="宋体" w:hAnsi="宋体" w:eastAsia="宋体" w:cs="宋体"/>
          <w:color w:val="auto"/>
          <w:highlight w:val="none"/>
        </w:rPr>
        <w:t>中标人在每年度运维结束后的10日内提交《年度运维服务报告》，对一年度的运维情况进行总结和分析，针对本年度工作提出不足和改进计划，能指导下一年运维工作。</w:t>
      </w:r>
    </w:p>
    <w:p>
      <w:pPr>
        <w:pStyle w:val="11"/>
        <w:widowControl/>
        <w:spacing w:beforeAutospacing="0" w:afterAutospacing="0"/>
        <w:ind w:firstLine="480" w:firstLineChars="200"/>
        <w:rPr>
          <w:rFonts w:ascii="宋体" w:hAnsi="宋体" w:eastAsia="宋体" w:cs="宋体"/>
          <w:color w:val="auto"/>
          <w:highlight w:val="none"/>
        </w:rPr>
      </w:pPr>
      <w:r>
        <w:rPr>
          <w:rFonts w:hint="eastAsia" w:ascii="宋体" w:hAnsi="宋体" w:eastAsia="宋体" w:cs="宋体"/>
          <w:color w:val="auto"/>
          <w:highlight w:val="none"/>
        </w:rPr>
        <w:t>中标人须在合同签订后30日内提交《应急预案》，应对采购人核心设备故障的应急处置，经采购人认可后，每半年须提供不少于1次的应急演练，并提交《应急演练报告》。</w:t>
      </w:r>
    </w:p>
    <w:p>
      <w:pPr>
        <w:widowControl/>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中标人须在合同签订后30日内提供采购人可永久使用的成熟的运维管理平台，平台支持图上展示运维成效报告的功能，展示项包括总体概况（设备总数、在线数、离线数）、近一周监控点在线率趋势、各能力集前端设备的数量、各关键指标的达成情况（设备运行状态、录像保存天数、OSD状态等）、业务数据运行质量情况（在线率、活跃率、抓拍数据总量、建模成功率、车牌识别率、人脸识别得分、抓拍数据趋势、上传数据时延、上传数据倒挂等）、故障维修情况（按时效、按状态、按来源）等信息。支持视频失败链路诊断功能，可查看设备最近告警信息。（须</w:t>
      </w:r>
      <w:r>
        <w:rPr>
          <w:rFonts w:hint="eastAsia" w:ascii="宋体" w:hAnsi="宋体" w:eastAsia="宋体" w:cs="宋体"/>
          <w:color w:val="auto"/>
          <w:kern w:val="0"/>
          <w:sz w:val="24"/>
          <w:highlight w:val="none"/>
        </w:rPr>
        <w:t>提供公安部授权机构出具的有效检测报告复印件进行佐证，原件备查。</w:t>
      </w:r>
      <w:r>
        <w:rPr>
          <w:rFonts w:hint="eastAsia" w:ascii="宋体" w:hAnsi="宋体" w:eastAsia="宋体" w:cs="宋体"/>
          <w:color w:val="auto"/>
          <w:sz w:val="24"/>
          <w:highlight w:val="none"/>
        </w:rPr>
        <w:t>）</w:t>
      </w:r>
    </w:p>
    <w:p>
      <w:pPr>
        <w:pStyle w:val="11"/>
        <w:widowControl/>
        <w:spacing w:beforeAutospacing="0" w:afterAutospacing="0"/>
        <w:ind w:firstLine="480" w:firstLineChars="200"/>
        <w:rPr>
          <w:rFonts w:ascii="宋体" w:hAnsi="宋体" w:eastAsia="宋体" w:cs="宋体"/>
          <w:color w:val="auto"/>
          <w:highlight w:val="none"/>
        </w:rPr>
      </w:pPr>
      <w:r>
        <w:rPr>
          <w:rFonts w:hint="eastAsia" w:ascii="宋体" w:hAnsi="宋体" w:eastAsia="宋体" w:cs="宋体"/>
          <w:color w:val="auto"/>
          <w:highlight w:val="none"/>
        </w:rPr>
        <w:t>为保障大队平台运行需求，中标人须在合同签订后30日内在大队驻点一名软件研发工程师，具备独立开发及处理软件各种相关问题的能力。针对使用单位提出的须开发的功能插件，中标人保证不再进行额外收费，免费提供开发功能插件的服务。</w:t>
      </w:r>
    </w:p>
    <w:p>
      <w:pPr>
        <w:pStyle w:val="11"/>
        <w:widowControl/>
        <w:spacing w:beforeAutospacing="0" w:afterAutospacing="0"/>
        <w:ind w:firstLine="480" w:firstLineChars="200"/>
        <w:rPr>
          <w:rFonts w:ascii="宋体" w:hAnsi="宋体" w:eastAsia="宋体" w:cs="宋体"/>
          <w:color w:val="auto"/>
          <w:highlight w:val="none"/>
        </w:rPr>
      </w:pPr>
      <w:r>
        <w:rPr>
          <w:rFonts w:hint="eastAsia" w:ascii="宋体" w:hAnsi="宋体" w:eastAsia="宋体" w:cs="宋体"/>
          <w:color w:val="auto"/>
          <w:highlight w:val="none"/>
        </w:rPr>
        <w:t>为保障交警大队机房网络安全要求，中标人须在合同签订后30日内在交警大队驻点一名网络安全工程师（需有CCIE、CISP等证书），能独立规划设计整套安全体系，熟悉脚本语言，熟练掌握主流交换机及防火墙等设备配置及故障处理，熟悉安全扫描、基线加固及洞漏整改等。</w:t>
      </w:r>
    </w:p>
    <w:p>
      <w:pPr>
        <w:pStyle w:val="11"/>
        <w:widowControl/>
        <w:spacing w:beforeAutospacing="0" w:afterAutospacing="0"/>
        <w:ind w:firstLine="480" w:firstLineChars="200"/>
        <w:rPr>
          <w:rFonts w:ascii="宋体" w:hAnsi="宋体" w:eastAsia="宋体" w:cs="宋体"/>
          <w:color w:val="auto"/>
          <w:highlight w:val="none"/>
        </w:rPr>
      </w:pPr>
      <w:r>
        <w:rPr>
          <w:rFonts w:hint="eastAsia" w:ascii="宋体" w:hAnsi="宋体" w:eastAsia="宋体" w:cs="宋体"/>
          <w:color w:val="auto"/>
          <w:highlight w:val="none"/>
        </w:rPr>
        <w:t>遇到节假日、大型活动期间，根据采购人安排，中标人应安排特定巡检、驻点保障、维修、维护、清洁、保养等，并合理安排值班人员，保证维护工作的正常运行。</w:t>
      </w:r>
    </w:p>
    <w:p>
      <w:pPr>
        <w:pStyle w:val="11"/>
        <w:widowControl/>
        <w:spacing w:beforeAutospacing="0" w:afterAutospacing="0"/>
        <w:ind w:firstLine="480" w:firstLineChars="200"/>
        <w:rPr>
          <w:rFonts w:ascii="宋体" w:hAnsi="宋体" w:eastAsia="宋体" w:cs="宋体"/>
          <w:color w:val="auto"/>
          <w:highlight w:val="none"/>
        </w:rPr>
      </w:pPr>
      <w:r>
        <w:rPr>
          <w:rFonts w:hint="eastAsia" w:ascii="宋体" w:hAnsi="宋体" w:eastAsia="宋体" w:cs="宋体"/>
          <w:color w:val="auto"/>
          <w:highlight w:val="none"/>
        </w:rPr>
        <w:t>根据采购人要求对设备进行清洁。</w:t>
      </w:r>
    </w:p>
    <w:p>
      <w:pPr>
        <w:pStyle w:val="11"/>
        <w:widowControl/>
        <w:spacing w:beforeAutospacing="0" w:afterAutospacing="0"/>
        <w:ind w:firstLine="480" w:firstLineChars="200"/>
        <w:rPr>
          <w:rFonts w:ascii="宋体" w:hAnsi="宋体" w:eastAsia="宋体" w:cs="宋体"/>
          <w:color w:val="auto"/>
          <w:highlight w:val="none"/>
        </w:rPr>
      </w:pPr>
      <w:r>
        <w:rPr>
          <w:rFonts w:hint="eastAsia" w:ascii="宋体" w:hAnsi="宋体" w:eastAsia="宋体" w:cs="宋体"/>
          <w:color w:val="auto"/>
          <w:highlight w:val="none"/>
        </w:rPr>
        <w:t>二线技术支持服务：提供二线专家技术支持服务，保障现网设备和系统稳定运行。</w:t>
      </w:r>
    </w:p>
    <w:p>
      <w:pPr>
        <w:pStyle w:val="11"/>
        <w:widowControl/>
        <w:spacing w:beforeAutospacing="0" w:afterAutospacing="0"/>
        <w:ind w:firstLine="480" w:firstLineChars="200"/>
        <w:rPr>
          <w:rFonts w:ascii="宋体" w:hAnsi="宋体" w:eastAsia="宋体" w:cs="宋体"/>
          <w:color w:val="auto"/>
          <w:highlight w:val="none"/>
        </w:rPr>
      </w:pPr>
      <w:r>
        <w:rPr>
          <w:rFonts w:hint="eastAsia" w:ascii="宋体" w:hAnsi="宋体" w:eastAsia="宋体" w:cs="宋体"/>
          <w:color w:val="auto"/>
          <w:highlight w:val="none"/>
        </w:rPr>
        <w:t>服务级别：维护响应时间为7*24小时。中标人接到报障通知后，10分钟内电话响应。电话响应后，中标人根据《故障级别定义表》的时限要求完成故障修复，并通过《维护任务单》及时把故障原因分析和维修结果向采购人做书面汇报。发生特殊情况时，最快要在一个小时内完成故障修复，具体要求以采购人实际需求为准。</w:t>
      </w:r>
    </w:p>
    <w:p>
      <w:pPr>
        <w:pStyle w:val="11"/>
        <w:widowControl/>
        <w:spacing w:beforeAutospacing="0" w:afterAutospacing="0"/>
        <w:ind w:firstLine="480" w:firstLineChars="200"/>
        <w:rPr>
          <w:rFonts w:ascii="宋体" w:hAnsi="宋体" w:eastAsia="宋体" w:cs="宋体"/>
          <w:color w:val="auto"/>
          <w:highlight w:val="none"/>
        </w:rPr>
      </w:pPr>
      <w:r>
        <w:rPr>
          <w:rFonts w:hint="eastAsia" w:ascii="宋体" w:hAnsi="宋体" w:eastAsia="宋体" w:cs="宋体"/>
          <w:color w:val="auto"/>
          <w:highlight w:val="none"/>
        </w:rPr>
        <w:t>中标人在运行维护或故障处理时应尽量减少对系统运行的影响，在维护过程中要进行停机、软件或数据修改以及其它可能对系统和业务造成不良影响的操作时，必须经采购人确认后方可进行。采购人不开放中标人通过远程登录方式进行技术服务，不接受中标人通过电话指导使用单位人员完成技术服务，中标人在接到采购人的服务请求后，必需完全提供现场服务。</w:t>
      </w:r>
    </w:p>
    <w:p>
      <w:pPr>
        <w:pStyle w:val="11"/>
        <w:widowControl/>
        <w:spacing w:beforeAutospacing="0" w:afterAutospacing="0"/>
        <w:ind w:firstLine="480" w:firstLineChars="200"/>
        <w:rPr>
          <w:rFonts w:ascii="宋体" w:hAnsi="宋体" w:eastAsia="宋体" w:cs="宋体"/>
          <w:color w:val="auto"/>
          <w:highlight w:val="none"/>
        </w:rPr>
      </w:pPr>
      <w:r>
        <w:rPr>
          <w:rFonts w:hint="eastAsia" w:ascii="宋体" w:hAnsi="宋体" w:eastAsia="宋体" w:cs="宋体"/>
          <w:color w:val="auto"/>
          <w:highlight w:val="none"/>
        </w:rPr>
        <w:t>中标人需确保设备的正常运行，出现故障后，中标人需在规定的时限内解决设备故障。如果故障设备无法维修的，中标人需提供性能等同或高于的备品备件进行替代。如果设备故障需送修的，要在规定时限内通过部署临时的备品备件恢复业务正常开展，同时及时维修好故障设备并返还采购人，恢复到设备维修前的正常运行水平。</w:t>
      </w:r>
    </w:p>
    <w:p>
      <w:pPr>
        <w:pStyle w:val="11"/>
        <w:widowControl/>
        <w:spacing w:beforeAutospacing="0" w:afterAutospacing="0"/>
        <w:ind w:firstLine="482" w:firstLineChars="200"/>
        <w:rPr>
          <w:rFonts w:ascii="宋体" w:hAnsi="宋体" w:eastAsia="宋体" w:cs="宋体"/>
          <w:b/>
          <w:bCs/>
          <w:color w:val="auto"/>
          <w:highlight w:val="none"/>
        </w:rPr>
      </w:pPr>
      <w:r>
        <w:rPr>
          <w:rFonts w:hint="eastAsia" w:ascii="宋体" w:hAnsi="宋体" w:eastAsia="宋体" w:cs="宋体"/>
          <w:b/>
          <w:bCs/>
          <w:color w:val="auto"/>
          <w:highlight w:val="none"/>
        </w:rPr>
        <w:t>（5）机房硬件日常维护服务（评审项</w:t>
      </w:r>
      <w:r>
        <w:rPr>
          <w:rFonts w:hint="eastAsia" w:ascii="宋体" w:hAnsi="宋体" w:cs="宋体"/>
          <w:b/>
          <w:bCs/>
          <w:color w:val="auto"/>
          <w:highlight w:val="none"/>
          <w:lang w:val="en-US" w:eastAsia="zh-CN"/>
        </w:rPr>
        <w:t>6</w:t>
      </w:r>
      <w:r>
        <w:rPr>
          <w:rFonts w:hint="eastAsia" w:ascii="宋体" w:hAnsi="宋体" w:eastAsia="宋体" w:cs="宋体"/>
          <w:b/>
          <w:bCs/>
          <w:color w:val="auto"/>
          <w:highlight w:val="none"/>
        </w:rPr>
        <w:t>）</w:t>
      </w:r>
    </w:p>
    <w:p>
      <w:pPr>
        <w:widowControl/>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听取用户意见，检查硬件、集群、系统日志、配置等，提供运行监控、性能评估、建设咨询。</w:t>
      </w:r>
    </w:p>
    <w:p>
      <w:pPr>
        <w:pStyle w:val="11"/>
        <w:widowControl/>
        <w:spacing w:beforeAutospacing="0" w:afterAutospacing="0"/>
        <w:ind w:firstLine="480" w:firstLineChars="200"/>
        <w:rPr>
          <w:rFonts w:ascii="宋体" w:hAnsi="宋体" w:eastAsia="宋体" w:cs="宋体"/>
          <w:color w:val="auto"/>
          <w:highlight w:val="none"/>
        </w:rPr>
      </w:pPr>
      <w:r>
        <w:rPr>
          <w:rFonts w:hint="eastAsia" w:ascii="宋体" w:hAnsi="宋体" w:eastAsia="宋体" w:cs="宋体"/>
          <w:color w:val="auto"/>
          <w:highlight w:val="none"/>
        </w:rPr>
        <w:t>按流程规范排除隐患和故障，及时更换故障、老化设备或配件，做好故障分类与统计。</w:t>
      </w:r>
    </w:p>
    <w:p>
      <w:pPr>
        <w:pStyle w:val="11"/>
        <w:widowControl/>
        <w:spacing w:beforeAutospacing="0" w:afterAutospacing="0"/>
        <w:ind w:firstLine="480" w:firstLineChars="200"/>
        <w:rPr>
          <w:rFonts w:ascii="宋体" w:hAnsi="宋体" w:eastAsia="宋体" w:cs="宋体"/>
          <w:color w:val="auto"/>
          <w:highlight w:val="none"/>
        </w:rPr>
      </w:pPr>
      <w:r>
        <w:rPr>
          <w:rFonts w:hint="eastAsia" w:ascii="宋体" w:hAnsi="宋体" w:eastAsia="宋体" w:cs="宋体"/>
          <w:color w:val="auto"/>
          <w:highlight w:val="none"/>
        </w:rPr>
        <w:t>对硬件固件进行分析，采集性能数据，对严重影响系统的硬件固件及时升级。</w:t>
      </w:r>
    </w:p>
    <w:p>
      <w:pPr>
        <w:pStyle w:val="11"/>
        <w:widowControl/>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优化调整操作系统及通用软件，包括系统升级，漏洞修复及补丁更新等，以及必要的安全性、正确性测试。</w:t>
      </w:r>
    </w:p>
    <w:p>
      <w:pPr>
        <w:pStyle w:val="11"/>
        <w:widowControl/>
        <w:spacing w:beforeAutospacing="0" w:afterAutospacing="0"/>
        <w:ind w:firstLine="480" w:firstLineChars="200"/>
        <w:rPr>
          <w:rFonts w:ascii="宋体" w:hAnsi="宋体" w:eastAsia="宋体" w:cs="宋体"/>
          <w:color w:val="auto"/>
          <w:highlight w:val="none"/>
        </w:rPr>
      </w:pPr>
      <w:r>
        <w:rPr>
          <w:rFonts w:hint="eastAsia" w:ascii="宋体" w:hAnsi="宋体" w:eastAsia="宋体" w:cs="宋体"/>
          <w:color w:val="auto"/>
          <w:highlight w:val="none"/>
        </w:rPr>
        <w:t>备份及恢复操作系统及整机数据，做好备份和恢复方案，每年度开展一次备份恢复测试演练，并评估测试结果。</w:t>
      </w:r>
    </w:p>
    <w:p>
      <w:pPr>
        <w:pStyle w:val="11"/>
        <w:widowControl/>
        <w:spacing w:beforeAutospacing="0" w:afterAutospacing="0"/>
        <w:ind w:left="120" w:firstLine="482" w:firstLineChars="200"/>
        <w:rPr>
          <w:rFonts w:ascii="宋体" w:hAnsi="宋体" w:eastAsia="宋体" w:cs="宋体"/>
          <w:b/>
          <w:bCs/>
          <w:color w:val="auto"/>
          <w:highlight w:val="none"/>
        </w:rPr>
      </w:pPr>
      <w:r>
        <w:rPr>
          <w:rFonts w:hint="eastAsia" w:ascii="宋体" w:hAnsi="宋体" w:eastAsia="宋体" w:cs="宋体"/>
          <w:b/>
          <w:bCs/>
          <w:color w:val="auto"/>
          <w:highlight w:val="none"/>
        </w:rPr>
        <w:t>（6）中心配套系统日常维护服务（评审项</w:t>
      </w:r>
      <w:r>
        <w:rPr>
          <w:rFonts w:hint="eastAsia" w:ascii="宋体" w:hAnsi="宋体" w:cs="宋体"/>
          <w:b/>
          <w:bCs/>
          <w:color w:val="auto"/>
          <w:highlight w:val="none"/>
          <w:lang w:val="en-US" w:eastAsia="zh-CN"/>
        </w:rPr>
        <w:t>7</w:t>
      </w:r>
      <w:r>
        <w:rPr>
          <w:rFonts w:hint="eastAsia" w:ascii="宋体" w:hAnsi="宋体" w:eastAsia="宋体" w:cs="宋体"/>
          <w:b/>
          <w:bCs/>
          <w:color w:val="auto"/>
          <w:highlight w:val="none"/>
        </w:rPr>
        <w:t>）</w:t>
      </w:r>
    </w:p>
    <w:p>
      <w:pPr>
        <w:widowControl/>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电气系统巡检维护，包括检查电力电缆、配电(箱)柜、空开、PDU单元、UPS电源设备、UPS电池等电气设备完好情况。</w:t>
      </w:r>
    </w:p>
    <w:p>
      <w:pPr>
        <w:widowControl/>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综合布线系统巡检维护，包括检查综合布线桥架的平整度，更换布线设施上脱落、破损的标签等，使用性能测试仪对铜缆信号和未使用的光纤信道进行抽检等。</w:t>
      </w:r>
    </w:p>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消防系统巡检维护，包括检查探测器、报警主机、声光报警器、放气指示灯等消防设备以及七氟丙烷钢瓶的气体压力，电磁阀门完好情况等。</w:t>
      </w:r>
    </w:p>
    <w:p>
      <w:pPr>
        <w:widowControl/>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场地环境监控系统巡检维护，包括检查场地监控系统各项技术参数、监控系统传输线路质量及测试监控系统各项功能。</w:t>
      </w:r>
    </w:p>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门禁系统及视频会议系统等维护，包括检测设备各项技术参数、线路传输质量、功能完好等。</w:t>
      </w:r>
    </w:p>
    <w:p>
      <w:pPr>
        <w:pStyle w:val="4"/>
        <w:keepNext w:val="0"/>
        <w:keepLines w:val="0"/>
        <w:widowControl/>
        <w:ind w:firstLine="480" w:firstLineChars="200"/>
        <w:rPr>
          <w:rFonts w:ascii="宋体" w:hAnsi="宋体" w:eastAsia="宋体" w:cs="宋体"/>
          <w:color w:val="auto"/>
          <w:sz w:val="24"/>
          <w:szCs w:val="24"/>
          <w:highlight w:val="none"/>
        </w:rPr>
      </w:pPr>
      <w:r>
        <w:rPr>
          <w:rStyle w:val="13"/>
          <w:rFonts w:hint="eastAsia" w:ascii="宋体" w:hAnsi="宋体" w:eastAsia="宋体" w:cs="宋体"/>
          <w:b w:val="0"/>
          <w:color w:val="auto"/>
          <w:sz w:val="24"/>
          <w:szCs w:val="24"/>
          <w:highlight w:val="none"/>
        </w:rPr>
        <w:t>★</w:t>
      </w:r>
      <w:r>
        <w:rPr>
          <w:rFonts w:hint="eastAsia" w:ascii="宋体" w:hAnsi="宋体" w:eastAsia="宋体" w:cs="宋体"/>
          <w:b/>
          <w:bCs w:val="0"/>
          <w:color w:val="auto"/>
          <w:sz w:val="24"/>
          <w:szCs w:val="24"/>
          <w:highlight w:val="none"/>
        </w:rPr>
        <w:t>（7）</w:t>
      </w:r>
      <w:r>
        <w:rPr>
          <w:rStyle w:val="13"/>
          <w:rFonts w:hint="eastAsia" w:ascii="宋体" w:hAnsi="宋体" w:eastAsia="宋体" w:cs="宋体"/>
          <w:b w:val="0"/>
          <w:color w:val="auto"/>
          <w:sz w:val="24"/>
          <w:szCs w:val="24"/>
          <w:highlight w:val="none"/>
        </w:rPr>
        <w:t>备品备件材料服务</w:t>
      </w:r>
    </w:p>
    <w:p>
      <w:pPr>
        <w:widowControl/>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中标人需要自行配备一定数量的备品备件，保障应用系统、网络系统的正常运行。系统出现故障时，如需要采用备品备件临时使用，中标人需及时把该备品备件运抵相应地点上线使用。</w:t>
      </w:r>
    </w:p>
    <w:p>
      <w:pPr>
        <w:widowControl/>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备品备件配备的原则是能够确保市交通智控中心上相应设备的正常运行，一旦出现故障时，能够在故障修复时限内完成该设备的修复，配备的数量应不低于以上要求，性能应不低于原有设备的性能。</w:t>
      </w:r>
    </w:p>
    <w:p>
      <w:pPr>
        <w:pStyle w:val="11"/>
        <w:widowControl/>
        <w:spacing w:beforeAutospacing="0" w:afterAutospacing="0"/>
        <w:ind w:firstLine="480" w:firstLineChars="200"/>
        <w:rPr>
          <w:rFonts w:ascii="宋体" w:hAnsi="宋体" w:eastAsia="宋体" w:cs="宋体"/>
          <w:color w:val="auto"/>
          <w:highlight w:val="none"/>
        </w:rPr>
      </w:pPr>
      <w:r>
        <w:rPr>
          <w:rFonts w:hint="eastAsia" w:ascii="宋体" w:hAnsi="宋体" w:eastAsia="宋体" w:cs="宋体"/>
          <w:color w:val="auto"/>
          <w:highlight w:val="none"/>
        </w:rPr>
        <w:t>中标人应根据实际情况，在服务期内自备合适数量的维护工具、接口线缆、尾纤、网络连线、接插件、正常维护需要的消耗品、材料等。</w:t>
      </w:r>
    </w:p>
    <w:p>
      <w:pPr>
        <w:widowControl/>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中标人提供的备品备件材料服务是采购人考核中标人的重要指标。</w:t>
      </w:r>
    </w:p>
    <w:p>
      <w:pPr>
        <w:widowControl/>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为了避免因突发故障造成业务中断，无法满足采购人需要，中标人须在运维现场储备如下备品备件，备品备件清单如下表所示：</w:t>
      </w:r>
    </w:p>
    <w:p>
      <w:pPr>
        <w:widowControl/>
        <w:ind w:firstLine="720" w:firstLineChars="300"/>
        <w:rPr>
          <w:rFonts w:ascii="宋体" w:hAnsi="宋体" w:eastAsia="宋体" w:cs="宋体"/>
          <w:color w:val="auto"/>
          <w:sz w:val="24"/>
          <w:highlight w:val="none"/>
        </w:rPr>
      </w:pPr>
      <w:r>
        <w:rPr>
          <w:rFonts w:hint="eastAsia" w:ascii="宋体" w:hAnsi="宋体" w:eastAsia="宋体" w:cs="宋体"/>
          <w:color w:val="auto"/>
          <w:sz w:val="24"/>
          <w:highlight w:val="none"/>
        </w:rPr>
        <w:t>备品备件清单</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46"/>
        <w:gridCol w:w="5079"/>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446"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类别</w:t>
            </w:r>
          </w:p>
        </w:tc>
        <w:tc>
          <w:tcPr>
            <w:tcW w:w="5079"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相关参数</w:t>
            </w:r>
          </w:p>
        </w:tc>
        <w:tc>
          <w:tcPr>
            <w:tcW w:w="1288"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备品数量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1446"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HBA卡</w:t>
            </w:r>
          </w:p>
        </w:tc>
        <w:tc>
          <w:tcPr>
            <w:tcW w:w="5079"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双口8GB HBA卡</w:t>
            </w:r>
          </w:p>
        </w:tc>
        <w:tc>
          <w:tcPr>
            <w:tcW w:w="1288"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1片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1446"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内存卡</w:t>
            </w:r>
          </w:p>
        </w:tc>
        <w:tc>
          <w:tcPr>
            <w:tcW w:w="5079"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32G DDR4 内存卡</w:t>
            </w:r>
          </w:p>
        </w:tc>
        <w:tc>
          <w:tcPr>
            <w:tcW w:w="1288"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2块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1446"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资源池节点</w:t>
            </w:r>
          </w:p>
        </w:tc>
        <w:tc>
          <w:tcPr>
            <w:tcW w:w="5079"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≥4颗CPU处理器（主频≥2.0GHz、核数：≥10核、线程数：≥20、总线速度：≥6.4GT/s QPI、三级缓存：≥25MB、TDP：≥115W)，内存≥8根 32G DDR4、≥3块2.5寸10K SAS 600GB(含2.5英寸托架)、≥1块Raid卡，≥4块HBA卡-8Gb单端口-SFP+(含1个多模光模块)；冗余电源，电源满配；≥8个电口</w:t>
            </w:r>
          </w:p>
        </w:tc>
        <w:tc>
          <w:tcPr>
            <w:tcW w:w="1288"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4</w:t>
            </w:r>
          </w:p>
        </w:tc>
        <w:tc>
          <w:tcPr>
            <w:tcW w:w="1446"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存储硬盘</w:t>
            </w:r>
          </w:p>
        </w:tc>
        <w:tc>
          <w:tcPr>
            <w:tcW w:w="5079"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视频存储企业级硬盘，≥4TB 7.2K SATA(3.5")</w:t>
            </w:r>
          </w:p>
        </w:tc>
        <w:tc>
          <w:tcPr>
            <w:tcW w:w="1288"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16块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5</w:t>
            </w:r>
          </w:p>
        </w:tc>
        <w:tc>
          <w:tcPr>
            <w:tcW w:w="1446"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光纤交换机</w:t>
            </w:r>
          </w:p>
        </w:tc>
        <w:tc>
          <w:tcPr>
            <w:tcW w:w="5079"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≥24个端口（≥24口全激活含≥8GB模块），1、2、4和8 Gbit/sec端口速率自动感应</w:t>
            </w:r>
          </w:p>
        </w:tc>
        <w:tc>
          <w:tcPr>
            <w:tcW w:w="1288"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6</w:t>
            </w:r>
          </w:p>
        </w:tc>
        <w:tc>
          <w:tcPr>
            <w:tcW w:w="1446"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交换机</w:t>
            </w:r>
          </w:p>
        </w:tc>
        <w:tc>
          <w:tcPr>
            <w:tcW w:w="5079"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交换容量≥758Gbps，包转发率≥396Mpps，≥28个10/100/1000M自适应电口，≥4个复用的SFP接口（SFP为千兆/百兆口），≥4个1G/10G   SFP+光口</w:t>
            </w:r>
          </w:p>
        </w:tc>
        <w:tc>
          <w:tcPr>
            <w:tcW w:w="1288"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7</w:t>
            </w:r>
          </w:p>
        </w:tc>
        <w:tc>
          <w:tcPr>
            <w:tcW w:w="1446"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存储</w:t>
            </w:r>
          </w:p>
        </w:tc>
        <w:tc>
          <w:tcPr>
            <w:tcW w:w="5079"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1）单设备应配置≥64位多核处理器，≥16GB内存，内存支持扩展到≥64GB，需配置冗余金牌电源，支持双系统</w:t>
            </w:r>
          </w:p>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2）单设备应标配≥2个千兆网口，可增扩≥4个万兆口或≥8个光纤接口或增配≥4个HDMI接口或≥2个SAS3.0接口，可扩展2个SSD固态硬盘</w:t>
            </w:r>
          </w:p>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3）可根基业务增长，平滑扩容，容量和性能支持线性扩展，对外提供单一运行系统。</w:t>
            </w:r>
          </w:p>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4）基于流媒体的底层管理结构，消除文件系统损坏导致文件不可读或丢失，覆盖写入不产生文件碎片。</w:t>
            </w:r>
          </w:p>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5）可接入2T/3T/4T/6T/8T/10TSATA磁盘，支持磁盘交错启动和漫游，并支持在线热插拔；</w:t>
            </w:r>
          </w:p>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6）可接入硬盘≥48块，支持SATA和SAS混插，并支持≥12级扩展柜级联扩展</w:t>
            </w:r>
          </w:p>
        </w:tc>
        <w:tc>
          <w:tcPr>
            <w:tcW w:w="1288"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8</w:t>
            </w:r>
          </w:p>
        </w:tc>
        <w:tc>
          <w:tcPr>
            <w:tcW w:w="1446"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防火墙</w:t>
            </w:r>
          </w:p>
        </w:tc>
        <w:tc>
          <w:tcPr>
            <w:tcW w:w="5079"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多核CPU硬件架构，网络层吞吐量≥10Gbps，最大并发连接数≥300万，每秒新建连接数≥13万。机架式，单电源，标准配置≥5个10/100/1000M自适应电口，≥4个GE/SFP光电复用接口，≥1个Console口，≥1个USB2.0口。（包含病毒过滤、入侵防御、URL分类库、流控QoS功能）</w:t>
            </w:r>
          </w:p>
        </w:tc>
        <w:tc>
          <w:tcPr>
            <w:tcW w:w="1288"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9</w:t>
            </w:r>
          </w:p>
        </w:tc>
        <w:tc>
          <w:tcPr>
            <w:tcW w:w="1446"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硬盘</w:t>
            </w:r>
          </w:p>
        </w:tc>
        <w:tc>
          <w:tcPr>
            <w:tcW w:w="5079"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≥8TB 7.2K NLSAS</w:t>
            </w:r>
          </w:p>
        </w:tc>
        <w:tc>
          <w:tcPr>
            <w:tcW w:w="1288"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4块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10</w:t>
            </w:r>
          </w:p>
        </w:tc>
        <w:tc>
          <w:tcPr>
            <w:tcW w:w="1446"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分析服务器</w:t>
            </w:r>
          </w:p>
        </w:tc>
        <w:tc>
          <w:tcPr>
            <w:tcW w:w="5079"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产品性能：</w:t>
            </w:r>
          </w:p>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车辆卡口图片处理能力：600万张/天（200W-900W）；</w:t>
            </w:r>
          </w:p>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支持多设备集群部署；</w:t>
            </w:r>
          </w:p>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产品应用：</w:t>
            </w:r>
          </w:p>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支持车辆实时建模，服务于平台的以车搜车、目标搜寻和涉牌研判等业务应用</w:t>
            </w:r>
          </w:p>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硬件规格：</w:t>
            </w:r>
          </w:p>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处理器：海光HG3185（8核，16线程，3.0GHZ）</w:t>
            </w:r>
          </w:p>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内存：16GB DDR4 * 2</w:t>
            </w:r>
          </w:p>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硬盘：1 * 240G 企业级SSD</w:t>
            </w:r>
          </w:p>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数据接口：4个千兆自适应网络接口，1个VGA接口，6个USB接口</w:t>
            </w:r>
          </w:p>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额定功率：550W 1+1冗余电源</w:t>
            </w:r>
          </w:p>
        </w:tc>
        <w:tc>
          <w:tcPr>
            <w:tcW w:w="1288"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11</w:t>
            </w:r>
          </w:p>
        </w:tc>
        <w:tc>
          <w:tcPr>
            <w:tcW w:w="1446"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大数据服务器</w:t>
            </w:r>
          </w:p>
        </w:tc>
        <w:tc>
          <w:tcPr>
            <w:tcW w:w="5079"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硬件规格：</w:t>
            </w:r>
          </w:p>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处理器：2颗10核 X86架构CPU（2.40 GHz）</w:t>
            </w:r>
          </w:p>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内存：256G</w:t>
            </w:r>
          </w:p>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 xml:space="preserve">硬盘：240G SSD*1（系统）+240G SSD*1 + 480G*6 SSD + 4T*4 SATA </w:t>
            </w:r>
          </w:p>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热插拔：支持</w:t>
            </w:r>
          </w:p>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RAID：支持</w:t>
            </w:r>
          </w:p>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网络接口：OCP 万兆光口（2个）+ 千兆电口（2个）</w:t>
            </w:r>
          </w:p>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USB：4个 ；VGA ：1个</w:t>
            </w:r>
          </w:p>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PCI扩展：最大支持6个PCIE扩展，含2个专用</w:t>
            </w:r>
          </w:p>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电源模块：高效能550W铂金1+1 CRPS冗余电源</w:t>
            </w:r>
          </w:p>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 xml:space="preserve">工作温度：工作5℃～40℃(41℉～104℉) </w:t>
            </w:r>
          </w:p>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储藏温度：储藏-40℃～70℃(-40℉～158℉)</w:t>
            </w:r>
          </w:p>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工作湿度：35％～80％ RH</w:t>
            </w:r>
          </w:p>
        </w:tc>
        <w:tc>
          <w:tcPr>
            <w:tcW w:w="1288"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1台</w:t>
            </w:r>
          </w:p>
        </w:tc>
      </w:tr>
    </w:tbl>
    <w:p>
      <w:pPr>
        <w:pStyle w:val="11"/>
        <w:widowControl/>
        <w:spacing w:beforeAutospacing="0" w:afterAutospacing="0"/>
        <w:ind w:firstLine="480" w:firstLineChars="200"/>
        <w:rPr>
          <w:rFonts w:ascii="宋体" w:hAnsi="宋体" w:eastAsia="宋体" w:cs="宋体"/>
          <w:color w:val="auto"/>
          <w:highlight w:val="none"/>
        </w:rPr>
      </w:pPr>
      <w:r>
        <w:rPr>
          <w:rFonts w:hint="eastAsia" w:ascii="宋体" w:hAnsi="宋体" w:eastAsia="宋体" w:cs="宋体"/>
          <w:color w:val="auto"/>
          <w:highlight w:val="none"/>
        </w:rPr>
        <w:t>运维现场储备的备品备件应在合同签订后半年内交货进场，设备应是原厂原包装，开箱合格率99.5%。包装箱内应有安装使用说明、保修卡、产品检验合格证及其他必要附件。</w:t>
      </w:r>
    </w:p>
    <w:p>
      <w:pPr>
        <w:pStyle w:val="4"/>
        <w:keepNext w:val="0"/>
        <w:keepLines w:val="0"/>
        <w:widowControl/>
        <w:ind w:firstLine="482" w:firstLineChars="200"/>
        <w:rPr>
          <w:rFonts w:ascii="宋体" w:hAnsi="宋体" w:eastAsia="宋体" w:cs="宋体"/>
          <w:color w:val="auto"/>
          <w:sz w:val="24"/>
          <w:szCs w:val="24"/>
          <w:highlight w:val="none"/>
        </w:rPr>
      </w:pPr>
      <w:r>
        <w:rPr>
          <w:rFonts w:hint="eastAsia" w:ascii="宋体" w:hAnsi="宋体" w:eastAsia="宋体" w:cs="宋体"/>
          <w:b/>
          <w:bCs w:val="0"/>
          <w:color w:val="auto"/>
          <w:sz w:val="24"/>
          <w:szCs w:val="24"/>
          <w:highlight w:val="none"/>
        </w:rPr>
        <w:t>（8）</w:t>
      </w:r>
      <w:r>
        <w:rPr>
          <w:rStyle w:val="13"/>
          <w:rFonts w:hint="eastAsia" w:ascii="宋体" w:hAnsi="宋体" w:eastAsia="宋体" w:cs="宋体"/>
          <w:b w:val="0"/>
          <w:color w:val="auto"/>
          <w:sz w:val="24"/>
          <w:szCs w:val="24"/>
          <w:highlight w:val="none"/>
        </w:rPr>
        <w:t>软件平台运行维护服务</w:t>
      </w:r>
      <w:r>
        <w:rPr>
          <w:rFonts w:hint="eastAsia" w:ascii="宋体" w:hAnsi="宋体" w:eastAsia="宋体" w:cs="宋体"/>
          <w:b/>
          <w:color w:val="auto"/>
          <w:kern w:val="0"/>
          <w:sz w:val="24"/>
          <w:szCs w:val="24"/>
          <w:highlight w:val="none"/>
        </w:rPr>
        <w:t>（评审项</w:t>
      </w:r>
      <w:r>
        <w:rPr>
          <w:rFonts w:hint="eastAsia" w:ascii="宋体" w:hAnsi="宋体" w:cs="宋体"/>
          <w:b/>
          <w:color w:val="auto"/>
          <w:kern w:val="0"/>
          <w:sz w:val="24"/>
          <w:szCs w:val="24"/>
          <w:highlight w:val="none"/>
          <w:lang w:val="en-US" w:eastAsia="zh-CN"/>
        </w:rPr>
        <w:t>8</w:t>
      </w:r>
      <w:r>
        <w:rPr>
          <w:rFonts w:hint="eastAsia" w:ascii="宋体" w:hAnsi="宋体" w:eastAsia="宋体" w:cs="宋体"/>
          <w:b/>
          <w:color w:val="auto"/>
          <w:kern w:val="0"/>
          <w:sz w:val="24"/>
          <w:szCs w:val="24"/>
          <w:highlight w:val="none"/>
        </w:rPr>
        <w:t>）</w:t>
      </w:r>
    </w:p>
    <w:p>
      <w:pPr>
        <w:pStyle w:val="11"/>
        <w:widowControl/>
        <w:spacing w:beforeAutospacing="0" w:afterAutospacing="0"/>
        <w:ind w:firstLine="480"/>
        <w:rPr>
          <w:rFonts w:ascii="宋体" w:hAnsi="宋体" w:eastAsia="宋体" w:cs="宋体"/>
          <w:color w:val="auto"/>
          <w:highlight w:val="none"/>
        </w:rPr>
      </w:pPr>
      <w:r>
        <w:rPr>
          <w:rFonts w:hint="eastAsia" w:ascii="宋体" w:hAnsi="宋体" w:eastAsia="宋体" w:cs="宋体"/>
          <w:color w:val="auto"/>
          <w:highlight w:val="none"/>
        </w:rPr>
        <w:t>针对交警交通管理智能控制系统相关软件平台进行标准化管理、维护，解决软件平台运行过程中出现的问题，保证各软件平台正常稳定运行。</w:t>
      </w:r>
    </w:p>
    <w:p>
      <w:pPr>
        <w:pStyle w:val="11"/>
        <w:widowControl/>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硬件、操作系统、数据库等升级时，对软件平台进行适应性维护。</w:t>
      </w:r>
    </w:p>
    <w:p>
      <w:pPr>
        <w:pStyle w:val="11"/>
        <w:widowControl/>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对软件平台进行数据备份、数据恢复、系统恢复等数据维护。</w:t>
      </w:r>
    </w:p>
    <w:p>
      <w:pPr>
        <w:pStyle w:val="11"/>
        <w:widowControl/>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软件平台进行服务器安全配置、网络攻击分析、网络故障恢复等网络安全维护。</w:t>
      </w:r>
    </w:p>
    <w:p>
      <w:pPr>
        <w:pStyle w:val="11"/>
        <w:widowControl/>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对软件平台进行日志审计分析、角色添加、权限配置、系统功能测试等。</w:t>
      </w:r>
    </w:p>
    <w:p>
      <w:pPr>
        <w:pStyle w:val="11"/>
        <w:widowControl/>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对软件平台进行日常编码调试，解决系统BUG问题等。</w:t>
      </w:r>
    </w:p>
    <w:p>
      <w:pPr>
        <w:pStyle w:val="11"/>
        <w:widowControl/>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对软件平台进行使用故障解决、系统运行情况巡检分析、预防性维护等。</w:t>
      </w:r>
    </w:p>
    <w:p>
      <w:pPr>
        <w:pStyle w:val="4"/>
        <w:keepNext w:val="0"/>
        <w:keepLines w:val="0"/>
        <w:widowControl/>
        <w:ind w:firstLine="482" w:firstLineChars="200"/>
        <w:rPr>
          <w:rFonts w:ascii="宋体" w:hAnsi="宋体" w:eastAsia="宋体" w:cs="宋体"/>
          <w:color w:val="auto"/>
          <w:sz w:val="24"/>
          <w:szCs w:val="24"/>
          <w:highlight w:val="none"/>
        </w:rPr>
      </w:pPr>
      <w:r>
        <w:rPr>
          <w:rFonts w:hint="eastAsia" w:ascii="宋体" w:hAnsi="宋体" w:eastAsia="宋体" w:cs="宋体"/>
          <w:b/>
          <w:bCs w:val="0"/>
          <w:color w:val="auto"/>
          <w:sz w:val="24"/>
          <w:szCs w:val="24"/>
          <w:highlight w:val="none"/>
        </w:rPr>
        <w:t>（9）</w:t>
      </w:r>
      <w:r>
        <w:rPr>
          <w:rStyle w:val="13"/>
          <w:rFonts w:hint="eastAsia" w:ascii="宋体" w:hAnsi="宋体" w:eastAsia="宋体" w:cs="宋体"/>
          <w:b w:val="0"/>
          <w:color w:val="auto"/>
          <w:sz w:val="24"/>
          <w:szCs w:val="24"/>
          <w:highlight w:val="none"/>
        </w:rPr>
        <w:t>服务响应要求</w:t>
      </w:r>
      <w:r>
        <w:rPr>
          <w:rFonts w:hint="eastAsia" w:ascii="宋体" w:hAnsi="宋体" w:eastAsia="宋体" w:cs="宋体"/>
          <w:b/>
          <w:color w:val="auto"/>
          <w:kern w:val="0"/>
          <w:sz w:val="24"/>
          <w:szCs w:val="24"/>
          <w:highlight w:val="none"/>
        </w:rPr>
        <w:t>（评审项</w:t>
      </w:r>
      <w:r>
        <w:rPr>
          <w:rFonts w:hint="eastAsia" w:ascii="宋体" w:hAnsi="宋体" w:cs="宋体"/>
          <w:b/>
          <w:color w:val="auto"/>
          <w:kern w:val="0"/>
          <w:sz w:val="24"/>
          <w:szCs w:val="24"/>
          <w:highlight w:val="none"/>
          <w:lang w:val="en-US" w:eastAsia="zh-CN"/>
        </w:rPr>
        <w:t>9</w:t>
      </w:r>
      <w:r>
        <w:rPr>
          <w:rFonts w:hint="eastAsia" w:ascii="宋体" w:hAnsi="宋体" w:eastAsia="宋体" w:cs="宋体"/>
          <w:b/>
          <w:color w:val="auto"/>
          <w:kern w:val="0"/>
          <w:sz w:val="24"/>
          <w:szCs w:val="24"/>
          <w:highlight w:val="none"/>
        </w:rPr>
        <w:t>）</w:t>
      </w:r>
    </w:p>
    <w:p>
      <w:pPr>
        <w:widowControl/>
        <w:ind w:firstLine="720" w:firstLineChars="300"/>
        <w:rPr>
          <w:rFonts w:ascii="宋体" w:hAnsi="宋体" w:eastAsia="宋体" w:cs="宋体"/>
          <w:color w:val="auto"/>
          <w:sz w:val="24"/>
          <w:highlight w:val="none"/>
        </w:rPr>
      </w:pPr>
      <w:r>
        <w:rPr>
          <w:rFonts w:hint="eastAsia" w:ascii="宋体" w:hAnsi="宋体" w:eastAsia="宋体" w:cs="宋体"/>
          <w:color w:val="auto"/>
          <w:sz w:val="24"/>
          <w:highlight w:val="none"/>
        </w:rPr>
        <w:t>故障级别定义表</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3375"/>
        <w:gridCol w:w="2292"/>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24"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375"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故障级别</w:t>
            </w:r>
          </w:p>
        </w:tc>
        <w:tc>
          <w:tcPr>
            <w:tcW w:w="2292"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技术人员到场时间</w:t>
            </w:r>
          </w:p>
        </w:tc>
        <w:tc>
          <w:tcPr>
            <w:tcW w:w="2131"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解决时间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24"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3375"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I级：属于重特大故障：其具体现象为：整套系统无法应用或网络全面瘫痪等故障。</w:t>
            </w:r>
          </w:p>
        </w:tc>
        <w:tc>
          <w:tcPr>
            <w:tcW w:w="2292"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电话响应后，30分钟以内到达现场</w:t>
            </w:r>
          </w:p>
        </w:tc>
        <w:tc>
          <w:tcPr>
            <w:tcW w:w="2131"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电话响应后，2小时以内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24"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3375"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II级：属于严重故障；其具体现象为：部分系统严重故障、系统重要数据丢失等严重影响系统运行的故障。</w:t>
            </w:r>
          </w:p>
        </w:tc>
        <w:tc>
          <w:tcPr>
            <w:tcW w:w="2292"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电话响应后，30分钟以内到达现场</w:t>
            </w:r>
          </w:p>
        </w:tc>
        <w:tc>
          <w:tcPr>
            <w:tcW w:w="2131"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电话响应后，4小时以内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24"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3375"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III级：属于一般问题；其具体现象为：个别软硬件、前端设备等不影响系统整体运行的故障。</w:t>
            </w:r>
          </w:p>
        </w:tc>
        <w:tc>
          <w:tcPr>
            <w:tcW w:w="2292"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电话响应后，2小时以内到达现场</w:t>
            </w:r>
          </w:p>
        </w:tc>
        <w:tc>
          <w:tcPr>
            <w:tcW w:w="2131" w:type="dxa"/>
            <w:vAlign w:val="top"/>
          </w:tcPr>
          <w:p>
            <w:pPr>
              <w:widowControl/>
              <w:rPr>
                <w:rFonts w:ascii="宋体" w:hAnsi="宋体" w:eastAsia="宋体" w:cs="宋体"/>
                <w:color w:val="auto"/>
                <w:sz w:val="24"/>
                <w:highlight w:val="none"/>
              </w:rPr>
            </w:pPr>
            <w:r>
              <w:rPr>
                <w:rFonts w:hint="eastAsia" w:ascii="宋体" w:hAnsi="宋体" w:eastAsia="宋体" w:cs="宋体"/>
                <w:color w:val="auto"/>
                <w:sz w:val="24"/>
                <w:highlight w:val="none"/>
              </w:rPr>
              <w:t>电话响应后，48小时以内</w:t>
            </w:r>
          </w:p>
        </w:tc>
      </w:tr>
    </w:tbl>
    <w:p>
      <w:pPr>
        <w:pStyle w:val="11"/>
        <w:widowControl/>
        <w:spacing w:before="75" w:beforeAutospacing="0" w:after="75" w:afterAutospacing="0"/>
        <w:rPr>
          <w:rFonts w:ascii="宋体" w:hAnsi="宋体" w:eastAsia="宋体" w:cs="宋体"/>
          <w:color w:val="auto"/>
          <w:highlight w:val="none"/>
        </w:rPr>
      </w:pPr>
    </w:p>
    <w:p>
      <w:pPr>
        <w:pStyle w:val="11"/>
        <w:keepNext w:val="0"/>
        <w:keepLines w:val="0"/>
        <w:widowControl/>
        <w:suppressLineNumbers w:val="0"/>
        <w:spacing w:before="0" w:beforeAutospacing="0" w:after="150" w:afterAutospacing="0"/>
        <w:ind w:left="0" w:right="0"/>
        <w:rPr>
          <w:color w:val="auto"/>
          <w:highlight w:val="none"/>
        </w:rPr>
      </w:pP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三、商务条件</w:t>
      </w:r>
      <w:r>
        <w:rPr>
          <w:rStyle w:val="13"/>
          <w:rFonts w:hint="eastAsia" w:ascii="宋体" w:hAnsi="宋体" w:eastAsia="宋体" w:cs="宋体"/>
          <w:b/>
          <w:bCs/>
          <w:color w:val="auto"/>
          <w:spacing w:val="0"/>
          <w:sz w:val="24"/>
          <w:szCs w:val="24"/>
          <w:highlight w:val="none"/>
        </w:rPr>
        <w:t>（以“★”标示的内容为不允许负偏离的实质性要求）</w:t>
      </w:r>
    </w:p>
    <w:p>
      <w:pPr>
        <w:pStyle w:val="11"/>
        <w:keepNext w:val="0"/>
        <w:keepLines w:val="0"/>
        <w:widowControl/>
        <w:suppressLineNumbers w:val="0"/>
        <w:spacing w:before="75" w:beforeAutospacing="0" w:after="75" w:afterAutospacing="0"/>
        <w:ind w:left="0" w:right="0" w:firstLine="0"/>
        <w:rPr>
          <w:color w:val="auto"/>
          <w:highlight w:val="none"/>
        </w:rPr>
      </w:pPr>
      <w:r>
        <w:rPr>
          <w:rStyle w:val="13"/>
          <w:rFonts w:hint="eastAsia" w:ascii="宋体" w:hAnsi="宋体" w:eastAsia="宋体" w:cs="宋体"/>
          <w:b/>
          <w:bCs/>
          <w:color w:val="auto"/>
          <w:spacing w:val="0"/>
          <w:sz w:val="24"/>
          <w:szCs w:val="24"/>
          <w:highlight w:val="none"/>
        </w:rPr>
        <w:t>包：1</w:t>
      </w:r>
      <w:r>
        <w:rPr>
          <w:rStyle w:val="13"/>
          <w:rFonts w:hint="eastAsia" w:ascii="宋体" w:hAnsi="宋体" w:eastAsia="宋体" w:cs="宋体"/>
          <w:b/>
          <w:bCs/>
          <w:color w:val="auto"/>
          <w:spacing w:val="0"/>
          <w:sz w:val="24"/>
          <w:szCs w:val="24"/>
          <w:highlight w:val="none"/>
        </w:rPr>
        <w:br w:type="textWrapping"/>
      </w:r>
      <w:r>
        <w:rPr>
          <w:rStyle w:val="13"/>
          <w:rFonts w:hint="eastAsia" w:ascii="宋体" w:hAnsi="宋体" w:eastAsia="宋体" w:cs="宋体"/>
          <w:b/>
          <w:bCs/>
          <w:color w:val="auto"/>
          <w:spacing w:val="0"/>
          <w:sz w:val="24"/>
          <w:szCs w:val="24"/>
          <w:highlight w:val="none"/>
        </w:rPr>
        <w:t>1、交付地点：福建省福州市闽侯县科技东路高新区交警大队</w:t>
      </w:r>
      <w:r>
        <w:rPr>
          <w:rStyle w:val="13"/>
          <w:rFonts w:hint="eastAsia" w:ascii="宋体" w:hAnsi="宋体" w:eastAsia="宋体" w:cs="宋体"/>
          <w:b/>
          <w:bCs/>
          <w:color w:val="auto"/>
          <w:spacing w:val="0"/>
          <w:sz w:val="24"/>
          <w:szCs w:val="24"/>
          <w:highlight w:val="none"/>
        </w:rPr>
        <w:br w:type="textWrapping"/>
      </w:r>
      <w:r>
        <w:rPr>
          <w:rStyle w:val="13"/>
          <w:rFonts w:hint="eastAsia" w:ascii="宋体" w:hAnsi="宋体" w:eastAsia="宋体" w:cs="宋体"/>
          <w:b/>
          <w:bCs/>
          <w:color w:val="auto"/>
          <w:spacing w:val="0"/>
          <w:sz w:val="24"/>
          <w:szCs w:val="24"/>
          <w:highlight w:val="none"/>
        </w:rPr>
        <w:t>2、交付时间：服务期限3年，具体起止时间以合同签订为准。</w:t>
      </w:r>
      <w:r>
        <w:rPr>
          <w:rStyle w:val="13"/>
          <w:rFonts w:hint="eastAsia" w:ascii="宋体" w:hAnsi="宋体" w:eastAsia="宋体" w:cs="宋体"/>
          <w:b/>
          <w:bCs/>
          <w:color w:val="auto"/>
          <w:spacing w:val="0"/>
          <w:sz w:val="24"/>
          <w:szCs w:val="24"/>
          <w:highlight w:val="none"/>
        </w:rPr>
        <w:br w:type="textWrapping"/>
      </w:r>
      <w:r>
        <w:rPr>
          <w:rStyle w:val="13"/>
          <w:rFonts w:hint="eastAsia" w:ascii="宋体" w:hAnsi="宋体" w:eastAsia="宋体" w:cs="宋体"/>
          <w:b/>
          <w:bCs/>
          <w:color w:val="auto"/>
          <w:spacing w:val="0"/>
          <w:sz w:val="24"/>
          <w:szCs w:val="24"/>
          <w:highlight w:val="none"/>
        </w:rPr>
        <w:t>3、交付条件：根据招标文件及合同要求。</w:t>
      </w:r>
      <w:r>
        <w:rPr>
          <w:rStyle w:val="13"/>
          <w:rFonts w:hint="eastAsia" w:ascii="宋体" w:hAnsi="宋体" w:eastAsia="宋体" w:cs="宋体"/>
          <w:b/>
          <w:bCs/>
          <w:color w:val="auto"/>
          <w:spacing w:val="0"/>
          <w:sz w:val="24"/>
          <w:szCs w:val="24"/>
          <w:highlight w:val="none"/>
        </w:rPr>
        <w:br w:type="textWrapping"/>
      </w:r>
      <w:r>
        <w:rPr>
          <w:rStyle w:val="13"/>
          <w:rFonts w:hint="eastAsia" w:ascii="宋体" w:hAnsi="宋体" w:eastAsia="宋体" w:cs="宋体"/>
          <w:b/>
          <w:bCs/>
          <w:color w:val="auto"/>
          <w:spacing w:val="0"/>
          <w:sz w:val="24"/>
          <w:szCs w:val="24"/>
          <w:highlight w:val="none"/>
        </w:rPr>
        <w:t>4、是否收取履约保证金：否</w:t>
      </w:r>
      <w:r>
        <w:rPr>
          <w:rStyle w:val="13"/>
          <w:rFonts w:hint="eastAsia" w:ascii="宋体" w:hAnsi="宋体" w:eastAsia="宋体" w:cs="宋体"/>
          <w:b/>
          <w:bCs/>
          <w:color w:val="auto"/>
          <w:spacing w:val="0"/>
          <w:sz w:val="24"/>
          <w:szCs w:val="24"/>
          <w:highlight w:val="none"/>
        </w:rPr>
        <w:br w:type="textWrapping"/>
      </w:r>
      <w:r>
        <w:rPr>
          <w:rStyle w:val="13"/>
          <w:rFonts w:hint="eastAsia" w:ascii="宋体" w:hAnsi="宋体" w:eastAsia="宋体" w:cs="宋体"/>
          <w:b/>
          <w:bCs/>
          <w:color w:val="auto"/>
          <w:spacing w:val="0"/>
          <w:sz w:val="24"/>
          <w:szCs w:val="24"/>
          <w:highlight w:val="none"/>
        </w:rPr>
        <w:t>5、是否邀请投标人参与验收：否</w:t>
      </w:r>
      <w:r>
        <w:rPr>
          <w:rStyle w:val="13"/>
          <w:rFonts w:hint="eastAsia" w:ascii="宋体" w:hAnsi="宋体" w:eastAsia="宋体" w:cs="宋体"/>
          <w:b/>
          <w:bCs/>
          <w:color w:val="auto"/>
          <w:spacing w:val="0"/>
          <w:sz w:val="24"/>
          <w:szCs w:val="24"/>
          <w:highlight w:val="none"/>
        </w:rPr>
        <w:br w:type="textWrapping"/>
      </w:r>
      <w:r>
        <w:rPr>
          <w:rStyle w:val="13"/>
          <w:rFonts w:hint="eastAsia" w:ascii="宋体" w:hAnsi="宋体" w:eastAsia="宋体" w:cs="宋体"/>
          <w:b/>
          <w:bCs/>
          <w:color w:val="auto"/>
          <w:spacing w:val="0"/>
          <w:sz w:val="24"/>
          <w:szCs w:val="24"/>
          <w:highlight w:val="none"/>
        </w:rPr>
        <w:t>6、验收方式数据表格</w:t>
      </w:r>
    </w:p>
    <w:tbl>
      <w:tblPr>
        <w:tblStyle w:val="14"/>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64"/>
        <w:gridCol w:w="66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PrEx>
        <w:trPr>
          <w:tblHeader/>
        </w:trPr>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验收期次</w:t>
            </w:r>
          </w:p>
        </w:tc>
        <w:tc>
          <w:tcPr>
            <w:tcW w:w="665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w:t>
            </w:r>
          </w:p>
        </w:tc>
        <w:tc>
          <w:tcPr>
            <w:tcW w:w="665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根据招标文件及合同约定。</w:t>
            </w:r>
          </w:p>
        </w:tc>
      </w:tr>
    </w:tbl>
    <w:p>
      <w:pPr>
        <w:keepNext w:val="0"/>
        <w:keepLines w:val="0"/>
        <w:widowControl/>
        <w:suppressLineNumbers w:val="0"/>
        <w:jc w:val="left"/>
        <w:rPr>
          <w:color w:val="auto"/>
          <w:highlight w:val="none"/>
        </w:rPr>
      </w:pPr>
      <w:r>
        <w:rPr>
          <w:rStyle w:val="13"/>
          <w:rFonts w:ascii="宋体" w:hAnsi="宋体" w:eastAsia="宋体" w:cs="宋体"/>
          <w:b/>
          <w:bCs/>
          <w:color w:val="auto"/>
          <w:kern w:val="0"/>
          <w:sz w:val="24"/>
          <w:szCs w:val="24"/>
          <w:highlight w:val="none"/>
          <w:lang w:val="en-US" w:eastAsia="zh-CN" w:bidi="ar"/>
        </w:rPr>
        <w:t>7、支付方式数据表格</w:t>
      </w:r>
    </w:p>
    <w:tbl>
      <w:tblPr>
        <w:tblStyle w:val="14"/>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64"/>
        <w:gridCol w:w="1664"/>
        <w:gridCol w:w="499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PrEx>
        <w:trPr>
          <w:tblHeader/>
        </w:trPr>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支付期次</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支付比例(%)</w:t>
            </w:r>
          </w:p>
        </w:tc>
        <w:tc>
          <w:tcPr>
            <w:tcW w:w="499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8.33</w:t>
            </w:r>
          </w:p>
        </w:tc>
        <w:tc>
          <w:tcPr>
            <w:tcW w:w="499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按季度支付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2</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8.33</w:t>
            </w:r>
          </w:p>
        </w:tc>
        <w:tc>
          <w:tcPr>
            <w:tcW w:w="499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按季度支付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3</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8.33</w:t>
            </w:r>
          </w:p>
        </w:tc>
        <w:tc>
          <w:tcPr>
            <w:tcW w:w="499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按季度支付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4</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8.33</w:t>
            </w:r>
          </w:p>
        </w:tc>
        <w:tc>
          <w:tcPr>
            <w:tcW w:w="499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按季度支付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5</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8.33</w:t>
            </w:r>
          </w:p>
        </w:tc>
        <w:tc>
          <w:tcPr>
            <w:tcW w:w="499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按季度支付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6</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8.33</w:t>
            </w:r>
          </w:p>
        </w:tc>
        <w:tc>
          <w:tcPr>
            <w:tcW w:w="499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按季度支付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7</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8.33</w:t>
            </w:r>
          </w:p>
        </w:tc>
        <w:tc>
          <w:tcPr>
            <w:tcW w:w="499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按季度支付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8</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8.33</w:t>
            </w:r>
          </w:p>
        </w:tc>
        <w:tc>
          <w:tcPr>
            <w:tcW w:w="499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按季度支付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9</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8.33</w:t>
            </w:r>
          </w:p>
        </w:tc>
        <w:tc>
          <w:tcPr>
            <w:tcW w:w="499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按季度支付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10</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8.33</w:t>
            </w:r>
          </w:p>
        </w:tc>
        <w:tc>
          <w:tcPr>
            <w:tcW w:w="499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按季度支付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11</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8.33</w:t>
            </w:r>
          </w:p>
        </w:tc>
        <w:tc>
          <w:tcPr>
            <w:tcW w:w="499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按季度支付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12</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8.37</w:t>
            </w:r>
          </w:p>
        </w:tc>
        <w:tc>
          <w:tcPr>
            <w:tcW w:w="499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按季度支付</w:t>
            </w:r>
          </w:p>
        </w:tc>
      </w:tr>
    </w:tbl>
    <w:p>
      <w:pPr>
        <w:pStyle w:val="11"/>
        <w:keepNext w:val="0"/>
        <w:keepLines w:val="0"/>
        <w:widowControl/>
        <w:suppressLineNumbers w:val="0"/>
        <w:spacing w:before="75" w:beforeAutospacing="0" w:after="75" w:afterAutospacing="0"/>
        <w:ind w:left="0" w:right="0"/>
        <w:rPr>
          <w:color w:val="auto"/>
          <w:highlight w:val="none"/>
        </w:rPr>
      </w:pPr>
      <w:r>
        <w:rPr>
          <w:rStyle w:val="13"/>
          <w:rFonts w:hint="eastAsia" w:ascii="宋体" w:hAnsi="宋体" w:eastAsia="宋体" w:cs="宋体"/>
          <w:b/>
          <w:bCs/>
          <w:color w:val="auto"/>
          <w:sz w:val="24"/>
          <w:szCs w:val="24"/>
          <w:highlight w:val="none"/>
        </w:rPr>
        <w:t>7、违约责任</w:t>
      </w:r>
    </w:p>
    <w:p>
      <w:pPr>
        <w:pStyle w:val="11"/>
        <w:keepNext w:val="0"/>
        <w:keepLines w:val="0"/>
        <w:widowControl/>
        <w:suppressLineNumbers w:val="0"/>
        <w:spacing w:before="75" w:beforeAutospacing="0" w:after="75" w:afterAutospacing="0"/>
        <w:ind w:left="0" w:right="0"/>
        <w:rPr>
          <w:color w:val="auto"/>
          <w:highlight w:val="none"/>
        </w:rPr>
      </w:pPr>
      <w:r>
        <w:rPr>
          <w:rFonts w:hint="eastAsia" w:ascii="宋体" w:hAnsi="宋体" w:eastAsia="宋体" w:cs="宋体"/>
          <w:color w:val="auto"/>
          <w:sz w:val="24"/>
          <w:szCs w:val="24"/>
          <w:highlight w:val="none"/>
        </w:rPr>
        <w:t>(1)中标人应全面、及时履行合同约定义务。否则，采购人有权要求其支付违约金，并承担赔偿损失等违约责任。</w:t>
      </w:r>
    </w:p>
    <w:p>
      <w:pPr>
        <w:pStyle w:val="11"/>
        <w:keepNext w:val="0"/>
        <w:keepLines w:val="0"/>
        <w:widowControl/>
        <w:suppressLineNumbers w:val="0"/>
        <w:spacing w:before="75" w:beforeAutospacing="0" w:after="75" w:afterAutospacing="0"/>
        <w:ind w:left="0" w:right="0"/>
        <w:rPr>
          <w:color w:val="auto"/>
          <w:highlight w:val="none"/>
        </w:rPr>
      </w:pPr>
      <w:r>
        <w:rPr>
          <w:rFonts w:hint="eastAsia" w:ascii="宋体" w:hAnsi="宋体" w:eastAsia="宋体" w:cs="宋体"/>
          <w:color w:val="auto"/>
          <w:sz w:val="24"/>
          <w:szCs w:val="24"/>
          <w:highlight w:val="none"/>
        </w:rPr>
        <w:t>(2)中标人需按阶段按时提交维护过程中所要求的材料，若任一材料未按时提交，则中标人应从逾期之日起，每个日历日支付2000元违约金。若任一材料超过规定时间三十个日历日，仍无提交的，采购人有权解除合同，同时中标人应按照合同价款的30%向采购人支付违约金。</w:t>
      </w:r>
    </w:p>
    <w:p>
      <w:pPr>
        <w:pStyle w:val="11"/>
        <w:keepNext w:val="0"/>
        <w:keepLines w:val="0"/>
        <w:widowControl/>
        <w:suppressLineNumbers w:val="0"/>
        <w:spacing w:before="75" w:beforeAutospacing="0" w:after="75" w:afterAutospacing="0"/>
        <w:ind w:left="0" w:right="0"/>
        <w:rPr>
          <w:color w:val="auto"/>
          <w:highlight w:val="none"/>
        </w:rPr>
      </w:pPr>
      <w:r>
        <w:rPr>
          <w:rFonts w:hint="eastAsia" w:ascii="宋体" w:hAnsi="宋体" w:eastAsia="宋体" w:cs="宋体"/>
          <w:color w:val="auto"/>
          <w:sz w:val="24"/>
          <w:szCs w:val="24"/>
          <w:highlight w:val="none"/>
        </w:rPr>
        <w:t>(3)中标人在合同签订后30日内未提供符合要求的运维管理工具的，中标人应从逾期之日起，每个日历日支付2000元违约金。超过规定时间三十个日历日，仍未提供的，采购人有权解除合同，同时中标人应按照合同价款的30%向采购人支付违约金。</w:t>
      </w:r>
    </w:p>
    <w:p>
      <w:pPr>
        <w:pStyle w:val="11"/>
        <w:keepNext w:val="0"/>
        <w:keepLines w:val="0"/>
        <w:widowControl/>
        <w:suppressLineNumbers w:val="0"/>
        <w:spacing w:before="75" w:beforeAutospacing="0" w:after="75" w:afterAutospacing="0"/>
        <w:ind w:left="0" w:right="0"/>
        <w:rPr>
          <w:color w:val="auto"/>
          <w:highlight w:val="none"/>
        </w:rPr>
      </w:pPr>
      <w:r>
        <w:rPr>
          <w:rFonts w:hint="eastAsia" w:ascii="宋体" w:hAnsi="宋体" w:eastAsia="宋体" w:cs="宋体"/>
          <w:color w:val="auto"/>
          <w:sz w:val="24"/>
          <w:szCs w:val="24"/>
          <w:highlight w:val="none"/>
        </w:rPr>
        <w:t>(4)中标人在合同签订后5日内未按要求配齐现场驻点人员并入驻的，中标人应从逾期之日起，每个日历日支付2000元违约金。中标人在合同签订后15日内未准备好就近维护人员办公场所，中标人应从逾期之日起，每个日历日支付2000元违约金。服务期内第一季度结束时，中标人现场驻点人员、就近维护人员办公场所仍未达到合同要求的，采购人有权解除合同，同时中标人应按照合同价款的30%向采购人支付违约金，并承担因违约对采购人造成的损失。</w:t>
      </w:r>
    </w:p>
    <w:p>
      <w:pPr>
        <w:pStyle w:val="11"/>
        <w:keepNext w:val="0"/>
        <w:keepLines w:val="0"/>
        <w:widowControl/>
        <w:suppressLineNumbers w:val="0"/>
        <w:spacing w:before="75" w:beforeAutospacing="0" w:after="75" w:afterAutospacing="0"/>
        <w:ind w:left="0" w:right="0"/>
        <w:rPr>
          <w:color w:val="auto"/>
          <w:highlight w:val="none"/>
        </w:rPr>
      </w:pPr>
      <w:r>
        <w:rPr>
          <w:rFonts w:hint="eastAsia" w:ascii="宋体" w:hAnsi="宋体" w:eastAsia="宋体" w:cs="宋体"/>
          <w:color w:val="auto"/>
          <w:sz w:val="24"/>
          <w:szCs w:val="24"/>
          <w:highlight w:val="none"/>
        </w:rPr>
        <w:t>(5)维护人员在路面施工时需要符合规范，车辆安全停放，人员必须穿统一服装（有路面施工时需穿反光背心）。每违反一次，中标人应向采购人支付1000元违约金。累计五次（含）以上或者经采购人督促后仍不整改的，采购人有权解除合同，同时中标人应按照合同价款的30%向采购人支付违约金。</w:t>
      </w:r>
    </w:p>
    <w:p>
      <w:pPr>
        <w:pStyle w:val="11"/>
        <w:keepNext w:val="0"/>
        <w:keepLines w:val="0"/>
        <w:widowControl/>
        <w:suppressLineNumbers w:val="0"/>
        <w:spacing w:before="75" w:beforeAutospacing="0" w:after="75" w:afterAutospacing="0"/>
        <w:ind w:left="0" w:right="0"/>
        <w:rPr>
          <w:color w:val="auto"/>
          <w:highlight w:val="none"/>
        </w:rPr>
      </w:pPr>
      <w:r>
        <w:rPr>
          <w:rFonts w:hint="eastAsia" w:ascii="宋体" w:hAnsi="宋体" w:eastAsia="宋体" w:cs="宋体"/>
          <w:color w:val="auto"/>
          <w:sz w:val="24"/>
          <w:szCs w:val="24"/>
          <w:highlight w:val="none"/>
        </w:rPr>
        <w:t>(6)中标人应对维护人员的安全监督、管理、教育等工作负责。因安全措施不当，造成在本工程中一切事故风险，责任均由中标人承担，采购人不承担任何责任。</w:t>
      </w:r>
    </w:p>
    <w:p>
      <w:pPr>
        <w:pStyle w:val="11"/>
        <w:keepNext w:val="0"/>
        <w:keepLines w:val="0"/>
        <w:widowControl/>
        <w:suppressLineNumbers w:val="0"/>
        <w:spacing w:before="75" w:beforeAutospacing="0" w:after="75" w:afterAutospacing="0"/>
        <w:ind w:left="0" w:right="0"/>
        <w:rPr>
          <w:color w:val="auto"/>
          <w:highlight w:val="none"/>
        </w:rPr>
      </w:pPr>
      <w:r>
        <w:rPr>
          <w:rFonts w:hint="eastAsia" w:ascii="宋体" w:hAnsi="宋体" w:eastAsia="宋体" w:cs="宋体"/>
          <w:color w:val="auto"/>
          <w:sz w:val="24"/>
          <w:szCs w:val="24"/>
          <w:highlight w:val="none"/>
        </w:rPr>
        <w:t>(7)中标人应遵守工作秘密的约定，因过错导致泄密给采购人造成损失的，应负责赔偿采购人所受的损失，包括实际损失和间接损失。</w:t>
      </w:r>
    </w:p>
    <w:p>
      <w:pPr>
        <w:pStyle w:val="11"/>
        <w:keepNext w:val="0"/>
        <w:keepLines w:val="0"/>
        <w:widowControl/>
        <w:suppressLineNumbers w:val="0"/>
        <w:spacing w:before="75" w:beforeAutospacing="0" w:after="75" w:afterAutospacing="0"/>
        <w:ind w:left="0" w:right="0"/>
        <w:rPr>
          <w:color w:val="auto"/>
          <w:highlight w:val="none"/>
        </w:rPr>
      </w:pPr>
      <w:r>
        <w:rPr>
          <w:rFonts w:hint="eastAsia" w:ascii="宋体" w:hAnsi="宋体" w:eastAsia="宋体" w:cs="宋体"/>
          <w:color w:val="auto"/>
          <w:sz w:val="24"/>
          <w:szCs w:val="24"/>
          <w:highlight w:val="none"/>
        </w:rPr>
        <w:t>(8)采购人通知中标人要求马上整改修复的，中标人不及时执行修复命令造成二次事故的，中标人应承担由此造成的所有责任并向采购人支付1000元违约金。</w:t>
      </w:r>
    </w:p>
    <w:p>
      <w:pPr>
        <w:pStyle w:val="11"/>
        <w:keepNext w:val="0"/>
        <w:keepLines w:val="0"/>
        <w:widowControl/>
        <w:suppressLineNumbers w:val="0"/>
        <w:spacing w:before="75" w:beforeAutospacing="0" w:after="75" w:afterAutospacing="0"/>
        <w:ind w:left="0" w:right="0"/>
        <w:rPr>
          <w:color w:val="auto"/>
          <w:highlight w:val="none"/>
        </w:rPr>
      </w:pPr>
      <w:r>
        <w:rPr>
          <w:rFonts w:hint="eastAsia" w:ascii="宋体" w:hAnsi="宋体" w:eastAsia="宋体" w:cs="宋体"/>
          <w:color w:val="auto"/>
          <w:sz w:val="24"/>
          <w:szCs w:val="24"/>
          <w:highlight w:val="none"/>
        </w:rPr>
        <w:t>(9)采购人对中标人的故障修复情况进行检查，发现III级故障未按要求修复的，中标人向采购人支付1000元违约金；发现II级故障未按要求修复的，中标人向采购人支付2000元违约金；发现I级故障未按要求修复的，中标人向采购人支付5000元违约金。</w:t>
      </w:r>
    </w:p>
    <w:p>
      <w:pPr>
        <w:pStyle w:val="11"/>
        <w:keepNext w:val="0"/>
        <w:keepLines w:val="0"/>
        <w:widowControl/>
        <w:suppressLineNumbers w:val="0"/>
        <w:spacing w:before="75" w:beforeAutospacing="0" w:after="75" w:afterAutospacing="0"/>
        <w:ind w:left="0" w:right="0"/>
        <w:rPr>
          <w:color w:val="auto"/>
          <w:highlight w:val="none"/>
        </w:rPr>
      </w:pPr>
      <w:r>
        <w:rPr>
          <w:rFonts w:hint="eastAsia" w:ascii="宋体" w:hAnsi="宋体" w:eastAsia="宋体" w:cs="宋体"/>
          <w:color w:val="auto"/>
          <w:sz w:val="24"/>
          <w:szCs w:val="24"/>
          <w:highlight w:val="none"/>
        </w:rPr>
        <w:t>(10)在项目服务期内，若发生任何安全事故，除按国家有关安全管理规定及采购人有关安全管理办法执行外，并报相关行政主管部门对中标人进行处罚，采购人保留解除合同的权利，给采购人造成损失的，中标人应承担造成损失相应的赔偿款以及合同总价款30%的违约金。</w:t>
      </w:r>
    </w:p>
    <w:p>
      <w:pPr>
        <w:pStyle w:val="11"/>
        <w:keepNext w:val="0"/>
        <w:keepLines w:val="0"/>
        <w:widowControl/>
        <w:suppressLineNumbers w:val="0"/>
        <w:spacing w:before="75" w:beforeAutospacing="0" w:after="75" w:afterAutospacing="0"/>
        <w:ind w:left="0" w:right="0"/>
        <w:rPr>
          <w:color w:val="auto"/>
          <w:highlight w:val="none"/>
        </w:rPr>
      </w:pPr>
      <w:r>
        <w:rPr>
          <w:rFonts w:hint="eastAsia" w:ascii="宋体" w:hAnsi="宋体" w:eastAsia="宋体" w:cs="宋体"/>
          <w:color w:val="auto"/>
          <w:sz w:val="24"/>
          <w:szCs w:val="24"/>
          <w:highlight w:val="none"/>
        </w:rPr>
        <w:t>(11)采购人保证按时付款,但因财政原因、节假日延期等因素影响,或者中标人未提供以及提供的发票或凭证材料不符合要求导致款项逾期支付的除外。</w:t>
      </w:r>
    </w:p>
    <w:p>
      <w:pPr>
        <w:pStyle w:val="11"/>
        <w:keepNext w:val="0"/>
        <w:keepLines w:val="0"/>
        <w:widowControl/>
        <w:suppressLineNumbers w:val="0"/>
        <w:spacing w:before="75" w:beforeAutospacing="0" w:after="75" w:afterAutospacing="0"/>
        <w:ind w:left="0" w:right="0"/>
        <w:rPr>
          <w:color w:val="auto"/>
          <w:highlight w:val="none"/>
        </w:rPr>
      </w:pPr>
      <w:r>
        <w:rPr>
          <w:rFonts w:hint="eastAsia" w:ascii="宋体" w:hAnsi="宋体" w:eastAsia="宋体" w:cs="宋体"/>
          <w:color w:val="auto"/>
          <w:sz w:val="24"/>
          <w:szCs w:val="24"/>
          <w:highlight w:val="none"/>
        </w:rPr>
        <w:t>8、在签定采购合同之后，有下列情形之一的，将视为中标人违约，采购人有权提出追索和索赔：</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z w:val="24"/>
          <w:szCs w:val="24"/>
          <w:highlight w:val="none"/>
        </w:rPr>
        <w:t>（1）签定合同后，中标人未按合同规定提供服务的；</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z w:val="24"/>
          <w:szCs w:val="24"/>
          <w:highlight w:val="none"/>
        </w:rPr>
        <w:t>（2）中标人逾期完成工作，导致采购人其他相关工作无法开展或延期；</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z w:val="24"/>
          <w:szCs w:val="24"/>
          <w:highlight w:val="none"/>
        </w:rPr>
        <w:t>（3）中标人不能交付或不能完成合同的（不可抗力因素造成的除外）；</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z w:val="24"/>
          <w:szCs w:val="24"/>
          <w:highlight w:val="none"/>
        </w:rPr>
        <w:t>（4）中标人未能按合同规定履行其义务的；</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z w:val="24"/>
          <w:szCs w:val="24"/>
          <w:highlight w:val="none"/>
        </w:rPr>
        <w:t>（5）在签定采购合同之后，中标人要求解除合同的。</w:t>
      </w:r>
    </w:p>
    <w:p>
      <w:pPr>
        <w:pStyle w:val="11"/>
        <w:keepNext w:val="0"/>
        <w:keepLines w:val="0"/>
        <w:widowControl/>
        <w:suppressLineNumbers w:val="0"/>
        <w:spacing w:before="75" w:beforeAutospacing="0" w:after="75" w:afterAutospacing="0"/>
        <w:ind w:left="0" w:right="0"/>
        <w:rPr>
          <w:color w:val="auto"/>
          <w:highlight w:val="none"/>
        </w:rPr>
      </w:pPr>
      <w:r>
        <w:rPr>
          <w:rFonts w:hint="eastAsia" w:ascii="宋体" w:hAnsi="宋体" w:eastAsia="宋体" w:cs="宋体"/>
          <w:color w:val="auto"/>
          <w:sz w:val="24"/>
          <w:szCs w:val="24"/>
          <w:highlight w:val="none"/>
        </w:rPr>
        <w:t>9、因中标人原因发生重大质量事故，除依约承担赔偿责任外，还将按有关质量管理办法规定执行。同时，采购人有权保留更换中标人的权利，并报相关行政主管部门处罚。</w:t>
      </w:r>
    </w:p>
    <w:p>
      <w:pPr>
        <w:pStyle w:val="11"/>
        <w:keepNext w:val="0"/>
        <w:keepLines w:val="0"/>
        <w:widowControl/>
        <w:suppressLineNumbers w:val="0"/>
        <w:spacing w:before="75" w:beforeAutospacing="0" w:after="75" w:afterAutospacing="0"/>
        <w:ind w:left="0" w:right="0"/>
        <w:rPr>
          <w:color w:val="auto"/>
          <w:highlight w:val="none"/>
        </w:rPr>
      </w:pPr>
      <w:r>
        <w:rPr>
          <w:rFonts w:hint="eastAsia" w:ascii="宋体" w:hAnsi="宋体" w:eastAsia="宋体" w:cs="宋体"/>
          <w:color w:val="auto"/>
          <w:sz w:val="24"/>
          <w:szCs w:val="24"/>
          <w:highlight w:val="none"/>
        </w:rPr>
        <w:t>10、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pPr>
        <w:pStyle w:val="11"/>
        <w:keepNext w:val="0"/>
        <w:keepLines w:val="0"/>
        <w:widowControl/>
        <w:suppressLineNumbers w:val="0"/>
        <w:spacing w:before="75" w:beforeAutospacing="0" w:after="75" w:afterAutospacing="0"/>
        <w:ind w:left="0" w:right="0"/>
        <w:rPr>
          <w:color w:val="auto"/>
          <w:highlight w:val="none"/>
        </w:rPr>
      </w:pPr>
      <w:r>
        <w:rPr>
          <w:rFonts w:hint="eastAsia" w:ascii="宋体" w:hAnsi="宋体" w:eastAsia="宋体" w:cs="宋体"/>
          <w:color w:val="auto"/>
          <w:sz w:val="24"/>
          <w:szCs w:val="24"/>
          <w:highlight w:val="none"/>
        </w:rPr>
        <w:t>11、在明确违约责任后，中标人应在接到书面通知书起七天内支付违约金、赔偿金等。</w:t>
      </w:r>
    </w:p>
    <w:p>
      <w:pPr>
        <w:keepNext w:val="0"/>
        <w:keepLines w:val="0"/>
        <w:widowControl/>
        <w:suppressLineNumbers w:val="0"/>
        <w:jc w:val="left"/>
        <w:rPr>
          <w:color w:val="auto"/>
          <w:highlight w:val="none"/>
        </w:rPr>
      </w:pPr>
      <w:r>
        <w:rPr>
          <w:rFonts w:ascii="宋体" w:hAnsi="宋体" w:eastAsia="宋体" w:cs="宋体"/>
          <w:color w:val="auto"/>
          <w:spacing w:val="0"/>
          <w:kern w:val="0"/>
          <w:sz w:val="24"/>
          <w:szCs w:val="24"/>
          <w:highlight w:val="none"/>
          <w:lang w:val="en-US" w:eastAsia="zh-CN" w:bidi="ar"/>
        </w:rPr>
        <w:t> </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四、其他事项</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1、除招标文件另有规定外，若出现有关法律、法规和规章有强制性规定但招标文件未列明的情形，则投标人应按照有关法律、法规和规章强制性规定执行。</w:t>
      </w:r>
    </w:p>
    <w:p>
      <w:pPr>
        <w:pStyle w:val="11"/>
        <w:keepNext w:val="0"/>
        <w:keepLines w:val="0"/>
        <w:widowControl/>
        <w:suppressLineNumbers w:val="0"/>
        <w:spacing w:before="75" w:beforeAutospacing="0" w:after="75" w:afterAutospacing="0"/>
        <w:ind w:left="0" w:right="0" w:firstLine="0"/>
        <w:rPr>
          <w:color w:val="auto"/>
          <w:highlight w:val="none"/>
        </w:rPr>
      </w:pPr>
      <w:r>
        <w:rPr>
          <w:color w:val="auto"/>
          <w:spacing w:val="0"/>
          <w:sz w:val="24"/>
          <w:szCs w:val="24"/>
          <w:highlight w:val="none"/>
        </w:rPr>
        <w:t>2、其他：</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z w:val="24"/>
          <w:szCs w:val="24"/>
          <w:highlight w:val="none"/>
        </w:rPr>
        <w:t>（1）中标人提供的设备和服务应具有自主独立知识产权。中标人应保证采购人不受到第三方关于侵犯版权和专 利权的指控，任何第三方如果提出指控，中标人应与第三方交涉，承担可能发生的一切法律责任、费用和后果，并赔偿采购人的损失。</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z w:val="24"/>
          <w:szCs w:val="24"/>
          <w:highlight w:val="none"/>
        </w:rPr>
        <w:t>（2）本项目不允许中标人以任何名义和理由在中 标后将中标项目的主体、非主体、关键性工作、非关键性工作进行转包、分包。在履行合同过程中如有发现，采购人有权单方终止合同。视为中标人违约，中标人违约对采购人造成的损失的，需另行支付相应的赔偿，并追究相关法律责任。</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（3）本招标文件未明确的其它约定事项或条款，待采购人与中标人签订合同时，由双方协商订立。</w:t>
      </w:r>
    </w:p>
    <w:p>
      <w:pPr>
        <w:pStyle w:val="11"/>
        <w:keepNext w:val="0"/>
        <w:keepLines w:val="0"/>
        <w:widowControl/>
        <w:suppressLineNumbers w:val="0"/>
        <w:spacing w:before="0" w:beforeAutospacing="0" w:after="150" w:afterAutospacing="0"/>
        <w:ind w:left="0" w:right="0"/>
        <w:rPr>
          <w:color w:val="auto"/>
          <w:highlight w:val="none"/>
        </w:rPr>
      </w:pPr>
    </w:p>
    <w:p>
      <w:pPr>
        <w:pStyle w:val="11"/>
        <w:keepNext w:val="0"/>
        <w:keepLines w:val="0"/>
        <w:widowControl/>
        <w:suppressLineNumbers w:val="0"/>
        <w:spacing w:before="75" w:beforeAutospacing="0" w:after="75" w:afterAutospacing="0"/>
        <w:ind w:left="0" w:right="0" w:firstLine="0"/>
        <w:rPr>
          <w:color w:val="auto"/>
          <w:highlight w:val="none"/>
        </w:rPr>
      </w:pPr>
      <w:r>
        <w:rPr>
          <w:color w:val="auto"/>
          <w:spacing w:val="0"/>
          <w:sz w:val="24"/>
          <w:szCs w:val="24"/>
          <w:highlight w:val="none"/>
        </w:rPr>
        <w:t> </w:t>
      </w:r>
    </w:p>
    <w:p>
      <w:pPr>
        <w:rPr>
          <w:rStyle w:val="13"/>
          <w:rFonts w:hint="eastAsia" w:ascii="宋体" w:hAnsi="宋体" w:eastAsia="宋体" w:cs="宋体"/>
          <w:b/>
          <w:bCs/>
          <w:color w:val="auto"/>
          <w:spacing w:val="0"/>
          <w:sz w:val="31"/>
          <w:szCs w:val="31"/>
          <w:highlight w:val="none"/>
        </w:rPr>
      </w:pPr>
      <w:r>
        <w:rPr>
          <w:rStyle w:val="13"/>
          <w:rFonts w:hint="eastAsia" w:ascii="宋体" w:hAnsi="宋体" w:eastAsia="宋体" w:cs="宋体"/>
          <w:b/>
          <w:bCs/>
          <w:color w:val="auto"/>
          <w:spacing w:val="0"/>
          <w:sz w:val="31"/>
          <w:szCs w:val="31"/>
          <w:highlight w:val="none"/>
        </w:rPr>
        <w:br w:type="page"/>
      </w:r>
    </w:p>
    <w:p>
      <w:pPr>
        <w:pStyle w:val="11"/>
        <w:keepNext w:val="0"/>
        <w:keepLines w:val="0"/>
        <w:widowControl/>
        <w:suppressLineNumbers w:val="0"/>
        <w:spacing w:before="75" w:beforeAutospacing="0" w:after="75" w:afterAutospacing="0"/>
        <w:ind w:left="0" w:right="0" w:firstLine="0"/>
        <w:jc w:val="center"/>
        <w:rPr>
          <w:color w:val="auto"/>
          <w:highlight w:val="none"/>
        </w:rPr>
      </w:pPr>
      <w:r>
        <w:rPr>
          <w:rStyle w:val="13"/>
          <w:rFonts w:hint="eastAsia" w:ascii="宋体" w:hAnsi="宋体" w:eastAsia="宋体" w:cs="宋体"/>
          <w:b/>
          <w:bCs/>
          <w:color w:val="auto"/>
          <w:spacing w:val="0"/>
          <w:sz w:val="31"/>
          <w:szCs w:val="31"/>
          <w:highlight w:val="none"/>
        </w:rPr>
        <w:t>第六章   政府采购合同（参考文本）</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0"/>
        <w:jc w:val="center"/>
        <w:rPr>
          <w:color w:val="auto"/>
          <w:highlight w:val="none"/>
        </w:rPr>
      </w:pPr>
      <w:r>
        <w:rPr>
          <w:rStyle w:val="13"/>
          <w:rFonts w:hint="eastAsia" w:ascii="宋体" w:hAnsi="宋体" w:eastAsia="宋体" w:cs="宋体"/>
          <w:b/>
          <w:bCs/>
          <w:color w:val="auto"/>
          <w:spacing w:val="0"/>
          <w:sz w:val="24"/>
          <w:szCs w:val="24"/>
          <w:highlight w:val="none"/>
        </w:rPr>
        <w:t>编制说明</w:t>
      </w:r>
    </w:p>
    <w:p>
      <w:pPr>
        <w:pStyle w:val="11"/>
        <w:keepNext w:val="0"/>
        <w:keepLines w:val="0"/>
        <w:widowControl/>
        <w:suppressLineNumbers w:val="0"/>
        <w:spacing w:before="75" w:beforeAutospacing="0" w:after="75" w:afterAutospacing="0"/>
        <w:ind w:left="0" w:right="0" w:firstLine="0"/>
        <w:rPr>
          <w:color w:val="auto"/>
          <w:highlight w:val="none"/>
        </w:rPr>
      </w:pPr>
      <w:r>
        <w:rPr>
          <w:rStyle w:val="13"/>
          <w:rFonts w:hint="eastAsia" w:ascii="宋体" w:hAnsi="宋体" w:eastAsia="宋体" w:cs="宋体"/>
          <w:b/>
          <w:bCs/>
          <w:color w:val="auto"/>
          <w:spacing w:val="0"/>
          <w:sz w:val="24"/>
          <w:szCs w:val="24"/>
          <w:highlight w:val="none"/>
        </w:rPr>
        <w:t>1、签订合同应遵守政府采购法、民法典。</w:t>
      </w:r>
    </w:p>
    <w:p>
      <w:pPr>
        <w:pStyle w:val="11"/>
        <w:keepNext w:val="0"/>
        <w:keepLines w:val="0"/>
        <w:widowControl/>
        <w:suppressLineNumbers w:val="0"/>
        <w:spacing w:before="75" w:beforeAutospacing="0" w:after="75" w:afterAutospacing="0"/>
        <w:ind w:left="0" w:right="0" w:firstLine="0"/>
        <w:rPr>
          <w:color w:val="auto"/>
          <w:highlight w:val="none"/>
        </w:rPr>
      </w:pPr>
      <w:r>
        <w:rPr>
          <w:rStyle w:val="13"/>
          <w:rFonts w:hint="eastAsia" w:ascii="宋体" w:hAnsi="宋体" w:eastAsia="宋体" w:cs="宋体"/>
          <w:b/>
          <w:bCs/>
          <w:color w:val="auto"/>
          <w:spacing w:val="0"/>
          <w:sz w:val="24"/>
          <w:szCs w:val="24"/>
          <w:highlight w:val="none"/>
        </w:rPr>
        <w:t>2、签订合同时，采购人与中标人应结合招标文件第五章规定填列相应内容。招标文件第五章已有规定的，双方均不得变更或调整；招标文件第五章未作规定的，双方可通过友好协商进行约定。</w:t>
      </w:r>
    </w:p>
    <w:p>
      <w:pPr>
        <w:pStyle w:val="11"/>
        <w:keepNext w:val="0"/>
        <w:keepLines w:val="0"/>
        <w:widowControl/>
        <w:suppressLineNumbers w:val="0"/>
        <w:spacing w:before="75" w:beforeAutospacing="0" w:after="240" w:afterAutospacing="0"/>
        <w:ind w:left="0" w:right="0" w:firstLine="0"/>
        <w:rPr>
          <w:color w:val="auto"/>
          <w:highlight w:val="none"/>
        </w:rPr>
      </w:pPr>
      <w:r>
        <w:rPr>
          <w:rStyle w:val="13"/>
          <w:rFonts w:hint="eastAsia" w:ascii="宋体" w:hAnsi="宋体" w:eastAsia="宋体" w:cs="宋体"/>
          <w:b/>
          <w:bCs/>
          <w:color w:val="auto"/>
          <w:spacing w:val="0"/>
          <w:sz w:val="24"/>
          <w:szCs w:val="24"/>
          <w:highlight w:val="none"/>
        </w:rPr>
        <w:t>3、国家有关部门对若干合同有规范文本的，可使用相应合同文本。</w:t>
      </w:r>
    </w:p>
    <w:p>
      <w:pPr>
        <w:pStyle w:val="11"/>
        <w:keepNext w:val="0"/>
        <w:keepLines w:val="0"/>
        <w:widowControl/>
        <w:suppressLineNumbers w:val="0"/>
        <w:spacing w:before="75" w:beforeAutospacing="0" w:after="75" w:afterAutospacing="0"/>
        <w:ind w:left="0" w:right="0" w:firstLine="0"/>
        <w:rPr>
          <w:color w:val="auto"/>
          <w:highlight w:val="none"/>
        </w:rPr>
      </w:pPr>
      <w:r>
        <w:rPr>
          <w:rStyle w:val="13"/>
          <w:rFonts w:hint="eastAsia" w:ascii="宋体" w:hAnsi="宋体" w:eastAsia="宋体" w:cs="宋体"/>
          <w:b/>
          <w:bCs/>
          <w:color w:val="auto"/>
          <w:spacing w:val="0"/>
          <w:sz w:val="24"/>
          <w:szCs w:val="24"/>
          <w:highlight w:val="none"/>
        </w:rPr>
        <w:t>甲方：</w:t>
      </w:r>
      <w:r>
        <w:rPr>
          <w:rFonts w:hint="eastAsia" w:ascii="宋体" w:hAnsi="宋体" w:eastAsia="宋体" w:cs="宋体"/>
          <w:b/>
          <w:bCs/>
          <w:color w:val="auto"/>
          <w:spacing w:val="0"/>
          <w:sz w:val="24"/>
          <w:szCs w:val="24"/>
          <w:highlight w:val="none"/>
          <w:u w:val="single"/>
        </w:rPr>
        <w:t>福州高新技术产业开发区综治信访中心</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b/>
          <w:bCs/>
          <w:color w:val="auto"/>
          <w:spacing w:val="0"/>
          <w:sz w:val="24"/>
          <w:szCs w:val="24"/>
          <w:highlight w:val="none"/>
        </w:rPr>
        <w:t>乙方：</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b/>
          <w:bCs/>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b/>
          <w:bCs/>
          <w:color w:val="auto"/>
          <w:spacing w:val="0"/>
          <w:sz w:val="24"/>
          <w:szCs w:val="24"/>
          <w:highlight w:val="none"/>
        </w:rPr>
        <w:t>根据项目编号为</w:t>
      </w:r>
      <w:r>
        <w:rPr>
          <w:rFonts w:hint="eastAsia" w:ascii="宋体" w:hAnsi="宋体" w:eastAsia="宋体" w:cs="宋体"/>
          <w:b/>
          <w:bCs/>
          <w:color w:val="auto"/>
          <w:spacing w:val="0"/>
          <w:sz w:val="24"/>
          <w:szCs w:val="24"/>
          <w:highlight w:val="none"/>
          <w:u w:val="single"/>
        </w:rPr>
        <w:t>[350191]FJQS[GK]2022003</w:t>
      </w:r>
      <w:r>
        <w:rPr>
          <w:rFonts w:hint="eastAsia" w:ascii="宋体" w:hAnsi="宋体" w:eastAsia="宋体" w:cs="宋体"/>
          <w:b/>
          <w:bCs/>
          <w:color w:val="auto"/>
          <w:spacing w:val="0"/>
          <w:sz w:val="24"/>
          <w:szCs w:val="24"/>
          <w:highlight w:val="none"/>
        </w:rPr>
        <w:t>的</w:t>
      </w:r>
      <w:r>
        <w:rPr>
          <w:rFonts w:hint="eastAsia" w:ascii="宋体" w:hAnsi="宋体" w:eastAsia="宋体" w:cs="宋体"/>
          <w:b/>
          <w:bCs/>
          <w:color w:val="auto"/>
          <w:spacing w:val="0"/>
          <w:sz w:val="24"/>
          <w:szCs w:val="24"/>
          <w:highlight w:val="none"/>
          <w:u w:val="single"/>
        </w:rPr>
        <w:t>福州高新技术产业开发区综治信访中心高新区交通设施及智控中心运维服务采购项目</w:t>
      </w:r>
      <w:r>
        <w:rPr>
          <w:rFonts w:hint="eastAsia" w:ascii="宋体" w:hAnsi="宋体" w:eastAsia="宋体" w:cs="宋体"/>
          <w:b/>
          <w:bCs/>
          <w:color w:val="auto"/>
          <w:spacing w:val="0"/>
          <w:sz w:val="24"/>
          <w:szCs w:val="24"/>
          <w:highlight w:val="none"/>
        </w:rPr>
        <w:t>项目（以下简称：“本项目”）的招标结果，乙方为中标人。现经甲乙双方友好协商，就以下事项达成一致并签订本合同：</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b/>
          <w:bCs/>
          <w:color w:val="auto"/>
          <w:spacing w:val="0"/>
          <w:sz w:val="24"/>
          <w:szCs w:val="24"/>
          <w:highlight w:val="none"/>
        </w:rPr>
        <w:t>1、下列合同文件是构成本合同不可分割的部分：</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b/>
          <w:bCs/>
          <w:color w:val="auto"/>
          <w:spacing w:val="0"/>
          <w:sz w:val="24"/>
          <w:szCs w:val="24"/>
          <w:highlight w:val="none"/>
        </w:rPr>
        <w:t>1.1合同条款；</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b/>
          <w:bCs/>
          <w:color w:val="auto"/>
          <w:spacing w:val="0"/>
          <w:sz w:val="24"/>
          <w:szCs w:val="24"/>
          <w:highlight w:val="none"/>
        </w:rPr>
        <w:t>1.2招标文件、乙方的电子投标文件；</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b/>
          <w:bCs/>
          <w:color w:val="auto"/>
          <w:spacing w:val="0"/>
          <w:sz w:val="24"/>
          <w:szCs w:val="24"/>
          <w:highlight w:val="none"/>
        </w:rPr>
        <w:t>1.3其他文件或材料：□无。□</w:t>
      </w:r>
      <w:r>
        <w:rPr>
          <w:rFonts w:hint="eastAsia" w:ascii="宋体" w:hAnsi="宋体" w:eastAsia="宋体" w:cs="宋体"/>
          <w:b/>
          <w:bCs/>
          <w:color w:val="auto"/>
          <w:spacing w:val="0"/>
          <w:highlight w:val="none"/>
        </w:rPr>
        <w:t>（若有联合协议或分包意向协议）。</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b/>
          <w:bCs/>
          <w:color w:val="auto"/>
          <w:spacing w:val="0"/>
          <w:sz w:val="24"/>
          <w:szCs w:val="24"/>
          <w:highlight w:val="none"/>
        </w:rPr>
        <w:t>2、合同标的</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b/>
          <w:bCs/>
          <w:color w:val="auto"/>
          <w:spacing w:val="0"/>
          <w:sz w:val="24"/>
          <w:szCs w:val="24"/>
          <w:highlight w:val="none"/>
          <w:u w:val="single"/>
        </w:rPr>
        <w:t>（按照实际情况编制填写，可以是表格或文字描述）</w:t>
      </w:r>
      <w:r>
        <w:rPr>
          <w:rFonts w:hint="eastAsia" w:ascii="宋体" w:hAnsi="宋体" w:eastAsia="宋体" w:cs="宋体"/>
          <w:b/>
          <w:bCs/>
          <w:color w:val="auto"/>
          <w:spacing w:val="0"/>
          <w:sz w:val="24"/>
          <w:szCs w:val="24"/>
          <w:highlight w:val="none"/>
        </w:rPr>
        <w:t>。</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b/>
          <w:bCs/>
          <w:color w:val="auto"/>
          <w:spacing w:val="0"/>
          <w:sz w:val="24"/>
          <w:szCs w:val="24"/>
          <w:highlight w:val="none"/>
        </w:rPr>
        <w:t>3、合同总金额</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b/>
          <w:bCs/>
          <w:color w:val="auto"/>
          <w:spacing w:val="0"/>
          <w:sz w:val="24"/>
          <w:szCs w:val="24"/>
          <w:highlight w:val="none"/>
        </w:rPr>
        <w:t>3.1合同总金额为人民币大写：元（￥）。</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b/>
          <w:bCs/>
          <w:color w:val="auto"/>
          <w:spacing w:val="0"/>
          <w:sz w:val="24"/>
          <w:szCs w:val="24"/>
          <w:highlight w:val="none"/>
        </w:rPr>
        <w:t>4、合同标的交付时间、地点和条件</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b/>
          <w:bCs/>
          <w:color w:val="auto"/>
          <w:spacing w:val="0"/>
          <w:sz w:val="24"/>
          <w:szCs w:val="24"/>
          <w:highlight w:val="none"/>
        </w:rPr>
        <w:t>4.1交付时间：；</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b/>
          <w:bCs/>
          <w:color w:val="auto"/>
          <w:spacing w:val="0"/>
          <w:sz w:val="24"/>
          <w:szCs w:val="24"/>
          <w:highlight w:val="none"/>
        </w:rPr>
        <w:t>4.2交付地点：；</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b/>
          <w:bCs/>
          <w:color w:val="auto"/>
          <w:spacing w:val="0"/>
          <w:sz w:val="24"/>
          <w:szCs w:val="24"/>
          <w:highlight w:val="none"/>
        </w:rPr>
        <w:t>4.3交付条件：。</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b/>
          <w:bCs/>
          <w:color w:val="auto"/>
          <w:spacing w:val="0"/>
          <w:sz w:val="24"/>
          <w:szCs w:val="24"/>
          <w:highlight w:val="none"/>
        </w:rPr>
        <w:t>5、合同标的应符合招标文件、乙方电子投标文件的规定或约定，具体如下：</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b/>
          <w:bCs/>
          <w:color w:val="auto"/>
          <w:spacing w:val="0"/>
          <w:sz w:val="24"/>
          <w:szCs w:val="24"/>
          <w:highlight w:val="none"/>
          <w:u w:val="single"/>
        </w:rPr>
        <w:t>（按照实际情况编制填写，可以是表格或文字描述）</w:t>
      </w:r>
      <w:r>
        <w:rPr>
          <w:rFonts w:hint="eastAsia" w:ascii="宋体" w:hAnsi="宋体" w:eastAsia="宋体" w:cs="宋体"/>
          <w:b/>
          <w:bCs/>
          <w:color w:val="auto"/>
          <w:spacing w:val="0"/>
          <w:sz w:val="24"/>
          <w:szCs w:val="24"/>
          <w:highlight w:val="none"/>
        </w:rPr>
        <w:t>。</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b/>
          <w:bCs/>
          <w:color w:val="auto"/>
          <w:spacing w:val="0"/>
          <w:sz w:val="24"/>
          <w:szCs w:val="24"/>
          <w:highlight w:val="none"/>
        </w:rPr>
        <w:t>6、验收</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b/>
          <w:bCs/>
          <w:color w:val="auto"/>
          <w:spacing w:val="0"/>
          <w:sz w:val="24"/>
          <w:szCs w:val="24"/>
          <w:highlight w:val="none"/>
        </w:rPr>
        <w:t>6.1验收应按照招标文件、乙方电子投标文件的规定或约定进行，具体如下：</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b/>
          <w:bCs/>
          <w:color w:val="auto"/>
          <w:spacing w:val="0"/>
          <w:sz w:val="24"/>
          <w:szCs w:val="24"/>
          <w:highlight w:val="none"/>
          <w:u w:val="single"/>
        </w:rPr>
        <w:t>（按照实际情况编制填写，可以是表格或文字描述）</w:t>
      </w:r>
      <w:r>
        <w:rPr>
          <w:rFonts w:hint="eastAsia" w:ascii="宋体" w:hAnsi="宋体" w:eastAsia="宋体" w:cs="宋体"/>
          <w:b/>
          <w:bCs/>
          <w:color w:val="auto"/>
          <w:spacing w:val="0"/>
          <w:sz w:val="24"/>
          <w:szCs w:val="24"/>
          <w:highlight w:val="none"/>
        </w:rPr>
        <w:t>。</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b/>
          <w:bCs/>
          <w:color w:val="auto"/>
          <w:spacing w:val="0"/>
          <w:sz w:val="24"/>
          <w:szCs w:val="24"/>
          <w:highlight w:val="none"/>
        </w:rPr>
        <w:t>6.2本项目是否邀请其他投标人参与验收：</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b/>
          <w:bCs/>
          <w:color w:val="auto"/>
          <w:spacing w:val="0"/>
          <w:sz w:val="24"/>
          <w:szCs w:val="24"/>
          <w:highlight w:val="none"/>
        </w:rPr>
        <w:t>□不邀请。□邀请，具体如下：</w:t>
      </w:r>
      <w:r>
        <w:rPr>
          <w:rFonts w:hint="eastAsia" w:ascii="宋体" w:hAnsi="宋体" w:eastAsia="宋体" w:cs="宋体"/>
          <w:b/>
          <w:bCs/>
          <w:color w:val="auto"/>
          <w:spacing w:val="0"/>
          <w:sz w:val="24"/>
          <w:szCs w:val="24"/>
          <w:highlight w:val="none"/>
          <w:u w:val="single"/>
        </w:rPr>
        <w:t>（按照招标文件规定填写）</w:t>
      </w:r>
      <w:r>
        <w:rPr>
          <w:rFonts w:hint="eastAsia" w:ascii="宋体" w:hAnsi="宋体" w:eastAsia="宋体" w:cs="宋体"/>
          <w:b/>
          <w:bCs/>
          <w:color w:val="auto"/>
          <w:spacing w:val="0"/>
          <w:sz w:val="24"/>
          <w:szCs w:val="24"/>
          <w:highlight w:val="none"/>
        </w:rPr>
        <w:t>。</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b/>
          <w:bCs/>
          <w:color w:val="auto"/>
          <w:spacing w:val="0"/>
          <w:sz w:val="24"/>
          <w:szCs w:val="24"/>
          <w:highlight w:val="none"/>
        </w:rPr>
        <w:t>7、合同款项的支付应按照招标文件的规定进行，具体如下：</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b/>
          <w:bCs/>
          <w:color w:val="auto"/>
          <w:spacing w:val="0"/>
          <w:sz w:val="24"/>
          <w:szCs w:val="24"/>
          <w:highlight w:val="none"/>
          <w:u w:val="single"/>
        </w:rPr>
        <w:t>（按照实际情况编制填写，可以是表格或文字描述，包括一次性支付或分期支付等）</w:t>
      </w:r>
      <w:r>
        <w:rPr>
          <w:rFonts w:hint="eastAsia" w:ascii="宋体" w:hAnsi="宋体" w:eastAsia="宋体" w:cs="宋体"/>
          <w:b/>
          <w:bCs/>
          <w:color w:val="auto"/>
          <w:spacing w:val="0"/>
          <w:sz w:val="24"/>
          <w:szCs w:val="24"/>
          <w:highlight w:val="none"/>
        </w:rPr>
        <w:t>。</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b/>
          <w:bCs/>
          <w:color w:val="auto"/>
          <w:spacing w:val="0"/>
          <w:sz w:val="24"/>
          <w:szCs w:val="24"/>
          <w:highlight w:val="none"/>
        </w:rPr>
        <w:t>8、履约保证金</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b/>
          <w:bCs/>
          <w:color w:val="auto"/>
          <w:spacing w:val="0"/>
          <w:sz w:val="24"/>
          <w:szCs w:val="24"/>
          <w:highlight w:val="none"/>
        </w:rPr>
        <w:t>□无。□有，具体如下：</w:t>
      </w:r>
      <w:r>
        <w:rPr>
          <w:rFonts w:hint="eastAsia" w:ascii="宋体" w:hAnsi="宋体" w:eastAsia="宋体" w:cs="宋体"/>
          <w:b/>
          <w:bCs/>
          <w:color w:val="auto"/>
          <w:spacing w:val="0"/>
          <w:sz w:val="24"/>
          <w:szCs w:val="24"/>
          <w:highlight w:val="none"/>
          <w:u w:val="single"/>
        </w:rPr>
        <w:t>（按照招标文件规定填写）</w:t>
      </w:r>
      <w:r>
        <w:rPr>
          <w:rFonts w:hint="eastAsia" w:ascii="宋体" w:hAnsi="宋体" w:eastAsia="宋体" w:cs="宋体"/>
          <w:b/>
          <w:bCs/>
          <w:color w:val="auto"/>
          <w:spacing w:val="0"/>
          <w:sz w:val="24"/>
          <w:szCs w:val="24"/>
          <w:highlight w:val="none"/>
        </w:rPr>
        <w:t>。</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b/>
          <w:bCs/>
          <w:color w:val="auto"/>
          <w:spacing w:val="0"/>
          <w:sz w:val="24"/>
          <w:szCs w:val="24"/>
          <w:highlight w:val="none"/>
        </w:rPr>
        <w:t>9、合同有效期</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b/>
          <w:bCs/>
          <w:color w:val="auto"/>
          <w:spacing w:val="0"/>
          <w:sz w:val="24"/>
          <w:szCs w:val="24"/>
          <w:highlight w:val="none"/>
          <w:u w:val="single"/>
        </w:rPr>
        <w:t>（按照实际情况编制填写，可以是表格或文字描述）</w:t>
      </w:r>
      <w:r>
        <w:rPr>
          <w:rFonts w:hint="eastAsia" w:ascii="宋体" w:hAnsi="宋体" w:eastAsia="宋体" w:cs="宋体"/>
          <w:b/>
          <w:bCs/>
          <w:color w:val="auto"/>
          <w:spacing w:val="0"/>
          <w:sz w:val="24"/>
          <w:szCs w:val="24"/>
          <w:highlight w:val="none"/>
        </w:rPr>
        <w:t>。</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b/>
          <w:bCs/>
          <w:color w:val="auto"/>
          <w:spacing w:val="0"/>
          <w:sz w:val="24"/>
          <w:szCs w:val="24"/>
          <w:highlight w:val="none"/>
        </w:rPr>
        <w:t>10、违约责任</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b/>
          <w:bCs/>
          <w:color w:val="auto"/>
          <w:spacing w:val="0"/>
          <w:sz w:val="24"/>
          <w:szCs w:val="24"/>
          <w:highlight w:val="none"/>
          <w:u w:val="single"/>
        </w:rPr>
        <w:t>（按照实际情况编制填写，可以是表格或文字描述）</w:t>
      </w:r>
      <w:r>
        <w:rPr>
          <w:rFonts w:hint="eastAsia" w:ascii="宋体" w:hAnsi="宋体" w:eastAsia="宋体" w:cs="宋体"/>
          <w:b/>
          <w:bCs/>
          <w:color w:val="auto"/>
          <w:spacing w:val="0"/>
          <w:sz w:val="24"/>
          <w:szCs w:val="24"/>
          <w:highlight w:val="none"/>
        </w:rPr>
        <w:t>。</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b/>
          <w:bCs/>
          <w:color w:val="auto"/>
          <w:spacing w:val="0"/>
          <w:sz w:val="24"/>
          <w:szCs w:val="24"/>
          <w:highlight w:val="none"/>
        </w:rPr>
        <w:t>11、知识产权</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b/>
          <w:bCs/>
          <w:color w:val="auto"/>
          <w:spacing w:val="0"/>
          <w:sz w:val="24"/>
          <w:szCs w:val="24"/>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b/>
          <w:bCs/>
          <w:color w:val="auto"/>
          <w:spacing w:val="0"/>
          <w:sz w:val="24"/>
          <w:szCs w:val="24"/>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b/>
          <w:bCs/>
          <w:color w:val="auto"/>
          <w:spacing w:val="0"/>
          <w:sz w:val="24"/>
          <w:szCs w:val="24"/>
          <w:highlight w:val="none"/>
          <w:u w:val="single"/>
        </w:rPr>
        <w:t>（按照实际情况编制填写）</w:t>
      </w:r>
      <w:r>
        <w:rPr>
          <w:rFonts w:hint="eastAsia" w:ascii="宋体" w:hAnsi="宋体" w:eastAsia="宋体" w:cs="宋体"/>
          <w:b/>
          <w:bCs/>
          <w:color w:val="auto"/>
          <w:spacing w:val="0"/>
          <w:sz w:val="24"/>
          <w:szCs w:val="24"/>
          <w:highlight w:val="none"/>
        </w:rPr>
        <w:t>。</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b/>
          <w:bCs/>
          <w:color w:val="auto"/>
          <w:spacing w:val="0"/>
          <w:sz w:val="24"/>
          <w:szCs w:val="24"/>
          <w:highlight w:val="none"/>
        </w:rPr>
        <w:t>12、解决争议的方法</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b/>
          <w:bCs/>
          <w:color w:val="auto"/>
          <w:spacing w:val="0"/>
          <w:sz w:val="24"/>
          <w:szCs w:val="24"/>
          <w:highlight w:val="none"/>
        </w:rPr>
        <w:t>12.1甲、乙双方协商解决。</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b/>
          <w:bCs/>
          <w:color w:val="auto"/>
          <w:spacing w:val="0"/>
          <w:sz w:val="24"/>
          <w:szCs w:val="24"/>
          <w:highlight w:val="none"/>
        </w:rPr>
        <w:t>12.2若协商解决不成，则通过下列途径之一解决：</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b/>
          <w:bCs/>
          <w:color w:val="auto"/>
          <w:spacing w:val="0"/>
          <w:sz w:val="24"/>
          <w:szCs w:val="24"/>
          <w:highlight w:val="none"/>
        </w:rPr>
        <w:t>□提交仲裁委员会仲裁，具体如下：</w:t>
      </w:r>
      <w:r>
        <w:rPr>
          <w:rFonts w:hint="eastAsia" w:ascii="宋体" w:hAnsi="宋体" w:eastAsia="宋体" w:cs="宋体"/>
          <w:b/>
          <w:bCs/>
          <w:color w:val="auto"/>
          <w:spacing w:val="0"/>
          <w:sz w:val="24"/>
          <w:szCs w:val="24"/>
          <w:highlight w:val="none"/>
          <w:u w:val="single"/>
        </w:rPr>
        <w:t>（按照实际情况编制填写）</w:t>
      </w:r>
      <w:r>
        <w:rPr>
          <w:rFonts w:hint="eastAsia" w:ascii="宋体" w:hAnsi="宋体" w:eastAsia="宋体" w:cs="宋体"/>
          <w:b/>
          <w:bCs/>
          <w:color w:val="auto"/>
          <w:spacing w:val="0"/>
          <w:sz w:val="24"/>
          <w:szCs w:val="24"/>
          <w:highlight w:val="none"/>
        </w:rPr>
        <w:t>。</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b/>
          <w:bCs/>
          <w:color w:val="auto"/>
          <w:spacing w:val="0"/>
          <w:sz w:val="24"/>
          <w:szCs w:val="24"/>
          <w:highlight w:val="none"/>
        </w:rPr>
        <w:t>□向人民法院提起诉讼，具体如下：</w:t>
      </w:r>
      <w:r>
        <w:rPr>
          <w:rFonts w:hint="eastAsia" w:ascii="宋体" w:hAnsi="宋体" w:eastAsia="宋体" w:cs="宋体"/>
          <w:b/>
          <w:bCs/>
          <w:color w:val="auto"/>
          <w:spacing w:val="0"/>
          <w:sz w:val="24"/>
          <w:szCs w:val="24"/>
          <w:highlight w:val="none"/>
          <w:u w:val="single"/>
        </w:rPr>
        <w:t>（按照实际情况编制填写）</w:t>
      </w:r>
      <w:r>
        <w:rPr>
          <w:rFonts w:hint="eastAsia" w:ascii="宋体" w:hAnsi="宋体" w:eastAsia="宋体" w:cs="宋体"/>
          <w:b/>
          <w:bCs/>
          <w:color w:val="auto"/>
          <w:spacing w:val="0"/>
          <w:sz w:val="24"/>
          <w:szCs w:val="24"/>
          <w:highlight w:val="none"/>
        </w:rPr>
        <w:t>。</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b/>
          <w:bCs/>
          <w:color w:val="auto"/>
          <w:spacing w:val="0"/>
          <w:sz w:val="24"/>
          <w:szCs w:val="24"/>
          <w:highlight w:val="none"/>
        </w:rPr>
        <w:t>13、不可抗力</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b/>
          <w:bCs/>
          <w:color w:val="auto"/>
          <w:spacing w:val="0"/>
          <w:sz w:val="24"/>
          <w:szCs w:val="24"/>
          <w:highlight w:val="none"/>
        </w:rPr>
        <w:t>13.1因不可抗力造成违约的，遭受不可抗力一方应及时向对方通报不能履行或不能完全履行的理由，并在随后取得有关主管机关证明后的</w:t>
      </w:r>
      <w:r>
        <w:rPr>
          <w:rFonts w:hint="default" w:ascii="Calibri" w:hAnsi="Calibri" w:cs="Calibri"/>
          <w:b/>
          <w:bCs/>
          <w:color w:val="auto"/>
          <w:spacing w:val="0"/>
          <w:sz w:val="24"/>
          <w:szCs w:val="24"/>
          <w:highlight w:val="none"/>
        </w:rPr>
        <w:t>15</w:t>
      </w:r>
      <w:r>
        <w:rPr>
          <w:rFonts w:hint="eastAsia" w:ascii="宋体" w:hAnsi="宋体" w:eastAsia="宋体" w:cs="宋体"/>
          <w:b/>
          <w:bCs/>
          <w:color w:val="auto"/>
          <w:spacing w:val="0"/>
          <w:sz w:val="24"/>
          <w:szCs w:val="24"/>
          <w:highlight w:val="none"/>
        </w:rPr>
        <w:t>日内向另一方提供不可抗力发生及持续期间的充分证据。基于以上行为，允许遭受不可抗力一方延期履行、部分履行或不履行合同，并根据情况可部分或全部免于承担违约责任。</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b/>
          <w:bCs/>
          <w:color w:val="auto"/>
          <w:spacing w:val="0"/>
          <w:sz w:val="24"/>
          <w:szCs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b/>
          <w:bCs/>
          <w:color w:val="auto"/>
          <w:spacing w:val="0"/>
          <w:sz w:val="24"/>
          <w:szCs w:val="24"/>
          <w:highlight w:val="none"/>
        </w:rPr>
        <w:t>14、合同条款</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b/>
          <w:bCs/>
          <w:color w:val="auto"/>
          <w:spacing w:val="0"/>
          <w:sz w:val="24"/>
          <w:szCs w:val="24"/>
          <w:highlight w:val="none"/>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b/>
          <w:bCs/>
          <w:color w:val="auto"/>
          <w:spacing w:val="0"/>
          <w:sz w:val="24"/>
          <w:szCs w:val="24"/>
          <w:highlight w:val="none"/>
        </w:rPr>
        <w:t>。</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b/>
          <w:bCs/>
          <w:color w:val="auto"/>
          <w:spacing w:val="0"/>
          <w:sz w:val="24"/>
          <w:szCs w:val="24"/>
          <w:highlight w:val="none"/>
        </w:rPr>
        <w:t>15、其他约定</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b/>
          <w:bCs/>
          <w:color w:val="auto"/>
          <w:spacing w:val="0"/>
          <w:sz w:val="24"/>
          <w:szCs w:val="24"/>
          <w:highlight w:val="none"/>
        </w:rPr>
        <w:t>15.1合同文件与本合同具有同等法律效力。</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b/>
          <w:bCs/>
          <w:color w:val="auto"/>
          <w:spacing w:val="0"/>
          <w:sz w:val="24"/>
          <w:szCs w:val="24"/>
          <w:highlight w:val="none"/>
        </w:rPr>
        <w:t>15.2本合同未尽事宜，双方可另行补充。</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b/>
          <w:bCs/>
          <w:color w:val="auto"/>
          <w:spacing w:val="0"/>
          <w:sz w:val="24"/>
          <w:szCs w:val="24"/>
          <w:highlight w:val="none"/>
        </w:rPr>
        <w:t>15.3合同生效：自签订之日起生效；通过福建省政府采购网上公开信息系统采用电子形式签订合同的，签订之日以系统记载的双方使用各自</w:t>
      </w:r>
      <w:r>
        <w:rPr>
          <w:rFonts w:hint="default" w:ascii="Calibri" w:hAnsi="Calibri" w:cs="Calibri"/>
          <w:b/>
          <w:bCs/>
          <w:color w:val="auto"/>
          <w:spacing w:val="0"/>
          <w:sz w:val="24"/>
          <w:szCs w:val="24"/>
          <w:highlight w:val="none"/>
        </w:rPr>
        <w:t>CA</w:t>
      </w:r>
      <w:r>
        <w:rPr>
          <w:rFonts w:hint="eastAsia" w:ascii="宋体" w:hAnsi="宋体" w:eastAsia="宋体" w:cs="宋体"/>
          <w:b/>
          <w:bCs/>
          <w:color w:val="auto"/>
          <w:spacing w:val="0"/>
          <w:sz w:val="24"/>
          <w:szCs w:val="24"/>
          <w:highlight w:val="none"/>
        </w:rPr>
        <w:t>证书在合同上加盖单位公章或合同章的日期中的最晚时间为准。</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b/>
          <w:bCs/>
          <w:color w:val="auto"/>
          <w:spacing w:val="0"/>
          <w:sz w:val="24"/>
          <w:szCs w:val="24"/>
          <w:highlight w:val="none"/>
        </w:rPr>
        <w:t>15.4本合同一式</w:t>
      </w:r>
      <w:r>
        <w:rPr>
          <w:rFonts w:hint="eastAsia" w:ascii="宋体" w:hAnsi="宋体" w:eastAsia="宋体" w:cs="宋体"/>
          <w:b/>
          <w:bCs/>
          <w:color w:val="auto"/>
          <w:spacing w:val="0"/>
          <w:sz w:val="24"/>
          <w:szCs w:val="24"/>
          <w:highlight w:val="none"/>
          <w:u w:val="single"/>
        </w:rPr>
        <w:t>（填写具体份数）</w:t>
      </w:r>
      <w:r>
        <w:rPr>
          <w:rFonts w:hint="eastAsia" w:ascii="宋体" w:hAnsi="宋体" w:eastAsia="宋体" w:cs="宋体"/>
          <w:b/>
          <w:bCs/>
          <w:color w:val="auto"/>
          <w:spacing w:val="0"/>
          <w:sz w:val="24"/>
          <w:szCs w:val="24"/>
          <w:highlight w:val="none"/>
        </w:rPr>
        <w:t>份，经双方授权代表签字并盖章后生效。甲方、乙方各执</w:t>
      </w:r>
      <w:r>
        <w:rPr>
          <w:rFonts w:hint="eastAsia" w:ascii="宋体" w:hAnsi="宋体" w:eastAsia="宋体" w:cs="宋体"/>
          <w:b/>
          <w:bCs/>
          <w:color w:val="auto"/>
          <w:spacing w:val="0"/>
          <w:sz w:val="24"/>
          <w:szCs w:val="24"/>
          <w:highlight w:val="none"/>
          <w:u w:val="single"/>
        </w:rPr>
        <w:t>（填写具体份数）</w:t>
      </w:r>
      <w:r>
        <w:rPr>
          <w:rFonts w:hint="eastAsia" w:ascii="宋体" w:hAnsi="宋体" w:eastAsia="宋体" w:cs="宋体"/>
          <w:b/>
          <w:bCs/>
          <w:color w:val="auto"/>
          <w:spacing w:val="0"/>
          <w:sz w:val="24"/>
          <w:szCs w:val="24"/>
          <w:highlight w:val="none"/>
        </w:rPr>
        <w:t>份，送</w:t>
      </w:r>
      <w:r>
        <w:rPr>
          <w:rFonts w:hint="eastAsia" w:ascii="宋体" w:hAnsi="宋体" w:eastAsia="宋体" w:cs="宋体"/>
          <w:b/>
          <w:bCs/>
          <w:color w:val="auto"/>
          <w:spacing w:val="0"/>
          <w:sz w:val="24"/>
          <w:szCs w:val="24"/>
          <w:highlight w:val="none"/>
          <w:u w:val="single"/>
        </w:rPr>
        <w:t>（填写需要备案的监管部门的全称）</w:t>
      </w:r>
      <w:r>
        <w:rPr>
          <w:rFonts w:hint="eastAsia" w:ascii="宋体" w:hAnsi="宋体" w:eastAsia="宋体" w:cs="宋体"/>
          <w:b/>
          <w:bCs/>
          <w:color w:val="auto"/>
          <w:spacing w:val="0"/>
          <w:sz w:val="24"/>
          <w:szCs w:val="24"/>
          <w:highlight w:val="none"/>
        </w:rPr>
        <w:t>备案</w:t>
      </w:r>
      <w:r>
        <w:rPr>
          <w:rFonts w:hint="eastAsia" w:ascii="宋体" w:hAnsi="宋体" w:eastAsia="宋体" w:cs="宋体"/>
          <w:b/>
          <w:bCs/>
          <w:color w:val="auto"/>
          <w:spacing w:val="0"/>
          <w:sz w:val="24"/>
          <w:szCs w:val="24"/>
          <w:highlight w:val="none"/>
          <w:u w:val="single"/>
        </w:rPr>
        <w:t>（填写具体份数）</w:t>
      </w:r>
      <w:r>
        <w:rPr>
          <w:rFonts w:hint="eastAsia" w:ascii="宋体" w:hAnsi="宋体" w:eastAsia="宋体" w:cs="宋体"/>
          <w:b/>
          <w:bCs/>
          <w:color w:val="auto"/>
          <w:spacing w:val="0"/>
          <w:sz w:val="24"/>
          <w:szCs w:val="24"/>
          <w:highlight w:val="none"/>
        </w:rPr>
        <w:t>份，具有同等效力。</w:t>
      </w:r>
    </w:p>
    <w:p>
      <w:pPr>
        <w:pStyle w:val="11"/>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b/>
          <w:bCs/>
          <w:color w:val="auto"/>
          <w:spacing w:val="0"/>
          <w:sz w:val="24"/>
          <w:szCs w:val="24"/>
          <w:highlight w:val="none"/>
        </w:rPr>
        <w:t>15.5其他：□无。□</w:t>
      </w:r>
      <w:r>
        <w:rPr>
          <w:rFonts w:hint="eastAsia" w:ascii="宋体" w:hAnsi="宋体" w:eastAsia="宋体" w:cs="宋体"/>
          <w:b/>
          <w:bCs/>
          <w:color w:val="auto"/>
          <w:spacing w:val="0"/>
          <w:sz w:val="24"/>
          <w:szCs w:val="24"/>
          <w:highlight w:val="none"/>
          <w:u w:val="single"/>
        </w:rPr>
        <w:t>（按照实际情况编制填写需要增加的内容）</w:t>
      </w:r>
      <w:r>
        <w:rPr>
          <w:rFonts w:hint="eastAsia" w:ascii="宋体" w:hAnsi="宋体" w:eastAsia="宋体" w:cs="宋体"/>
          <w:b/>
          <w:bCs/>
          <w:color w:val="auto"/>
          <w:spacing w:val="0"/>
          <w:sz w:val="24"/>
          <w:szCs w:val="24"/>
          <w:highlight w:val="none"/>
        </w:rPr>
        <w:t>。</w:t>
      </w:r>
    </w:p>
    <w:p>
      <w:pPr>
        <w:pStyle w:val="11"/>
        <w:keepNext w:val="0"/>
        <w:keepLines w:val="0"/>
        <w:widowControl/>
        <w:suppressLineNumbers w:val="0"/>
        <w:spacing w:before="75" w:beforeAutospacing="0" w:after="75" w:afterAutospacing="0"/>
        <w:ind w:left="0" w:right="0" w:firstLine="0"/>
        <w:jc w:val="center"/>
        <w:rPr>
          <w:color w:val="auto"/>
          <w:highlight w:val="none"/>
        </w:rPr>
      </w:pPr>
      <w:r>
        <w:rPr>
          <w:rFonts w:hint="eastAsia" w:ascii="宋体" w:hAnsi="宋体" w:eastAsia="宋体" w:cs="宋体"/>
          <w:b/>
          <w:bCs/>
          <w:color w:val="auto"/>
          <w:spacing w:val="0"/>
          <w:sz w:val="24"/>
          <w:szCs w:val="24"/>
          <w:highlight w:val="none"/>
        </w:rPr>
        <w:t>（以下无正文）</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b/>
          <w:bCs/>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b/>
          <w:bCs/>
          <w:color w:val="auto"/>
          <w:spacing w:val="0"/>
          <w:sz w:val="24"/>
          <w:szCs w:val="24"/>
          <w:highlight w:val="none"/>
        </w:rPr>
        <w:t> </w:t>
      </w:r>
    </w:p>
    <w:p>
      <w:pPr>
        <w:pStyle w:val="11"/>
        <w:keepNext w:val="0"/>
        <w:keepLines w:val="0"/>
        <w:widowControl/>
        <w:suppressLineNumbers w:val="0"/>
        <w:pBdr>
          <w:left w:val="none" w:color="auto" w:sz="0" w:space="0"/>
          <w:right w:val="none" w:color="auto" w:sz="0" w:space="0"/>
        </w:pBdr>
        <w:spacing w:before="75" w:beforeAutospacing="0" w:after="75" w:afterAutospacing="0"/>
        <w:ind w:left="-180" w:right="-180" w:firstLine="0"/>
        <w:rPr>
          <w:color w:val="auto"/>
          <w:highlight w:val="none"/>
        </w:rPr>
      </w:pPr>
      <w:r>
        <w:rPr>
          <w:rFonts w:hint="eastAsia" w:ascii="宋体" w:hAnsi="宋体" w:eastAsia="宋体" w:cs="宋体"/>
          <w:b/>
          <w:bCs/>
          <w:color w:val="auto"/>
          <w:spacing w:val="0"/>
          <w:sz w:val="24"/>
          <w:szCs w:val="24"/>
          <w:highlight w:val="none"/>
        </w:rPr>
        <w:t>甲方：福州高新技术产业开发区综治信访中心</w:t>
      </w:r>
      <w:r>
        <w:rPr>
          <w:rFonts w:hint="eastAsia" w:ascii="宋体" w:hAnsi="宋体" w:eastAsia="宋体" w:cs="宋体"/>
          <w:b/>
          <w:bCs/>
          <w:color w:val="auto"/>
          <w:spacing w:val="0"/>
          <w:sz w:val="24"/>
          <w:szCs w:val="24"/>
          <w:highlight w:val="none"/>
          <w:lang w:val="en-US" w:eastAsia="zh-CN"/>
        </w:rPr>
        <w:t xml:space="preserve">         </w:t>
      </w:r>
      <w:r>
        <w:rPr>
          <w:rFonts w:hint="eastAsia" w:ascii="宋体" w:hAnsi="宋体" w:eastAsia="宋体" w:cs="宋体"/>
          <w:b/>
          <w:bCs/>
          <w:color w:val="auto"/>
          <w:spacing w:val="0"/>
          <w:sz w:val="24"/>
          <w:szCs w:val="24"/>
          <w:highlight w:val="none"/>
        </w:rPr>
        <w:t>乙方：</w:t>
      </w:r>
    </w:p>
    <w:p>
      <w:pPr>
        <w:pStyle w:val="11"/>
        <w:keepNext w:val="0"/>
        <w:keepLines w:val="0"/>
        <w:widowControl/>
        <w:suppressLineNumbers w:val="0"/>
        <w:pBdr>
          <w:left w:val="none" w:color="auto" w:sz="0" w:space="0"/>
          <w:right w:val="none" w:color="auto" w:sz="0" w:space="0"/>
        </w:pBdr>
        <w:spacing w:before="75" w:beforeAutospacing="0" w:after="75" w:afterAutospacing="0"/>
        <w:ind w:left="-180" w:right="-180" w:firstLine="0"/>
        <w:rPr>
          <w:color w:val="auto"/>
          <w:highlight w:val="none"/>
        </w:rPr>
      </w:pPr>
      <w:r>
        <w:rPr>
          <w:rFonts w:hint="eastAsia" w:ascii="宋体" w:hAnsi="宋体" w:eastAsia="宋体" w:cs="宋体"/>
          <w:b/>
          <w:bCs/>
          <w:color w:val="auto"/>
          <w:spacing w:val="0"/>
          <w:sz w:val="24"/>
          <w:szCs w:val="24"/>
          <w:highlight w:val="none"/>
        </w:rPr>
        <w:t>住所：闽侯县上街镇科技东路3号创新园一期1号楼</w:t>
      </w:r>
      <w:r>
        <w:rPr>
          <w:rFonts w:hint="eastAsia" w:ascii="宋体" w:hAnsi="宋体" w:eastAsia="宋体" w:cs="宋体"/>
          <w:b/>
          <w:bCs/>
          <w:color w:val="auto"/>
          <w:spacing w:val="0"/>
          <w:sz w:val="24"/>
          <w:szCs w:val="24"/>
          <w:highlight w:val="none"/>
          <w:lang w:val="en-US" w:eastAsia="zh-CN"/>
        </w:rPr>
        <w:t xml:space="preserve">   </w:t>
      </w:r>
      <w:r>
        <w:rPr>
          <w:rFonts w:hint="eastAsia" w:ascii="宋体" w:hAnsi="宋体" w:eastAsia="宋体" w:cs="宋体"/>
          <w:b/>
          <w:bCs/>
          <w:color w:val="auto"/>
          <w:spacing w:val="0"/>
          <w:sz w:val="24"/>
          <w:szCs w:val="24"/>
          <w:highlight w:val="none"/>
        </w:rPr>
        <w:t>住所：</w:t>
      </w:r>
    </w:p>
    <w:p>
      <w:pPr>
        <w:pStyle w:val="11"/>
        <w:keepNext w:val="0"/>
        <w:keepLines w:val="0"/>
        <w:widowControl/>
        <w:suppressLineNumbers w:val="0"/>
        <w:pBdr>
          <w:left w:val="none" w:color="auto" w:sz="0" w:space="0"/>
          <w:right w:val="none" w:color="auto" w:sz="0" w:space="0"/>
        </w:pBdr>
        <w:spacing w:before="75" w:beforeAutospacing="0" w:after="75" w:afterAutospacing="0"/>
        <w:ind w:left="-180" w:right="-180" w:firstLine="0"/>
        <w:rPr>
          <w:color w:val="auto"/>
          <w:highlight w:val="none"/>
        </w:rPr>
      </w:pPr>
      <w:r>
        <w:rPr>
          <w:rFonts w:hint="eastAsia" w:ascii="宋体" w:hAnsi="宋体" w:eastAsia="宋体" w:cs="宋体"/>
          <w:b/>
          <w:bCs/>
          <w:color w:val="auto"/>
          <w:spacing w:val="0"/>
          <w:sz w:val="24"/>
          <w:szCs w:val="24"/>
          <w:highlight w:val="none"/>
        </w:rPr>
        <w:t>单位负责人：</w:t>
      </w:r>
      <w:r>
        <w:rPr>
          <w:rFonts w:hint="eastAsia" w:ascii="宋体" w:hAnsi="宋体" w:eastAsia="宋体" w:cs="宋体"/>
          <w:b/>
          <w:bCs/>
          <w:color w:val="auto"/>
          <w:spacing w:val="0"/>
          <w:sz w:val="24"/>
          <w:szCs w:val="24"/>
          <w:highlight w:val="none"/>
          <w:lang w:val="en-US" w:eastAsia="zh-CN"/>
        </w:rPr>
        <w:t xml:space="preserve">                                     </w:t>
      </w:r>
      <w:r>
        <w:rPr>
          <w:rFonts w:hint="eastAsia" w:ascii="宋体" w:hAnsi="宋体" w:eastAsia="宋体" w:cs="宋体"/>
          <w:b/>
          <w:bCs/>
          <w:color w:val="auto"/>
          <w:spacing w:val="0"/>
          <w:sz w:val="24"/>
          <w:szCs w:val="24"/>
          <w:highlight w:val="none"/>
        </w:rPr>
        <w:t>单位负责人：</w:t>
      </w:r>
    </w:p>
    <w:p>
      <w:pPr>
        <w:pStyle w:val="11"/>
        <w:keepNext w:val="0"/>
        <w:keepLines w:val="0"/>
        <w:widowControl/>
        <w:suppressLineNumbers w:val="0"/>
        <w:pBdr>
          <w:left w:val="none" w:color="auto" w:sz="0" w:space="0"/>
          <w:right w:val="none" w:color="auto" w:sz="0" w:space="0"/>
        </w:pBdr>
        <w:spacing w:before="75" w:beforeAutospacing="0" w:after="75" w:afterAutospacing="0"/>
        <w:ind w:left="-180" w:right="-180" w:firstLine="0"/>
        <w:rPr>
          <w:color w:val="auto"/>
          <w:highlight w:val="none"/>
        </w:rPr>
      </w:pPr>
      <w:r>
        <w:rPr>
          <w:rFonts w:hint="eastAsia" w:ascii="宋体" w:hAnsi="宋体" w:eastAsia="宋体" w:cs="宋体"/>
          <w:b/>
          <w:bCs/>
          <w:color w:val="auto"/>
          <w:spacing w:val="0"/>
          <w:sz w:val="24"/>
          <w:szCs w:val="24"/>
          <w:highlight w:val="none"/>
        </w:rPr>
        <w:t>委托代理人：18960932768</w:t>
      </w:r>
      <w:r>
        <w:rPr>
          <w:rFonts w:hint="eastAsia" w:ascii="宋体" w:hAnsi="宋体" w:eastAsia="宋体" w:cs="宋体"/>
          <w:b/>
          <w:bCs/>
          <w:color w:val="auto"/>
          <w:spacing w:val="0"/>
          <w:sz w:val="24"/>
          <w:szCs w:val="24"/>
          <w:highlight w:val="none"/>
          <w:lang w:val="en-US" w:eastAsia="zh-CN"/>
        </w:rPr>
        <w:t xml:space="preserve">                          </w:t>
      </w:r>
      <w:r>
        <w:rPr>
          <w:rFonts w:hint="eastAsia" w:ascii="宋体" w:hAnsi="宋体" w:eastAsia="宋体" w:cs="宋体"/>
          <w:b/>
          <w:bCs/>
          <w:color w:val="auto"/>
          <w:spacing w:val="0"/>
          <w:sz w:val="24"/>
          <w:szCs w:val="24"/>
          <w:highlight w:val="none"/>
        </w:rPr>
        <w:t>委托代理人：</w:t>
      </w:r>
    </w:p>
    <w:p>
      <w:pPr>
        <w:pStyle w:val="11"/>
        <w:keepNext w:val="0"/>
        <w:keepLines w:val="0"/>
        <w:widowControl/>
        <w:suppressLineNumbers w:val="0"/>
        <w:pBdr>
          <w:left w:val="none" w:color="auto" w:sz="0" w:space="0"/>
          <w:right w:val="none" w:color="auto" w:sz="0" w:space="0"/>
        </w:pBdr>
        <w:spacing w:before="75" w:beforeAutospacing="0" w:after="75" w:afterAutospacing="0"/>
        <w:ind w:left="-180" w:right="-180" w:firstLine="0"/>
        <w:rPr>
          <w:color w:val="auto"/>
          <w:highlight w:val="none"/>
        </w:rPr>
      </w:pPr>
      <w:r>
        <w:rPr>
          <w:rFonts w:hint="eastAsia" w:ascii="宋体" w:hAnsi="宋体" w:eastAsia="宋体" w:cs="宋体"/>
          <w:b/>
          <w:bCs/>
          <w:color w:val="auto"/>
          <w:spacing w:val="0"/>
          <w:sz w:val="24"/>
          <w:szCs w:val="24"/>
          <w:highlight w:val="none"/>
        </w:rPr>
        <w:t>联系方法：18960932768</w:t>
      </w:r>
      <w:r>
        <w:rPr>
          <w:rFonts w:hint="eastAsia" w:ascii="宋体" w:hAnsi="宋体" w:eastAsia="宋体" w:cs="宋体"/>
          <w:b/>
          <w:bCs/>
          <w:color w:val="auto"/>
          <w:spacing w:val="0"/>
          <w:sz w:val="24"/>
          <w:szCs w:val="24"/>
          <w:highlight w:val="none"/>
          <w:lang w:val="en-US" w:eastAsia="zh-CN"/>
        </w:rPr>
        <w:t xml:space="preserve">                            </w:t>
      </w:r>
      <w:r>
        <w:rPr>
          <w:rFonts w:hint="eastAsia" w:ascii="宋体" w:hAnsi="宋体" w:eastAsia="宋体" w:cs="宋体"/>
          <w:b/>
          <w:bCs/>
          <w:color w:val="auto"/>
          <w:spacing w:val="0"/>
          <w:sz w:val="24"/>
          <w:szCs w:val="24"/>
          <w:highlight w:val="none"/>
        </w:rPr>
        <w:t>联系方法：</w:t>
      </w:r>
    </w:p>
    <w:p>
      <w:pPr>
        <w:pStyle w:val="11"/>
        <w:keepNext w:val="0"/>
        <w:keepLines w:val="0"/>
        <w:widowControl/>
        <w:suppressLineNumbers w:val="0"/>
        <w:pBdr>
          <w:left w:val="none" w:color="auto" w:sz="0" w:space="0"/>
          <w:right w:val="none" w:color="auto" w:sz="0" w:space="0"/>
        </w:pBdr>
        <w:spacing w:before="75" w:beforeAutospacing="0" w:after="75" w:afterAutospacing="0"/>
        <w:ind w:left="-180" w:right="-180" w:firstLine="0"/>
        <w:rPr>
          <w:color w:val="auto"/>
          <w:highlight w:val="none"/>
        </w:rPr>
      </w:pPr>
      <w:r>
        <w:rPr>
          <w:rFonts w:hint="eastAsia" w:ascii="宋体" w:hAnsi="宋体" w:eastAsia="宋体" w:cs="宋体"/>
          <w:b/>
          <w:bCs/>
          <w:color w:val="auto"/>
          <w:spacing w:val="0"/>
          <w:sz w:val="24"/>
          <w:szCs w:val="24"/>
          <w:highlight w:val="none"/>
        </w:rPr>
        <w:t>开户银行：</w:t>
      </w:r>
      <w:r>
        <w:rPr>
          <w:rFonts w:hint="eastAsia" w:ascii="宋体" w:hAnsi="宋体" w:eastAsia="宋体" w:cs="宋体"/>
          <w:b/>
          <w:bCs/>
          <w:color w:val="auto"/>
          <w:spacing w:val="0"/>
          <w:sz w:val="24"/>
          <w:szCs w:val="24"/>
          <w:highlight w:val="none"/>
          <w:lang w:val="en-US" w:eastAsia="zh-CN"/>
        </w:rPr>
        <w:t xml:space="preserve">                                       </w:t>
      </w:r>
      <w:r>
        <w:rPr>
          <w:rFonts w:hint="eastAsia" w:ascii="宋体" w:hAnsi="宋体" w:eastAsia="宋体" w:cs="宋体"/>
          <w:b/>
          <w:bCs/>
          <w:color w:val="auto"/>
          <w:spacing w:val="0"/>
          <w:sz w:val="24"/>
          <w:szCs w:val="24"/>
          <w:highlight w:val="none"/>
        </w:rPr>
        <w:t>开户银行：</w:t>
      </w:r>
    </w:p>
    <w:p>
      <w:pPr>
        <w:pStyle w:val="11"/>
        <w:keepNext w:val="0"/>
        <w:keepLines w:val="0"/>
        <w:widowControl/>
        <w:suppressLineNumbers w:val="0"/>
        <w:pBdr>
          <w:left w:val="none" w:color="auto" w:sz="0" w:space="0"/>
          <w:right w:val="none" w:color="auto" w:sz="0" w:space="0"/>
        </w:pBdr>
        <w:spacing w:before="75" w:beforeAutospacing="0" w:after="75" w:afterAutospacing="0"/>
        <w:ind w:left="-180" w:right="-180" w:firstLine="0"/>
        <w:rPr>
          <w:color w:val="auto"/>
          <w:highlight w:val="none"/>
        </w:rPr>
      </w:pPr>
      <w:r>
        <w:rPr>
          <w:rFonts w:hint="eastAsia" w:ascii="宋体" w:hAnsi="宋体" w:eastAsia="宋体" w:cs="宋体"/>
          <w:b/>
          <w:bCs/>
          <w:color w:val="auto"/>
          <w:spacing w:val="0"/>
          <w:sz w:val="24"/>
          <w:szCs w:val="24"/>
          <w:highlight w:val="none"/>
        </w:rPr>
        <w:t>账号：</w:t>
      </w:r>
      <w:r>
        <w:rPr>
          <w:rFonts w:hint="eastAsia" w:ascii="宋体" w:hAnsi="宋体" w:eastAsia="宋体" w:cs="宋体"/>
          <w:b/>
          <w:bCs/>
          <w:color w:val="auto"/>
          <w:spacing w:val="0"/>
          <w:sz w:val="24"/>
          <w:szCs w:val="24"/>
          <w:highlight w:val="none"/>
          <w:lang w:val="en-US" w:eastAsia="zh-CN"/>
        </w:rPr>
        <w:t xml:space="preserve">                                           </w:t>
      </w:r>
      <w:r>
        <w:rPr>
          <w:rFonts w:hint="eastAsia" w:ascii="宋体" w:hAnsi="宋体" w:eastAsia="宋体" w:cs="宋体"/>
          <w:b/>
          <w:bCs/>
          <w:color w:val="auto"/>
          <w:spacing w:val="0"/>
          <w:sz w:val="24"/>
          <w:szCs w:val="24"/>
          <w:highlight w:val="none"/>
        </w:rPr>
        <w:t>账号：</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b/>
          <w:bCs/>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b/>
          <w:bCs/>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b/>
          <w:bCs/>
          <w:color w:val="auto"/>
          <w:spacing w:val="0"/>
          <w:sz w:val="24"/>
          <w:szCs w:val="24"/>
          <w:highlight w:val="none"/>
        </w:rPr>
        <w:t>签订地点：</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b/>
          <w:bCs/>
          <w:color w:val="auto"/>
          <w:spacing w:val="0"/>
          <w:sz w:val="24"/>
          <w:szCs w:val="24"/>
          <w:highlight w:val="none"/>
        </w:rPr>
        <w:t>签订日期：</w:t>
      </w:r>
      <w:r>
        <w:rPr>
          <w:rFonts w:hint="eastAsia" w:ascii="宋体" w:hAnsi="宋体" w:eastAsia="宋体" w:cs="宋体"/>
          <w:b/>
          <w:bCs/>
          <w:color w:val="auto"/>
          <w:spacing w:val="0"/>
          <w:sz w:val="24"/>
          <w:szCs w:val="24"/>
          <w:highlight w:val="none"/>
          <w:u w:val="single"/>
        </w:rPr>
        <w:t>    </w:t>
      </w:r>
      <w:r>
        <w:rPr>
          <w:rFonts w:hint="eastAsia" w:ascii="宋体" w:hAnsi="宋体" w:eastAsia="宋体" w:cs="宋体"/>
          <w:b/>
          <w:bCs/>
          <w:color w:val="auto"/>
          <w:spacing w:val="0"/>
          <w:sz w:val="24"/>
          <w:szCs w:val="24"/>
          <w:highlight w:val="none"/>
        </w:rPr>
        <w:t>年</w:t>
      </w:r>
      <w:r>
        <w:rPr>
          <w:rFonts w:hint="eastAsia" w:ascii="宋体" w:hAnsi="宋体" w:eastAsia="宋体" w:cs="宋体"/>
          <w:b/>
          <w:bCs/>
          <w:color w:val="auto"/>
          <w:spacing w:val="0"/>
          <w:sz w:val="24"/>
          <w:szCs w:val="24"/>
          <w:highlight w:val="none"/>
          <w:u w:val="single"/>
        </w:rPr>
        <w:t>   </w:t>
      </w:r>
      <w:r>
        <w:rPr>
          <w:rFonts w:hint="eastAsia" w:ascii="宋体" w:hAnsi="宋体" w:eastAsia="宋体" w:cs="宋体"/>
          <w:b/>
          <w:bCs/>
          <w:color w:val="auto"/>
          <w:spacing w:val="0"/>
          <w:sz w:val="24"/>
          <w:szCs w:val="24"/>
          <w:highlight w:val="none"/>
        </w:rPr>
        <w:t>月</w:t>
      </w:r>
      <w:r>
        <w:rPr>
          <w:rFonts w:hint="eastAsia" w:ascii="宋体" w:hAnsi="宋体" w:eastAsia="宋体" w:cs="宋体"/>
          <w:b/>
          <w:bCs/>
          <w:color w:val="auto"/>
          <w:spacing w:val="0"/>
          <w:sz w:val="24"/>
          <w:szCs w:val="24"/>
          <w:highlight w:val="none"/>
          <w:u w:val="single"/>
        </w:rPr>
        <w:t>   </w:t>
      </w:r>
      <w:r>
        <w:rPr>
          <w:rFonts w:hint="eastAsia" w:ascii="宋体" w:hAnsi="宋体" w:eastAsia="宋体" w:cs="宋体"/>
          <w:b/>
          <w:bCs/>
          <w:color w:val="auto"/>
          <w:spacing w:val="0"/>
          <w:sz w:val="24"/>
          <w:szCs w:val="24"/>
          <w:highlight w:val="none"/>
        </w:rPr>
        <w:t>日</w:t>
      </w:r>
    </w:p>
    <w:p>
      <w:pPr>
        <w:pStyle w:val="11"/>
        <w:keepNext w:val="0"/>
        <w:keepLines w:val="0"/>
        <w:widowControl/>
        <w:suppressLineNumbers w:val="0"/>
        <w:spacing w:before="75" w:beforeAutospacing="0" w:after="75" w:afterAutospacing="0"/>
        <w:ind w:left="0" w:right="0" w:firstLine="0"/>
        <w:jc w:val="center"/>
        <w:rPr>
          <w:color w:val="auto"/>
          <w:highlight w:val="none"/>
        </w:rPr>
      </w:pPr>
      <w:r>
        <w:rPr>
          <w:color w:val="auto"/>
          <w:spacing w:val="0"/>
          <w:sz w:val="24"/>
          <w:szCs w:val="24"/>
          <w:highlight w:val="none"/>
        </w:rPr>
        <w:t> </w:t>
      </w:r>
    </w:p>
    <w:p>
      <w:pPr>
        <w:pStyle w:val="11"/>
        <w:keepNext w:val="0"/>
        <w:keepLines w:val="0"/>
        <w:widowControl/>
        <w:suppressLineNumbers w:val="0"/>
        <w:spacing w:before="75" w:beforeAutospacing="0" w:after="240" w:afterAutospacing="0"/>
        <w:ind w:left="0" w:right="0" w:firstLine="0"/>
        <w:rPr>
          <w:color w:val="auto"/>
          <w:highlight w:val="none"/>
        </w:rPr>
      </w:pPr>
      <w:r>
        <w:rPr>
          <w:color w:val="auto"/>
          <w:spacing w:val="0"/>
          <w:sz w:val="24"/>
          <w:szCs w:val="24"/>
          <w:highlight w:val="none"/>
        </w:rPr>
        <w:t> </w:t>
      </w:r>
    </w:p>
    <w:p>
      <w:pPr>
        <w:pStyle w:val="11"/>
        <w:keepNext w:val="0"/>
        <w:keepLines w:val="0"/>
        <w:widowControl/>
        <w:suppressLineNumbers w:val="0"/>
        <w:spacing w:before="75" w:beforeAutospacing="0" w:after="75" w:afterAutospacing="0"/>
        <w:ind w:left="0" w:right="0" w:firstLine="0"/>
        <w:rPr>
          <w:color w:val="auto"/>
          <w:highlight w:val="none"/>
        </w:rPr>
      </w:pPr>
      <w:r>
        <w:rPr>
          <w:rFonts w:hint="default" w:ascii="Calibri" w:hAnsi="Calibri" w:cs="Calibri"/>
          <w:color w:val="auto"/>
          <w:spacing w:val="0"/>
          <w:sz w:val="21"/>
          <w:szCs w:val="21"/>
          <w:highlight w:val="none"/>
        </w:rPr>
        <w:t>                                                                                  </w:t>
      </w:r>
    </w:p>
    <w:p>
      <w:pPr>
        <w:rPr>
          <w:rStyle w:val="13"/>
          <w:rFonts w:hint="eastAsia" w:ascii="宋体" w:hAnsi="宋体" w:eastAsia="宋体" w:cs="宋体"/>
          <w:b/>
          <w:bCs/>
          <w:color w:val="auto"/>
          <w:spacing w:val="0"/>
          <w:sz w:val="31"/>
          <w:szCs w:val="31"/>
          <w:highlight w:val="none"/>
        </w:rPr>
      </w:pPr>
      <w:r>
        <w:rPr>
          <w:rStyle w:val="13"/>
          <w:rFonts w:hint="eastAsia" w:ascii="宋体" w:hAnsi="宋体" w:eastAsia="宋体" w:cs="宋体"/>
          <w:b/>
          <w:bCs/>
          <w:color w:val="auto"/>
          <w:spacing w:val="0"/>
          <w:sz w:val="31"/>
          <w:szCs w:val="31"/>
          <w:highlight w:val="none"/>
        </w:rPr>
        <w:br w:type="page"/>
      </w:r>
    </w:p>
    <w:p>
      <w:pPr>
        <w:pStyle w:val="11"/>
        <w:keepNext w:val="0"/>
        <w:keepLines w:val="0"/>
        <w:widowControl/>
        <w:suppressLineNumbers w:val="0"/>
        <w:spacing w:before="75" w:beforeAutospacing="0" w:after="75" w:afterAutospacing="0"/>
        <w:ind w:left="0" w:right="0" w:firstLine="0"/>
        <w:jc w:val="center"/>
        <w:rPr>
          <w:color w:val="auto"/>
          <w:highlight w:val="none"/>
        </w:rPr>
      </w:pPr>
      <w:r>
        <w:rPr>
          <w:rStyle w:val="13"/>
          <w:rFonts w:hint="eastAsia" w:ascii="宋体" w:hAnsi="宋体" w:eastAsia="宋体" w:cs="宋体"/>
          <w:b/>
          <w:bCs/>
          <w:color w:val="auto"/>
          <w:spacing w:val="0"/>
          <w:sz w:val="31"/>
          <w:szCs w:val="31"/>
          <w:highlight w:val="none"/>
        </w:rPr>
        <w:t>第七章   电子投标文件格式</w:t>
      </w:r>
    </w:p>
    <w:p>
      <w:pPr>
        <w:pStyle w:val="11"/>
        <w:keepNext w:val="0"/>
        <w:keepLines w:val="0"/>
        <w:widowControl/>
        <w:suppressLineNumbers w:val="0"/>
        <w:spacing w:before="0" w:beforeAutospacing="0" w:after="150" w:afterAutospacing="0"/>
        <w:ind w:left="0" w:right="0"/>
        <w:jc w:val="center"/>
        <w:rPr>
          <w:color w:val="auto"/>
          <w:highlight w:val="none"/>
        </w:rPr>
      </w:pPr>
      <w:r>
        <w:rPr>
          <w:rStyle w:val="13"/>
          <w:rFonts w:hint="eastAsia" w:ascii="宋体" w:hAnsi="宋体" w:eastAsia="宋体" w:cs="宋体"/>
          <w:b/>
          <w:bCs/>
          <w:color w:val="auto"/>
          <w:sz w:val="24"/>
          <w:szCs w:val="24"/>
          <w:highlight w:val="none"/>
        </w:rPr>
        <w:t>编制说明</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4"/>
          <w:szCs w:val="24"/>
          <w:highlight w:val="none"/>
        </w:rPr>
        <w:t> </w:t>
      </w:r>
    </w:p>
    <w:p>
      <w:pPr>
        <w:pStyle w:val="11"/>
        <w:keepNext w:val="0"/>
        <w:keepLines w:val="0"/>
        <w:widowControl/>
        <w:suppressLineNumbers w:val="0"/>
        <w:spacing w:before="0" w:beforeAutospacing="0" w:after="150" w:afterAutospacing="0"/>
        <w:ind w:left="0" w:right="0" w:firstLine="480"/>
        <w:rPr>
          <w:color w:val="auto"/>
          <w:highlight w:val="none"/>
        </w:rPr>
      </w:pPr>
      <w:r>
        <w:rPr>
          <w:rFonts w:hint="eastAsia" w:ascii="宋体" w:hAnsi="宋体" w:eastAsia="宋体" w:cs="宋体"/>
          <w:color w:val="auto"/>
          <w:sz w:val="24"/>
          <w:szCs w:val="24"/>
          <w:highlight w:val="none"/>
        </w:rPr>
        <w:t>1、除招标文件另有规定外，本章中：</w:t>
      </w:r>
    </w:p>
    <w:p>
      <w:pPr>
        <w:pStyle w:val="11"/>
        <w:keepNext w:val="0"/>
        <w:keepLines w:val="0"/>
        <w:widowControl/>
        <w:suppressLineNumbers w:val="0"/>
        <w:spacing w:before="0" w:beforeAutospacing="0" w:after="150" w:afterAutospacing="0"/>
        <w:ind w:left="0" w:right="0" w:firstLine="480"/>
        <w:rPr>
          <w:color w:val="auto"/>
          <w:highlight w:val="none"/>
        </w:rPr>
      </w:pPr>
      <w:r>
        <w:rPr>
          <w:rFonts w:hint="eastAsia" w:ascii="宋体" w:hAnsi="宋体" w:eastAsia="宋体" w:cs="宋体"/>
          <w:color w:val="auto"/>
          <w:sz w:val="24"/>
          <w:szCs w:val="24"/>
          <w:highlight w:val="none"/>
        </w:rPr>
        <w:t>1.1涉及投标人的</w:t>
      </w:r>
      <w:r>
        <w:rPr>
          <w:rStyle w:val="13"/>
          <w:rFonts w:hint="eastAsia" w:ascii="宋体" w:hAnsi="宋体" w:eastAsia="宋体" w:cs="宋体"/>
          <w:b/>
          <w:bCs/>
          <w:color w:val="auto"/>
          <w:sz w:val="24"/>
          <w:szCs w:val="24"/>
          <w:highlight w:val="none"/>
        </w:rPr>
        <w:t>“全称”</w:t>
      </w:r>
      <w:r>
        <w:rPr>
          <w:rFonts w:hint="eastAsia" w:ascii="宋体" w:hAnsi="宋体" w:eastAsia="宋体" w:cs="宋体"/>
          <w:color w:val="auto"/>
          <w:sz w:val="24"/>
          <w:szCs w:val="24"/>
          <w:highlight w:val="none"/>
        </w:rPr>
        <w:t>：</w:t>
      </w:r>
    </w:p>
    <w:p>
      <w:pPr>
        <w:pStyle w:val="11"/>
        <w:keepNext w:val="0"/>
        <w:keepLines w:val="0"/>
        <w:widowControl/>
        <w:suppressLineNumbers w:val="0"/>
        <w:spacing w:before="0" w:beforeAutospacing="0" w:after="150" w:afterAutospacing="0"/>
        <w:ind w:left="0" w:right="0" w:firstLine="480"/>
        <w:rPr>
          <w:color w:val="auto"/>
          <w:highlight w:val="none"/>
        </w:rPr>
      </w:pPr>
      <w:r>
        <w:rPr>
          <w:rFonts w:hint="eastAsia" w:ascii="宋体" w:hAnsi="宋体" w:eastAsia="宋体" w:cs="宋体"/>
          <w:color w:val="auto"/>
          <w:sz w:val="24"/>
          <w:szCs w:val="24"/>
          <w:highlight w:val="none"/>
        </w:rPr>
        <w:t>（1）不接受联合体投标的，指</w:t>
      </w:r>
      <w:r>
        <w:rPr>
          <w:rStyle w:val="13"/>
          <w:rFonts w:hint="eastAsia" w:ascii="宋体" w:hAnsi="宋体" w:eastAsia="宋体" w:cs="宋体"/>
          <w:b/>
          <w:bCs/>
          <w:color w:val="auto"/>
          <w:sz w:val="24"/>
          <w:szCs w:val="24"/>
          <w:highlight w:val="none"/>
        </w:rPr>
        <w:t>投标人的全称</w:t>
      </w:r>
      <w:r>
        <w:rPr>
          <w:rFonts w:hint="eastAsia" w:ascii="宋体" w:hAnsi="宋体" w:eastAsia="宋体" w:cs="宋体"/>
          <w:color w:val="auto"/>
          <w:sz w:val="24"/>
          <w:szCs w:val="24"/>
          <w:highlight w:val="none"/>
        </w:rPr>
        <w:t>。</w:t>
      </w:r>
    </w:p>
    <w:p>
      <w:pPr>
        <w:pStyle w:val="11"/>
        <w:keepNext w:val="0"/>
        <w:keepLines w:val="0"/>
        <w:widowControl/>
        <w:suppressLineNumbers w:val="0"/>
        <w:spacing w:before="0" w:beforeAutospacing="0" w:after="150" w:afterAutospacing="0"/>
        <w:ind w:left="0" w:right="0" w:firstLine="480"/>
        <w:rPr>
          <w:color w:val="auto"/>
          <w:highlight w:val="none"/>
        </w:rPr>
      </w:pPr>
      <w:r>
        <w:rPr>
          <w:rFonts w:hint="eastAsia" w:ascii="宋体" w:hAnsi="宋体" w:eastAsia="宋体" w:cs="宋体"/>
          <w:color w:val="auto"/>
          <w:sz w:val="24"/>
          <w:szCs w:val="24"/>
          <w:highlight w:val="none"/>
        </w:rPr>
        <w:t>（2）接受联合体投标且投标人为联合体的，指</w:t>
      </w:r>
      <w:r>
        <w:rPr>
          <w:rStyle w:val="13"/>
          <w:rFonts w:hint="eastAsia" w:ascii="宋体" w:hAnsi="宋体" w:eastAsia="宋体" w:cs="宋体"/>
          <w:b/>
          <w:bCs/>
          <w:color w:val="auto"/>
          <w:sz w:val="24"/>
          <w:szCs w:val="24"/>
          <w:highlight w:val="none"/>
        </w:rPr>
        <w:t>牵头方的全称</w:t>
      </w:r>
      <w:r>
        <w:rPr>
          <w:rFonts w:hint="eastAsia" w:ascii="宋体" w:hAnsi="宋体" w:eastAsia="宋体" w:cs="宋体"/>
          <w:color w:val="auto"/>
          <w:sz w:val="24"/>
          <w:szCs w:val="24"/>
          <w:highlight w:val="none"/>
        </w:rPr>
        <w:t>并加注</w:t>
      </w:r>
      <w:r>
        <w:rPr>
          <w:rStyle w:val="13"/>
          <w:rFonts w:hint="eastAsia" w:ascii="宋体" w:hAnsi="宋体" w:eastAsia="宋体" w:cs="宋体"/>
          <w:b/>
          <w:bCs/>
          <w:color w:val="auto"/>
          <w:sz w:val="24"/>
          <w:szCs w:val="24"/>
          <w:highlight w:val="none"/>
        </w:rPr>
        <w:t>（联合体牵头方）</w:t>
      </w:r>
      <w:r>
        <w:rPr>
          <w:rFonts w:hint="eastAsia" w:ascii="宋体" w:hAnsi="宋体" w:eastAsia="宋体" w:cs="宋体"/>
          <w:color w:val="auto"/>
          <w:sz w:val="24"/>
          <w:szCs w:val="24"/>
          <w:highlight w:val="none"/>
        </w:rPr>
        <w:t>，即应表述为：</w:t>
      </w:r>
      <w:r>
        <w:rPr>
          <w:rStyle w:val="13"/>
          <w:rFonts w:hint="eastAsia" w:ascii="宋体" w:hAnsi="宋体" w:eastAsia="宋体" w:cs="宋体"/>
          <w:b/>
          <w:bCs/>
          <w:color w:val="auto"/>
          <w:sz w:val="24"/>
          <w:szCs w:val="24"/>
          <w:highlight w:val="none"/>
        </w:rPr>
        <w:t>“牵头方的全称（联合体牵头方）”</w:t>
      </w:r>
      <w:r>
        <w:rPr>
          <w:rFonts w:hint="eastAsia" w:ascii="宋体" w:hAnsi="宋体" w:eastAsia="宋体" w:cs="宋体"/>
          <w:color w:val="auto"/>
          <w:sz w:val="24"/>
          <w:szCs w:val="24"/>
          <w:highlight w:val="none"/>
        </w:rPr>
        <w:t>。</w:t>
      </w:r>
    </w:p>
    <w:p>
      <w:pPr>
        <w:pStyle w:val="11"/>
        <w:keepNext w:val="0"/>
        <w:keepLines w:val="0"/>
        <w:widowControl/>
        <w:suppressLineNumbers w:val="0"/>
        <w:spacing w:before="0" w:beforeAutospacing="0" w:after="150" w:afterAutospacing="0"/>
        <w:ind w:left="0" w:right="0" w:firstLine="480"/>
        <w:rPr>
          <w:color w:val="auto"/>
          <w:highlight w:val="none"/>
        </w:rPr>
      </w:pPr>
      <w:r>
        <w:rPr>
          <w:rFonts w:hint="eastAsia" w:ascii="宋体" w:hAnsi="宋体" w:eastAsia="宋体" w:cs="宋体"/>
          <w:color w:val="auto"/>
          <w:sz w:val="24"/>
          <w:szCs w:val="24"/>
          <w:highlight w:val="none"/>
        </w:rPr>
        <w:t>1.2涉及投标人</w:t>
      </w:r>
      <w:r>
        <w:rPr>
          <w:rStyle w:val="13"/>
          <w:rFonts w:hint="eastAsia" w:ascii="宋体" w:hAnsi="宋体" w:eastAsia="宋体" w:cs="宋体"/>
          <w:b/>
          <w:bCs/>
          <w:color w:val="auto"/>
          <w:sz w:val="24"/>
          <w:szCs w:val="24"/>
          <w:highlight w:val="none"/>
        </w:rPr>
        <w:t>“加盖单位公章”</w:t>
      </w:r>
      <w:r>
        <w:rPr>
          <w:rFonts w:hint="eastAsia" w:ascii="宋体" w:hAnsi="宋体" w:eastAsia="宋体" w:cs="宋体"/>
          <w:color w:val="auto"/>
          <w:sz w:val="24"/>
          <w:szCs w:val="24"/>
          <w:highlight w:val="none"/>
        </w:rPr>
        <w:t>：</w:t>
      </w:r>
    </w:p>
    <w:p>
      <w:pPr>
        <w:pStyle w:val="11"/>
        <w:keepNext w:val="0"/>
        <w:keepLines w:val="0"/>
        <w:widowControl/>
        <w:suppressLineNumbers w:val="0"/>
        <w:spacing w:before="0" w:beforeAutospacing="0" w:after="150" w:afterAutospacing="0"/>
        <w:ind w:left="0" w:right="0" w:firstLine="480"/>
        <w:rPr>
          <w:color w:val="auto"/>
          <w:highlight w:val="none"/>
        </w:rPr>
      </w:pPr>
      <w:r>
        <w:rPr>
          <w:rFonts w:hint="eastAsia" w:ascii="宋体" w:hAnsi="宋体" w:eastAsia="宋体" w:cs="宋体"/>
          <w:color w:val="auto"/>
          <w:sz w:val="24"/>
          <w:szCs w:val="24"/>
          <w:highlight w:val="none"/>
        </w:rPr>
        <w:t>（1）不接受联合体投标的，指</w:t>
      </w:r>
      <w:r>
        <w:rPr>
          <w:rStyle w:val="13"/>
          <w:rFonts w:hint="eastAsia" w:ascii="宋体" w:hAnsi="宋体" w:eastAsia="宋体" w:cs="宋体"/>
          <w:b/>
          <w:bCs/>
          <w:color w:val="auto"/>
          <w:sz w:val="24"/>
          <w:szCs w:val="24"/>
          <w:highlight w:val="none"/>
        </w:rPr>
        <w:t>加盖投标人的单位公章</w:t>
      </w:r>
      <w:r>
        <w:rPr>
          <w:rFonts w:hint="eastAsia" w:ascii="宋体" w:hAnsi="宋体" w:eastAsia="宋体" w:cs="宋体"/>
          <w:color w:val="auto"/>
          <w:sz w:val="24"/>
          <w:szCs w:val="24"/>
          <w:highlight w:val="none"/>
        </w:rPr>
        <w:t>。</w:t>
      </w:r>
    </w:p>
    <w:p>
      <w:pPr>
        <w:pStyle w:val="11"/>
        <w:keepNext w:val="0"/>
        <w:keepLines w:val="0"/>
        <w:widowControl/>
        <w:suppressLineNumbers w:val="0"/>
        <w:spacing w:before="0" w:beforeAutospacing="0" w:after="150" w:afterAutospacing="0"/>
        <w:ind w:left="0" w:right="0" w:firstLine="480"/>
        <w:rPr>
          <w:color w:val="auto"/>
          <w:highlight w:val="none"/>
        </w:rPr>
      </w:pPr>
      <w:r>
        <w:rPr>
          <w:rFonts w:hint="eastAsia" w:ascii="宋体" w:hAnsi="宋体" w:eastAsia="宋体" w:cs="宋体"/>
          <w:color w:val="auto"/>
          <w:sz w:val="24"/>
          <w:szCs w:val="24"/>
          <w:highlight w:val="none"/>
        </w:rPr>
        <w:t>（2）接受联合体投标且投标人为联合体的，指</w:t>
      </w:r>
      <w:r>
        <w:rPr>
          <w:rStyle w:val="13"/>
          <w:rFonts w:hint="eastAsia" w:ascii="宋体" w:hAnsi="宋体" w:eastAsia="宋体" w:cs="宋体"/>
          <w:b/>
          <w:bCs/>
          <w:color w:val="auto"/>
          <w:sz w:val="24"/>
          <w:szCs w:val="24"/>
          <w:highlight w:val="none"/>
        </w:rPr>
        <w:t>加盖联合体牵头方的单位公章</w:t>
      </w:r>
      <w:r>
        <w:rPr>
          <w:rFonts w:hint="eastAsia" w:ascii="宋体" w:hAnsi="宋体" w:eastAsia="宋体" w:cs="宋体"/>
          <w:color w:val="auto"/>
          <w:sz w:val="24"/>
          <w:szCs w:val="24"/>
          <w:highlight w:val="none"/>
        </w:rPr>
        <w:t>。</w:t>
      </w:r>
    </w:p>
    <w:p>
      <w:pPr>
        <w:pStyle w:val="11"/>
        <w:keepNext w:val="0"/>
        <w:keepLines w:val="0"/>
        <w:widowControl/>
        <w:suppressLineNumbers w:val="0"/>
        <w:spacing w:before="0" w:beforeAutospacing="0" w:after="150" w:afterAutospacing="0"/>
        <w:ind w:left="0" w:right="0" w:firstLine="480"/>
        <w:rPr>
          <w:color w:val="auto"/>
          <w:highlight w:val="none"/>
        </w:rPr>
      </w:pPr>
      <w:r>
        <w:rPr>
          <w:rFonts w:hint="eastAsia" w:ascii="宋体" w:hAnsi="宋体" w:eastAsia="宋体" w:cs="宋体"/>
          <w:color w:val="auto"/>
          <w:sz w:val="24"/>
          <w:szCs w:val="24"/>
          <w:highlight w:val="none"/>
        </w:rPr>
        <w:t>1.3涉及</w:t>
      </w:r>
      <w:r>
        <w:rPr>
          <w:rStyle w:val="13"/>
          <w:rFonts w:hint="eastAsia" w:ascii="宋体" w:hAnsi="宋体" w:eastAsia="宋体" w:cs="宋体"/>
          <w:b/>
          <w:bCs/>
          <w:color w:val="auto"/>
          <w:sz w:val="24"/>
          <w:szCs w:val="24"/>
          <w:highlight w:val="none"/>
        </w:rPr>
        <w:t>“投标人代表签字”</w:t>
      </w:r>
      <w:r>
        <w:rPr>
          <w:rFonts w:hint="eastAsia" w:ascii="宋体" w:hAnsi="宋体" w:eastAsia="宋体" w:cs="宋体"/>
          <w:color w:val="auto"/>
          <w:sz w:val="24"/>
          <w:szCs w:val="24"/>
          <w:highlight w:val="none"/>
        </w:rPr>
        <w:t>：</w:t>
      </w:r>
    </w:p>
    <w:p>
      <w:pPr>
        <w:pStyle w:val="11"/>
        <w:keepNext w:val="0"/>
        <w:keepLines w:val="0"/>
        <w:widowControl/>
        <w:suppressLineNumbers w:val="0"/>
        <w:spacing w:before="0" w:beforeAutospacing="0" w:after="150" w:afterAutospacing="0"/>
        <w:ind w:left="0" w:right="0" w:firstLine="480"/>
        <w:rPr>
          <w:color w:val="auto"/>
          <w:highlight w:val="none"/>
        </w:rPr>
      </w:pPr>
      <w:r>
        <w:rPr>
          <w:rFonts w:hint="eastAsia" w:ascii="宋体" w:hAnsi="宋体" w:eastAsia="宋体" w:cs="宋体"/>
          <w:color w:val="auto"/>
          <w:sz w:val="24"/>
          <w:szCs w:val="24"/>
          <w:highlight w:val="none"/>
        </w:rPr>
        <w:t>（1）不接受联合体投标的，指由</w:t>
      </w:r>
      <w:r>
        <w:rPr>
          <w:rStyle w:val="13"/>
          <w:rFonts w:hint="eastAsia" w:ascii="宋体" w:hAnsi="宋体" w:eastAsia="宋体" w:cs="宋体"/>
          <w:b/>
          <w:bCs/>
          <w:color w:val="auto"/>
          <w:sz w:val="24"/>
          <w:szCs w:val="24"/>
          <w:highlight w:val="none"/>
        </w:rPr>
        <w:t>投标人的单位负责人或其授权的委托代理人签字</w:t>
      </w:r>
      <w:r>
        <w:rPr>
          <w:rFonts w:hint="eastAsia" w:ascii="宋体" w:hAnsi="宋体" w:eastAsia="宋体" w:cs="宋体"/>
          <w:color w:val="auto"/>
          <w:sz w:val="24"/>
          <w:szCs w:val="24"/>
          <w:highlight w:val="none"/>
        </w:rPr>
        <w:t>，由委托代理人签字的，应提供“单位授权书”。</w:t>
      </w:r>
    </w:p>
    <w:p>
      <w:pPr>
        <w:pStyle w:val="11"/>
        <w:keepNext w:val="0"/>
        <w:keepLines w:val="0"/>
        <w:widowControl/>
        <w:suppressLineNumbers w:val="0"/>
        <w:spacing w:before="0" w:beforeAutospacing="0" w:after="150" w:afterAutospacing="0"/>
        <w:ind w:left="0" w:right="0" w:firstLine="480"/>
        <w:rPr>
          <w:color w:val="auto"/>
          <w:highlight w:val="none"/>
        </w:rPr>
      </w:pPr>
      <w:r>
        <w:rPr>
          <w:rFonts w:hint="eastAsia" w:ascii="宋体" w:hAnsi="宋体" w:eastAsia="宋体" w:cs="宋体"/>
          <w:color w:val="auto"/>
          <w:sz w:val="24"/>
          <w:szCs w:val="24"/>
          <w:highlight w:val="none"/>
        </w:rPr>
        <w:t>（2）接受联合体投标且投标人为联合体的，指由</w:t>
      </w:r>
      <w:r>
        <w:rPr>
          <w:rStyle w:val="13"/>
          <w:rFonts w:hint="eastAsia" w:ascii="宋体" w:hAnsi="宋体" w:eastAsia="宋体" w:cs="宋体"/>
          <w:b/>
          <w:bCs/>
          <w:color w:val="auto"/>
          <w:sz w:val="24"/>
          <w:szCs w:val="24"/>
          <w:highlight w:val="none"/>
        </w:rPr>
        <w:t>联合体牵头方的单位负责人或其授权的委托代理人签字</w:t>
      </w:r>
      <w:r>
        <w:rPr>
          <w:rFonts w:hint="eastAsia" w:ascii="宋体" w:hAnsi="宋体" w:eastAsia="宋体" w:cs="宋体"/>
          <w:color w:val="auto"/>
          <w:sz w:val="24"/>
          <w:szCs w:val="24"/>
          <w:highlight w:val="none"/>
        </w:rPr>
        <w:t>，由委托代理人签字的，应提供“单位授权书”。</w:t>
      </w:r>
    </w:p>
    <w:p>
      <w:pPr>
        <w:pStyle w:val="11"/>
        <w:keepNext w:val="0"/>
        <w:keepLines w:val="0"/>
        <w:widowControl/>
        <w:suppressLineNumbers w:val="0"/>
        <w:spacing w:before="0" w:beforeAutospacing="0" w:after="150" w:afterAutospacing="0"/>
        <w:ind w:left="0" w:right="0" w:firstLine="480"/>
        <w:rPr>
          <w:color w:val="auto"/>
          <w:highlight w:val="none"/>
        </w:rPr>
      </w:pPr>
      <w:r>
        <w:rPr>
          <w:rFonts w:hint="eastAsia" w:ascii="宋体" w:hAnsi="宋体" w:eastAsia="宋体" w:cs="宋体"/>
          <w:color w:val="auto"/>
          <w:sz w:val="24"/>
          <w:szCs w:val="24"/>
          <w:highlight w:val="none"/>
        </w:rPr>
        <w:t>1.4</w:t>
      </w:r>
      <w:r>
        <w:rPr>
          <w:rStyle w:val="13"/>
          <w:rFonts w:hint="eastAsia" w:ascii="宋体" w:hAnsi="宋体" w:eastAsia="宋体" w:cs="宋体"/>
          <w:b/>
          <w:bCs/>
          <w:color w:val="auto"/>
          <w:sz w:val="24"/>
          <w:szCs w:val="24"/>
          <w:highlight w:val="none"/>
        </w:rPr>
        <w:t>“其他组织”</w:t>
      </w:r>
      <w:r>
        <w:rPr>
          <w:rFonts w:hint="eastAsia" w:ascii="宋体" w:hAnsi="宋体" w:eastAsia="宋体" w:cs="宋体"/>
          <w:color w:val="auto"/>
          <w:sz w:val="24"/>
          <w:szCs w:val="24"/>
          <w:highlight w:val="none"/>
        </w:rPr>
        <w:t>指合伙企业、非企业专业服务机构、个体工商户、农村承包经营户等。</w:t>
      </w:r>
    </w:p>
    <w:p>
      <w:pPr>
        <w:pStyle w:val="11"/>
        <w:keepNext w:val="0"/>
        <w:keepLines w:val="0"/>
        <w:widowControl/>
        <w:suppressLineNumbers w:val="0"/>
        <w:spacing w:before="0" w:beforeAutospacing="0" w:after="150" w:afterAutospacing="0"/>
        <w:ind w:left="0" w:right="0" w:firstLine="480"/>
        <w:rPr>
          <w:color w:val="auto"/>
          <w:highlight w:val="none"/>
        </w:rPr>
      </w:pPr>
      <w:r>
        <w:rPr>
          <w:rFonts w:hint="eastAsia" w:ascii="宋体" w:hAnsi="宋体" w:eastAsia="宋体" w:cs="宋体"/>
          <w:color w:val="auto"/>
          <w:sz w:val="24"/>
          <w:szCs w:val="24"/>
          <w:highlight w:val="none"/>
        </w:rPr>
        <w:t>1.5</w:t>
      </w:r>
      <w:r>
        <w:rPr>
          <w:rStyle w:val="13"/>
          <w:rFonts w:hint="eastAsia" w:ascii="宋体" w:hAnsi="宋体" w:eastAsia="宋体" w:cs="宋体"/>
          <w:b/>
          <w:bCs/>
          <w:color w:val="auto"/>
          <w:sz w:val="24"/>
          <w:szCs w:val="24"/>
          <w:highlight w:val="none"/>
        </w:rPr>
        <w:t>“自然人”</w:t>
      </w:r>
      <w:r>
        <w:rPr>
          <w:rFonts w:hint="eastAsia" w:ascii="宋体" w:hAnsi="宋体" w:eastAsia="宋体" w:cs="宋体"/>
          <w:color w:val="auto"/>
          <w:sz w:val="24"/>
          <w:szCs w:val="24"/>
          <w:highlight w:val="none"/>
        </w:rPr>
        <w:t>指具有完全民事行为能力、能够承担民事责任和义务的中国公民。</w:t>
      </w:r>
    </w:p>
    <w:p>
      <w:pPr>
        <w:pStyle w:val="11"/>
        <w:keepNext w:val="0"/>
        <w:keepLines w:val="0"/>
        <w:widowControl/>
        <w:suppressLineNumbers w:val="0"/>
        <w:spacing w:before="0" w:beforeAutospacing="0" w:after="150" w:afterAutospacing="0"/>
        <w:ind w:left="0" w:right="0" w:firstLine="480"/>
        <w:rPr>
          <w:color w:val="auto"/>
          <w:highlight w:val="none"/>
        </w:rPr>
      </w:pPr>
      <w:r>
        <w:rPr>
          <w:rFonts w:hint="eastAsia" w:ascii="宋体" w:hAnsi="宋体" w:eastAsia="宋体" w:cs="宋体"/>
          <w:color w:val="auto"/>
          <w:sz w:val="24"/>
          <w:szCs w:val="24"/>
          <w:highlight w:val="none"/>
        </w:rPr>
        <w:t>2、除招标文件另有规定外，本章中</w:t>
      </w:r>
      <w:r>
        <w:rPr>
          <w:rStyle w:val="13"/>
          <w:rFonts w:hint="eastAsia" w:ascii="宋体" w:hAnsi="宋体" w:eastAsia="宋体" w:cs="宋体"/>
          <w:b/>
          <w:bCs/>
          <w:color w:val="auto"/>
          <w:sz w:val="24"/>
          <w:szCs w:val="24"/>
          <w:highlight w:val="none"/>
        </w:rPr>
        <w:t>“投标人的资格及资信证明文件”</w:t>
      </w:r>
      <w:r>
        <w:rPr>
          <w:rFonts w:hint="eastAsia" w:ascii="宋体" w:hAnsi="宋体" w:eastAsia="宋体" w:cs="宋体"/>
          <w:color w:val="auto"/>
          <w:sz w:val="24"/>
          <w:szCs w:val="24"/>
          <w:highlight w:val="none"/>
        </w:rPr>
        <w:t>：</w:t>
      </w:r>
    </w:p>
    <w:p>
      <w:pPr>
        <w:pStyle w:val="11"/>
        <w:keepNext w:val="0"/>
        <w:keepLines w:val="0"/>
        <w:widowControl/>
        <w:suppressLineNumbers w:val="0"/>
        <w:spacing w:before="0" w:beforeAutospacing="0" w:after="150" w:afterAutospacing="0"/>
        <w:ind w:left="0" w:right="0" w:firstLine="480"/>
        <w:rPr>
          <w:color w:val="auto"/>
          <w:highlight w:val="none"/>
        </w:rPr>
      </w:pPr>
      <w:r>
        <w:rPr>
          <w:rFonts w:hint="eastAsia" w:ascii="宋体" w:hAnsi="宋体" w:eastAsia="宋体" w:cs="宋体"/>
          <w:color w:val="auto"/>
          <w:sz w:val="24"/>
          <w:szCs w:val="24"/>
          <w:highlight w:val="none"/>
        </w:rPr>
        <w:t>2.1投标人应按照招标文件第四章第</w:t>
      </w:r>
      <w:r>
        <w:rPr>
          <w:rFonts w:hint="default" w:ascii="Calibri" w:hAnsi="Calibri" w:eastAsia="宋体" w:cs="Calibri"/>
          <w:color w:val="auto"/>
          <w:sz w:val="24"/>
          <w:szCs w:val="24"/>
          <w:highlight w:val="none"/>
        </w:rPr>
        <w:t>1.3</w:t>
      </w:r>
      <w:r>
        <w:rPr>
          <w:rFonts w:hint="eastAsia" w:ascii="宋体" w:hAnsi="宋体" w:eastAsia="宋体" w:cs="宋体"/>
          <w:color w:val="auto"/>
          <w:sz w:val="24"/>
          <w:szCs w:val="24"/>
          <w:highlight w:val="none"/>
        </w:rPr>
        <w:t>条第（</w:t>
      </w:r>
      <w:r>
        <w:rPr>
          <w:rFonts w:hint="default" w:ascii="Calibri" w:hAnsi="Calibri" w:eastAsia="宋体" w:cs="Calibri"/>
          <w:color w:val="auto"/>
          <w:sz w:val="24"/>
          <w:szCs w:val="24"/>
          <w:highlight w:val="none"/>
        </w:rPr>
        <w:t>2</w:t>
      </w:r>
      <w:r>
        <w:rPr>
          <w:rFonts w:hint="eastAsia" w:ascii="宋体" w:hAnsi="宋体" w:eastAsia="宋体" w:cs="宋体"/>
          <w:color w:val="auto"/>
          <w:sz w:val="24"/>
          <w:szCs w:val="24"/>
          <w:highlight w:val="none"/>
        </w:rPr>
        <w:t>）款规定及本章规定进行编制，如有必要，可增加附页，附页作为资格及资信文件的组成部分。</w:t>
      </w:r>
    </w:p>
    <w:p>
      <w:pPr>
        <w:pStyle w:val="11"/>
        <w:keepNext w:val="0"/>
        <w:keepLines w:val="0"/>
        <w:widowControl/>
        <w:suppressLineNumbers w:val="0"/>
        <w:spacing w:before="0" w:beforeAutospacing="0" w:after="150" w:afterAutospacing="0"/>
        <w:ind w:left="0" w:right="0" w:firstLine="480"/>
        <w:rPr>
          <w:color w:val="auto"/>
          <w:highlight w:val="none"/>
        </w:rPr>
      </w:pPr>
      <w:r>
        <w:rPr>
          <w:rFonts w:hint="eastAsia" w:ascii="宋体" w:hAnsi="宋体" w:eastAsia="宋体" w:cs="宋体"/>
          <w:color w:val="auto"/>
          <w:sz w:val="24"/>
          <w:szCs w:val="24"/>
          <w:highlight w:val="none"/>
        </w:rPr>
        <w:t>2.2接受联合体投标且投标人为联合体的，联合体中的各方均应按照本章第</w:t>
      </w:r>
      <w:r>
        <w:rPr>
          <w:rFonts w:hint="default" w:ascii="Calibri" w:hAnsi="Calibri" w:eastAsia="宋体" w:cs="Calibri"/>
          <w:color w:val="auto"/>
          <w:sz w:val="24"/>
          <w:szCs w:val="24"/>
          <w:highlight w:val="none"/>
        </w:rPr>
        <w:t>2.1</w:t>
      </w:r>
      <w:r>
        <w:rPr>
          <w:rFonts w:hint="eastAsia" w:ascii="宋体" w:hAnsi="宋体" w:eastAsia="宋体" w:cs="宋体"/>
          <w:color w:val="auto"/>
          <w:sz w:val="24"/>
          <w:szCs w:val="24"/>
          <w:highlight w:val="none"/>
        </w:rPr>
        <w:t>条规定提交相应的全部资料。</w:t>
      </w:r>
    </w:p>
    <w:p>
      <w:pPr>
        <w:pStyle w:val="11"/>
        <w:keepNext w:val="0"/>
        <w:keepLines w:val="0"/>
        <w:widowControl/>
        <w:suppressLineNumbers w:val="0"/>
        <w:spacing w:before="0" w:beforeAutospacing="0" w:after="150" w:afterAutospacing="0"/>
        <w:ind w:left="0" w:right="0" w:firstLine="480"/>
        <w:rPr>
          <w:color w:val="auto"/>
          <w:highlight w:val="none"/>
        </w:rPr>
      </w:pPr>
      <w:r>
        <w:rPr>
          <w:rFonts w:hint="eastAsia" w:ascii="宋体" w:hAnsi="宋体" w:eastAsia="宋体" w:cs="宋体"/>
          <w:color w:val="auto"/>
          <w:sz w:val="24"/>
          <w:szCs w:val="24"/>
          <w:highlight w:val="none"/>
        </w:rPr>
        <w:t>3、投标人对电子投标文件的索引应编制页码。</w:t>
      </w:r>
    </w:p>
    <w:p>
      <w:pPr>
        <w:pStyle w:val="11"/>
        <w:keepNext w:val="0"/>
        <w:keepLines w:val="0"/>
        <w:widowControl/>
        <w:suppressLineNumbers w:val="0"/>
        <w:spacing w:before="0" w:beforeAutospacing="0" w:after="150" w:afterAutospacing="0"/>
        <w:ind w:left="0" w:right="0" w:firstLine="480"/>
        <w:rPr>
          <w:color w:val="auto"/>
          <w:highlight w:val="none"/>
        </w:rPr>
      </w:pPr>
      <w:r>
        <w:rPr>
          <w:rFonts w:hint="eastAsia" w:ascii="宋体" w:hAnsi="宋体" w:eastAsia="宋体" w:cs="宋体"/>
          <w:color w:val="auto"/>
          <w:sz w:val="24"/>
          <w:szCs w:val="24"/>
          <w:highlight w:val="none"/>
        </w:rPr>
        <w:t>4、本章提供格式仅供参考，投标人应根据自身实际情况制作电子投标文件。</w:t>
      </w:r>
    </w:p>
    <w:p>
      <w:pPr>
        <w:pStyle w:val="11"/>
        <w:keepNext w:val="0"/>
        <w:keepLines w:val="0"/>
        <w:widowControl/>
        <w:suppressLineNumbers w:val="0"/>
        <w:spacing w:before="0" w:beforeAutospacing="0" w:after="150" w:afterAutospacing="0"/>
        <w:ind w:left="0" w:right="0"/>
        <w:rPr>
          <w:color w:val="auto"/>
          <w:highlight w:val="none"/>
        </w:rPr>
      </w:pP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rPr>
          <w:rStyle w:val="13"/>
          <w:rFonts w:hint="eastAsia" w:ascii="宋体" w:hAnsi="宋体" w:eastAsia="宋体" w:cs="宋体"/>
          <w:b/>
          <w:bCs/>
          <w:color w:val="auto"/>
          <w:sz w:val="28"/>
          <w:szCs w:val="28"/>
          <w:highlight w:val="none"/>
        </w:rPr>
      </w:pPr>
      <w:r>
        <w:rPr>
          <w:rStyle w:val="13"/>
          <w:rFonts w:hint="eastAsia" w:ascii="宋体" w:hAnsi="宋体" w:eastAsia="宋体" w:cs="宋体"/>
          <w:b/>
          <w:bCs/>
          <w:color w:val="auto"/>
          <w:sz w:val="28"/>
          <w:szCs w:val="28"/>
          <w:highlight w:val="none"/>
        </w:rPr>
        <w:br w:type="page"/>
      </w:r>
    </w:p>
    <w:p>
      <w:pPr>
        <w:pStyle w:val="11"/>
        <w:keepNext w:val="0"/>
        <w:keepLines w:val="0"/>
        <w:widowControl/>
        <w:suppressLineNumbers w:val="0"/>
        <w:spacing w:before="0" w:beforeAutospacing="0" w:after="150" w:afterAutospacing="0"/>
        <w:ind w:left="0" w:right="0"/>
        <w:jc w:val="center"/>
        <w:rPr>
          <w:color w:val="auto"/>
          <w:highlight w:val="none"/>
        </w:rPr>
      </w:pPr>
      <w:r>
        <w:rPr>
          <w:rStyle w:val="13"/>
          <w:rFonts w:hint="eastAsia" w:ascii="宋体" w:hAnsi="宋体" w:eastAsia="宋体" w:cs="宋体"/>
          <w:b/>
          <w:bCs/>
          <w:color w:val="auto"/>
          <w:sz w:val="28"/>
          <w:szCs w:val="28"/>
          <w:highlight w:val="none"/>
        </w:rPr>
        <w:t>封面格式</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36"/>
          <w:szCs w:val="36"/>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36"/>
          <w:szCs w:val="36"/>
          <w:highlight w:val="none"/>
        </w:rPr>
        <w:t> </w:t>
      </w:r>
    </w:p>
    <w:p>
      <w:pPr>
        <w:pStyle w:val="11"/>
        <w:keepNext w:val="0"/>
        <w:keepLines w:val="0"/>
        <w:widowControl/>
        <w:suppressLineNumbers w:val="0"/>
        <w:spacing w:before="0" w:beforeAutospacing="0" w:after="150" w:afterAutospacing="0"/>
        <w:ind w:left="0" w:right="0"/>
        <w:jc w:val="center"/>
        <w:rPr>
          <w:color w:val="auto"/>
          <w:highlight w:val="none"/>
        </w:rPr>
      </w:pPr>
      <w:r>
        <w:rPr>
          <w:rStyle w:val="13"/>
          <w:rFonts w:hint="eastAsia" w:ascii="宋体" w:hAnsi="宋体" w:eastAsia="宋体" w:cs="宋体"/>
          <w:b/>
          <w:bCs/>
          <w:color w:val="auto"/>
          <w:sz w:val="48"/>
          <w:szCs w:val="48"/>
          <w:highlight w:val="none"/>
        </w:rPr>
        <w:t>福建省政府采购投标文件</w:t>
      </w:r>
    </w:p>
    <w:p>
      <w:pPr>
        <w:pStyle w:val="11"/>
        <w:keepNext w:val="0"/>
        <w:keepLines w:val="0"/>
        <w:widowControl/>
        <w:suppressLineNumbers w:val="0"/>
        <w:spacing w:before="0" w:beforeAutospacing="0" w:after="150" w:afterAutospacing="0"/>
        <w:ind w:left="0" w:right="0"/>
        <w:jc w:val="center"/>
        <w:rPr>
          <w:color w:val="auto"/>
          <w:highlight w:val="none"/>
        </w:rPr>
      </w:pPr>
      <w:r>
        <w:rPr>
          <w:rStyle w:val="13"/>
          <w:rFonts w:hint="eastAsia" w:ascii="宋体" w:hAnsi="宋体" w:eastAsia="宋体" w:cs="宋体"/>
          <w:b/>
          <w:bCs/>
          <w:color w:val="auto"/>
          <w:sz w:val="48"/>
          <w:szCs w:val="48"/>
          <w:highlight w:val="none"/>
        </w:rPr>
        <w:t>（资格及资信证明部分）</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36"/>
          <w:szCs w:val="36"/>
          <w:highlight w:val="none"/>
        </w:rPr>
        <w:t> </w:t>
      </w:r>
    </w:p>
    <w:p>
      <w:pPr>
        <w:pStyle w:val="11"/>
        <w:keepNext w:val="0"/>
        <w:keepLines w:val="0"/>
        <w:widowControl/>
        <w:suppressLineNumbers w:val="0"/>
        <w:spacing w:before="0" w:beforeAutospacing="0" w:after="150" w:afterAutospacing="0"/>
        <w:ind w:left="0" w:right="0"/>
        <w:jc w:val="center"/>
        <w:rPr>
          <w:color w:val="auto"/>
          <w:highlight w:val="none"/>
        </w:rPr>
      </w:pPr>
      <w:r>
        <w:rPr>
          <w:rStyle w:val="13"/>
          <w:rFonts w:hint="eastAsia" w:ascii="宋体" w:hAnsi="宋体" w:eastAsia="宋体" w:cs="宋体"/>
          <w:b/>
          <w:bCs/>
          <w:color w:val="auto"/>
          <w:sz w:val="36"/>
          <w:szCs w:val="36"/>
          <w:highlight w:val="none"/>
          <w:u w:val="single"/>
        </w:rPr>
        <w:t>（填写正本或副本）</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36"/>
          <w:szCs w:val="36"/>
          <w:highlight w:val="none"/>
        </w:rPr>
        <w:t> </w:t>
      </w:r>
    </w:p>
    <w:p>
      <w:pPr>
        <w:pStyle w:val="11"/>
        <w:keepNext w:val="0"/>
        <w:keepLines w:val="0"/>
        <w:widowControl/>
        <w:suppressLineNumbers w:val="0"/>
        <w:spacing w:before="0" w:beforeAutospacing="0" w:after="150" w:afterAutospacing="0"/>
        <w:ind w:left="0" w:right="0" w:firstLine="1920"/>
        <w:rPr>
          <w:color w:val="auto"/>
          <w:highlight w:val="none"/>
        </w:rPr>
      </w:pPr>
      <w:r>
        <w:rPr>
          <w:rStyle w:val="13"/>
          <w:rFonts w:hint="eastAsia" w:ascii="宋体" w:hAnsi="宋体" w:eastAsia="宋体" w:cs="宋体"/>
          <w:b/>
          <w:bCs/>
          <w:color w:val="auto"/>
          <w:sz w:val="31"/>
          <w:szCs w:val="31"/>
          <w:highlight w:val="none"/>
        </w:rPr>
        <w:t>项目名称：</w:t>
      </w:r>
      <w:r>
        <w:rPr>
          <w:rStyle w:val="13"/>
          <w:rFonts w:hint="eastAsia" w:ascii="宋体" w:hAnsi="宋体" w:eastAsia="宋体" w:cs="宋体"/>
          <w:b/>
          <w:bCs/>
          <w:color w:val="auto"/>
          <w:sz w:val="31"/>
          <w:szCs w:val="31"/>
          <w:highlight w:val="none"/>
          <w:u w:val="single"/>
        </w:rPr>
        <w:t>（由投标人填写）</w:t>
      </w:r>
    </w:p>
    <w:p>
      <w:pPr>
        <w:pStyle w:val="11"/>
        <w:keepNext w:val="0"/>
        <w:keepLines w:val="0"/>
        <w:widowControl/>
        <w:suppressLineNumbers w:val="0"/>
        <w:spacing w:before="0" w:beforeAutospacing="0" w:after="150" w:afterAutospacing="0"/>
        <w:ind w:left="0" w:right="0" w:firstLine="1920"/>
        <w:rPr>
          <w:color w:val="auto"/>
          <w:highlight w:val="none"/>
        </w:rPr>
      </w:pPr>
      <w:r>
        <w:rPr>
          <w:rStyle w:val="13"/>
          <w:rFonts w:hint="eastAsia" w:ascii="宋体" w:hAnsi="宋体" w:eastAsia="宋体" w:cs="宋体"/>
          <w:b/>
          <w:bCs/>
          <w:color w:val="auto"/>
          <w:sz w:val="31"/>
          <w:szCs w:val="31"/>
          <w:highlight w:val="none"/>
        </w:rPr>
        <w:t>备案编号：</w:t>
      </w:r>
      <w:r>
        <w:rPr>
          <w:rStyle w:val="13"/>
          <w:rFonts w:hint="eastAsia" w:ascii="宋体" w:hAnsi="宋体" w:eastAsia="宋体" w:cs="宋体"/>
          <w:b/>
          <w:bCs/>
          <w:color w:val="auto"/>
          <w:sz w:val="31"/>
          <w:szCs w:val="31"/>
          <w:highlight w:val="none"/>
          <w:u w:val="single"/>
        </w:rPr>
        <w:t>（由投标人填写）</w:t>
      </w:r>
    </w:p>
    <w:p>
      <w:pPr>
        <w:pStyle w:val="11"/>
        <w:keepNext w:val="0"/>
        <w:keepLines w:val="0"/>
        <w:widowControl/>
        <w:suppressLineNumbers w:val="0"/>
        <w:spacing w:before="0" w:beforeAutospacing="0" w:after="150" w:afterAutospacing="0"/>
        <w:ind w:left="0" w:right="0" w:firstLine="1920"/>
        <w:rPr>
          <w:color w:val="auto"/>
          <w:highlight w:val="none"/>
        </w:rPr>
      </w:pPr>
      <w:r>
        <w:rPr>
          <w:rStyle w:val="13"/>
          <w:rFonts w:hint="eastAsia" w:ascii="宋体" w:hAnsi="宋体" w:eastAsia="宋体" w:cs="宋体"/>
          <w:b/>
          <w:bCs/>
          <w:color w:val="auto"/>
          <w:sz w:val="31"/>
          <w:szCs w:val="31"/>
          <w:highlight w:val="none"/>
        </w:rPr>
        <w:t>项目编号：</w:t>
      </w:r>
      <w:r>
        <w:rPr>
          <w:rStyle w:val="13"/>
          <w:rFonts w:hint="eastAsia" w:ascii="宋体" w:hAnsi="宋体" w:eastAsia="宋体" w:cs="宋体"/>
          <w:b/>
          <w:bCs/>
          <w:color w:val="auto"/>
          <w:sz w:val="31"/>
          <w:szCs w:val="31"/>
          <w:highlight w:val="none"/>
          <w:u w:val="single"/>
        </w:rPr>
        <w:t>（由投标人填写）</w:t>
      </w:r>
    </w:p>
    <w:p>
      <w:pPr>
        <w:pStyle w:val="11"/>
        <w:keepNext w:val="0"/>
        <w:keepLines w:val="0"/>
        <w:widowControl/>
        <w:suppressLineNumbers w:val="0"/>
        <w:spacing w:before="0" w:beforeAutospacing="0" w:after="150" w:afterAutospacing="0"/>
        <w:ind w:left="0" w:right="0" w:firstLine="1920"/>
        <w:rPr>
          <w:color w:val="auto"/>
          <w:highlight w:val="none"/>
        </w:rPr>
      </w:pPr>
      <w:r>
        <w:rPr>
          <w:rStyle w:val="13"/>
          <w:rFonts w:hint="eastAsia" w:ascii="宋体" w:hAnsi="宋体" w:eastAsia="宋体" w:cs="宋体"/>
          <w:b/>
          <w:bCs/>
          <w:color w:val="auto"/>
          <w:sz w:val="31"/>
          <w:szCs w:val="31"/>
          <w:highlight w:val="none"/>
        </w:rPr>
        <w:t>所投采购包：</w:t>
      </w:r>
      <w:r>
        <w:rPr>
          <w:rStyle w:val="13"/>
          <w:rFonts w:hint="eastAsia" w:ascii="宋体" w:hAnsi="宋体" w:eastAsia="宋体" w:cs="宋体"/>
          <w:b/>
          <w:bCs/>
          <w:color w:val="auto"/>
          <w:sz w:val="31"/>
          <w:szCs w:val="31"/>
          <w:highlight w:val="none"/>
          <w:u w:val="single"/>
        </w:rPr>
        <w:t>（由投标人填写）</w:t>
      </w:r>
    </w:p>
    <w:p>
      <w:pPr>
        <w:pStyle w:val="11"/>
        <w:keepNext w:val="0"/>
        <w:keepLines w:val="0"/>
        <w:widowControl/>
        <w:suppressLineNumbers w:val="0"/>
        <w:spacing w:before="0" w:beforeAutospacing="0" w:after="150" w:afterAutospacing="0"/>
        <w:ind w:left="0" w:right="0"/>
        <w:rPr>
          <w:color w:val="auto"/>
          <w:highlight w:val="none"/>
        </w:rPr>
      </w:pP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36"/>
          <w:szCs w:val="36"/>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36"/>
          <w:szCs w:val="36"/>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36"/>
          <w:szCs w:val="36"/>
          <w:highlight w:val="none"/>
        </w:rPr>
        <w:t> </w:t>
      </w:r>
    </w:p>
    <w:p>
      <w:pPr>
        <w:pStyle w:val="11"/>
        <w:keepNext w:val="0"/>
        <w:keepLines w:val="0"/>
        <w:widowControl/>
        <w:suppressLineNumbers w:val="0"/>
        <w:spacing w:before="0" w:beforeAutospacing="0" w:after="150" w:afterAutospacing="0"/>
        <w:ind w:left="0" w:right="0"/>
        <w:jc w:val="center"/>
        <w:rPr>
          <w:color w:val="auto"/>
          <w:highlight w:val="none"/>
        </w:rPr>
      </w:pPr>
      <w:r>
        <w:rPr>
          <w:rStyle w:val="13"/>
          <w:rFonts w:hint="eastAsia" w:ascii="宋体" w:hAnsi="宋体" w:eastAsia="宋体" w:cs="宋体"/>
          <w:b/>
          <w:bCs/>
          <w:color w:val="auto"/>
          <w:sz w:val="31"/>
          <w:szCs w:val="31"/>
          <w:highlight w:val="none"/>
        </w:rPr>
        <w:t>投标人：</w:t>
      </w:r>
      <w:r>
        <w:rPr>
          <w:rStyle w:val="13"/>
          <w:rFonts w:hint="eastAsia" w:ascii="宋体" w:hAnsi="宋体" w:eastAsia="宋体" w:cs="宋体"/>
          <w:b/>
          <w:bCs/>
          <w:color w:val="auto"/>
          <w:sz w:val="31"/>
          <w:szCs w:val="31"/>
          <w:highlight w:val="none"/>
          <w:u w:val="single"/>
        </w:rPr>
        <w:t>（填写“全称”）</w:t>
      </w:r>
    </w:p>
    <w:p>
      <w:pPr>
        <w:pStyle w:val="11"/>
        <w:keepNext w:val="0"/>
        <w:keepLines w:val="0"/>
        <w:widowControl/>
        <w:suppressLineNumbers w:val="0"/>
        <w:spacing w:before="0" w:beforeAutospacing="0" w:after="150" w:afterAutospacing="0"/>
        <w:ind w:left="0" w:right="0"/>
        <w:jc w:val="center"/>
        <w:rPr>
          <w:color w:val="auto"/>
          <w:highlight w:val="none"/>
        </w:rPr>
      </w:pPr>
      <w:r>
        <w:rPr>
          <w:rStyle w:val="13"/>
          <w:rFonts w:hint="eastAsia" w:ascii="宋体" w:hAnsi="宋体" w:eastAsia="宋体" w:cs="宋体"/>
          <w:b/>
          <w:bCs/>
          <w:color w:val="auto"/>
          <w:sz w:val="31"/>
          <w:szCs w:val="31"/>
          <w:highlight w:val="none"/>
          <w:u w:val="single"/>
        </w:rPr>
        <w:t>（由投标人填写）</w:t>
      </w:r>
      <w:r>
        <w:rPr>
          <w:rStyle w:val="13"/>
          <w:rFonts w:hint="eastAsia" w:ascii="宋体" w:hAnsi="宋体" w:eastAsia="宋体" w:cs="宋体"/>
          <w:b/>
          <w:bCs/>
          <w:color w:val="auto"/>
          <w:sz w:val="31"/>
          <w:szCs w:val="31"/>
          <w:highlight w:val="none"/>
        </w:rPr>
        <w:t>年</w:t>
      </w:r>
      <w:r>
        <w:rPr>
          <w:rStyle w:val="13"/>
          <w:rFonts w:hint="eastAsia" w:ascii="宋体" w:hAnsi="宋体" w:eastAsia="宋体" w:cs="宋体"/>
          <w:b/>
          <w:bCs/>
          <w:color w:val="auto"/>
          <w:sz w:val="31"/>
          <w:szCs w:val="31"/>
          <w:highlight w:val="none"/>
          <w:u w:val="single"/>
        </w:rPr>
        <w:t>（由投标人填写）</w:t>
      </w:r>
      <w:r>
        <w:rPr>
          <w:rStyle w:val="13"/>
          <w:rFonts w:hint="eastAsia" w:ascii="宋体" w:hAnsi="宋体" w:eastAsia="宋体" w:cs="宋体"/>
          <w:b/>
          <w:bCs/>
          <w:color w:val="auto"/>
          <w:sz w:val="31"/>
          <w:szCs w:val="31"/>
          <w:highlight w:val="none"/>
        </w:rPr>
        <w:t>月</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jc w:val="center"/>
        <w:rPr>
          <w:color w:val="auto"/>
          <w:highlight w:val="none"/>
        </w:rPr>
      </w:pPr>
      <w:r>
        <w:rPr>
          <w:rFonts w:hint="default" w:ascii="Calibri" w:hAnsi="Calibri" w:cs="Calibri"/>
          <w:color w:val="auto"/>
          <w:sz w:val="21"/>
          <w:szCs w:val="21"/>
          <w:highlight w:val="none"/>
        </w:rPr>
        <w:br w:type="textWrapping"/>
      </w:r>
      <w:r>
        <w:rPr>
          <w:rStyle w:val="13"/>
          <w:rFonts w:hint="eastAsia" w:ascii="宋体" w:hAnsi="宋体" w:eastAsia="宋体" w:cs="宋体"/>
          <w:b/>
          <w:bCs/>
          <w:color w:val="auto"/>
          <w:sz w:val="28"/>
          <w:szCs w:val="28"/>
          <w:highlight w:val="none"/>
        </w:rPr>
        <w:t>索引</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8"/>
          <w:szCs w:val="28"/>
          <w:highlight w:val="none"/>
        </w:rPr>
        <w:t>一、投标函</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8"/>
          <w:szCs w:val="28"/>
          <w:highlight w:val="none"/>
        </w:rPr>
        <w:t>二、投标人的资格及资信证明文件</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8"/>
          <w:szCs w:val="28"/>
          <w:highlight w:val="none"/>
        </w:rPr>
        <w:t>三、投标保证金</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※注意</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资格及资信证明部分中不得出现报价部分的全部或部分的投标报价信息（或组成资料），否则</w:t>
      </w:r>
      <w:r>
        <w:rPr>
          <w:rStyle w:val="13"/>
          <w:rFonts w:hint="eastAsia" w:ascii="宋体" w:hAnsi="宋体" w:eastAsia="宋体" w:cs="宋体"/>
          <w:b/>
          <w:bCs/>
          <w:color w:val="auto"/>
          <w:sz w:val="21"/>
          <w:szCs w:val="21"/>
          <w:highlight w:val="none"/>
        </w:rPr>
        <w:t>资格审查不合格</w:t>
      </w:r>
      <w:r>
        <w:rPr>
          <w:rFonts w:hint="eastAsia" w:ascii="宋体" w:hAnsi="宋体" w:eastAsia="宋体" w:cs="宋体"/>
          <w:color w:val="auto"/>
          <w:sz w:val="21"/>
          <w:szCs w:val="21"/>
          <w:highlight w:val="none"/>
        </w:rPr>
        <w:t>。（联合体协议及分包意向协议中的比例规定，不适用本条款）</w:t>
      </w:r>
    </w:p>
    <w:p>
      <w:pPr>
        <w:pStyle w:val="11"/>
        <w:keepNext w:val="0"/>
        <w:keepLines w:val="0"/>
        <w:widowControl/>
        <w:suppressLineNumbers w:val="0"/>
        <w:spacing w:before="0" w:beforeAutospacing="0" w:after="150" w:afterAutospacing="0"/>
        <w:ind w:left="0" w:right="0"/>
        <w:rPr>
          <w:color w:val="auto"/>
          <w:highlight w:val="none"/>
        </w:rPr>
      </w:pPr>
    </w:p>
    <w:p>
      <w:pPr>
        <w:pStyle w:val="11"/>
        <w:keepNext w:val="0"/>
        <w:keepLines w:val="0"/>
        <w:widowControl/>
        <w:suppressLineNumbers w:val="0"/>
        <w:spacing w:before="0" w:beforeAutospacing="0" w:after="150" w:afterAutospacing="0"/>
        <w:ind w:left="0" w:right="0"/>
        <w:jc w:val="center"/>
        <w:rPr>
          <w:rFonts w:hint="default" w:ascii="Calibri" w:hAnsi="Calibri" w:cs="Calibri"/>
          <w:color w:val="auto"/>
          <w:sz w:val="21"/>
          <w:szCs w:val="21"/>
          <w:highlight w:val="none"/>
        </w:rPr>
      </w:pPr>
      <w:r>
        <w:rPr>
          <w:rFonts w:hint="default" w:ascii="Calibri" w:hAnsi="Calibri" w:cs="Calibri"/>
          <w:color w:val="auto"/>
          <w:sz w:val="21"/>
          <w:szCs w:val="21"/>
          <w:highlight w:val="none"/>
        </w:rPr>
        <w:br w:type="textWrapping"/>
      </w:r>
    </w:p>
    <w:p>
      <w:pPr>
        <w:rPr>
          <w:rFonts w:hint="default" w:ascii="Calibri" w:hAnsi="Calibri" w:cs="Calibri"/>
          <w:color w:val="auto"/>
          <w:sz w:val="21"/>
          <w:szCs w:val="21"/>
          <w:highlight w:val="none"/>
        </w:rPr>
      </w:pPr>
      <w:r>
        <w:rPr>
          <w:rFonts w:hint="default" w:ascii="Calibri" w:hAnsi="Calibri" w:cs="Calibri"/>
          <w:color w:val="auto"/>
          <w:sz w:val="21"/>
          <w:szCs w:val="21"/>
          <w:highlight w:val="none"/>
        </w:rPr>
        <w:br w:type="page"/>
      </w:r>
    </w:p>
    <w:p>
      <w:pPr>
        <w:pStyle w:val="11"/>
        <w:keepNext w:val="0"/>
        <w:keepLines w:val="0"/>
        <w:widowControl/>
        <w:suppressLineNumbers w:val="0"/>
        <w:spacing w:before="0" w:beforeAutospacing="0" w:after="150" w:afterAutospacing="0"/>
        <w:ind w:left="0" w:right="0"/>
        <w:jc w:val="center"/>
        <w:rPr>
          <w:color w:val="auto"/>
          <w:highlight w:val="none"/>
        </w:rPr>
      </w:pPr>
      <w:r>
        <w:rPr>
          <w:rStyle w:val="13"/>
          <w:rFonts w:hint="eastAsia" w:ascii="宋体" w:hAnsi="宋体" w:eastAsia="宋体" w:cs="宋体"/>
          <w:b/>
          <w:bCs/>
          <w:color w:val="auto"/>
          <w:sz w:val="21"/>
          <w:szCs w:val="21"/>
          <w:highlight w:val="none"/>
        </w:rPr>
        <w:t>一、投标函</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（采购人或采购代理机构）</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兹收到贵单位关于</w:t>
      </w:r>
      <w:r>
        <w:rPr>
          <w:rFonts w:hint="eastAsia" w:ascii="宋体" w:hAnsi="宋体" w:eastAsia="宋体" w:cs="宋体"/>
          <w:color w:val="auto"/>
          <w:sz w:val="21"/>
          <w:szCs w:val="21"/>
          <w:highlight w:val="none"/>
          <w:u w:val="single"/>
        </w:rPr>
        <w:t>（填写“项目名称”）</w:t>
      </w:r>
      <w:r>
        <w:rPr>
          <w:rFonts w:hint="eastAsia" w:ascii="宋体" w:hAnsi="宋体" w:eastAsia="宋体" w:cs="宋体"/>
          <w:color w:val="auto"/>
          <w:sz w:val="21"/>
          <w:szCs w:val="21"/>
          <w:highlight w:val="none"/>
        </w:rPr>
        <w:t>项目（项目编号：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）的投标邀请，本投标人代表</w:t>
      </w:r>
      <w:r>
        <w:rPr>
          <w:rFonts w:hint="eastAsia" w:ascii="宋体" w:hAnsi="宋体" w:eastAsia="宋体" w:cs="宋体"/>
          <w:color w:val="auto"/>
          <w:sz w:val="21"/>
          <w:szCs w:val="21"/>
          <w:highlight w:val="none"/>
          <w:u w:val="single"/>
        </w:rPr>
        <w:t>（填写“全名”）</w:t>
      </w:r>
      <w:r>
        <w:rPr>
          <w:rFonts w:hint="eastAsia" w:ascii="宋体" w:hAnsi="宋体" w:eastAsia="宋体" w:cs="宋体"/>
          <w:color w:val="auto"/>
          <w:sz w:val="21"/>
          <w:szCs w:val="21"/>
          <w:highlight w:val="none"/>
        </w:rPr>
        <w:t>已获得我方正式授权并代表投标人</w:t>
      </w:r>
      <w:r>
        <w:rPr>
          <w:rFonts w:hint="eastAsia" w:ascii="宋体" w:hAnsi="宋体" w:eastAsia="宋体" w:cs="宋体"/>
          <w:color w:val="auto"/>
          <w:sz w:val="21"/>
          <w:szCs w:val="21"/>
          <w:highlight w:val="none"/>
          <w:u w:val="single"/>
        </w:rPr>
        <w:t>（填写“全称”）</w:t>
      </w:r>
      <w:r>
        <w:rPr>
          <w:rFonts w:hint="eastAsia" w:ascii="宋体" w:hAnsi="宋体" w:eastAsia="宋体" w:cs="宋体"/>
          <w:color w:val="auto"/>
          <w:sz w:val="21"/>
          <w:szCs w:val="21"/>
          <w:highlight w:val="none"/>
        </w:rPr>
        <w:t>参加投标，并提交电子投标文件。我方提交的全部电子投标文件由下述部分组成：</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（1）资格及资信证明部分</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①投标函</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②投标人的资格及资信证明文件</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③投标保证金</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（2）报价部分</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①开标一览表</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②投标分项报价表</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③招标文件规定的价格扣除证明材料（若有）</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④招标文件规定的加分证明材料（若有）</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（3）技术商务部分</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①标的说明一览表</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②技术和服务要求响应表</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③商务条件响应表</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④投标人提交的其他资料（若有）</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根据本函，本投标人代表宣布我方保证遵守招标文件的全部规定，同时：</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1、</w:t>
      </w:r>
      <w:r>
        <w:rPr>
          <w:rStyle w:val="13"/>
          <w:rFonts w:hint="eastAsia" w:ascii="宋体" w:hAnsi="宋体" w:eastAsia="宋体" w:cs="宋体"/>
          <w:b/>
          <w:bCs/>
          <w:color w:val="auto"/>
          <w:sz w:val="21"/>
          <w:szCs w:val="21"/>
          <w:highlight w:val="none"/>
        </w:rPr>
        <w:t>确认：</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1.1所投采购包的投标报价详见“开标一览表”及“投标分项报价表”。</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1.2我方已详细审查全部招标文件</w:t>
      </w:r>
      <w:r>
        <w:rPr>
          <w:rFonts w:hint="default" w:ascii="Calibri" w:hAnsi="Calibri" w:eastAsia="宋体" w:cs="Calibri"/>
          <w:color w:val="auto"/>
          <w:sz w:val="21"/>
          <w:szCs w:val="21"/>
          <w:highlight w:val="none"/>
        </w:rPr>
        <w:t>[</w:t>
      </w:r>
      <w:r>
        <w:rPr>
          <w:rFonts w:hint="eastAsia" w:ascii="宋体" w:hAnsi="宋体" w:eastAsia="宋体" w:cs="宋体"/>
          <w:color w:val="auto"/>
          <w:sz w:val="21"/>
          <w:szCs w:val="21"/>
          <w:highlight w:val="none"/>
        </w:rPr>
        <w:t>包括但不限于：有关附件（若有）、澄清或修改（若有）等</w:t>
      </w:r>
      <w:r>
        <w:rPr>
          <w:rFonts w:hint="default" w:ascii="Calibri" w:hAnsi="Calibri" w:eastAsia="宋体" w:cs="Calibri"/>
          <w:color w:val="auto"/>
          <w:sz w:val="21"/>
          <w:szCs w:val="21"/>
          <w:highlight w:val="none"/>
        </w:rPr>
        <w:t>]</w:t>
      </w:r>
      <w:r>
        <w:rPr>
          <w:rFonts w:hint="eastAsia" w:ascii="宋体" w:hAnsi="宋体" w:eastAsia="宋体" w:cs="宋体"/>
          <w:color w:val="auto"/>
          <w:sz w:val="21"/>
          <w:szCs w:val="21"/>
          <w:highlight w:val="none"/>
        </w:rPr>
        <w:t>，并自行承担因对全部招标文件理解不正确或误解而产生的相应后果和责任。</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2、</w:t>
      </w:r>
      <w:r>
        <w:rPr>
          <w:rStyle w:val="13"/>
          <w:rFonts w:hint="eastAsia" w:ascii="宋体" w:hAnsi="宋体" w:eastAsia="宋体" w:cs="宋体"/>
          <w:b/>
          <w:bCs/>
          <w:color w:val="auto"/>
          <w:sz w:val="21"/>
          <w:szCs w:val="21"/>
          <w:highlight w:val="none"/>
        </w:rPr>
        <w:t>承诺及声明：</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2.1我方具备招标文件第一章载明的“投标人的资格要求”且符合招标文件第三章载明的“二、投标人”之规定，否则</w:t>
      </w:r>
      <w:r>
        <w:rPr>
          <w:rStyle w:val="13"/>
          <w:rFonts w:hint="eastAsia" w:ascii="宋体" w:hAnsi="宋体" w:eastAsia="宋体" w:cs="宋体"/>
          <w:b/>
          <w:bCs/>
          <w:color w:val="auto"/>
          <w:sz w:val="21"/>
          <w:szCs w:val="21"/>
          <w:highlight w:val="none"/>
        </w:rPr>
        <w:t>投标无效。</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2.2我方提交的电子投标文件各组成部分的全部内容及资料是不可割离且真实、有效、准确、完整和不具有任何误导性的，否则产生不利后果由我方承担责任。</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2.3我方提供的标的价格不高于同期市场价格，否则产生不利后果由我方承担责任。</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2.4投标保证金：若出现招标文件第三章规定的不予退还情形，同意贵单位不予退还。</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2.5投标有效期：按照招标文件第三章规定执行，并在招标文件第二章载明的期限内保持有效。</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2.6若中标，将按照招标文件、我方电子投标文件及政府采购合同履行责任和义务。</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2.7若贵单位要求，我方同意提供与本项目投标有关的一切资料、数据或文件，并完全理解贵单位不一定要接受最低的投标报价或收到的任何投标。</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2.8我方承诺电子投标文件所提供的全部资料真实可靠，并接受评标委员会、采购人、采购代理机构、监管部门进一步审查其中任何资料真实性的要求。</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2.9除招标文件另有规定外，对于贵单位按照下述联络方式发出的任何信息或通知，均视为我方已收悉前述信息或通知的全部内容：</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u w:val="none"/>
        </w:rPr>
        <w:t>通信地址：                                        </w:t>
      </w:r>
      <w:r>
        <w:rPr>
          <w:rFonts w:hint="eastAsia" w:ascii="宋体" w:hAnsi="宋体" w:eastAsia="宋体" w:cs="宋体"/>
          <w:color w:val="auto"/>
          <w:sz w:val="21"/>
          <w:szCs w:val="21"/>
          <w:highlight w:val="none"/>
          <w:u w:val="none"/>
        </w:rPr>
        <w:br w:type="textWrapping"/>
      </w:r>
      <w:r>
        <w:rPr>
          <w:rFonts w:hint="eastAsia" w:ascii="宋体" w:hAnsi="宋体" w:eastAsia="宋体" w:cs="宋体"/>
          <w:color w:val="auto"/>
          <w:sz w:val="21"/>
          <w:szCs w:val="21"/>
          <w:highlight w:val="none"/>
          <w:u w:val="none"/>
        </w:rPr>
        <w:t>  邮编：                                           </w:t>
      </w:r>
      <w:r>
        <w:rPr>
          <w:rFonts w:hint="eastAsia" w:ascii="宋体" w:hAnsi="宋体" w:eastAsia="宋体" w:cs="宋体"/>
          <w:color w:val="auto"/>
          <w:sz w:val="21"/>
          <w:szCs w:val="21"/>
          <w:highlight w:val="none"/>
          <w:u w:val="none"/>
        </w:rPr>
        <w:br w:type="textWrapping"/>
      </w:r>
      <w:r>
        <w:rPr>
          <w:rFonts w:hint="eastAsia" w:ascii="宋体" w:hAnsi="宋体" w:eastAsia="宋体" w:cs="宋体"/>
          <w:color w:val="auto"/>
          <w:sz w:val="21"/>
          <w:szCs w:val="21"/>
          <w:highlight w:val="none"/>
          <w:u w:val="none"/>
        </w:rPr>
        <w:t>  联系方法：（包括但不限于：联系人、联系电话、手机、传真、电子邮箱等）</w:t>
      </w:r>
      <w:r>
        <w:rPr>
          <w:rFonts w:hint="eastAsia" w:ascii="宋体" w:hAnsi="宋体" w:eastAsia="宋体" w:cs="宋体"/>
          <w:color w:val="auto"/>
          <w:sz w:val="21"/>
          <w:szCs w:val="21"/>
          <w:highlight w:val="none"/>
          <w:u w:val="none"/>
        </w:rPr>
        <w:br w:type="textWrapping"/>
      </w:r>
      <w:r>
        <w:rPr>
          <w:rFonts w:hint="eastAsia" w:ascii="宋体" w:hAnsi="宋体" w:eastAsia="宋体" w:cs="宋体"/>
          <w:color w:val="auto"/>
          <w:sz w:val="21"/>
          <w:szCs w:val="21"/>
          <w:highlight w:val="none"/>
          <w:u w:val="none"/>
        </w:rPr>
        <w:t>  投标人：（全称并加盖单位公章）</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u w:val="none"/>
        </w:rPr>
        <w:t>日期：    年   月   日</w:t>
      </w:r>
    </w:p>
    <w:p>
      <w:pPr>
        <w:pStyle w:val="11"/>
        <w:keepNext w:val="0"/>
        <w:keepLines w:val="0"/>
        <w:widowControl/>
        <w:suppressLineNumbers w:val="0"/>
        <w:spacing w:before="0" w:beforeAutospacing="0" w:after="150" w:afterAutospacing="0"/>
        <w:ind w:left="0" w:right="0"/>
        <w:jc w:val="center"/>
        <w:rPr>
          <w:rFonts w:hint="default" w:ascii="Calibri" w:hAnsi="Calibri" w:cs="Calibri"/>
          <w:color w:val="auto"/>
          <w:sz w:val="21"/>
          <w:szCs w:val="21"/>
          <w:highlight w:val="none"/>
        </w:rPr>
      </w:pPr>
      <w:r>
        <w:rPr>
          <w:rFonts w:hint="default" w:ascii="Calibri" w:hAnsi="Calibri" w:cs="Calibri"/>
          <w:color w:val="auto"/>
          <w:sz w:val="21"/>
          <w:szCs w:val="21"/>
          <w:highlight w:val="none"/>
        </w:rPr>
        <w:br w:type="textWrapping"/>
      </w:r>
    </w:p>
    <w:p>
      <w:pPr>
        <w:rPr>
          <w:rFonts w:hint="default" w:ascii="Calibri" w:hAnsi="Calibri" w:cs="Calibri"/>
          <w:color w:val="auto"/>
          <w:sz w:val="21"/>
          <w:szCs w:val="21"/>
          <w:highlight w:val="none"/>
        </w:rPr>
      </w:pPr>
      <w:r>
        <w:rPr>
          <w:rFonts w:hint="default" w:ascii="Calibri" w:hAnsi="Calibri" w:cs="Calibri"/>
          <w:color w:val="auto"/>
          <w:sz w:val="21"/>
          <w:szCs w:val="21"/>
          <w:highlight w:val="none"/>
        </w:rPr>
        <w:br w:type="page"/>
      </w:r>
    </w:p>
    <w:p>
      <w:pPr>
        <w:pStyle w:val="11"/>
        <w:keepNext w:val="0"/>
        <w:keepLines w:val="0"/>
        <w:widowControl/>
        <w:suppressLineNumbers w:val="0"/>
        <w:spacing w:before="0" w:beforeAutospacing="0" w:after="150" w:afterAutospacing="0"/>
        <w:ind w:left="0" w:right="0"/>
        <w:jc w:val="center"/>
        <w:rPr>
          <w:color w:val="auto"/>
          <w:highlight w:val="none"/>
        </w:rPr>
      </w:pPr>
      <w:r>
        <w:rPr>
          <w:rStyle w:val="13"/>
          <w:rFonts w:hint="eastAsia" w:ascii="宋体" w:hAnsi="宋体" w:eastAsia="宋体" w:cs="宋体"/>
          <w:b/>
          <w:bCs/>
          <w:color w:val="auto"/>
          <w:sz w:val="21"/>
          <w:szCs w:val="21"/>
          <w:highlight w:val="none"/>
        </w:rPr>
        <w:t>二、投标人的资格及资信证明文件</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jc w:val="center"/>
        <w:rPr>
          <w:color w:val="auto"/>
          <w:highlight w:val="none"/>
        </w:rPr>
      </w:pPr>
      <w:r>
        <w:rPr>
          <w:rStyle w:val="13"/>
          <w:rFonts w:hint="eastAsia" w:ascii="宋体" w:hAnsi="宋体" w:eastAsia="宋体" w:cs="宋体"/>
          <w:b/>
          <w:bCs/>
          <w:color w:val="auto"/>
          <w:sz w:val="21"/>
          <w:szCs w:val="21"/>
          <w:highlight w:val="none"/>
        </w:rPr>
        <w:t>二-1单位授权书（若有）</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（采购人或采购代理机构） </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我方的单位负责人</w:t>
      </w:r>
      <w:r>
        <w:rPr>
          <w:rFonts w:hint="eastAsia" w:ascii="宋体" w:hAnsi="宋体" w:eastAsia="宋体" w:cs="宋体"/>
          <w:color w:val="auto"/>
          <w:sz w:val="21"/>
          <w:szCs w:val="21"/>
          <w:highlight w:val="none"/>
          <w:u w:val="single"/>
        </w:rPr>
        <w:t>（填写“单位负责人全名”）</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（填写“投标人代表全名”）</w:t>
      </w:r>
      <w:r>
        <w:rPr>
          <w:rFonts w:hint="eastAsia" w:ascii="宋体" w:hAnsi="宋体" w:eastAsia="宋体" w:cs="宋体"/>
          <w:color w:val="auto"/>
          <w:sz w:val="21"/>
          <w:szCs w:val="21"/>
          <w:highlight w:val="none"/>
        </w:rPr>
        <w:t>为投标人代表，代表我方参加</w:t>
      </w:r>
      <w:r>
        <w:rPr>
          <w:rFonts w:hint="eastAsia" w:ascii="宋体" w:hAnsi="宋体" w:eastAsia="宋体" w:cs="宋体"/>
          <w:color w:val="auto"/>
          <w:sz w:val="21"/>
          <w:szCs w:val="21"/>
          <w:highlight w:val="none"/>
          <w:u w:val="single"/>
        </w:rPr>
        <w:t>（填写“项目名称”）</w:t>
      </w:r>
      <w:r>
        <w:rPr>
          <w:rFonts w:hint="eastAsia" w:ascii="宋体" w:hAnsi="宋体" w:eastAsia="宋体" w:cs="宋体"/>
          <w:color w:val="auto"/>
          <w:sz w:val="21"/>
          <w:szCs w:val="21"/>
          <w:highlight w:val="none"/>
        </w:rPr>
        <w:t>项目（项目编号：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投标人代表无转委权。特此授权。</w:t>
      </w:r>
    </w:p>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（以下无正文）</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widowControl/>
        <w:spacing w:beforeAutospacing="0" w:after="150" w:afterAutospacing="0"/>
        <w:rPr>
          <w:rFonts w:ascii="宋体" w:hAnsi="宋体" w:eastAsia="宋体" w:cs="宋体"/>
          <w:color w:val="auto"/>
          <w:highlight w:val="none"/>
        </w:rPr>
      </w:pPr>
      <w:r>
        <w:rPr>
          <w:rFonts w:hint="eastAsia" w:ascii="宋体" w:hAnsi="宋体" w:eastAsia="宋体" w:cs="宋体"/>
          <w:color w:val="auto"/>
          <w:sz w:val="21"/>
          <w:szCs w:val="21"/>
          <w:highlight w:val="none"/>
        </w:rPr>
        <w:t>单位负责人：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手机：</w:t>
      </w:r>
      <w:r>
        <w:rPr>
          <w:rFonts w:hint="eastAsia" w:ascii="宋体" w:hAnsi="宋体" w:eastAsia="宋体" w:cs="宋体"/>
          <w:color w:val="auto"/>
          <w:sz w:val="21"/>
          <w:szCs w:val="21"/>
          <w:highlight w:val="none"/>
          <w:u w:val="single"/>
        </w:rPr>
        <w:t>        </w:t>
      </w:r>
    </w:p>
    <w:p>
      <w:pPr>
        <w:pStyle w:val="11"/>
        <w:widowControl/>
        <w:spacing w:beforeAutospacing="0" w:after="150" w:afterAutospacing="0"/>
        <w:rPr>
          <w:rFonts w:ascii="宋体" w:hAnsi="宋体" w:eastAsia="宋体" w:cs="宋体"/>
          <w:color w:val="auto"/>
          <w:highlight w:val="none"/>
        </w:rPr>
      </w:pPr>
      <w:r>
        <w:rPr>
          <w:rFonts w:hint="eastAsia" w:ascii="宋体" w:hAnsi="宋体" w:eastAsia="宋体" w:cs="宋体"/>
          <w:color w:val="auto"/>
          <w:sz w:val="21"/>
          <w:szCs w:val="21"/>
          <w:highlight w:val="none"/>
        </w:rPr>
        <w:t>投标人代表：</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手机：</w:t>
      </w:r>
      <w:r>
        <w:rPr>
          <w:rFonts w:hint="eastAsia" w:ascii="宋体" w:hAnsi="宋体" w:eastAsia="宋体" w:cs="宋体"/>
          <w:color w:val="auto"/>
          <w:sz w:val="21"/>
          <w:szCs w:val="21"/>
          <w:highlight w:val="none"/>
          <w:u w:val="single"/>
        </w:rPr>
        <w:t>        </w:t>
      </w:r>
    </w:p>
    <w:p>
      <w:pPr>
        <w:pStyle w:val="11"/>
        <w:keepNext w:val="0"/>
        <w:keepLines w:val="0"/>
        <w:widowControl/>
        <w:suppressLineNumbers w:val="0"/>
        <w:spacing w:before="0" w:beforeAutospacing="0" w:after="150" w:afterAutospacing="0"/>
        <w:ind w:left="0" w:right="0"/>
        <w:rPr>
          <w:color w:val="auto"/>
          <w:highlight w:val="none"/>
        </w:rPr>
      </w:pPr>
      <w:r>
        <w:rPr>
          <w:rFonts w:hint="default" w:ascii="Calibri" w:hAnsi="Calibri" w:cs="Calibri"/>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授权方</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jc w:val="right"/>
        <w:rPr>
          <w:color w:val="auto"/>
          <w:highlight w:val="none"/>
        </w:rPr>
      </w:pPr>
      <w:r>
        <w:rPr>
          <w:rFonts w:hint="eastAsia" w:ascii="宋体" w:hAnsi="宋体" w:eastAsia="宋体" w:cs="宋体"/>
          <w:color w:val="auto"/>
          <w:sz w:val="21"/>
          <w:szCs w:val="21"/>
          <w:highlight w:val="none"/>
        </w:rPr>
        <w:t>签署日期：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1"/>
        <w:keepNext w:val="0"/>
        <w:keepLines w:val="0"/>
        <w:widowControl/>
        <w:suppressLineNumbers w:val="0"/>
        <w:spacing w:before="0" w:beforeAutospacing="0" w:after="150" w:afterAutospacing="0"/>
        <w:ind w:left="0" w:right="0"/>
        <w:rPr>
          <w:color w:val="auto"/>
          <w:highlight w:val="none"/>
        </w:rPr>
      </w:pPr>
      <w:r>
        <w:rPr>
          <w:rFonts w:hint="default" w:ascii="Calibri" w:hAnsi="Calibri" w:cs="Calibri"/>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附：单位负责人、投标人代表的身份证正反面复印件</w:t>
      </w:r>
    </w:p>
    <w:tbl>
      <w:tblPr>
        <w:tblStyle w:val="1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c>
          <w:tcPr>
            <w:tcW w:w="8520"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Style w:val="13"/>
                <w:rFonts w:hint="eastAsia" w:ascii="宋体" w:hAnsi="宋体" w:eastAsia="宋体" w:cs="宋体"/>
                <w:b/>
                <w:bCs/>
                <w:color w:val="auto"/>
                <w:sz w:val="21"/>
                <w:szCs w:val="21"/>
                <w:highlight w:val="none"/>
              </w:rPr>
              <w:t> </w:t>
            </w:r>
          </w:p>
          <w:p>
            <w:pPr>
              <w:pStyle w:val="11"/>
              <w:keepNext w:val="0"/>
              <w:keepLines w:val="0"/>
              <w:widowControl/>
              <w:suppressLineNumbers w:val="0"/>
              <w:spacing w:before="0" w:beforeAutospacing="0" w:after="150" w:afterAutospacing="0"/>
              <w:ind w:left="0" w:right="0"/>
              <w:jc w:val="center"/>
              <w:rPr>
                <w:color w:val="auto"/>
                <w:highlight w:val="none"/>
              </w:rPr>
            </w:pPr>
            <w:r>
              <w:rPr>
                <w:rStyle w:val="13"/>
                <w:rFonts w:hint="eastAsia" w:ascii="宋体" w:hAnsi="宋体" w:eastAsia="宋体" w:cs="宋体"/>
                <w:b/>
                <w:bCs/>
                <w:color w:val="auto"/>
                <w:sz w:val="21"/>
                <w:szCs w:val="21"/>
                <w:highlight w:val="none"/>
              </w:rPr>
              <w:t>要求：真实有效且内容完整、清晰、整洁。</w:t>
            </w:r>
          </w:p>
          <w:p>
            <w:pPr>
              <w:pStyle w:val="11"/>
              <w:keepNext w:val="0"/>
              <w:keepLines w:val="0"/>
              <w:widowControl/>
              <w:suppressLineNumbers w:val="0"/>
              <w:spacing w:before="0" w:beforeAutospacing="0" w:after="150" w:afterAutospacing="0"/>
              <w:ind w:left="0" w:right="0"/>
              <w:jc w:val="center"/>
              <w:rPr>
                <w:color w:val="auto"/>
                <w:highlight w:val="none"/>
              </w:rPr>
            </w:pPr>
            <w:r>
              <w:rPr>
                <w:rStyle w:val="13"/>
                <w:rFonts w:hint="eastAsia" w:ascii="宋体" w:hAnsi="宋体" w:eastAsia="宋体" w:cs="宋体"/>
                <w:b/>
                <w:bCs/>
                <w:color w:val="auto"/>
                <w:sz w:val="21"/>
                <w:szCs w:val="21"/>
                <w:highlight w:val="none"/>
              </w:rPr>
              <w:t> </w:t>
            </w:r>
          </w:p>
        </w:tc>
      </w:tr>
    </w:tbl>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※注意：</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1、企业（银行、保险、石油石化、电力、电信等行业除外）、事业单位和社会团体法人的“单位负责人”指</w:t>
      </w:r>
      <w:r>
        <w:rPr>
          <w:rStyle w:val="13"/>
          <w:rFonts w:hint="eastAsia" w:ascii="宋体" w:hAnsi="宋体" w:eastAsia="宋体" w:cs="宋体"/>
          <w:b/>
          <w:bCs/>
          <w:color w:val="auto"/>
          <w:sz w:val="21"/>
          <w:szCs w:val="21"/>
          <w:highlight w:val="none"/>
        </w:rPr>
        <w:t>法定代表人</w:t>
      </w:r>
      <w:r>
        <w:rPr>
          <w:rFonts w:hint="eastAsia" w:ascii="宋体" w:hAnsi="宋体" w:eastAsia="宋体" w:cs="宋体"/>
          <w:color w:val="auto"/>
          <w:sz w:val="21"/>
          <w:szCs w:val="21"/>
          <w:highlight w:val="none"/>
        </w:rPr>
        <w:t>，即与实际提交的“营业执照等证明文件”载明的一致。</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1"/>
        <w:keepNext w:val="0"/>
        <w:keepLines w:val="0"/>
        <w:widowControl/>
        <w:suppressLineNumbers w:val="0"/>
        <w:spacing w:before="0" w:beforeAutospacing="0" w:after="240" w:afterAutospacing="0"/>
        <w:ind w:left="0" w:right="0"/>
        <w:rPr>
          <w:color w:val="auto"/>
          <w:highlight w:val="none"/>
        </w:rPr>
      </w:pPr>
      <w:r>
        <w:rPr>
          <w:rFonts w:hint="eastAsia" w:ascii="宋体" w:hAnsi="宋体" w:eastAsia="宋体" w:cs="宋体"/>
          <w:color w:val="auto"/>
          <w:sz w:val="21"/>
          <w:szCs w:val="21"/>
          <w:highlight w:val="none"/>
        </w:rPr>
        <w:t>3、投标人（自然人除外）：若投标人代表为单位授权的委托代理人，应提供本授权书；若投标人代表为单位负责人，应在此项下提交其身份证正反面复印件，可不提供本授权书。</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4、投标人为自然人的，可不填写本授权书。</w:t>
      </w:r>
    </w:p>
    <w:p>
      <w:pPr>
        <w:pStyle w:val="11"/>
        <w:keepNext w:val="0"/>
        <w:keepLines w:val="0"/>
        <w:widowControl/>
        <w:suppressLineNumbers w:val="0"/>
        <w:spacing w:before="0" w:beforeAutospacing="0" w:after="150" w:afterAutospacing="0"/>
        <w:ind w:left="0" w:right="0"/>
        <w:rPr>
          <w:color w:val="auto"/>
          <w:highlight w:val="none"/>
        </w:rPr>
      </w:pP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jc w:val="center"/>
        <w:rPr>
          <w:rFonts w:hint="default" w:ascii="Calibri" w:hAnsi="Calibri" w:cs="Calibri"/>
          <w:color w:val="auto"/>
          <w:sz w:val="21"/>
          <w:szCs w:val="21"/>
          <w:highlight w:val="none"/>
        </w:rPr>
      </w:pPr>
      <w:r>
        <w:rPr>
          <w:rFonts w:hint="default" w:ascii="Calibri" w:hAnsi="Calibri" w:cs="Calibri"/>
          <w:color w:val="auto"/>
          <w:sz w:val="21"/>
          <w:szCs w:val="21"/>
          <w:highlight w:val="none"/>
        </w:rPr>
        <w:br w:type="textWrapping"/>
      </w:r>
    </w:p>
    <w:p>
      <w:pPr>
        <w:rPr>
          <w:rFonts w:hint="default" w:ascii="Calibri" w:hAnsi="Calibri" w:cs="Calibri"/>
          <w:color w:val="auto"/>
          <w:sz w:val="21"/>
          <w:szCs w:val="21"/>
          <w:highlight w:val="none"/>
        </w:rPr>
      </w:pPr>
      <w:r>
        <w:rPr>
          <w:rFonts w:hint="default" w:ascii="Calibri" w:hAnsi="Calibri" w:cs="Calibri"/>
          <w:color w:val="auto"/>
          <w:sz w:val="21"/>
          <w:szCs w:val="21"/>
          <w:highlight w:val="none"/>
        </w:rPr>
        <w:br w:type="page"/>
      </w:r>
    </w:p>
    <w:p>
      <w:pPr>
        <w:pStyle w:val="11"/>
        <w:keepNext w:val="0"/>
        <w:keepLines w:val="0"/>
        <w:widowControl/>
        <w:suppressLineNumbers w:val="0"/>
        <w:spacing w:before="0" w:beforeAutospacing="0" w:after="150" w:afterAutospacing="0"/>
        <w:ind w:left="0" w:right="0"/>
        <w:jc w:val="center"/>
        <w:rPr>
          <w:color w:val="auto"/>
          <w:highlight w:val="none"/>
        </w:rPr>
      </w:pPr>
      <w:r>
        <w:rPr>
          <w:rStyle w:val="13"/>
          <w:rFonts w:hint="eastAsia" w:ascii="宋体" w:hAnsi="宋体" w:eastAsia="宋体" w:cs="宋体"/>
          <w:b/>
          <w:bCs/>
          <w:color w:val="auto"/>
          <w:sz w:val="21"/>
          <w:szCs w:val="21"/>
          <w:highlight w:val="none"/>
        </w:rPr>
        <w:t>二-2营业执照等证明文件</w:t>
      </w:r>
    </w:p>
    <w:p>
      <w:pPr>
        <w:pStyle w:val="11"/>
        <w:keepNext w:val="0"/>
        <w:keepLines w:val="0"/>
        <w:widowControl/>
        <w:suppressLineNumbers w:val="0"/>
        <w:spacing w:before="0" w:beforeAutospacing="0" w:after="150" w:afterAutospacing="0"/>
        <w:ind w:left="0" w:right="0"/>
        <w:rPr>
          <w:color w:val="auto"/>
          <w:highlight w:val="none"/>
        </w:rPr>
      </w:pPr>
      <w:r>
        <w:rPr>
          <w:rFonts w:hint="default" w:ascii="Calibri" w:hAnsi="Calibri" w:cs="Calibri"/>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（采购人或采购代理机构） </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 ）投标人为法人（包括企业、事业单位和社会团体）的</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现附上由</w:t>
      </w:r>
      <w:r>
        <w:rPr>
          <w:rFonts w:hint="eastAsia" w:ascii="宋体" w:hAnsi="宋体" w:eastAsia="宋体" w:cs="宋体"/>
          <w:color w:val="auto"/>
          <w:sz w:val="21"/>
          <w:szCs w:val="21"/>
          <w:highlight w:val="none"/>
          <w:u w:val="single"/>
        </w:rPr>
        <w:t>（填写“签发机关全称”）</w:t>
      </w:r>
      <w:r>
        <w:rPr>
          <w:rFonts w:hint="eastAsia" w:ascii="宋体" w:hAnsi="宋体" w:eastAsia="宋体" w:cs="宋体"/>
          <w:color w:val="auto"/>
          <w:sz w:val="21"/>
          <w:szCs w:val="21"/>
          <w:highlight w:val="none"/>
        </w:rPr>
        <w:t>签发的我方统一社会信用代码</w:t>
      </w:r>
      <w:r>
        <w:rPr>
          <w:rFonts w:hint="eastAsia" w:ascii="宋体" w:hAnsi="宋体" w:eastAsia="宋体" w:cs="宋体"/>
          <w:color w:val="auto"/>
          <w:sz w:val="21"/>
          <w:szCs w:val="21"/>
          <w:highlight w:val="none"/>
          <w:u w:val="single"/>
        </w:rPr>
        <w:t>（请填写法人的具体证照名称）</w:t>
      </w:r>
      <w:r>
        <w:rPr>
          <w:rFonts w:hint="eastAsia" w:ascii="宋体" w:hAnsi="宋体" w:eastAsia="宋体" w:cs="宋体"/>
          <w:color w:val="auto"/>
          <w:sz w:val="21"/>
          <w:szCs w:val="21"/>
          <w:highlight w:val="none"/>
        </w:rPr>
        <w:t>复印件，该证明材料真实有效，否则我方负全部责任。</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 ）投标人为非法人（包括其他组织、自然人）的</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□现附上由</w:t>
      </w:r>
      <w:r>
        <w:rPr>
          <w:rFonts w:hint="eastAsia" w:ascii="宋体" w:hAnsi="宋体" w:eastAsia="宋体" w:cs="宋体"/>
          <w:color w:val="auto"/>
          <w:sz w:val="21"/>
          <w:szCs w:val="21"/>
          <w:highlight w:val="none"/>
          <w:u w:val="single"/>
        </w:rPr>
        <w:t>（填写“签发机关全称”）</w:t>
      </w:r>
      <w:r>
        <w:rPr>
          <w:rFonts w:hint="eastAsia" w:ascii="宋体" w:hAnsi="宋体" w:eastAsia="宋体" w:cs="宋体"/>
          <w:color w:val="auto"/>
          <w:sz w:val="21"/>
          <w:szCs w:val="21"/>
          <w:highlight w:val="none"/>
        </w:rPr>
        <w:t>签发的我方</w:t>
      </w:r>
      <w:r>
        <w:rPr>
          <w:rFonts w:hint="eastAsia" w:ascii="宋体" w:hAnsi="宋体" w:eastAsia="宋体" w:cs="宋体"/>
          <w:color w:val="auto"/>
          <w:sz w:val="21"/>
          <w:szCs w:val="21"/>
          <w:highlight w:val="none"/>
          <w:u w:val="single"/>
        </w:rPr>
        <w:t>（请填写非自然人的非法人的具体证照名称）</w:t>
      </w:r>
      <w:r>
        <w:rPr>
          <w:rFonts w:hint="eastAsia" w:ascii="宋体" w:hAnsi="宋体" w:eastAsia="宋体" w:cs="宋体"/>
          <w:color w:val="auto"/>
          <w:sz w:val="21"/>
          <w:szCs w:val="21"/>
          <w:highlight w:val="none"/>
        </w:rPr>
        <w:t>复印件，该证明材料真实有效，否则我方负全部责任。</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□现附上由</w:t>
      </w:r>
      <w:r>
        <w:rPr>
          <w:rFonts w:hint="eastAsia" w:ascii="宋体" w:hAnsi="宋体" w:eastAsia="宋体" w:cs="宋体"/>
          <w:color w:val="auto"/>
          <w:sz w:val="21"/>
          <w:szCs w:val="21"/>
          <w:highlight w:val="none"/>
          <w:u w:val="single"/>
        </w:rPr>
        <w:t>（填写“签发机关全称”）</w:t>
      </w:r>
      <w:r>
        <w:rPr>
          <w:rFonts w:hint="eastAsia" w:ascii="宋体" w:hAnsi="宋体" w:eastAsia="宋体" w:cs="宋体"/>
          <w:color w:val="auto"/>
          <w:sz w:val="21"/>
          <w:szCs w:val="21"/>
          <w:highlight w:val="none"/>
        </w:rPr>
        <w:t>签发的我方</w:t>
      </w:r>
      <w:r>
        <w:rPr>
          <w:rFonts w:hint="eastAsia" w:ascii="宋体" w:hAnsi="宋体" w:eastAsia="宋体" w:cs="宋体"/>
          <w:color w:val="auto"/>
          <w:sz w:val="21"/>
          <w:szCs w:val="21"/>
          <w:highlight w:val="none"/>
          <w:u w:val="single"/>
        </w:rPr>
        <w:t>（请填写自然人的身份证件名称）</w:t>
      </w:r>
      <w:r>
        <w:rPr>
          <w:rFonts w:hint="eastAsia" w:ascii="宋体" w:hAnsi="宋体" w:eastAsia="宋体" w:cs="宋体"/>
          <w:color w:val="auto"/>
          <w:sz w:val="21"/>
          <w:szCs w:val="21"/>
          <w:highlight w:val="none"/>
        </w:rPr>
        <w:t>复印件，该证明材料真实有效，否则我方负全部责任。</w:t>
      </w:r>
    </w:p>
    <w:p>
      <w:pPr>
        <w:pStyle w:val="11"/>
        <w:keepNext w:val="0"/>
        <w:keepLines w:val="0"/>
        <w:widowControl/>
        <w:suppressLineNumbers w:val="0"/>
        <w:spacing w:before="0" w:beforeAutospacing="0" w:after="150" w:afterAutospacing="0"/>
        <w:ind w:left="0" w:right="0"/>
        <w:rPr>
          <w:color w:val="auto"/>
          <w:highlight w:val="none"/>
        </w:rPr>
      </w:pPr>
      <w:r>
        <w:rPr>
          <w:rFonts w:hint="default" w:ascii="Calibri" w:hAnsi="Calibri" w:cs="Calibri"/>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※注意：</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1、请投标人按照实际情况编制填写，在相应的（）中打“√”并选择相应的“□”（若有）后，再按照本格式的要求提供相应证明材料的复印件。</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1"/>
        <w:keepNext w:val="0"/>
        <w:keepLines w:val="0"/>
        <w:widowControl/>
        <w:suppressLineNumbers w:val="0"/>
        <w:spacing w:before="0" w:beforeAutospacing="0" w:after="150" w:afterAutospacing="0"/>
        <w:ind w:left="0" w:right="0"/>
        <w:rPr>
          <w:color w:val="auto"/>
          <w:highlight w:val="none"/>
        </w:rPr>
      </w:pPr>
      <w:r>
        <w:rPr>
          <w:rFonts w:hint="default" w:ascii="Calibri" w:hAnsi="Calibri" w:cs="Calibri"/>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default" w:ascii="Calibri" w:hAnsi="Calibri" w:cs="Calibri"/>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jc w:val="center"/>
        <w:rPr>
          <w:rFonts w:hint="default" w:ascii="Calibri" w:hAnsi="Calibri" w:cs="Calibri"/>
          <w:color w:val="auto"/>
          <w:sz w:val="21"/>
          <w:szCs w:val="21"/>
          <w:highlight w:val="none"/>
        </w:rPr>
      </w:pPr>
      <w:r>
        <w:rPr>
          <w:rFonts w:hint="default" w:ascii="Calibri" w:hAnsi="Calibri" w:cs="Calibri"/>
          <w:color w:val="auto"/>
          <w:sz w:val="21"/>
          <w:szCs w:val="21"/>
          <w:highlight w:val="none"/>
        </w:rPr>
        <w:br w:type="textWrapping"/>
      </w:r>
    </w:p>
    <w:p>
      <w:pPr>
        <w:rPr>
          <w:rFonts w:hint="default" w:ascii="Calibri" w:hAnsi="Calibri" w:cs="Calibri"/>
          <w:color w:val="auto"/>
          <w:sz w:val="21"/>
          <w:szCs w:val="21"/>
          <w:highlight w:val="none"/>
        </w:rPr>
      </w:pPr>
      <w:r>
        <w:rPr>
          <w:rFonts w:hint="default" w:ascii="Calibri" w:hAnsi="Calibri" w:cs="Calibri"/>
          <w:color w:val="auto"/>
          <w:sz w:val="21"/>
          <w:szCs w:val="21"/>
          <w:highlight w:val="none"/>
        </w:rPr>
        <w:br w:type="page"/>
      </w:r>
    </w:p>
    <w:p>
      <w:pPr>
        <w:pStyle w:val="11"/>
        <w:keepNext w:val="0"/>
        <w:keepLines w:val="0"/>
        <w:widowControl/>
        <w:suppressLineNumbers w:val="0"/>
        <w:spacing w:before="0" w:beforeAutospacing="0" w:after="150" w:afterAutospacing="0"/>
        <w:ind w:left="0" w:right="0"/>
        <w:jc w:val="center"/>
        <w:rPr>
          <w:color w:val="auto"/>
          <w:highlight w:val="none"/>
        </w:rPr>
      </w:pPr>
      <w:r>
        <w:rPr>
          <w:rStyle w:val="13"/>
          <w:rFonts w:hint="eastAsia" w:ascii="宋体" w:hAnsi="宋体" w:eastAsia="宋体" w:cs="宋体"/>
          <w:b/>
          <w:bCs/>
          <w:color w:val="auto"/>
          <w:sz w:val="21"/>
          <w:szCs w:val="21"/>
          <w:highlight w:val="none"/>
        </w:rPr>
        <w:t>二-3财务状况报告（财务报告、或资信证明）</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（采购人或采购代理机构） </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 ）投标人提供财务报告的</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□企业适用：现附上我方</w:t>
      </w:r>
      <w:r>
        <w:rPr>
          <w:rFonts w:hint="eastAsia" w:ascii="宋体" w:hAnsi="宋体" w:eastAsia="宋体" w:cs="宋体"/>
          <w:color w:val="auto"/>
          <w:sz w:val="21"/>
          <w:szCs w:val="21"/>
          <w:highlight w:val="none"/>
          <w:u w:val="single"/>
        </w:rPr>
        <w:t>（填写“具体的年度、或半年度、或季度”）</w:t>
      </w:r>
      <w:r>
        <w:rPr>
          <w:rFonts w:hint="eastAsia" w:ascii="宋体" w:hAnsi="宋体" w:eastAsia="宋体" w:cs="宋体"/>
          <w:color w:val="auto"/>
          <w:sz w:val="21"/>
          <w:szCs w:val="21"/>
          <w:highlight w:val="none"/>
        </w:rPr>
        <w:t>财务报告复印件，包括资产负债表、利润表、现金流量表、所有者权益变动表（若有）及其附注（若有）、会计师事务所营业执照和注册会计师资格证书，上述证明材料真实有效，否则我方负全部责任。</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□事业单位适用：现附上我方</w:t>
      </w:r>
      <w:r>
        <w:rPr>
          <w:rFonts w:hint="eastAsia" w:ascii="宋体" w:hAnsi="宋体" w:eastAsia="宋体" w:cs="宋体"/>
          <w:color w:val="auto"/>
          <w:sz w:val="21"/>
          <w:szCs w:val="21"/>
          <w:highlight w:val="none"/>
          <w:u w:val="single"/>
        </w:rPr>
        <w:t>（填写“具体的年度、或半年度、或季度”）</w:t>
      </w:r>
      <w:r>
        <w:rPr>
          <w:rFonts w:hint="eastAsia" w:ascii="宋体" w:hAnsi="宋体" w:eastAsia="宋体" w:cs="宋体"/>
          <w:color w:val="auto"/>
          <w:sz w:val="21"/>
          <w:szCs w:val="21"/>
          <w:highlight w:val="none"/>
        </w:rPr>
        <w:t>财务报告复印件，包括资产负债表、收入支出表（或收入费用表）、财政补助收入支出表（若有）、会计师事务所营业执照和注册会计师资格证书，上述证明材料真实有效，否则我方负全部责任。</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□社会团体、民办非企适用：现附上我方</w:t>
      </w:r>
      <w:r>
        <w:rPr>
          <w:rFonts w:hint="eastAsia" w:ascii="宋体" w:hAnsi="宋体" w:eastAsia="宋体" w:cs="宋体"/>
          <w:color w:val="auto"/>
          <w:sz w:val="21"/>
          <w:szCs w:val="21"/>
          <w:highlight w:val="none"/>
          <w:u w:val="single"/>
        </w:rPr>
        <w:t>（填写“具体的年度、或半年度、或季度”）</w:t>
      </w:r>
      <w:r>
        <w:rPr>
          <w:rFonts w:hint="eastAsia" w:ascii="宋体" w:hAnsi="宋体" w:eastAsia="宋体" w:cs="宋体"/>
          <w:color w:val="auto"/>
          <w:sz w:val="21"/>
          <w:szCs w:val="21"/>
          <w:highlight w:val="none"/>
        </w:rPr>
        <w:t>财务报告复印件，包括资产负债表、业务活动表、现金流量表、会计师事务所营业执照和注册会计师资格证书，上述证明材料真实有效，否则我方负全部责任。</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 ）投标人提供资信证明的</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□非自然人适用（包括企业、事业单位、社会团体和其他组织）：现附上我方银行：（填写“开户银行全称”）出具的资信证明复印件，上述证明材料真实有效，否则我方负全部责任。</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□自然人适用：现附上我方银行：</w:t>
      </w:r>
      <w:r>
        <w:rPr>
          <w:rFonts w:hint="eastAsia" w:ascii="宋体" w:hAnsi="宋体" w:eastAsia="宋体" w:cs="宋体"/>
          <w:color w:val="auto"/>
          <w:sz w:val="21"/>
          <w:szCs w:val="21"/>
          <w:highlight w:val="none"/>
          <w:u w:val="single"/>
        </w:rPr>
        <w:t>（填写自然人的“个人账户的开户银行全称”）</w:t>
      </w:r>
      <w:r>
        <w:rPr>
          <w:rFonts w:hint="eastAsia" w:ascii="宋体" w:hAnsi="宋体" w:eastAsia="宋体" w:cs="宋体"/>
          <w:color w:val="auto"/>
          <w:sz w:val="21"/>
          <w:szCs w:val="21"/>
          <w:highlight w:val="none"/>
        </w:rPr>
        <w:t>出具的资信证明复印件，上述证明材料真实有效，否则我方负全部责任。</w:t>
      </w:r>
    </w:p>
    <w:p>
      <w:pPr>
        <w:pStyle w:val="11"/>
        <w:keepNext w:val="0"/>
        <w:keepLines w:val="0"/>
        <w:widowControl/>
        <w:suppressLineNumbers w:val="0"/>
        <w:spacing w:before="0" w:beforeAutospacing="0" w:after="150" w:afterAutospacing="0"/>
        <w:ind w:left="0" w:right="0"/>
        <w:rPr>
          <w:color w:val="auto"/>
          <w:highlight w:val="none"/>
        </w:rPr>
      </w:pPr>
      <w:r>
        <w:rPr>
          <w:rFonts w:hint="default" w:ascii="Calibri" w:hAnsi="Calibri" w:cs="Calibri"/>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※注意：</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1、请投标人按照实际情况编制填写，在相应的（）中打“√”并选择相应的“□”（若有）后，再按照本格式的要求提供相应证明材料的复印件。</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2、投标人提供的财务报告复印件（成立年限按照投标截止时间推算）应符合下列规定：</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2.1成立年限满</w:t>
      </w:r>
      <w:r>
        <w:rPr>
          <w:rFonts w:hint="default" w:ascii="Calibri" w:hAnsi="Calibri" w:eastAsia="宋体" w:cs="Calibri"/>
          <w:color w:val="auto"/>
          <w:sz w:val="21"/>
          <w:szCs w:val="21"/>
          <w:highlight w:val="none"/>
        </w:rPr>
        <w:t>1</w:t>
      </w:r>
      <w:r>
        <w:rPr>
          <w:rFonts w:hint="eastAsia" w:ascii="宋体" w:hAnsi="宋体" w:eastAsia="宋体" w:cs="宋体"/>
          <w:color w:val="auto"/>
          <w:sz w:val="21"/>
          <w:szCs w:val="21"/>
          <w:highlight w:val="none"/>
        </w:rPr>
        <w:t>年及以上的投标人，提供经审计的招标文件规定的年度财务报告。</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2.2成立年限满半年但不足</w:t>
      </w:r>
      <w:r>
        <w:rPr>
          <w:rFonts w:hint="default" w:ascii="Calibri" w:hAnsi="Calibri" w:eastAsia="宋体" w:cs="Calibri"/>
          <w:color w:val="auto"/>
          <w:sz w:val="21"/>
          <w:szCs w:val="21"/>
          <w:highlight w:val="none"/>
        </w:rPr>
        <w:t>1</w:t>
      </w:r>
      <w:r>
        <w:rPr>
          <w:rFonts w:hint="eastAsia" w:ascii="宋体" w:hAnsi="宋体" w:eastAsia="宋体" w:cs="宋体"/>
          <w:color w:val="auto"/>
          <w:sz w:val="21"/>
          <w:szCs w:val="21"/>
          <w:highlight w:val="none"/>
        </w:rPr>
        <w:t>年的投标人，提供该半年度中任一季度的季度财务报告或该半年度的半年度财务报告。</w:t>
      </w:r>
    </w:p>
    <w:p>
      <w:pPr>
        <w:pStyle w:val="11"/>
        <w:keepNext w:val="0"/>
        <w:keepLines w:val="0"/>
        <w:widowControl/>
        <w:suppressLineNumbers w:val="0"/>
        <w:spacing w:before="0" w:beforeAutospacing="0" w:after="150" w:afterAutospacing="0"/>
        <w:ind w:left="0" w:right="0"/>
        <w:rPr>
          <w:color w:val="auto"/>
          <w:highlight w:val="none"/>
        </w:rPr>
      </w:pPr>
      <w:r>
        <w:rPr>
          <w:rStyle w:val="13"/>
          <w:rFonts w:hint="eastAsia" w:ascii="宋体" w:hAnsi="宋体" w:eastAsia="宋体" w:cs="宋体"/>
          <w:b/>
          <w:bCs/>
          <w:color w:val="auto"/>
          <w:sz w:val="24"/>
          <w:szCs w:val="24"/>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1"/>
        <w:keepNext w:val="0"/>
        <w:keepLines w:val="0"/>
        <w:widowControl/>
        <w:suppressLineNumbers w:val="0"/>
        <w:spacing w:before="0" w:beforeAutospacing="0" w:after="150" w:afterAutospacing="0"/>
        <w:ind w:left="0" w:right="0"/>
        <w:rPr>
          <w:color w:val="auto"/>
          <w:highlight w:val="none"/>
        </w:rPr>
      </w:pPr>
      <w:r>
        <w:rPr>
          <w:rFonts w:hint="default" w:ascii="Calibri" w:hAnsi="Calibri" w:cs="Calibri"/>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1"/>
        <w:keepNext w:val="0"/>
        <w:keepLines w:val="0"/>
        <w:widowControl/>
        <w:suppressLineNumbers w:val="0"/>
        <w:spacing w:before="0" w:beforeAutospacing="0" w:after="15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二</w:t>
      </w:r>
      <w:r>
        <w:rPr>
          <w:rStyle w:val="13"/>
          <w:rFonts w:hint="eastAsia" w:ascii="宋体" w:hAnsi="宋体" w:eastAsia="宋体" w:cs="宋体"/>
          <w:b/>
          <w:bCs/>
          <w:color w:val="auto"/>
          <w:sz w:val="21"/>
          <w:szCs w:val="21"/>
          <w:highlight w:val="none"/>
        </w:rPr>
        <w:t>-4依法缴纳税收证明材料</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（采购人或采购代理机构） </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1、依法缴纳税收的投标人</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 ）法人（包括企业、事业单位和社会团体）的</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现附上自</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日至</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日期间我方缴纳</w:t>
      </w:r>
      <w:r>
        <w:rPr>
          <w:rFonts w:hint="eastAsia" w:ascii="宋体" w:hAnsi="宋体" w:eastAsia="宋体" w:cs="宋体"/>
          <w:color w:val="auto"/>
          <w:sz w:val="21"/>
          <w:szCs w:val="21"/>
          <w:highlight w:val="none"/>
          <w:u w:val="single"/>
        </w:rPr>
        <w:t>（包括但不限于税务机关出具的专用收据、税收缴纳证明或税收代缴银行的缴款收讫凭证）等</w:t>
      </w:r>
      <w:r>
        <w:rPr>
          <w:rFonts w:hint="eastAsia" w:ascii="宋体" w:hAnsi="宋体" w:eastAsia="宋体" w:cs="宋体"/>
          <w:color w:val="auto"/>
          <w:sz w:val="21"/>
          <w:szCs w:val="21"/>
          <w:highlight w:val="none"/>
        </w:rPr>
        <w:t>税收凭据复印件，上述证明材料真实有效，否则我方负全部责任。</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 ）非法人（包括其他组织、自然人）的</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现附上自</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日至</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日期间我方缴纳</w:t>
      </w:r>
      <w:r>
        <w:rPr>
          <w:rFonts w:hint="eastAsia" w:ascii="宋体" w:hAnsi="宋体" w:eastAsia="宋体" w:cs="宋体"/>
          <w:color w:val="auto"/>
          <w:sz w:val="21"/>
          <w:szCs w:val="21"/>
          <w:highlight w:val="none"/>
          <w:u w:val="single"/>
        </w:rPr>
        <w:t>（包括但不限于税务机关出具的专用收据、税收缴纳证明或税收代缴银行的缴款收讫凭证）等</w:t>
      </w:r>
      <w:r>
        <w:rPr>
          <w:rFonts w:hint="eastAsia" w:ascii="宋体" w:hAnsi="宋体" w:eastAsia="宋体" w:cs="宋体"/>
          <w:color w:val="auto"/>
          <w:sz w:val="21"/>
          <w:szCs w:val="21"/>
          <w:highlight w:val="none"/>
        </w:rPr>
        <w:t>税收凭据复印件，上述证明材料真实有效，否则我方负全部责任。</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2、依法减免税收的投标人</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 ）现附上我方依法减免税收的证明材料复印件，上述证明材料真实有效，否则我方负全部责任。</w:t>
      </w:r>
    </w:p>
    <w:p>
      <w:pPr>
        <w:pStyle w:val="11"/>
        <w:keepNext w:val="0"/>
        <w:keepLines w:val="0"/>
        <w:widowControl/>
        <w:suppressLineNumbers w:val="0"/>
        <w:spacing w:before="0" w:beforeAutospacing="0" w:after="150" w:afterAutospacing="0"/>
        <w:ind w:left="0" w:right="0"/>
        <w:rPr>
          <w:color w:val="auto"/>
          <w:highlight w:val="none"/>
        </w:rPr>
      </w:pPr>
      <w:r>
        <w:rPr>
          <w:rFonts w:hint="default" w:ascii="Calibri" w:hAnsi="Calibri" w:cs="Calibri"/>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※注意：</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1、请投标人按照实际情况编制填写，在相应的（）中打“√”，并按照本格式的要求提供相应证明材料的复印件。</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2、投标人提供的税收凭据复印件应符合下列规定：</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2.1投标截止时间前（不含投标截止时间的当月）已依法缴纳税收的投标人，提供投标截止时间当月或上一个月的税收凭据复印件。</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2.2投标截止时间的当月成立且已依法缴纳税收的投标人，提供投标截止时间当月的税收凭据复印件。</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2.3投标截止时间的当月成立但因税务机关原因导致其尚未依法缴纳税收的投标人，提供依法缴纳税收承诺书（格式自拟），该承诺书视同税收凭据。</w:t>
      </w:r>
    </w:p>
    <w:p>
      <w:pPr>
        <w:pStyle w:val="11"/>
        <w:keepNext w:val="0"/>
        <w:keepLines w:val="0"/>
        <w:widowControl/>
        <w:suppressLineNumbers w:val="0"/>
        <w:spacing w:before="0" w:beforeAutospacing="0" w:after="150" w:afterAutospacing="0"/>
        <w:ind w:left="0" w:right="0"/>
        <w:rPr>
          <w:color w:val="auto"/>
          <w:highlight w:val="none"/>
        </w:rPr>
      </w:pPr>
    </w:p>
    <w:p>
      <w:pPr>
        <w:pStyle w:val="11"/>
        <w:keepNext w:val="0"/>
        <w:keepLines w:val="0"/>
        <w:widowControl/>
        <w:suppressLineNumbers w:val="0"/>
        <w:spacing w:before="0" w:beforeAutospacing="0" w:after="150" w:afterAutospacing="0"/>
        <w:ind w:left="0" w:right="0"/>
        <w:rPr>
          <w:color w:val="auto"/>
          <w:highlight w:val="none"/>
        </w:rPr>
      </w:pPr>
    </w:p>
    <w:p>
      <w:pPr>
        <w:pStyle w:val="11"/>
        <w:keepNext w:val="0"/>
        <w:keepLines w:val="0"/>
        <w:widowControl/>
        <w:suppressLineNumbers w:val="0"/>
        <w:spacing w:before="0" w:beforeAutospacing="0" w:after="150" w:afterAutospacing="0"/>
        <w:ind w:left="0" w:right="0"/>
        <w:rPr>
          <w:color w:val="auto"/>
          <w:highlight w:val="none"/>
        </w:rPr>
      </w:pPr>
      <w:r>
        <w:rPr>
          <w:rFonts w:hint="default" w:ascii="Calibri" w:hAnsi="Calibri" w:cs="Calibri"/>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jc w:val="center"/>
        <w:rPr>
          <w:color w:val="auto"/>
          <w:highlight w:val="none"/>
        </w:rPr>
      </w:pPr>
      <w:r>
        <w:rPr>
          <w:rStyle w:val="13"/>
          <w:rFonts w:hint="eastAsia" w:ascii="宋体" w:hAnsi="宋体" w:eastAsia="宋体" w:cs="宋体"/>
          <w:b/>
          <w:bCs/>
          <w:color w:val="auto"/>
          <w:sz w:val="21"/>
          <w:szCs w:val="21"/>
          <w:highlight w:val="none"/>
        </w:rPr>
        <w:t>二-5依法缴纳社会保障资金证明材料</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（采购人或采购代理机构） </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1、依法缴纳社会保障资金的投标人</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 ）法人（包括企业、事业单位和社会团体）的</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现附上自</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日至</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日我方缴纳的社会保险凭据（限：税务机关/社会保障资金管理机关的专用收据或社会保险缴纳清单，或社会保险的银行缴款收讫凭证）复印件，上述证明材料真实有效，否则我方负全部责任。</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 ）非法人（包括其他组织、自然人）的</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自</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日至</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日我方缴纳的社会保险凭据（限：税务机关/社会保障资金管理机关的专用收据或社会保险缴纳清单，或社会保险的银行缴款收讫凭证）复印件，上述证明材料真实有效，否则我方负全部责任。</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2、依法不需要缴纳或暂缓缴纳社会保障资金的投标人</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 ）现附上我方依法不需要缴纳或暂缓缴纳社会保障资金证明材料复印件，上述证明材料真实有效，否则我方负全部责任。</w:t>
      </w:r>
    </w:p>
    <w:p>
      <w:pPr>
        <w:pStyle w:val="11"/>
        <w:keepNext w:val="0"/>
        <w:keepLines w:val="0"/>
        <w:widowControl/>
        <w:suppressLineNumbers w:val="0"/>
        <w:spacing w:before="0" w:beforeAutospacing="0" w:after="150" w:afterAutospacing="0"/>
        <w:ind w:left="0" w:right="0"/>
        <w:rPr>
          <w:color w:val="auto"/>
          <w:highlight w:val="none"/>
        </w:rPr>
      </w:pPr>
      <w:r>
        <w:rPr>
          <w:rFonts w:hint="default" w:ascii="Calibri" w:hAnsi="Calibri" w:cs="Calibri"/>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※注意：</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1、请投标人按照实际情况编制填写，在相应的（）中打“√”，并按照本格式的要求提供相应证明材料的复印件。</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2、投标人提供的社会保险凭据复印件应符合下列规定：</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2.1投标截止时间前（不含投标截止时间的当月）已依法缴纳社会保障资金的投标人，提供投标截止时间当月或上一个月的社会保险凭据复印件。</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2.2投标截止时间的当月成立且已依法缴纳社会保障资金的投标人，提供投标截止时间当月的社会保险凭据复印件。</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2.3投标截止时间的当月成立但因税务机关</w:t>
      </w:r>
      <w:r>
        <w:rPr>
          <w:rFonts w:hint="default" w:ascii="Calibri" w:hAnsi="Calibri" w:eastAsia="宋体" w:cs="Calibri"/>
          <w:color w:val="auto"/>
          <w:sz w:val="21"/>
          <w:szCs w:val="21"/>
          <w:highlight w:val="none"/>
        </w:rPr>
        <w:t>/</w:t>
      </w:r>
      <w:r>
        <w:rPr>
          <w:rFonts w:hint="eastAsia" w:ascii="宋体" w:hAnsi="宋体" w:eastAsia="宋体" w:cs="宋体"/>
          <w:color w:val="auto"/>
          <w:sz w:val="21"/>
          <w:szCs w:val="21"/>
          <w:highlight w:val="none"/>
        </w:rPr>
        <w:t>社会保障资金管理机关原因导致其尚未依法缴纳社会保障资金的投标人，提供依法缴纳社会保障资金承诺书（格式自拟），该承诺书视同社会保险凭据。</w:t>
      </w:r>
    </w:p>
    <w:p>
      <w:pPr>
        <w:pStyle w:val="11"/>
        <w:keepNext w:val="0"/>
        <w:keepLines w:val="0"/>
        <w:widowControl/>
        <w:suppressLineNumbers w:val="0"/>
        <w:spacing w:before="0" w:beforeAutospacing="0" w:after="150" w:afterAutospacing="0"/>
        <w:ind w:left="0" w:right="0"/>
        <w:rPr>
          <w:color w:val="auto"/>
          <w:highlight w:val="none"/>
        </w:rPr>
      </w:pPr>
    </w:p>
    <w:p>
      <w:pPr>
        <w:pStyle w:val="11"/>
        <w:keepNext w:val="0"/>
        <w:keepLines w:val="0"/>
        <w:widowControl/>
        <w:suppressLineNumbers w:val="0"/>
        <w:spacing w:before="0" w:beforeAutospacing="0" w:after="150" w:afterAutospacing="0"/>
        <w:ind w:left="0" w:right="0"/>
        <w:rPr>
          <w:color w:val="auto"/>
          <w:highlight w:val="none"/>
        </w:rPr>
      </w:pPr>
      <w:r>
        <w:rPr>
          <w:rFonts w:hint="default" w:ascii="Calibri" w:hAnsi="Calibri" w:cs="Calibri"/>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二</w:t>
      </w:r>
      <w:r>
        <w:rPr>
          <w:rStyle w:val="13"/>
          <w:rFonts w:hint="eastAsia" w:ascii="宋体" w:hAnsi="宋体" w:eastAsia="宋体" w:cs="宋体"/>
          <w:b/>
          <w:bCs/>
          <w:color w:val="auto"/>
          <w:sz w:val="21"/>
          <w:szCs w:val="21"/>
          <w:highlight w:val="none"/>
        </w:rPr>
        <w:t>-6具备履行合同所必需设备和专业技术能力的声明函（若有）</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（采购人或采购代理机构） </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我方具备履行合同所必需的设备和专业技术能力，否则产生不利后果由我方承担责任。</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特此声明。</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※注意：</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1、招标文件未要求投标人提供“具备履行合同所必需的设备和专业技术能力专项证明材料”的，投标人应提供本声明函。</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2、招标文件要求投标人提供“具备履行合同所必需的设备和专业技术能力专项证明材料”的，投标人可不提供本声明函。</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3、请投标人根据实际情况如实声明，否则</w:t>
      </w:r>
      <w:r>
        <w:rPr>
          <w:rStyle w:val="13"/>
          <w:rFonts w:hint="eastAsia" w:ascii="宋体" w:hAnsi="宋体" w:eastAsia="宋体" w:cs="宋体"/>
          <w:b/>
          <w:bCs/>
          <w:color w:val="auto"/>
          <w:sz w:val="21"/>
          <w:szCs w:val="21"/>
          <w:highlight w:val="none"/>
        </w:rPr>
        <w:t>视为提供虚假材料。</w:t>
      </w:r>
    </w:p>
    <w:p>
      <w:pPr>
        <w:pStyle w:val="11"/>
        <w:keepNext w:val="0"/>
        <w:keepLines w:val="0"/>
        <w:widowControl/>
        <w:suppressLineNumbers w:val="0"/>
        <w:spacing w:before="0" w:beforeAutospacing="0" w:after="150" w:afterAutospacing="0"/>
        <w:ind w:left="0" w:right="0"/>
        <w:rPr>
          <w:color w:val="auto"/>
          <w:highlight w:val="none"/>
        </w:rPr>
      </w:pPr>
      <w:r>
        <w:rPr>
          <w:rFonts w:hint="default" w:ascii="Calibri" w:hAnsi="Calibri" w:cs="Calibri"/>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default" w:ascii="Calibri" w:hAnsi="Calibri" w:cs="Calibri"/>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jc w:val="center"/>
        <w:rPr>
          <w:rFonts w:hint="default" w:ascii="Calibri" w:hAnsi="Calibri" w:cs="Calibri"/>
          <w:color w:val="auto"/>
          <w:sz w:val="21"/>
          <w:szCs w:val="21"/>
          <w:highlight w:val="none"/>
        </w:rPr>
      </w:pPr>
      <w:r>
        <w:rPr>
          <w:rFonts w:hint="default" w:ascii="Calibri" w:hAnsi="Calibri" w:cs="Calibri"/>
          <w:color w:val="auto"/>
          <w:sz w:val="21"/>
          <w:szCs w:val="21"/>
          <w:highlight w:val="none"/>
        </w:rPr>
        <w:br w:type="textWrapping"/>
      </w:r>
    </w:p>
    <w:p>
      <w:pPr>
        <w:rPr>
          <w:rFonts w:hint="default" w:ascii="Calibri" w:hAnsi="Calibri" w:cs="Calibri"/>
          <w:color w:val="auto"/>
          <w:sz w:val="21"/>
          <w:szCs w:val="21"/>
          <w:highlight w:val="none"/>
        </w:rPr>
      </w:pPr>
      <w:r>
        <w:rPr>
          <w:rFonts w:hint="default" w:ascii="Calibri" w:hAnsi="Calibri" w:cs="Calibri"/>
          <w:color w:val="auto"/>
          <w:sz w:val="21"/>
          <w:szCs w:val="21"/>
          <w:highlight w:val="none"/>
        </w:rPr>
        <w:br w:type="page"/>
      </w:r>
    </w:p>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二</w:t>
      </w:r>
      <w:r>
        <w:rPr>
          <w:rStyle w:val="13"/>
          <w:rFonts w:hint="eastAsia" w:ascii="宋体" w:hAnsi="宋体" w:eastAsia="宋体" w:cs="宋体"/>
          <w:b/>
          <w:bCs/>
          <w:color w:val="auto"/>
          <w:sz w:val="21"/>
          <w:szCs w:val="21"/>
          <w:highlight w:val="none"/>
        </w:rPr>
        <w:t>-7参加采购活动前三年内在经营活动中没有重大违法记录书面声明</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（采购人或采购代理机构） </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特此声明。</w:t>
      </w:r>
    </w:p>
    <w:p>
      <w:pPr>
        <w:pStyle w:val="11"/>
        <w:keepNext w:val="0"/>
        <w:keepLines w:val="0"/>
        <w:widowControl/>
        <w:suppressLineNumbers w:val="0"/>
        <w:spacing w:before="0" w:beforeAutospacing="0" w:after="150" w:afterAutospacing="0"/>
        <w:ind w:left="0" w:right="0"/>
        <w:rPr>
          <w:color w:val="auto"/>
          <w:highlight w:val="none"/>
        </w:rPr>
      </w:pPr>
      <w:r>
        <w:rPr>
          <w:rFonts w:hint="default" w:ascii="Calibri" w:hAnsi="Calibri" w:cs="Calibri"/>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※注意：</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请投标人根据实际情况如实声明，否则</w:t>
      </w:r>
      <w:r>
        <w:rPr>
          <w:rStyle w:val="13"/>
          <w:rFonts w:hint="eastAsia" w:ascii="宋体" w:hAnsi="宋体" w:eastAsia="宋体" w:cs="宋体"/>
          <w:b/>
          <w:bCs/>
          <w:color w:val="auto"/>
          <w:sz w:val="21"/>
          <w:szCs w:val="21"/>
          <w:highlight w:val="none"/>
        </w:rPr>
        <w:t>视为提供虚假材料。</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jc w:val="center"/>
        <w:rPr>
          <w:rFonts w:hint="default" w:ascii="Calibri" w:hAnsi="Calibri" w:cs="Calibri"/>
          <w:color w:val="auto"/>
          <w:sz w:val="21"/>
          <w:szCs w:val="21"/>
          <w:highlight w:val="none"/>
        </w:rPr>
      </w:pPr>
      <w:r>
        <w:rPr>
          <w:rFonts w:hint="default" w:ascii="Calibri" w:hAnsi="Calibri" w:cs="Calibri"/>
          <w:color w:val="auto"/>
          <w:sz w:val="21"/>
          <w:szCs w:val="21"/>
          <w:highlight w:val="none"/>
        </w:rPr>
        <w:br w:type="textWrapping"/>
      </w:r>
    </w:p>
    <w:p>
      <w:pPr>
        <w:rPr>
          <w:rFonts w:hint="default" w:ascii="Calibri" w:hAnsi="Calibri" w:cs="Calibri"/>
          <w:color w:val="auto"/>
          <w:sz w:val="21"/>
          <w:szCs w:val="21"/>
          <w:highlight w:val="none"/>
        </w:rPr>
      </w:pPr>
      <w:r>
        <w:rPr>
          <w:rFonts w:hint="default" w:ascii="Calibri" w:hAnsi="Calibri" w:cs="Calibri"/>
          <w:color w:val="auto"/>
          <w:sz w:val="21"/>
          <w:szCs w:val="21"/>
          <w:highlight w:val="none"/>
        </w:rPr>
        <w:br w:type="page"/>
      </w:r>
    </w:p>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二</w:t>
      </w:r>
      <w:r>
        <w:rPr>
          <w:rStyle w:val="13"/>
          <w:rFonts w:hint="eastAsia" w:ascii="宋体" w:hAnsi="宋体" w:eastAsia="宋体" w:cs="宋体"/>
          <w:b/>
          <w:bCs/>
          <w:color w:val="auto"/>
          <w:sz w:val="21"/>
          <w:szCs w:val="21"/>
          <w:highlight w:val="none"/>
        </w:rPr>
        <w:t>-8信用记录查询提示</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highlight w:val="none"/>
        </w:rPr>
        <w:t> </w:t>
      </w:r>
      <w:r>
        <w:rPr>
          <w:rFonts w:hint="eastAsia" w:ascii="宋体" w:hAnsi="宋体" w:eastAsia="宋体" w:cs="宋体"/>
          <w:color w:val="auto"/>
          <w:sz w:val="21"/>
          <w:szCs w:val="21"/>
          <w:highlight w:val="none"/>
        </w:rPr>
        <w:t> 1、由资格审查小组通过网站查询并打印投标人的信用记录。</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11"/>
        <w:keepNext w:val="0"/>
        <w:keepLines w:val="0"/>
        <w:widowControl/>
        <w:suppressLineNumbers w:val="0"/>
        <w:spacing w:before="0" w:beforeAutospacing="0" w:after="150" w:afterAutospacing="0"/>
        <w:ind w:left="0" w:right="0"/>
        <w:rPr>
          <w:color w:val="auto"/>
          <w:highlight w:val="none"/>
        </w:rPr>
      </w:pP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jc w:val="center"/>
        <w:rPr>
          <w:color w:val="auto"/>
          <w:highlight w:val="none"/>
        </w:rPr>
      </w:pPr>
    </w:p>
    <w:p>
      <w:pPr>
        <w:rPr>
          <w:rStyle w:val="13"/>
          <w:rFonts w:hint="eastAsia" w:ascii="宋体" w:hAnsi="宋体" w:eastAsia="宋体" w:cs="宋体"/>
          <w:b/>
          <w:bCs/>
          <w:color w:val="auto"/>
          <w:sz w:val="27"/>
          <w:szCs w:val="27"/>
          <w:highlight w:val="none"/>
        </w:rPr>
      </w:pPr>
      <w:r>
        <w:rPr>
          <w:rStyle w:val="13"/>
          <w:rFonts w:hint="eastAsia" w:ascii="宋体" w:hAnsi="宋体" w:eastAsia="宋体" w:cs="宋体"/>
          <w:b/>
          <w:bCs/>
          <w:color w:val="auto"/>
          <w:sz w:val="27"/>
          <w:szCs w:val="27"/>
          <w:highlight w:val="none"/>
        </w:rPr>
        <w:br w:type="page"/>
      </w:r>
    </w:p>
    <w:p>
      <w:pPr>
        <w:pStyle w:val="6"/>
        <w:keepNext w:val="0"/>
        <w:keepLines w:val="0"/>
        <w:widowControl/>
        <w:suppressLineNumbers w:val="0"/>
        <w:spacing w:before="150" w:beforeAutospacing="0" w:after="150" w:afterAutospacing="0" w:line="17" w:lineRule="atLeast"/>
        <w:jc w:val="center"/>
        <w:rPr>
          <w:rFonts w:hint="default" w:ascii="Helvetica" w:hAnsi="Helvetica" w:eastAsia="Helvetica" w:cs="Helvetica"/>
          <w:b w:val="0"/>
          <w:bCs w:val="0"/>
          <w:color w:val="auto"/>
          <w:sz w:val="27"/>
          <w:szCs w:val="27"/>
          <w:highlight w:val="none"/>
        </w:rPr>
      </w:pPr>
      <w:r>
        <w:rPr>
          <w:rStyle w:val="13"/>
          <w:rFonts w:hint="eastAsia" w:ascii="宋体" w:hAnsi="宋体" w:eastAsia="宋体" w:cs="宋体"/>
          <w:b/>
          <w:bCs/>
          <w:color w:val="auto"/>
          <w:sz w:val="27"/>
          <w:szCs w:val="27"/>
          <w:highlight w:val="none"/>
        </w:rPr>
        <w:t>二-9中小企业声明函</w:t>
      </w:r>
    </w:p>
    <w:p>
      <w:pPr>
        <w:pStyle w:val="11"/>
        <w:keepNext w:val="0"/>
        <w:keepLines w:val="0"/>
        <w:widowControl/>
        <w:suppressLineNumbers w:val="0"/>
        <w:spacing w:before="0" w:beforeAutospacing="0" w:after="240" w:afterAutospacing="0"/>
        <w:ind w:left="0" w:right="0"/>
        <w:jc w:val="center"/>
        <w:rPr>
          <w:color w:val="auto"/>
          <w:highlight w:val="none"/>
        </w:rPr>
      </w:pPr>
      <w:r>
        <w:rPr>
          <w:rStyle w:val="13"/>
          <w:rFonts w:hint="eastAsia" w:ascii="宋体" w:hAnsi="宋体" w:eastAsia="宋体" w:cs="宋体"/>
          <w:b/>
          <w:bCs/>
          <w:color w:val="auto"/>
          <w:sz w:val="21"/>
          <w:szCs w:val="21"/>
          <w:highlight w:val="none"/>
        </w:rPr>
        <w:t>（以资格条件落实中小企业扶持政策时适用，若有）</w:t>
      </w:r>
    </w:p>
    <w:p>
      <w:pPr>
        <w:pStyle w:val="11"/>
        <w:keepNext w:val="0"/>
        <w:keepLines w:val="0"/>
        <w:widowControl/>
        <w:suppressLineNumbers w:val="0"/>
        <w:spacing w:before="0" w:beforeAutospacing="0" w:after="150" w:afterAutospacing="0"/>
        <w:ind w:left="0" w:right="0"/>
        <w:jc w:val="center"/>
        <w:rPr>
          <w:color w:val="auto"/>
          <w:highlight w:val="none"/>
        </w:rPr>
      </w:pPr>
      <w:r>
        <w:rPr>
          <w:rStyle w:val="13"/>
          <w:rFonts w:hint="eastAsia" w:ascii="宋体" w:hAnsi="宋体" w:eastAsia="宋体" w:cs="宋体"/>
          <w:b/>
          <w:bCs/>
          <w:color w:val="auto"/>
          <w:sz w:val="21"/>
          <w:szCs w:val="21"/>
          <w:highlight w:val="none"/>
        </w:rPr>
        <w:t>中小企业声明函（货物）</w:t>
      </w:r>
    </w:p>
    <w:p>
      <w:pPr>
        <w:pStyle w:val="11"/>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z w:val="21"/>
          <w:szCs w:val="21"/>
          <w:highlight w:val="none"/>
        </w:rPr>
        <w:t>本公司（联合体）郑重声明，根据《政府采购促进中小企业发展管理办法》（财库﹝2020﹞46 号）的规定，本公司（联合体）参加</w:t>
      </w:r>
      <w:r>
        <w:rPr>
          <w:rFonts w:hint="eastAsia" w:ascii="宋体" w:hAnsi="宋体" w:eastAsia="宋体" w:cs="宋体"/>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采购活动，提供的货物全部由符合政策要求的中小企业制造。相关企业（含联合体中的中小企业、签订分包意向协议的中小企业）的具体情况如下：</w:t>
      </w:r>
    </w:p>
    <w:p>
      <w:pPr>
        <w:pStyle w:val="11"/>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z w:val="21"/>
          <w:szCs w:val="21"/>
          <w:highlight w:val="none"/>
        </w:rPr>
        <w:t>1. </w:t>
      </w:r>
      <w:r>
        <w:rPr>
          <w:rFonts w:hint="eastAsia" w:ascii="宋体" w:hAnsi="宋体" w:eastAsia="宋体" w:cs="宋体"/>
          <w:color w:val="auto"/>
          <w:sz w:val="21"/>
          <w:szCs w:val="21"/>
          <w:highlight w:val="none"/>
          <w:u w:val="single"/>
        </w:rPr>
        <w:t> （标的名称）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（中型企业、小型企业、微型企业）；</w:t>
      </w:r>
    </w:p>
    <w:p>
      <w:pPr>
        <w:pStyle w:val="11"/>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z w:val="21"/>
          <w:szCs w:val="21"/>
          <w:highlight w:val="none"/>
        </w:rPr>
        <w:t>2. </w:t>
      </w:r>
      <w:r>
        <w:rPr>
          <w:rFonts w:hint="eastAsia" w:ascii="宋体" w:hAnsi="宋体" w:eastAsia="宋体" w:cs="宋体"/>
          <w:color w:val="auto"/>
          <w:sz w:val="21"/>
          <w:szCs w:val="21"/>
          <w:highlight w:val="none"/>
          <w:u w:val="single"/>
        </w:rPr>
        <w:t> （标的名称）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 （采购文件中明确的所属行业 ）行业；</w:t>
      </w:r>
      <w:r>
        <w:rPr>
          <w:rFonts w:hint="eastAsia" w:ascii="宋体" w:hAnsi="宋体" w:eastAsia="宋体" w:cs="宋体"/>
          <w:color w:val="auto"/>
          <w:sz w:val="21"/>
          <w:szCs w:val="21"/>
          <w:highlight w:val="none"/>
        </w:rPr>
        <w:t>制造商为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（中型企业、小型企业、微型企业）；</w:t>
      </w:r>
    </w:p>
    <w:p>
      <w:pPr>
        <w:pStyle w:val="11"/>
        <w:keepNext w:val="0"/>
        <w:keepLines w:val="0"/>
        <w:widowControl/>
        <w:suppressLineNumbers w:val="0"/>
        <w:spacing w:before="75" w:beforeAutospacing="0" w:after="75" w:afterAutospacing="0"/>
        <w:ind w:left="0" w:right="0" w:firstLine="420"/>
        <w:rPr>
          <w:color w:val="auto"/>
          <w:highlight w:val="none"/>
        </w:rPr>
      </w:pPr>
      <w:r>
        <w:rPr>
          <w:rFonts w:hint="default" w:ascii="Calibri" w:hAnsi="Calibri" w:cs="Calibri"/>
          <w:color w:val="auto"/>
          <w:sz w:val="24"/>
          <w:szCs w:val="24"/>
          <w:highlight w:val="none"/>
        </w:rPr>
        <w:t>  </w:t>
      </w:r>
    </w:p>
    <w:p>
      <w:pPr>
        <w:pStyle w:val="11"/>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z w:val="21"/>
          <w:szCs w:val="21"/>
          <w:highlight w:val="none"/>
        </w:rPr>
        <w:t>……</w:t>
      </w:r>
    </w:p>
    <w:p>
      <w:pPr>
        <w:pStyle w:val="11"/>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pPr>
        <w:pStyle w:val="11"/>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pPr>
        <w:pStyle w:val="11"/>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企业名称（盖章）：</w:t>
      </w:r>
    </w:p>
    <w:p>
      <w:pPr>
        <w:pStyle w:val="11"/>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z w:val="21"/>
          <w:szCs w:val="21"/>
          <w:highlight w:val="none"/>
        </w:rPr>
        <w:t>                                                           日期：</w:t>
      </w:r>
    </w:p>
    <w:p>
      <w:pPr>
        <w:pStyle w:val="11"/>
        <w:keepNext w:val="0"/>
        <w:keepLines w:val="0"/>
        <w:widowControl/>
        <w:suppressLineNumbers w:val="0"/>
        <w:spacing w:before="75" w:beforeAutospacing="0" w:after="75" w:afterAutospacing="0"/>
        <w:ind w:left="0" w:right="0"/>
        <w:rPr>
          <w:color w:val="auto"/>
          <w:highlight w:val="none"/>
        </w:rPr>
      </w:pPr>
      <w:r>
        <w:rPr>
          <w:rFonts w:hint="default" w:ascii="Calibri" w:hAnsi="Calibri" w:cs="Calibri"/>
          <w:color w:val="auto"/>
          <w:sz w:val="21"/>
          <w:szCs w:val="21"/>
          <w:highlight w:val="none"/>
        </w:rPr>
        <w:t> </w:t>
      </w:r>
    </w:p>
    <w:p>
      <w:pPr>
        <w:pStyle w:val="11"/>
        <w:keepNext w:val="0"/>
        <w:keepLines w:val="0"/>
        <w:widowControl/>
        <w:suppressLineNumbers w:val="0"/>
        <w:spacing w:before="75" w:beforeAutospacing="0" w:after="75" w:afterAutospacing="0"/>
        <w:ind w:left="0" w:right="0"/>
        <w:rPr>
          <w:color w:val="auto"/>
          <w:highlight w:val="none"/>
        </w:rPr>
      </w:pPr>
      <w:r>
        <w:rPr>
          <w:rStyle w:val="13"/>
          <w:rFonts w:hint="eastAsia" w:ascii="宋体" w:hAnsi="宋体" w:eastAsia="宋体" w:cs="宋体"/>
          <w:b/>
          <w:bCs/>
          <w:color w:val="auto"/>
          <w:sz w:val="21"/>
          <w:szCs w:val="21"/>
          <w:highlight w:val="none"/>
        </w:rPr>
        <w:t>※注意：</w:t>
      </w:r>
    </w:p>
    <w:p>
      <w:pPr>
        <w:pStyle w:val="11"/>
        <w:keepNext w:val="0"/>
        <w:keepLines w:val="0"/>
        <w:widowControl/>
        <w:suppressLineNumbers w:val="0"/>
        <w:spacing w:before="75" w:beforeAutospacing="0" w:after="75" w:afterAutospacing="0"/>
        <w:ind w:left="0" w:right="0" w:firstLine="420"/>
        <w:rPr>
          <w:color w:val="auto"/>
          <w:highlight w:val="none"/>
        </w:rPr>
      </w:pPr>
      <w:r>
        <w:rPr>
          <w:rStyle w:val="13"/>
          <w:rFonts w:hint="eastAsia" w:ascii="宋体" w:hAnsi="宋体" w:eastAsia="宋体" w:cs="宋体"/>
          <w:b/>
          <w:bCs/>
          <w:color w:val="auto"/>
          <w:sz w:val="21"/>
          <w:szCs w:val="21"/>
          <w:highlight w:val="none"/>
        </w:rPr>
        <w:t>1、从业人员、营业收入、资产总额填报上一年度数据，无上一年度数据的新成立企业可不填报。</w:t>
      </w:r>
    </w:p>
    <w:p>
      <w:pPr>
        <w:pStyle w:val="11"/>
        <w:keepNext w:val="0"/>
        <w:keepLines w:val="0"/>
        <w:widowControl/>
        <w:suppressLineNumbers w:val="0"/>
        <w:spacing w:before="75" w:beforeAutospacing="0" w:after="75" w:afterAutospacing="0"/>
        <w:ind w:left="0" w:right="0" w:firstLine="420"/>
        <w:rPr>
          <w:color w:val="auto"/>
          <w:highlight w:val="none"/>
        </w:rPr>
      </w:pPr>
      <w:r>
        <w:rPr>
          <w:rStyle w:val="13"/>
          <w:rFonts w:hint="eastAsia" w:ascii="宋体" w:hAnsi="宋体" w:eastAsia="宋体" w:cs="宋体"/>
          <w:b/>
          <w:bCs/>
          <w:color w:val="auto"/>
          <w:sz w:val="21"/>
          <w:szCs w:val="21"/>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1"/>
        <w:keepNext w:val="0"/>
        <w:keepLines w:val="0"/>
        <w:widowControl/>
        <w:suppressLineNumbers w:val="0"/>
        <w:spacing w:before="75" w:beforeAutospacing="0" w:after="75" w:afterAutospacing="0"/>
        <w:ind w:left="0" w:right="0" w:firstLine="420"/>
        <w:rPr>
          <w:color w:val="auto"/>
          <w:highlight w:val="none"/>
        </w:rPr>
      </w:pPr>
      <w:r>
        <w:rPr>
          <w:rStyle w:val="13"/>
          <w:rFonts w:hint="eastAsia" w:ascii="宋体" w:hAnsi="宋体" w:eastAsia="宋体" w:cs="宋体"/>
          <w:b/>
          <w:bCs/>
          <w:color w:val="auto"/>
          <w:sz w:val="21"/>
          <w:szCs w:val="21"/>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1"/>
        <w:keepNext w:val="0"/>
        <w:keepLines w:val="0"/>
        <w:widowControl/>
        <w:suppressLineNumbers w:val="0"/>
        <w:spacing w:before="0" w:beforeAutospacing="0" w:after="240" w:afterAutospacing="0"/>
        <w:ind w:left="0" w:right="0"/>
        <w:rPr>
          <w:color w:val="auto"/>
          <w:highlight w:val="none"/>
        </w:rPr>
      </w:pPr>
    </w:p>
    <w:p>
      <w:pPr>
        <w:rPr>
          <w:rStyle w:val="13"/>
          <w:rFonts w:hint="eastAsia" w:ascii="宋体" w:hAnsi="宋体" w:eastAsia="宋体" w:cs="宋体"/>
          <w:b/>
          <w:bCs/>
          <w:color w:val="auto"/>
          <w:sz w:val="24"/>
          <w:szCs w:val="24"/>
          <w:highlight w:val="none"/>
        </w:rPr>
      </w:pPr>
      <w:r>
        <w:rPr>
          <w:rStyle w:val="13"/>
          <w:rFonts w:hint="eastAsia" w:ascii="宋体" w:hAnsi="宋体" w:eastAsia="宋体" w:cs="宋体"/>
          <w:b/>
          <w:bCs/>
          <w:color w:val="auto"/>
          <w:sz w:val="24"/>
          <w:szCs w:val="24"/>
          <w:highlight w:val="none"/>
        </w:rPr>
        <w:br w:type="page"/>
      </w:r>
    </w:p>
    <w:p>
      <w:pPr>
        <w:pStyle w:val="7"/>
        <w:keepNext w:val="0"/>
        <w:keepLines w:val="0"/>
        <w:widowControl/>
        <w:suppressLineNumbers w:val="0"/>
        <w:spacing w:before="150" w:beforeAutospacing="0" w:after="150" w:afterAutospacing="0" w:line="17" w:lineRule="atLeast"/>
        <w:jc w:val="center"/>
        <w:rPr>
          <w:rFonts w:hint="default" w:ascii="Helvetica" w:hAnsi="Helvetica" w:eastAsia="Helvetica" w:cs="Helvetica"/>
          <w:b w:val="0"/>
          <w:bCs w:val="0"/>
          <w:color w:val="auto"/>
          <w:sz w:val="22"/>
          <w:szCs w:val="22"/>
          <w:highlight w:val="none"/>
        </w:rPr>
      </w:pPr>
      <w:r>
        <w:rPr>
          <w:rStyle w:val="13"/>
          <w:rFonts w:hint="eastAsia" w:ascii="宋体" w:hAnsi="宋体" w:eastAsia="宋体" w:cs="宋体"/>
          <w:b/>
          <w:bCs/>
          <w:color w:val="auto"/>
          <w:sz w:val="24"/>
          <w:szCs w:val="24"/>
          <w:highlight w:val="none"/>
        </w:rPr>
        <w:t>中小企业声明函（工程、服务）</w:t>
      </w:r>
    </w:p>
    <w:p>
      <w:pPr>
        <w:pStyle w:val="11"/>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z w:val="21"/>
          <w:szCs w:val="21"/>
          <w:highlight w:val="none"/>
        </w:rPr>
        <w:t>本公司（联合体）郑重声明，根据《政府采购促进中小企业发展管理办法》（财库﹝2020﹞46 号）的规定，本公司（联合体）参加</w:t>
      </w:r>
      <w:r>
        <w:rPr>
          <w:rFonts w:hint="eastAsia" w:ascii="宋体" w:hAnsi="宋体" w:eastAsia="宋体" w:cs="宋体"/>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11"/>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z w:val="21"/>
          <w:szCs w:val="21"/>
          <w:highlight w:val="none"/>
        </w:rPr>
        <w:t>1. </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；承建（承接）企业为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（中型企业、小型企业、微型企业）；</w:t>
      </w:r>
    </w:p>
    <w:p>
      <w:pPr>
        <w:pStyle w:val="11"/>
        <w:keepNext w:val="0"/>
        <w:keepLines w:val="0"/>
        <w:widowControl/>
        <w:suppressLineNumbers w:val="0"/>
        <w:spacing w:before="75" w:beforeAutospacing="0" w:after="75" w:afterAutospacing="0"/>
        <w:ind w:left="0" w:right="0"/>
        <w:rPr>
          <w:color w:val="auto"/>
          <w:highlight w:val="none"/>
        </w:rPr>
      </w:pPr>
      <w:r>
        <w:rPr>
          <w:rFonts w:hint="eastAsia" w:ascii="宋体" w:hAnsi="宋体" w:eastAsia="宋体" w:cs="宋体"/>
          <w:color w:val="auto"/>
          <w:sz w:val="21"/>
          <w:szCs w:val="21"/>
          <w:highlight w:val="none"/>
        </w:rPr>
        <w:t>　　2. </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承建（承接）企业为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（中型企业、小型企业、微型企业）；</w:t>
      </w:r>
    </w:p>
    <w:p>
      <w:pPr>
        <w:pStyle w:val="11"/>
        <w:keepNext w:val="0"/>
        <w:keepLines w:val="0"/>
        <w:widowControl/>
        <w:suppressLineNumbers w:val="0"/>
        <w:spacing w:before="75" w:beforeAutospacing="0" w:after="75"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75" w:beforeAutospacing="0" w:after="75" w:afterAutospacing="0"/>
        <w:ind w:left="0" w:right="0"/>
        <w:rPr>
          <w:color w:val="auto"/>
          <w:highlight w:val="none"/>
        </w:rPr>
      </w:pPr>
      <w:r>
        <w:rPr>
          <w:rFonts w:hint="eastAsia" w:ascii="宋体" w:hAnsi="宋体" w:eastAsia="宋体" w:cs="宋体"/>
          <w:color w:val="auto"/>
          <w:sz w:val="21"/>
          <w:szCs w:val="21"/>
          <w:highlight w:val="none"/>
        </w:rPr>
        <w:t>……</w:t>
      </w:r>
    </w:p>
    <w:p>
      <w:pPr>
        <w:pStyle w:val="11"/>
        <w:keepNext w:val="0"/>
        <w:keepLines w:val="0"/>
        <w:widowControl/>
        <w:suppressLineNumbers w:val="0"/>
        <w:spacing w:before="75" w:beforeAutospacing="0" w:after="75"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75" w:beforeAutospacing="0" w:after="75" w:afterAutospacing="0"/>
        <w:ind w:left="0" w:right="0"/>
        <w:rPr>
          <w:color w:val="auto"/>
          <w:highlight w:val="none"/>
        </w:rPr>
      </w:pPr>
      <w:r>
        <w:rPr>
          <w:rFonts w:hint="eastAsia" w:ascii="宋体" w:hAnsi="宋体" w:eastAsia="宋体" w:cs="宋体"/>
          <w:color w:val="auto"/>
          <w:sz w:val="21"/>
          <w:szCs w:val="21"/>
          <w:highlight w:val="none"/>
        </w:rPr>
        <w:t> 以上企业，不属于大企业的分支机构，不存在控股股东为大企业的情形，也不存在与大企业的负责人为同一人的情形。</w:t>
      </w:r>
    </w:p>
    <w:p>
      <w:pPr>
        <w:pStyle w:val="11"/>
        <w:keepNext w:val="0"/>
        <w:keepLines w:val="0"/>
        <w:widowControl/>
        <w:suppressLineNumbers w:val="0"/>
        <w:spacing w:before="75" w:beforeAutospacing="0" w:after="75"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75" w:beforeAutospacing="0" w:after="75" w:afterAutospacing="0"/>
        <w:ind w:left="0" w:right="0"/>
        <w:rPr>
          <w:color w:val="auto"/>
          <w:highlight w:val="none"/>
        </w:rPr>
      </w:pPr>
      <w:r>
        <w:rPr>
          <w:rFonts w:hint="eastAsia" w:ascii="宋体" w:hAnsi="宋体" w:eastAsia="宋体" w:cs="宋体"/>
          <w:color w:val="auto"/>
          <w:sz w:val="21"/>
          <w:szCs w:val="21"/>
          <w:highlight w:val="none"/>
        </w:rPr>
        <w:t> 本企业对上述声明内容的真实性负责。如有虚假，将依法承担相应责任。</w:t>
      </w:r>
    </w:p>
    <w:p>
      <w:pPr>
        <w:pStyle w:val="11"/>
        <w:keepNext w:val="0"/>
        <w:keepLines w:val="0"/>
        <w:widowControl/>
        <w:suppressLineNumbers w:val="0"/>
        <w:spacing w:before="75" w:beforeAutospacing="0" w:after="75"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75" w:beforeAutospacing="0" w:after="75" w:afterAutospacing="0"/>
        <w:ind w:left="0" w:right="0"/>
        <w:rPr>
          <w:color w:val="auto"/>
          <w:highlight w:val="none"/>
        </w:rPr>
      </w:pPr>
      <w:r>
        <w:rPr>
          <w:rFonts w:hint="eastAsia" w:ascii="宋体" w:hAnsi="宋体" w:eastAsia="宋体" w:cs="宋体"/>
          <w:color w:val="auto"/>
          <w:sz w:val="21"/>
          <w:szCs w:val="21"/>
          <w:highlight w:val="none"/>
        </w:rPr>
        <w:t> 企业名称（盖章）：                                              日期：</w:t>
      </w:r>
    </w:p>
    <w:p>
      <w:pPr>
        <w:pStyle w:val="11"/>
        <w:keepNext w:val="0"/>
        <w:keepLines w:val="0"/>
        <w:widowControl/>
        <w:suppressLineNumbers w:val="0"/>
        <w:spacing w:before="75" w:beforeAutospacing="0" w:after="75"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75" w:beforeAutospacing="0" w:after="75" w:afterAutospacing="0"/>
        <w:ind w:left="0" w:right="0"/>
        <w:rPr>
          <w:color w:val="auto"/>
          <w:highlight w:val="none"/>
        </w:rPr>
      </w:pPr>
      <w:r>
        <w:rPr>
          <w:rStyle w:val="13"/>
          <w:rFonts w:hint="eastAsia" w:ascii="宋体" w:hAnsi="宋体" w:eastAsia="宋体" w:cs="宋体"/>
          <w:b/>
          <w:bCs/>
          <w:color w:val="auto"/>
          <w:sz w:val="21"/>
          <w:szCs w:val="21"/>
          <w:highlight w:val="none"/>
        </w:rPr>
        <w:t>※注意：</w:t>
      </w:r>
    </w:p>
    <w:p>
      <w:pPr>
        <w:pStyle w:val="11"/>
        <w:keepNext w:val="0"/>
        <w:keepLines w:val="0"/>
        <w:widowControl/>
        <w:suppressLineNumbers w:val="0"/>
        <w:spacing w:before="75" w:beforeAutospacing="0" w:after="75" w:afterAutospacing="0"/>
        <w:ind w:left="0" w:right="0" w:firstLine="420"/>
        <w:rPr>
          <w:color w:val="auto"/>
          <w:highlight w:val="none"/>
        </w:rPr>
      </w:pPr>
      <w:r>
        <w:rPr>
          <w:rStyle w:val="13"/>
          <w:rFonts w:hint="eastAsia" w:ascii="宋体" w:hAnsi="宋体" w:eastAsia="宋体" w:cs="宋体"/>
          <w:b/>
          <w:bCs/>
          <w:color w:val="auto"/>
          <w:sz w:val="21"/>
          <w:szCs w:val="21"/>
          <w:highlight w:val="none"/>
        </w:rPr>
        <w:t>1、从业人员、营业收入、资产总额填报上一年度数据，无上一年度数据的新成立企业可不填报。</w:t>
      </w:r>
    </w:p>
    <w:p>
      <w:pPr>
        <w:pStyle w:val="11"/>
        <w:keepNext w:val="0"/>
        <w:keepLines w:val="0"/>
        <w:widowControl/>
        <w:suppressLineNumbers w:val="0"/>
        <w:spacing w:before="75" w:beforeAutospacing="0" w:after="75" w:afterAutospacing="0"/>
        <w:ind w:left="0" w:right="0" w:firstLine="420"/>
        <w:rPr>
          <w:color w:val="auto"/>
          <w:highlight w:val="none"/>
        </w:rPr>
      </w:pPr>
      <w:r>
        <w:rPr>
          <w:rStyle w:val="13"/>
          <w:rFonts w:hint="eastAsia" w:ascii="宋体" w:hAnsi="宋体" w:eastAsia="宋体" w:cs="宋体"/>
          <w:b/>
          <w:bCs/>
          <w:color w:val="auto"/>
          <w:sz w:val="21"/>
          <w:szCs w:val="21"/>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r>
        <w:rPr>
          <w:rStyle w:val="13"/>
          <w:rFonts w:hint="eastAsia" w:ascii="宋体" w:hAnsi="宋体" w:eastAsia="宋体" w:cs="宋体"/>
          <w:b/>
          <w:bCs/>
          <w:color w:val="auto"/>
          <w:sz w:val="21"/>
          <w:szCs w:val="21"/>
          <w:highlight w:val="none"/>
        </w:rPr>
        <w:br w:type="textWrapping"/>
      </w:r>
      <w:r>
        <w:rPr>
          <w:rStyle w:val="13"/>
          <w:rFonts w:hint="eastAsia" w:ascii="宋体" w:hAnsi="宋体" w:eastAsia="宋体" w:cs="宋体"/>
          <w:b/>
          <w:bCs/>
          <w:color w:val="auto"/>
          <w:sz w:val="21"/>
          <w:szCs w:val="21"/>
          <w:highlight w:val="none"/>
        </w:rPr>
        <w:t>  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r>
        <w:rPr>
          <w:rStyle w:val="13"/>
          <w:rFonts w:hint="default" w:ascii="Calibri" w:hAnsi="Calibri" w:cs="Calibri"/>
          <w:b/>
          <w:bCs/>
          <w:color w:val="auto"/>
          <w:sz w:val="21"/>
          <w:szCs w:val="21"/>
          <w:highlight w:val="none"/>
        </w:rPr>
        <w:t>     </w:t>
      </w:r>
      <w:r>
        <w:rPr>
          <w:rFonts w:hint="default" w:ascii="Calibri" w:hAnsi="Calibri" w:cs="Calibri"/>
          <w:color w:val="auto"/>
          <w:sz w:val="21"/>
          <w:szCs w:val="21"/>
          <w:highlight w:val="none"/>
        </w:rPr>
        <w:t>          </w:t>
      </w:r>
    </w:p>
    <w:p>
      <w:pPr>
        <w:pStyle w:val="11"/>
        <w:keepNext w:val="0"/>
        <w:keepLines w:val="0"/>
        <w:widowControl/>
        <w:suppressLineNumbers w:val="0"/>
        <w:spacing w:before="0" w:beforeAutospacing="0" w:after="240" w:afterAutospacing="0"/>
        <w:ind w:left="0" w:right="0"/>
        <w:rPr>
          <w:color w:val="auto"/>
          <w:highlight w:val="none"/>
        </w:rPr>
      </w:pPr>
      <w:r>
        <w:rPr>
          <w:rFonts w:hint="eastAsia" w:ascii="宋体" w:hAnsi="宋体" w:eastAsia="宋体" w:cs="宋体"/>
          <w:color w:val="auto"/>
          <w:sz w:val="21"/>
          <w:szCs w:val="21"/>
          <w:highlight w:val="none"/>
        </w:rPr>
        <w:br w:type="textWrapping"/>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11"/>
        <w:keepNext w:val="0"/>
        <w:keepLines w:val="0"/>
        <w:widowControl/>
        <w:suppressLineNumbers w:val="0"/>
        <w:spacing w:before="75" w:beforeAutospacing="0" w:after="75" w:afterAutospacing="0"/>
        <w:ind w:left="0" w:right="0"/>
        <w:rPr>
          <w:color w:val="auto"/>
          <w:highlight w:val="none"/>
        </w:rPr>
      </w:pPr>
      <w:r>
        <w:rPr>
          <w:rFonts w:hint="eastAsia" w:ascii="宋体" w:hAnsi="宋体" w:eastAsia="宋体" w:cs="宋体"/>
          <w:color w:val="auto"/>
          <w:sz w:val="21"/>
          <w:szCs w:val="21"/>
          <w:highlight w:val="none"/>
        </w:rPr>
        <w:t>附：</w:t>
      </w:r>
    </w:p>
    <w:p>
      <w:pPr>
        <w:pStyle w:val="11"/>
        <w:keepNext w:val="0"/>
        <w:keepLines w:val="0"/>
        <w:widowControl/>
        <w:suppressLineNumbers w:val="0"/>
        <w:spacing w:before="75" w:beforeAutospacing="0" w:after="75" w:afterAutospacing="0"/>
        <w:ind w:left="0" w:right="0"/>
        <w:jc w:val="center"/>
        <w:rPr>
          <w:color w:val="auto"/>
          <w:highlight w:val="none"/>
        </w:rPr>
      </w:pPr>
      <w:r>
        <w:rPr>
          <w:rStyle w:val="13"/>
          <w:rFonts w:hint="eastAsia" w:ascii="宋体" w:hAnsi="宋体" w:eastAsia="宋体" w:cs="宋体"/>
          <w:b/>
          <w:bCs/>
          <w:color w:val="auto"/>
          <w:sz w:val="24"/>
          <w:szCs w:val="24"/>
          <w:highlight w:val="none"/>
        </w:rPr>
        <w:t>残疾人福利性单位声明函</w:t>
      </w:r>
    </w:p>
    <w:p>
      <w:pPr>
        <w:pStyle w:val="11"/>
        <w:keepNext w:val="0"/>
        <w:keepLines w:val="0"/>
        <w:widowControl/>
        <w:suppressLineNumbers w:val="0"/>
        <w:spacing w:before="75" w:beforeAutospacing="0" w:after="75" w:afterAutospacing="0"/>
        <w:ind w:left="0" w:right="0"/>
        <w:jc w:val="center"/>
        <w:rPr>
          <w:color w:val="auto"/>
          <w:highlight w:val="none"/>
        </w:rPr>
      </w:pPr>
      <w:r>
        <w:rPr>
          <w:rStyle w:val="13"/>
          <w:rFonts w:hint="eastAsia" w:ascii="宋体" w:hAnsi="宋体" w:eastAsia="宋体" w:cs="宋体"/>
          <w:b/>
          <w:bCs/>
          <w:color w:val="auto"/>
          <w:sz w:val="21"/>
          <w:szCs w:val="21"/>
          <w:highlight w:val="none"/>
        </w:rPr>
        <w:t>（以资格条件落实中小企业扶持政策时适用，若有）</w:t>
      </w:r>
    </w:p>
    <w:p>
      <w:pPr>
        <w:pStyle w:val="11"/>
        <w:keepNext w:val="0"/>
        <w:keepLines w:val="0"/>
        <w:widowControl/>
        <w:suppressLineNumbers w:val="0"/>
        <w:spacing w:before="75" w:beforeAutospacing="0" w:after="75" w:afterAutospacing="0"/>
        <w:ind w:left="0" w:right="0"/>
        <w:rPr>
          <w:color w:val="auto"/>
          <w:highlight w:val="none"/>
        </w:rPr>
      </w:pPr>
      <w:r>
        <w:rPr>
          <w:rStyle w:val="13"/>
          <w:rFonts w:hint="eastAsia" w:ascii="宋体" w:hAnsi="宋体" w:eastAsia="宋体" w:cs="宋体"/>
          <w:b/>
          <w:bCs/>
          <w:color w:val="auto"/>
          <w:sz w:val="21"/>
          <w:szCs w:val="21"/>
          <w:highlight w:val="none"/>
        </w:rPr>
        <w:t> </w:t>
      </w:r>
    </w:p>
    <w:p>
      <w:pPr>
        <w:pStyle w:val="11"/>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z w:val="21"/>
          <w:szCs w:val="21"/>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1"/>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z w:val="21"/>
          <w:szCs w:val="21"/>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1"/>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z w:val="21"/>
          <w:szCs w:val="21"/>
          <w:highlight w:val="none"/>
        </w:rPr>
        <w:t>（ ）由本投标人承建的（填写“所投采购包、品目号”）工程</w:t>
      </w:r>
    </w:p>
    <w:p>
      <w:pPr>
        <w:pStyle w:val="11"/>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z w:val="21"/>
          <w:szCs w:val="21"/>
          <w:highlight w:val="none"/>
        </w:rPr>
        <w:t>（ ）由本投标人承接的（填写“所投采购包、品目号”）服务；</w:t>
      </w:r>
    </w:p>
    <w:p>
      <w:pPr>
        <w:pStyle w:val="11"/>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z w:val="21"/>
          <w:szCs w:val="21"/>
          <w:highlight w:val="none"/>
        </w:rPr>
        <w:t>本投标人对上述声明的真实性负责。如有虚假，将依法承担相应责任。</w:t>
      </w:r>
    </w:p>
    <w:p>
      <w:pPr>
        <w:pStyle w:val="11"/>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75" w:beforeAutospacing="0" w:after="75" w:afterAutospacing="0"/>
        <w:ind w:left="0" w:right="0"/>
        <w:rPr>
          <w:color w:val="auto"/>
          <w:highlight w:val="none"/>
        </w:rPr>
      </w:pPr>
      <w:r>
        <w:rPr>
          <w:rFonts w:hint="eastAsia" w:ascii="宋体" w:hAnsi="宋体" w:eastAsia="宋体" w:cs="宋体"/>
          <w:color w:val="auto"/>
          <w:sz w:val="21"/>
          <w:szCs w:val="21"/>
          <w:highlight w:val="none"/>
        </w:rPr>
        <w:t>备注：</w:t>
      </w:r>
    </w:p>
    <w:p>
      <w:pPr>
        <w:pStyle w:val="11"/>
        <w:keepNext w:val="0"/>
        <w:keepLines w:val="0"/>
        <w:widowControl/>
        <w:suppressLineNumbers w:val="0"/>
        <w:spacing w:before="75" w:beforeAutospacing="0" w:after="75" w:afterAutospacing="0"/>
        <w:ind w:left="0" w:right="0"/>
        <w:rPr>
          <w:color w:val="auto"/>
          <w:highlight w:val="none"/>
        </w:rPr>
      </w:pPr>
      <w:r>
        <w:rPr>
          <w:rFonts w:hint="eastAsia" w:ascii="宋体" w:hAnsi="宋体" w:eastAsia="宋体" w:cs="宋体"/>
          <w:color w:val="auto"/>
          <w:sz w:val="21"/>
          <w:szCs w:val="21"/>
          <w:highlight w:val="none"/>
        </w:rPr>
        <w:t>1、请投标人按照实际情况编制填写本声明函，并在相应的（）中打“√”。</w:t>
      </w:r>
    </w:p>
    <w:p>
      <w:pPr>
        <w:pStyle w:val="11"/>
        <w:keepNext w:val="0"/>
        <w:keepLines w:val="0"/>
        <w:widowControl/>
        <w:suppressLineNumbers w:val="0"/>
        <w:spacing w:before="75" w:beforeAutospacing="0" w:after="75" w:afterAutospacing="0"/>
        <w:ind w:left="0" w:right="0"/>
        <w:rPr>
          <w:color w:val="auto"/>
          <w:highlight w:val="none"/>
        </w:rPr>
      </w:pPr>
      <w:r>
        <w:rPr>
          <w:rFonts w:hint="eastAsia" w:ascii="宋体" w:hAnsi="宋体" w:eastAsia="宋体" w:cs="宋体"/>
          <w:color w:val="auto"/>
          <w:sz w:val="21"/>
          <w:szCs w:val="21"/>
          <w:highlight w:val="none"/>
        </w:rPr>
        <w:t>2、若《残疾人福利性单位声明函》内容不真实，</w:t>
      </w:r>
      <w:r>
        <w:rPr>
          <w:rStyle w:val="13"/>
          <w:rFonts w:hint="eastAsia" w:ascii="宋体" w:hAnsi="宋体" w:eastAsia="宋体" w:cs="宋体"/>
          <w:b/>
          <w:bCs/>
          <w:color w:val="auto"/>
          <w:sz w:val="21"/>
          <w:szCs w:val="21"/>
          <w:highlight w:val="none"/>
        </w:rPr>
        <w:t>视为提供虚假材料。</w:t>
      </w:r>
    </w:p>
    <w:p>
      <w:pPr>
        <w:pStyle w:val="11"/>
        <w:keepNext w:val="0"/>
        <w:keepLines w:val="0"/>
        <w:widowControl/>
        <w:suppressLineNumbers w:val="0"/>
        <w:spacing w:before="75" w:beforeAutospacing="0" w:after="75"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75" w:beforeAutospacing="0" w:after="75" w:afterAutospacing="0"/>
        <w:ind w:left="0" w:right="0"/>
        <w:rPr>
          <w:color w:val="auto"/>
          <w:highlight w:val="none"/>
        </w:rPr>
      </w:pPr>
      <w:r>
        <w:rPr>
          <w:rFonts w:hint="default" w:ascii="Calibri" w:hAnsi="Calibri" w:cs="Calibri"/>
          <w:color w:val="auto"/>
          <w:sz w:val="21"/>
          <w:szCs w:val="21"/>
          <w:highlight w:val="none"/>
        </w:rPr>
        <w:t> </w:t>
      </w:r>
    </w:p>
    <w:p>
      <w:pPr>
        <w:pStyle w:val="11"/>
        <w:keepNext w:val="0"/>
        <w:keepLines w:val="0"/>
        <w:widowControl/>
        <w:suppressLineNumbers w:val="0"/>
        <w:spacing w:before="75" w:beforeAutospacing="0" w:after="75" w:afterAutospacing="0"/>
        <w:ind w:left="0" w:right="0"/>
        <w:rPr>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1"/>
        <w:keepNext w:val="0"/>
        <w:keepLines w:val="0"/>
        <w:widowControl/>
        <w:suppressLineNumbers w:val="0"/>
        <w:spacing w:before="75" w:beforeAutospacing="0" w:after="75" w:afterAutospacing="0"/>
        <w:ind w:left="0" w:right="0"/>
        <w:rPr>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1"/>
        <w:keepNext w:val="0"/>
        <w:keepLines w:val="0"/>
        <w:widowControl/>
        <w:suppressLineNumbers w:val="0"/>
        <w:spacing w:before="75" w:beforeAutospacing="0" w:after="75" w:afterAutospacing="0"/>
        <w:ind w:left="0" w:right="0" w:firstLine="420"/>
        <w:rPr>
          <w:color w:val="auto"/>
          <w:highlight w:val="none"/>
        </w:rPr>
      </w:pPr>
      <w:r>
        <w:rPr>
          <w:rFonts w:hint="default" w:ascii="Calibri" w:hAnsi="Calibri" w:cs="Calibri"/>
          <w:color w:val="auto"/>
          <w:sz w:val="24"/>
          <w:szCs w:val="24"/>
          <w:highlight w:val="none"/>
        </w:rPr>
        <w:t> </w:t>
      </w:r>
    </w:p>
    <w:p>
      <w:pPr>
        <w:pStyle w:val="11"/>
        <w:keepNext w:val="0"/>
        <w:keepLines w:val="0"/>
        <w:widowControl/>
        <w:suppressLineNumbers w:val="0"/>
        <w:spacing w:before="75" w:beforeAutospacing="0" w:after="75" w:afterAutospacing="0"/>
        <w:ind w:left="0" w:right="0" w:firstLine="420"/>
        <w:rPr>
          <w:color w:val="auto"/>
          <w:highlight w:val="none"/>
        </w:rPr>
      </w:pPr>
      <w:r>
        <w:rPr>
          <w:rFonts w:hint="default" w:ascii="Calibri" w:hAnsi="Calibri" w:cs="Calibri"/>
          <w:color w:val="auto"/>
          <w:sz w:val="24"/>
          <w:szCs w:val="24"/>
          <w:highlight w:val="none"/>
        </w:rPr>
        <w:t> </w:t>
      </w:r>
    </w:p>
    <w:p>
      <w:pPr>
        <w:pStyle w:val="11"/>
        <w:keepNext w:val="0"/>
        <w:keepLines w:val="0"/>
        <w:widowControl/>
        <w:suppressLineNumbers w:val="0"/>
        <w:spacing w:before="75" w:beforeAutospacing="0" w:after="75"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z w:val="21"/>
          <w:szCs w:val="21"/>
          <w:highlight w:val="none"/>
        </w:rPr>
        <w:t>附：                          </w:t>
      </w:r>
    </w:p>
    <w:p>
      <w:pPr>
        <w:pStyle w:val="11"/>
        <w:keepNext w:val="0"/>
        <w:keepLines w:val="0"/>
        <w:widowControl/>
        <w:suppressLineNumbers w:val="0"/>
        <w:spacing w:before="75" w:beforeAutospacing="0" w:after="75" w:afterAutospacing="0"/>
        <w:ind w:left="0" w:right="0" w:firstLine="0"/>
        <w:jc w:val="center"/>
        <w:rPr>
          <w:color w:val="auto"/>
          <w:highlight w:val="none"/>
        </w:rPr>
      </w:pPr>
      <w:r>
        <w:rPr>
          <w:rStyle w:val="13"/>
          <w:rFonts w:hint="eastAsia" w:ascii="宋体" w:hAnsi="宋体" w:eastAsia="宋体" w:cs="宋体"/>
          <w:b/>
          <w:bCs/>
          <w:color w:val="auto"/>
          <w:sz w:val="24"/>
          <w:szCs w:val="24"/>
          <w:highlight w:val="none"/>
        </w:rPr>
        <w:t>监狱企业证明材料</w:t>
      </w:r>
    </w:p>
    <w:p>
      <w:pPr>
        <w:pStyle w:val="11"/>
        <w:keepNext w:val="0"/>
        <w:keepLines w:val="0"/>
        <w:widowControl/>
        <w:suppressLineNumbers w:val="0"/>
        <w:spacing w:before="75" w:beforeAutospacing="0" w:after="75" w:afterAutospacing="0"/>
        <w:ind w:left="0" w:right="0" w:firstLine="0"/>
        <w:jc w:val="center"/>
        <w:rPr>
          <w:color w:val="auto"/>
          <w:highlight w:val="none"/>
        </w:rPr>
      </w:pPr>
      <w:r>
        <w:rPr>
          <w:rStyle w:val="13"/>
          <w:rFonts w:hint="eastAsia" w:ascii="宋体" w:hAnsi="宋体" w:eastAsia="宋体" w:cs="宋体"/>
          <w:b/>
          <w:bCs/>
          <w:color w:val="auto"/>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4"/>
          <w:szCs w:val="24"/>
          <w:highlight w:val="none"/>
          <w:shd w:val="clear" w:fill="FFFFFF"/>
        </w:rPr>
        <w:t>投标人为监狱企业，提供本单位制造的货物（承接的服务），并在电子投标文件中提供省级以上监狱管理局、戒毒管理局（含新疆生产建设兵团）出具的属于监狱企业的证明文件。</w:t>
      </w:r>
    </w:p>
    <w:p>
      <w:pPr>
        <w:pStyle w:val="11"/>
        <w:keepNext w:val="0"/>
        <w:keepLines w:val="0"/>
        <w:widowControl/>
        <w:suppressLineNumbers w:val="0"/>
        <w:spacing w:before="0" w:beforeAutospacing="0" w:after="240" w:afterAutospacing="0"/>
        <w:ind w:left="0" w:right="0"/>
        <w:rPr>
          <w:color w:val="auto"/>
          <w:highlight w:val="none"/>
        </w:rPr>
      </w:pP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br w:type="textWrapping"/>
      </w:r>
    </w:p>
    <w:p>
      <w:pPr>
        <w:pStyle w:val="11"/>
        <w:keepNext w:val="0"/>
        <w:keepLines w:val="0"/>
        <w:widowControl/>
        <w:suppressLineNumbers w:val="0"/>
        <w:spacing w:before="0" w:beforeAutospacing="0" w:after="15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textWrapping"/>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11"/>
        <w:keepNext w:val="0"/>
        <w:keepLines w:val="0"/>
        <w:widowControl/>
        <w:suppressLineNumbers w:val="0"/>
        <w:spacing w:before="0" w:beforeAutospacing="0" w:after="150" w:afterAutospacing="0"/>
        <w:ind w:left="0" w:right="0"/>
        <w:jc w:val="center"/>
        <w:rPr>
          <w:color w:val="auto"/>
          <w:highlight w:val="none"/>
        </w:rPr>
      </w:pPr>
      <w:r>
        <w:rPr>
          <w:rStyle w:val="13"/>
          <w:rFonts w:hint="eastAsia" w:ascii="宋体" w:hAnsi="宋体" w:eastAsia="宋体" w:cs="宋体"/>
          <w:b/>
          <w:bCs/>
          <w:color w:val="auto"/>
          <w:sz w:val="21"/>
          <w:szCs w:val="21"/>
          <w:highlight w:val="none"/>
        </w:rPr>
        <w:t>二-10联合体协议（若有）</w:t>
      </w:r>
    </w:p>
    <w:p>
      <w:pPr>
        <w:pStyle w:val="11"/>
        <w:keepNext w:val="0"/>
        <w:keepLines w:val="0"/>
        <w:widowControl/>
        <w:suppressLineNumbers w:val="0"/>
        <w:spacing w:before="0" w:beforeAutospacing="0" w:after="150" w:afterAutospacing="0"/>
        <w:ind w:left="0" w:right="0"/>
        <w:jc w:val="center"/>
        <w:rPr>
          <w:color w:val="auto"/>
          <w:highlight w:val="none"/>
        </w:rPr>
      </w:pP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（采购人或采购代理机构） </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兹有</w:t>
      </w:r>
      <w:r>
        <w:rPr>
          <w:rFonts w:hint="eastAsia" w:ascii="宋体" w:hAnsi="宋体" w:eastAsia="宋体" w:cs="宋体"/>
          <w:color w:val="auto"/>
          <w:sz w:val="21"/>
          <w:szCs w:val="21"/>
          <w:highlight w:val="none"/>
          <w:u w:val="single"/>
        </w:rPr>
        <w:t>（填写“联合体中各方的全称”，各方的全称之间请用“、”分割）</w:t>
      </w:r>
      <w:r>
        <w:rPr>
          <w:rFonts w:hint="eastAsia" w:ascii="宋体" w:hAnsi="宋体" w:eastAsia="宋体" w:cs="宋体"/>
          <w:color w:val="auto"/>
          <w:sz w:val="21"/>
          <w:szCs w:val="21"/>
          <w:highlight w:val="none"/>
        </w:rPr>
        <w:t>自愿组成联合体，共同参加</w:t>
      </w:r>
      <w:r>
        <w:rPr>
          <w:rFonts w:hint="eastAsia" w:ascii="宋体" w:hAnsi="宋体" w:eastAsia="宋体" w:cs="宋体"/>
          <w:color w:val="auto"/>
          <w:sz w:val="21"/>
          <w:szCs w:val="21"/>
          <w:highlight w:val="none"/>
          <w:u w:val="single"/>
        </w:rPr>
        <w:t>（填写“项目名称”） </w:t>
      </w:r>
      <w:r>
        <w:rPr>
          <w:rFonts w:hint="eastAsia" w:ascii="宋体" w:hAnsi="宋体" w:eastAsia="宋体" w:cs="宋体"/>
          <w:color w:val="auto"/>
          <w:sz w:val="21"/>
          <w:szCs w:val="21"/>
          <w:highlight w:val="none"/>
        </w:rPr>
        <w:t>项目（项目编号：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）的投标。现就联合体参加本项目投标的有关事宜达成下列协议：</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一、联合体各方应承担的工作和义务具体如下：</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1、牵头方（</w:t>
      </w:r>
      <w:r>
        <w:rPr>
          <w:rFonts w:hint="eastAsia" w:ascii="宋体" w:hAnsi="宋体" w:eastAsia="宋体" w:cs="宋体"/>
          <w:color w:val="auto"/>
          <w:sz w:val="21"/>
          <w:szCs w:val="21"/>
          <w:highlight w:val="none"/>
          <w:u w:val="single"/>
        </w:rPr>
        <w:t>全称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（填写“工作及义务的具体内容”） </w:t>
      </w:r>
      <w:r>
        <w:rPr>
          <w:rFonts w:hint="eastAsia" w:ascii="宋体" w:hAnsi="宋体" w:eastAsia="宋体" w:cs="宋体"/>
          <w:color w:val="auto"/>
          <w:sz w:val="21"/>
          <w:szCs w:val="21"/>
          <w:highlight w:val="none"/>
        </w:rPr>
        <w:t>；</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2、成员方：</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u w:val="single"/>
        </w:rPr>
        <w:t>（成员一的全称）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（填写“工作及义务的具体内容”） </w:t>
      </w:r>
      <w:r>
        <w:rPr>
          <w:rFonts w:hint="eastAsia" w:ascii="宋体" w:hAnsi="宋体" w:eastAsia="宋体" w:cs="宋体"/>
          <w:color w:val="auto"/>
          <w:sz w:val="21"/>
          <w:szCs w:val="21"/>
          <w:highlight w:val="none"/>
        </w:rPr>
        <w:t>；</w:t>
      </w:r>
    </w:p>
    <w:p>
      <w:pPr>
        <w:pStyle w:val="11"/>
        <w:keepNext w:val="0"/>
        <w:keepLines w:val="0"/>
        <w:widowControl/>
        <w:suppressLineNumbers w:val="0"/>
        <w:spacing w:before="0" w:beforeAutospacing="0" w:after="150" w:afterAutospacing="0"/>
        <w:ind w:left="0" w:right="0" w:firstLine="420"/>
        <w:rPr>
          <w:color w:val="auto"/>
          <w:highlight w:val="none"/>
        </w:rPr>
      </w:pPr>
      <w:r>
        <w:rPr>
          <w:rFonts w:hint="default" w:ascii="Calibri" w:hAnsi="Calibri" w:cs="Calibri"/>
          <w:color w:val="auto"/>
          <w:sz w:val="21"/>
          <w:szCs w:val="21"/>
          <w:highlight w:val="none"/>
        </w:rPr>
        <w:t>……</w:t>
      </w:r>
      <w:r>
        <w:rPr>
          <w:rFonts w:hint="eastAsia" w:ascii="宋体" w:hAnsi="宋体" w:eastAsia="宋体" w:cs="宋体"/>
          <w:color w:val="auto"/>
          <w:sz w:val="21"/>
          <w:szCs w:val="21"/>
          <w:highlight w:val="none"/>
        </w:rPr>
        <w:t>。</w:t>
      </w:r>
    </w:p>
    <w:p>
      <w:pPr>
        <w:pStyle w:val="11"/>
        <w:keepNext w:val="0"/>
        <w:keepLines w:val="0"/>
        <w:widowControl/>
        <w:suppressLineNumbers w:val="0"/>
        <w:spacing w:before="75" w:beforeAutospacing="0" w:after="75" w:afterAutospacing="0" w:line="293" w:lineRule="atLeast"/>
        <w:ind w:left="0" w:right="0" w:firstLine="435"/>
        <w:rPr>
          <w:color w:val="auto"/>
          <w:highlight w:val="none"/>
        </w:rPr>
      </w:pPr>
      <w:r>
        <w:rPr>
          <w:rFonts w:hint="eastAsia" w:ascii="宋体" w:hAnsi="宋体" w:eastAsia="宋体" w:cs="宋体"/>
          <w:color w:val="auto"/>
          <w:sz w:val="21"/>
          <w:szCs w:val="21"/>
          <w:highlight w:val="none"/>
        </w:rPr>
        <w:t>二、联合体各方的合同金额占比，具体如下：</w:t>
      </w:r>
    </w:p>
    <w:p>
      <w:pPr>
        <w:pStyle w:val="11"/>
        <w:keepNext w:val="0"/>
        <w:keepLines w:val="0"/>
        <w:widowControl/>
        <w:suppressLineNumbers w:val="0"/>
        <w:spacing w:before="0" w:beforeAutospacing="0" w:after="150" w:afterAutospacing="0" w:line="293" w:lineRule="atLeast"/>
        <w:ind w:left="0" w:right="0" w:firstLine="435"/>
        <w:rPr>
          <w:color w:val="auto"/>
          <w:highlight w:val="none"/>
        </w:rPr>
      </w:pPr>
      <w:r>
        <w:rPr>
          <w:rFonts w:hint="eastAsia" w:ascii="宋体" w:hAnsi="宋体" w:eastAsia="宋体" w:cs="宋体"/>
          <w:color w:val="auto"/>
          <w:sz w:val="21"/>
          <w:szCs w:val="21"/>
          <w:highlight w:val="none"/>
        </w:rPr>
        <w:t>1.牵头方（</w:t>
      </w:r>
      <w:r>
        <w:rPr>
          <w:rFonts w:hint="eastAsia" w:ascii="宋体" w:hAnsi="宋体" w:eastAsia="宋体" w:cs="宋体"/>
          <w:color w:val="auto"/>
          <w:sz w:val="21"/>
          <w:szCs w:val="21"/>
          <w:highlight w:val="none"/>
          <w:u w:val="single"/>
        </w:rPr>
        <w:t>  全称 </w:t>
      </w:r>
      <w:r>
        <w:rPr>
          <w:rFonts w:hint="eastAsia" w:ascii="宋体" w:hAnsi="宋体" w:eastAsia="宋体" w:cs="宋体"/>
          <w:color w:val="auto"/>
          <w:sz w:val="21"/>
          <w:szCs w:val="21"/>
          <w:highlight w:val="none"/>
        </w:rPr>
        <w:t>）的合同金额占合同总额的＿%；</w:t>
      </w:r>
    </w:p>
    <w:p>
      <w:pPr>
        <w:pStyle w:val="11"/>
        <w:keepNext w:val="0"/>
        <w:keepLines w:val="0"/>
        <w:widowControl/>
        <w:suppressLineNumbers w:val="0"/>
        <w:spacing w:before="0" w:beforeAutospacing="0" w:after="150" w:afterAutospacing="0" w:line="293" w:lineRule="atLeast"/>
        <w:ind w:left="0" w:right="0" w:firstLine="435"/>
        <w:rPr>
          <w:color w:val="auto"/>
          <w:highlight w:val="none"/>
        </w:rPr>
      </w:pPr>
      <w:r>
        <w:rPr>
          <w:rFonts w:hint="eastAsia" w:ascii="宋体" w:hAnsi="宋体" w:eastAsia="宋体" w:cs="宋体"/>
          <w:color w:val="auto"/>
          <w:sz w:val="21"/>
          <w:szCs w:val="21"/>
          <w:highlight w:val="none"/>
        </w:rPr>
        <w:t>2.成员方：</w:t>
      </w:r>
    </w:p>
    <w:p>
      <w:pPr>
        <w:pStyle w:val="11"/>
        <w:keepNext w:val="0"/>
        <w:keepLines w:val="0"/>
        <w:widowControl/>
        <w:suppressLineNumbers w:val="0"/>
        <w:spacing w:before="0" w:beforeAutospacing="0" w:after="150" w:afterAutospacing="0" w:line="293" w:lineRule="atLeast"/>
        <w:ind w:left="0" w:right="0" w:firstLine="435"/>
        <w:rPr>
          <w:color w:val="auto"/>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u w:val="single"/>
        </w:rPr>
        <w:t> 成员1的全称 </w:t>
      </w:r>
      <w:r>
        <w:rPr>
          <w:rFonts w:hint="eastAsia" w:ascii="宋体" w:hAnsi="宋体" w:eastAsia="宋体" w:cs="宋体"/>
          <w:color w:val="auto"/>
          <w:sz w:val="21"/>
          <w:szCs w:val="21"/>
          <w:highlight w:val="none"/>
        </w:rPr>
        <w:t>）的合同金额占合同总额的＿%；</w:t>
      </w:r>
    </w:p>
    <w:p>
      <w:pPr>
        <w:pStyle w:val="11"/>
        <w:keepNext w:val="0"/>
        <w:keepLines w:val="0"/>
        <w:widowControl/>
        <w:suppressLineNumbers w:val="0"/>
        <w:spacing w:before="75" w:beforeAutospacing="0" w:after="75" w:afterAutospacing="0" w:line="293" w:lineRule="atLeast"/>
        <w:ind w:left="0" w:right="0" w:firstLine="435"/>
        <w:rPr>
          <w:color w:val="auto"/>
          <w:highlight w:val="none"/>
        </w:rPr>
      </w:pPr>
      <w:r>
        <w:rPr>
          <w:rFonts w:hint="eastAsia" w:ascii="宋体" w:hAnsi="宋体" w:eastAsia="宋体" w:cs="宋体"/>
          <w:color w:val="auto"/>
          <w:sz w:val="21"/>
          <w:szCs w:val="21"/>
          <w:highlight w:val="none"/>
        </w:rPr>
        <w:t>……。</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三、联合体各方约定：</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1、由</w:t>
      </w:r>
      <w:r>
        <w:rPr>
          <w:rFonts w:hint="eastAsia" w:ascii="宋体" w:hAnsi="宋体" w:eastAsia="宋体" w:cs="宋体"/>
          <w:color w:val="auto"/>
          <w:sz w:val="21"/>
          <w:szCs w:val="21"/>
          <w:highlight w:val="none"/>
          <w:u w:val="single"/>
        </w:rPr>
        <w:t>（填写“牵头方的全称”）</w:t>
      </w:r>
      <w:r>
        <w:rPr>
          <w:rFonts w:hint="eastAsia" w:ascii="宋体" w:hAnsi="宋体" w:eastAsia="宋体" w:cs="宋体"/>
          <w:color w:val="auto"/>
          <w:sz w:val="21"/>
          <w:szCs w:val="21"/>
          <w:highlight w:val="none"/>
        </w:rPr>
        <w:t>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2、联合体各方约定由</w:t>
      </w:r>
      <w:r>
        <w:rPr>
          <w:rFonts w:hint="eastAsia" w:ascii="宋体" w:hAnsi="宋体" w:eastAsia="宋体" w:cs="宋体"/>
          <w:color w:val="auto"/>
          <w:sz w:val="21"/>
          <w:szCs w:val="21"/>
          <w:highlight w:val="none"/>
          <w:u w:val="single"/>
        </w:rPr>
        <w:t>（填写“牵头方的全称”）</w:t>
      </w:r>
      <w:r>
        <w:rPr>
          <w:rFonts w:hint="eastAsia" w:ascii="宋体" w:hAnsi="宋体" w:eastAsia="宋体" w:cs="宋体"/>
          <w:color w:val="auto"/>
          <w:sz w:val="21"/>
          <w:szCs w:val="21"/>
          <w:highlight w:val="none"/>
        </w:rPr>
        <w:t>代表联合体办理投标保证金事宜。</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3、</w:t>
      </w:r>
      <w:r>
        <w:rPr>
          <w:rFonts w:hint="eastAsia" w:ascii="宋体" w:hAnsi="宋体" w:eastAsia="宋体" w:cs="宋体"/>
          <w:i w:val="0"/>
          <w:iCs w:val="0"/>
          <w:color w:val="auto"/>
          <w:spacing w:val="0"/>
          <w:sz w:val="21"/>
          <w:szCs w:val="21"/>
          <w:highlight w:val="none"/>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i w:val="0"/>
          <w:iCs w:val="0"/>
          <w:color w:val="auto"/>
          <w:spacing w:val="0"/>
          <w:sz w:val="21"/>
          <w:szCs w:val="21"/>
          <w:highlight w:val="none"/>
          <w:u w:val="single"/>
        </w:rPr>
        <w:t>（应填写“其中一方的全称”，如：联合体确定以成员一的条件参与商务部分的评标，则填写“成员一的全称”…；否则填写“无”）</w:t>
      </w:r>
      <w:r>
        <w:rPr>
          <w:rFonts w:hint="eastAsia" w:ascii="宋体" w:hAnsi="宋体" w:eastAsia="宋体" w:cs="宋体"/>
          <w:i w:val="0"/>
          <w:iCs w:val="0"/>
          <w:color w:val="auto"/>
          <w:spacing w:val="0"/>
          <w:sz w:val="21"/>
          <w:szCs w:val="21"/>
          <w:highlight w:val="none"/>
        </w:rPr>
        <w:t>的条件参与商务部分的评标。</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四、若中标，牵头方将代表联合体与采购人就合同签订事宜进行协商；若协商一致，则联合体各方将共同与采购人签订政府采购合同，并就政府采购合同约定的事项对采购人承担连带责任。</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五、本协议自签署之日起生效，政府采购合同履行完毕后自动失效。</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六、本协议一式</w:t>
      </w:r>
      <w:r>
        <w:rPr>
          <w:rFonts w:hint="eastAsia" w:ascii="宋体" w:hAnsi="宋体" w:eastAsia="宋体" w:cs="宋体"/>
          <w:color w:val="auto"/>
          <w:sz w:val="21"/>
          <w:szCs w:val="21"/>
          <w:highlight w:val="none"/>
          <w:u w:val="single"/>
        </w:rPr>
        <w:t>（填写具体份数）</w:t>
      </w:r>
      <w:r>
        <w:rPr>
          <w:rFonts w:hint="eastAsia" w:ascii="宋体" w:hAnsi="宋体" w:eastAsia="宋体" w:cs="宋体"/>
          <w:color w:val="auto"/>
          <w:sz w:val="21"/>
          <w:szCs w:val="21"/>
          <w:highlight w:val="none"/>
        </w:rPr>
        <w:t>份，联合体各方各执一份，电子投标文件中提交一份。</w:t>
      </w:r>
    </w:p>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（以下无正文）</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牵头方：</w:t>
      </w:r>
      <w:r>
        <w:rPr>
          <w:rFonts w:hint="eastAsia" w:ascii="宋体" w:hAnsi="宋体" w:eastAsia="宋体" w:cs="宋体"/>
          <w:color w:val="auto"/>
          <w:sz w:val="21"/>
          <w:szCs w:val="21"/>
          <w:highlight w:val="none"/>
          <w:u w:val="single"/>
        </w:rPr>
        <w:t>（全称并加盖单位公章）</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（签字或盖章）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成员一：</w:t>
      </w:r>
      <w:r>
        <w:rPr>
          <w:rFonts w:hint="eastAsia" w:ascii="宋体" w:hAnsi="宋体" w:eastAsia="宋体" w:cs="宋体"/>
          <w:color w:val="auto"/>
          <w:sz w:val="21"/>
          <w:szCs w:val="21"/>
          <w:highlight w:val="none"/>
          <w:u w:val="single"/>
        </w:rPr>
        <w:t>（全称并加盖成员一的单位公章）</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（签字或盖章）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成员**：</w:t>
      </w:r>
      <w:r>
        <w:rPr>
          <w:rFonts w:hint="eastAsia" w:ascii="宋体" w:hAnsi="宋体" w:eastAsia="宋体" w:cs="宋体"/>
          <w:color w:val="auto"/>
          <w:sz w:val="21"/>
          <w:szCs w:val="21"/>
          <w:highlight w:val="none"/>
          <w:u w:val="single"/>
        </w:rPr>
        <w:t>（全称并加盖成员**的单位公章）</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（签字或盖章）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jc w:val="right"/>
        <w:rPr>
          <w:color w:val="auto"/>
          <w:highlight w:val="none"/>
        </w:rPr>
      </w:pPr>
      <w:r>
        <w:rPr>
          <w:rFonts w:hint="eastAsia" w:ascii="宋体" w:hAnsi="宋体" w:eastAsia="宋体" w:cs="宋体"/>
          <w:color w:val="auto"/>
          <w:sz w:val="21"/>
          <w:szCs w:val="21"/>
          <w:highlight w:val="none"/>
        </w:rPr>
        <w:t>签署日期：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※注意：</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1、招标文件接受联合体投标且投标人为联合体的，投标人应提供本协议；否则无须提供。</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2、本协议由委托代理人签字或盖章的，应按照本章载明的格式提供“单位授权书”。</w:t>
      </w:r>
    </w:p>
    <w:p>
      <w:pPr>
        <w:pStyle w:val="11"/>
        <w:keepNext w:val="0"/>
        <w:keepLines w:val="0"/>
        <w:widowControl/>
        <w:suppressLineNumbers w:val="0"/>
        <w:spacing w:before="75" w:beforeAutospacing="0" w:after="75" w:afterAutospacing="0"/>
        <w:ind w:left="0" w:right="0"/>
        <w:rPr>
          <w:color w:val="auto"/>
          <w:highlight w:val="none"/>
        </w:rPr>
      </w:pPr>
      <w:r>
        <w:rPr>
          <w:rFonts w:hint="eastAsia" w:ascii="宋体" w:hAnsi="宋体" w:eastAsia="宋体" w:cs="宋体"/>
          <w:color w:val="auto"/>
          <w:sz w:val="21"/>
          <w:szCs w:val="21"/>
          <w:highlight w:val="none"/>
        </w:rPr>
        <w:t>3、在以联合体形式落实中小企业预留份额项目中，投标人除了要提供《中小企业声明函》，还需提供本协议。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240" w:afterAutospacing="0"/>
        <w:ind w:left="0" w:right="0"/>
        <w:rPr>
          <w:color w:val="auto"/>
          <w:highlight w:val="none"/>
        </w:rPr>
      </w:pPr>
      <w:r>
        <w:rPr>
          <w:rFonts w:hint="eastAsia" w:ascii="宋体" w:hAnsi="宋体" w:eastAsia="宋体" w:cs="宋体"/>
          <w:color w:val="auto"/>
          <w:sz w:val="21"/>
          <w:szCs w:val="21"/>
          <w:highlight w:val="none"/>
        </w:rPr>
        <w:t> </w:t>
      </w:r>
    </w:p>
    <w:p>
      <w:pPr>
        <w:rPr>
          <w:rStyle w:val="13"/>
          <w:rFonts w:hint="eastAsia" w:ascii="宋体" w:hAnsi="宋体" w:eastAsia="宋体" w:cs="宋体"/>
          <w:b/>
          <w:bCs/>
          <w:color w:val="auto"/>
          <w:sz w:val="27"/>
          <w:szCs w:val="27"/>
          <w:highlight w:val="none"/>
        </w:rPr>
      </w:pPr>
      <w:r>
        <w:rPr>
          <w:rStyle w:val="13"/>
          <w:rFonts w:hint="eastAsia" w:ascii="宋体" w:hAnsi="宋体" w:eastAsia="宋体" w:cs="宋体"/>
          <w:b/>
          <w:bCs/>
          <w:color w:val="auto"/>
          <w:sz w:val="27"/>
          <w:szCs w:val="27"/>
          <w:highlight w:val="none"/>
        </w:rPr>
        <w:br w:type="page"/>
      </w:r>
    </w:p>
    <w:p>
      <w:pPr>
        <w:pStyle w:val="6"/>
        <w:keepNext w:val="0"/>
        <w:keepLines w:val="0"/>
        <w:widowControl/>
        <w:suppressLineNumbers w:val="0"/>
        <w:spacing w:before="0" w:beforeAutospacing="0" w:after="0" w:afterAutospacing="0" w:line="17" w:lineRule="atLeast"/>
        <w:jc w:val="center"/>
        <w:rPr>
          <w:rFonts w:hint="default" w:ascii="Helvetica" w:hAnsi="Helvetica" w:eastAsia="Helvetica" w:cs="Helvetica"/>
          <w:b w:val="0"/>
          <w:bCs w:val="0"/>
          <w:color w:val="auto"/>
          <w:sz w:val="27"/>
          <w:szCs w:val="27"/>
          <w:highlight w:val="none"/>
        </w:rPr>
      </w:pPr>
      <w:r>
        <w:rPr>
          <w:rStyle w:val="13"/>
          <w:rFonts w:hint="eastAsia" w:ascii="宋体" w:hAnsi="宋体" w:eastAsia="宋体" w:cs="宋体"/>
          <w:b/>
          <w:bCs/>
          <w:color w:val="auto"/>
          <w:sz w:val="27"/>
          <w:szCs w:val="27"/>
          <w:highlight w:val="none"/>
        </w:rPr>
        <w:t>二-11分包意向协议（若有）</w:t>
      </w:r>
    </w:p>
    <w:p>
      <w:pPr>
        <w:pStyle w:val="11"/>
        <w:keepNext w:val="0"/>
        <w:keepLines w:val="0"/>
        <w:widowControl/>
        <w:suppressLineNumbers w:val="0"/>
        <w:spacing w:before="0" w:beforeAutospacing="0" w:after="150" w:afterAutospacing="0" w:line="435" w:lineRule="atLeast"/>
        <w:ind w:left="0" w:right="0"/>
        <w:rPr>
          <w:color w:val="auto"/>
          <w:highlight w:val="none"/>
        </w:rPr>
      </w:pPr>
      <w:r>
        <w:rPr>
          <w:rFonts w:hint="eastAsia" w:ascii="宋体" w:hAnsi="宋体" w:eastAsia="宋体" w:cs="宋体"/>
          <w:color w:val="auto"/>
          <w:sz w:val="21"/>
          <w:szCs w:val="21"/>
          <w:highlight w:val="none"/>
        </w:rPr>
        <w:t>甲方（总包方）：</w:t>
      </w:r>
      <w:r>
        <w:rPr>
          <w:rFonts w:hint="eastAsia" w:ascii="宋体" w:hAnsi="宋体" w:eastAsia="宋体" w:cs="宋体"/>
          <w:color w:val="auto"/>
          <w:sz w:val="21"/>
          <w:szCs w:val="21"/>
          <w:highlight w:val="none"/>
          <w:u w:val="single"/>
        </w:rPr>
        <w:t>        　　　     </w:t>
      </w:r>
      <w:r>
        <w:rPr>
          <w:color w:val="auto"/>
          <w:highlight w:val="none"/>
          <w:u w:val="single"/>
        </w:rPr>
        <w:t>　</w:t>
      </w:r>
      <w:r>
        <w:rPr>
          <w:rFonts w:hint="eastAsia" w:ascii="宋体" w:hAnsi="宋体" w:eastAsia="宋体" w:cs="宋体"/>
          <w:color w:val="auto"/>
          <w:sz w:val="21"/>
          <w:szCs w:val="21"/>
          <w:highlight w:val="none"/>
        </w:rPr>
        <w:t>（即本项目的投标人）</w:t>
      </w:r>
    </w:p>
    <w:p>
      <w:pPr>
        <w:pStyle w:val="11"/>
        <w:keepNext w:val="0"/>
        <w:keepLines w:val="0"/>
        <w:widowControl/>
        <w:suppressLineNumbers w:val="0"/>
        <w:spacing w:before="75" w:beforeAutospacing="0" w:after="75" w:afterAutospacing="0" w:line="293" w:lineRule="atLeast"/>
        <w:ind w:left="0" w:right="0"/>
        <w:rPr>
          <w:color w:val="auto"/>
          <w:highlight w:val="none"/>
        </w:rPr>
      </w:pPr>
      <w:r>
        <w:rPr>
          <w:rFonts w:hint="eastAsia" w:ascii="宋体" w:hAnsi="宋体" w:eastAsia="宋体" w:cs="宋体"/>
          <w:color w:val="auto"/>
          <w:sz w:val="21"/>
          <w:szCs w:val="21"/>
          <w:highlight w:val="none"/>
        </w:rPr>
        <w:t>乙方（分包方）：</w:t>
      </w:r>
      <w:r>
        <w:rPr>
          <w:rFonts w:hint="eastAsia" w:ascii="宋体" w:hAnsi="宋体" w:eastAsia="宋体" w:cs="宋体"/>
          <w:color w:val="auto"/>
          <w:sz w:val="21"/>
          <w:szCs w:val="21"/>
          <w:highlight w:val="none"/>
          <w:u w:val="single"/>
        </w:rPr>
        <w:t>           　　　　　　　    </w:t>
      </w:r>
    </w:p>
    <w:p>
      <w:pPr>
        <w:pStyle w:val="11"/>
        <w:keepNext w:val="0"/>
        <w:keepLines w:val="0"/>
        <w:widowControl/>
        <w:suppressLineNumbers w:val="0"/>
        <w:spacing w:before="75" w:beforeAutospacing="0" w:after="75" w:afterAutospacing="0" w:line="293" w:lineRule="atLeast"/>
        <w:ind w:left="0" w:right="0" w:firstLine="435"/>
        <w:rPr>
          <w:color w:val="auto"/>
          <w:highlight w:val="none"/>
        </w:rPr>
      </w:pPr>
      <w:r>
        <w:rPr>
          <w:rFonts w:hint="eastAsia" w:ascii="宋体" w:hAnsi="宋体" w:eastAsia="宋体" w:cs="宋体"/>
          <w:color w:val="auto"/>
          <w:sz w:val="21"/>
          <w:szCs w:val="21"/>
          <w:highlight w:val="none"/>
        </w:rPr>
        <w:t>兹有甲方参加</w:t>
      </w:r>
      <w:r>
        <w:rPr>
          <w:rFonts w:hint="eastAsia" w:ascii="宋体" w:hAnsi="宋体" w:eastAsia="宋体" w:cs="宋体"/>
          <w:color w:val="auto"/>
          <w:sz w:val="21"/>
          <w:szCs w:val="21"/>
          <w:highlight w:val="none"/>
          <w:u w:val="single"/>
        </w:rPr>
        <w:t>（填写“项目名称”） </w:t>
      </w:r>
      <w:r>
        <w:rPr>
          <w:rFonts w:hint="eastAsia" w:ascii="宋体" w:hAnsi="宋体" w:eastAsia="宋体" w:cs="宋体"/>
          <w:color w:val="auto"/>
          <w:sz w:val="21"/>
          <w:szCs w:val="21"/>
          <w:highlight w:val="none"/>
        </w:rPr>
        <w:t>项目（项目编号：</w:t>
      </w:r>
      <w:r>
        <w:rPr>
          <w:rFonts w:hint="default" w:ascii="Calibri" w:hAnsi="Calibri" w:cs="Calibri"/>
          <w:color w:val="auto"/>
          <w:sz w:val="21"/>
          <w:szCs w:val="21"/>
          <w:highlight w:val="none"/>
          <w:u w:val="single"/>
        </w:rPr>
        <w:t>         </w:t>
      </w:r>
      <w:r>
        <w:rPr>
          <w:rFonts w:hint="eastAsia" w:ascii="宋体" w:hAnsi="宋体" w:eastAsia="宋体" w:cs="宋体"/>
          <w:color w:val="auto"/>
          <w:sz w:val="21"/>
          <w:szCs w:val="21"/>
          <w:highlight w:val="none"/>
        </w:rPr>
        <w:t>）的政府采购活动。甲方期望将采购项目的部分采购标的分包给乙方完成，而乙方保证能够向甲方提供本协议项下的采购标的，甲、乙双方就合同分包的有关事宜达成下列协议：</w:t>
      </w:r>
    </w:p>
    <w:p>
      <w:pPr>
        <w:pStyle w:val="11"/>
        <w:keepNext w:val="0"/>
        <w:keepLines w:val="0"/>
        <w:widowControl/>
        <w:suppressLineNumbers w:val="0"/>
        <w:spacing w:before="0" w:beforeAutospacing="0" w:after="0" w:afterAutospacing="0" w:line="293" w:lineRule="atLeast"/>
        <w:ind w:left="0" w:right="0" w:firstLine="480"/>
        <w:rPr>
          <w:color w:val="auto"/>
          <w:highlight w:val="none"/>
        </w:rPr>
      </w:pPr>
      <w:r>
        <w:rPr>
          <w:rStyle w:val="13"/>
          <w:rFonts w:hint="eastAsia" w:ascii="宋体" w:hAnsi="宋体" w:eastAsia="宋体" w:cs="宋体"/>
          <w:b/>
          <w:bCs/>
          <w:color w:val="auto"/>
          <w:sz w:val="21"/>
          <w:szCs w:val="21"/>
          <w:highlight w:val="none"/>
        </w:rPr>
        <w:t>一、分包标的</w:t>
      </w:r>
    </w:p>
    <w:p>
      <w:pPr>
        <w:pStyle w:val="11"/>
        <w:keepNext w:val="0"/>
        <w:keepLines w:val="0"/>
        <w:widowControl/>
        <w:suppressLineNumbers w:val="0"/>
        <w:spacing w:before="0" w:beforeAutospacing="0" w:after="0" w:afterAutospacing="0" w:line="293" w:lineRule="atLeast"/>
        <w:ind w:left="0" w:right="0" w:firstLine="480"/>
        <w:rPr>
          <w:color w:val="auto"/>
          <w:highlight w:val="none"/>
        </w:rPr>
      </w:pPr>
      <w:r>
        <w:rPr>
          <w:rFonts w:hint="eastAsia" w:ascii="宋体" w:hAnsi="宋体" w:eastAsia="宋体" w:cs="宋体"/>
          <w:color w:val="auto"/>
          <w:sz w:val="21"/>
          <w:szCs w:val="21"/>
          <w:highlight w:val="none"/>
          <w:u w:val="single"/>
        </w:rPr>
        <w:t>（根据双方的意向填写，可以是表格或文字描述）</w:t>
      </w:r>
      <w:r>
        <w:rPr>
          <w:rFonts w:hint="eastAsia" w:ascii="宋体" w:hAnsi="宋体" w:eastAsia="宋体" w:cs="宋体"/>
          <w:color w:val="auto"/>
          <w:sz w:val="21"/>
          <w:szCs w:val="21"/>
          <w:highlight w:val="none"/>
        </w:rPr>
        <w:t>。</w:t>
      </w:r>
    </w:p>
    <w:p>
      <w:pPr>
        <w:pStyle w:val="11"/>
        <w:keepNext w:val="0"/>
        <w:keepLines w:val="0"/>
        <w:widowControl/>
        <w:suppressLineNumbers w:val="0"/>
        <w:spacing w:before="0" w:beforeAutospacing="0" w:after="0" w:afterAutospacing="0" w:line="293" w:lineRule="atLeast"/>
        <w:ind w:left="0" w:right="0" w:firstLine="480"/>
        <w:rPr>
          <w:color w:val="auto"/>
          <w:highlight w:val="none"/>
        </w:rPr>
      </w:pPr>
      <w:r>
        <w:rPr>
          <w:rStyle w:val="13"/>
          <w:rFonts w:hint="eastAsia" w:ascii="宋体" w:hAnsi="宋体" w:eastAsia="宋体" w:cs="宋体"/>
          <w:b/>
          <w:bCs/>
          <w:color w:val="auto"/>
          <w:sz w:val="21"/>
          <w:szCs w:val="21"/>
          <w:highlight w:val="none"/>
        </w:rPr>
        <w:t>二、分包合同金额占比</w:t>
      </w:r>
    </w:p>
    <w:p>
      <w:pPr>
        <w:pStyle w:val="11"/>
        <w:keepNext w:val="0"/>
        <w:keepLines w:val="0"/>
        <w:widowControl/>
        <w:suppressLineNumbers w:val="0"/>
        <w:spacing w:before="0" w:beforeAutospacing="0" w:after="0" w:afterAutospacing="0" w:line="293" w:lineRule="atLeast"/>
        <w:ind w:left="0" w:right="0" w:firstLine="480"/>
        <w:rPr>
          <w:color w:val="auto"/>
          <w:highlight w:val="none"/>
        </w:rPr>
      </w:pPr>
      <w:r>
        <w:rPr>
          <w:rFonts w:hint="eastAsia" w:ascii="宋体" w:hAnsi="宋体" w:eastAsia="宋体" w:cs="宋体"/>
          <w:color w:val="auto"/>
          <w:sz w:val="21"/>
          <w:szCs w:val="21"/>
          <w:highlight w:val="none"/>
        </w:rPr>
        <w:t>分包合同价占投标总价的比例：　　%</w:t>
      </w:r>
    </w:p>
    <w:p>
      <w:pPr>
        <w:pStyle w:val="11"/>
        <w:keepNext w:val="0"/>
        <w:keepLines w:val="0"/>
        <w:widowControl/>
        <w:suppressLineNumbers w:val="0"/>
        <w:spacing w:before="0" w:beforeAutospacing="0" w:after="0" w:afterAutospacing="0" w:line="293" w:lineRule="atLeast"/>
        <w:ind w:left="0" w:right="0" w:firstLine="480"/>
        <w:rPr>
          <w:color w:val="auto"/>
          <w:highlight w:val="none"/>
        </w:rPr>
      </w:pPr>
      <w:r>
        <w:rPr>
          <w:rStyle w:val="13"/>
          <w:rFonts w:hint="eastAsia" w:ascii="宋体" w:hAnsi="宋体" w:eastAsia="宋体" w:cs="宋体"/>
          <w:b/>
          <w:bCs/>
          <w:color w:val="auto"/>
          <w:sz w:val="21"/>
          <w:szCs w:val="21"/>
          <w:highlight w:val="none"/>
        </w:rPr>
        <w:t>三、其他条款</w:t>
      </w:r>
    </w:p>
    <w:p>
      <w:pPr>
        <w:pStyle w:val="11"/>
        <w:keepNext w:val="0"/>
        <w:keepLines w:val="0"/>
        <w:widowControl/>
        <w:suppressLineNumbers w:val="0"/>
        <w:spacing w:before="0" w:beforeAutospacing="0" w:after="0" w:afterAutospacing="0" w:line="293" w:lineRule="atLeast"/>
        <w:ind w:left="0" w:right="0" w:firstLine="480"/>
        <w:rPr>
          <w:color w:val="auto"/>
          <w:highlight w:val="none"/>
        </w:rPr>
      </w:pPr>
      <w:r>
        <w:rPr>
          <w:rFonts w:hint="eastAsia" w:ascii="宋体" w:hAnsi="宋体" w:eastAsia="宋体" w:cs="宋体"/>
          <w:color w:val="auto"/>
          <w:sz w:val="21"/>
          <w:szCs w:val="21"/>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p>
      <w:pPr>
        <w:pStyle w:val="11"/>
        <w:keepNext w:val="0"/>
        <w:keepLines w:val="0"/>
        <w:widowControl/>
        <w:suppressLineNumbers w:val="0"/>
        <w:spacing w:before="0" w:beforeAutospacing="0" w:after="0" w:afterAutospacing="0" w:line="293" w:lineRule="atLeast"/>
        <w:ind w:left="0" w:right="0" w:firstLine="480"/>
        <w:rPr>
          <w:color w:val="auto"/>
          <w:highlight w:val="none"/>
        </w:rPr>
      </w:pPr>
      <w:r>
        <w:rPr>
          <w:rFonts w:hint="eastAsia" w:ascii="宋体" w:hAnsi="宋体" w:eastAsia="宋体" w:cs="宋体"/>
          <w:color w:val="auto"/>
          <w:sz w:val="21"/>
          <w:szCs w:val="21"/>
          <w:highlight w:val="none"/>
        </w:rPr>
        <w:t> </w:t>
      </w:r>
    </w:p>
    <w:tbl>
      <w:tblPr>
        <w:tblStyle w:val="14"/>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4245"/>
        <w:gridCol w:w="4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424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75" w:beforeAutospacing="0" w:after="75" w:afterAutospacing="0"/>
              <w:ind w:left="0" w:right="0"/>
              <w:jc w:val="both"/>
              <w:rPr>
                <w:color w:val="auto"/>
                <w:highlight w:val="none"/>
              </w:rPr>
            </w:pPr>
            <w:r>
              <w:rPr>
                <w:rFonts w:hint="eastAsia" w:ascii="宋体" w:hAnsi="宋体" w:eastAsia="宋体" w:cs="宋体"/>
                <w:color w:val="auto"/>
                <w:sz w:val="21"/>
                <w:szCs w:val="21"/>
                <w:highlight w:val="none"/>
              </w:rPr>
              <w:t>甲方：</w:t>
            </w:r>
          </w:p>
        </w:tc>
        <w:tc>
          <w:tcPr>
            <w:tcW w:w="406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75" w:beforeAutospacing="0" w:after="75" w:afterAutospacing="0"/>
              <w:ind w:left="0" w:right="0"/>
              <w:jc w:val="both"/>
              <w:rPr>
                <w:color w:val="auto"/>
                <w:highlight w:val="none"/>
              </w:rPr>
            </w:pPr>
            <w:r>
              <w:rPr>
                <w:rFonts w:hint="eastAsia" w:ascii="宋体" w:hAnsi="宋体" w:eastAsia="宋体" w:cs="宋体"/>
                <w:color w:val="auto"/>
                <w:sz w:val="21"/>
                <w:szCs w:val="21"/>
                <w:highlight w:val="none"/>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424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75" w:beforeAutospacing="0" w:after="75" w:afterAutospacing="0"/>
              <w:ind w:left="0" w:right="0"/>
              <w:jc w:val="both"/>
              <w:rPr>
                <w:color w:val="auto"/>
                <w:highlight w:val="none"/>
              </w:rPr>
            </w:pPr>
            <w:r>
              <w:rPr>
                <w:rFonts w:hint="eastAsia" w:ascii="宋体" w:hAnsi="宋体" w:eastAsia="宋体" w:cs="宋体"/>
                <w:color w:val="auto"/>
                <w:sz w:val="21"/>
                <w:szCs w:val="21"/>
                <w:highlight w:val="none"/>
              </w:rPr>
              <w:t>住所：</w:t>
            </w:r>
          </w:p>
        </w:tc>
        <w:tc>
          <w:tcPr>
            <w:tcW w:w="406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75" w:beforeAutospacing="0" w:after="75" w:afterAutospacing="0"/>
              <w:ind w:left="0" w:right="0"/>
              <w:jc w:val="both"/>
              <w:rPr>
                <w:color w:val="auto"/>
                <w:highlight w:val="none"/>
              </w:rPr>
            </w:pPr>
            <w:r>
              <w:rPr>
                <w:rFonts w:hint="eastAsia" w:ascii="宋体" w:hAnsi="宋体" w:eastAsia="宋体" w:cs="宋体"/>
                <w:color w:val="auto"/>
                <w:sz w:val="21"/>
                <w:szCs w:val="21"/>
                <w:highlight w:val="none"/>
              </w:rPr>
              <w:t>住所：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424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75" w:beforeAutospacing="0" w:after="75" w:afterAutospacing="0"/>
              <w:ind w:left="0" w:right="0"/>
              <w:jc w:val="both"/>
              <w:rPr>
                <w:color w:val="auto"/>
                <w:highlight w:val="none"/>
              </w:rPr>
            </w:pPr>
            <w:r>
              <w:rPr>
                <w:rFonts w:hint="eastAsia" w:ascii="宋体" w:hAnsi="宋体" w:eastAsia="宋体" w:cs="宋体"/>
                <w:color w:val="auto"/>
                <w:sz w:val="21"/>
                <w:szCs w:val="21"/>
                <w:highlight w:val="none"/>
              </w:rPr>
              <w:t>单</w:t>
            </w:r>
            <w:r>
              <w:rPr>
                <w:rFonts w:hint="eastAsia" w:ascii="宋体" w:hAnsi="宋体" w:eastAsia="宋体" w:cs="宋体"/>
                <w:color w:val="auto"/>
                <w:spacing w:val="-15"/>
                <w:sz w:val="21"/>
                <w:szCs w:val="21"/>
                <w:highlight w:val="none"/>
              </w:rPr>
              <w:t>位负责人或委托代理人：</w:t>
            </w:r>
          </w:p>
        </w:tc>
        <w:tc>
          <w:tcPr>
            <w:tcW w:w="406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75" w:beforeAutospacing="0" w:after="75" w:afterAutospacing="0"/>
              <w:ind w:left="0" w:right="0"/>
              <w:jc w:val="both"/>
              <w:rPr>
                <w:color w:val="auto"/>
                <w:highlight w:val="none"/>
              </w:rPr>
            </w:pPr>
            <w:r>
              <w:rPr>
                <w:rFonts w:hint="eastAsia" w:ascii="宋体" w:hAnsi="宋体" w:eastAsia="宋体" w:cs="宋体"/>
                <w:color w:val="auto"/>
                <w:sz w:val="21"/>
                <w:szCs w:val="21"/>
                <w:highlight w:val="none"/>
              </w:rPr>
              <w:t>单</w:t>
            </w:r>
            <w:r>
              <w:rPr>
                <w:rFonts w:hint="eastAsia" w:ascii="宋体" w:hAnsi="宋体" w:eastAsia="宋体" w:cs="宋体"/>
                <w:color w:val="auto"/>
                <w:spacing w:val="-15"/>
                <w:sz w:val="21"/>
                <w:szCs w:val="21"/>
                <w:highlight w:val="none"/>
              </w:rPr>
              <w:t>位负责人或委托代理人：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424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75" w:beforeAutospacing="0" w:after="75" w:afterAutospacing="0"/>
              <w:ind w:left="0" w:right="0"/>
              <w:jc w:val="both"/>
              <w:rPr>
                <w:color w:val="auto"/>
                <w:highlight w:val="none"/>
              </w:rPr>
            </w:pPr>
            <w:r>
              <w:rPr>
                <w:rFonts w:hint="eastAsia" w:ascii="宋体" w:hAnsi="宋体" w:eastAsia="宋体" w:cs="宋体"/>
                <w:color w:val="auto"/>
                <w:sz w:val="21"/>
                <w:szCs w:val="21"/>
                <w:highlight w:val="none"/>
              </w:rPr>
              <w:t>联系方法：</w:t>
            </w:r>
          </w:p>
        </w:tc>
        <w:tc>
          <w:tcPr>
            <w:tcW w:w="406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75" w:beforeAutospacing="0" w:after="75" w:afterAutospacing="0"/>
              <w:ind w:left="0" w:right="0"/>
              <w:jc w:val="both"/>
              <w:rPr>
                <w:color w:val="auto"/>
                <w:highlight w:val="none"/>
              </w:rPr>
            </w:pPr>
            <w:r>
              <w:rPr>
                <w:rFonts w:hint="eastAsia" w:ascii="宋体" w:hAnsi="宋体" w:eastAsia="宋体" w:cs="宋体"/>
                <w:color w:val="auto"/>
                <w:sz w:val="21"/>
                <w:szCs w:val="21"/>
                <w:highlight w:val="none"/>
              </w:rPr>
              <w:t>联系方法：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424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75" w:beforeAutospacing="0" w:after="75" w:afterAutospacing="0"/>
              <w:ind w:left="0" w:right="0"/>
              <w:jc w:val="both"/>
              <w:rPr>
                <w:color w:val="auto"/>
                <w:highlight w:val="none"/>
              </w:rPr>
            </w:pPr>
            <w:r>
              <w:rPr>
                <w:rFonts w:hint="eastAsia" w:ascii="宋体" w:hAnsi="宋体" w:eastAsia="宋体" w:cs="宋体"/>
                <w:color w:val="auto"/>
                <w:sz w:val="21"/>
                <w:szCs w:val="21"/>
                <w:highlight w:val="none"/>
              </w:rPr>
              <w:t>开户银行：</w:t>
            </w:r>
          </w:p>
        </w:tc>
        <w:tc>
          <w:tcPr>
            <w:tcW w:w="406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75" w:beforeAutospacing="0" w:after="75" w:afterAutospacing="0"/>
              <w:ind w:left="0" w:right="0"/>
              <w:jc w:val="both"/>
              <w:rPr>
                <w:color w:val="auto"/>
                <w:highlight w:val="none"/>
              </w:rPr>
            </w:pPr>
            <w:r>
              <w:rPr>
                <w:rFonts w:hint="eastAsia" w:ascii="宋体" w:hAnsi="宋体" w:eastAsia="宋体" w:cs="宋体"/>
                <w:color w:val="auto"/>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424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75" w:beforeAutospacing="0" w:after="75" w:afterAutospacing="0"/>
              <w:ind w:left="0" w:right="0"/>
              <w:jc w:val="both"/>
              <w:rPr>
                <w:color w:val="auto"/>
                <w:highlight w:val="none"/>
              </w:rPr>
            </w:pPr>
            <w:r>
              <w:rPr>
                <w:rFonts w:hint="eastAsia" w:ascii="宋体" w:hAnsi="宋体" w:eastAsia="宋体" w:cs="宋体"/>
                <w:color w:val="auto"/>
                <w:sz w:val="21"/>
                <w:szCs w:val="21"/>
                <w:highlight w:val="none"/>
              </w:rPr>
              <w:t>账号：</w:t>
            </w:r>
          </w:p>
        </w:tc>
        <w:tc>
          <w:tcPr>
            <w:tcW w:w="406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75" w:beforeAutospacing="0" w:after="75" w:afterAutospacing="0"/>
              <w:ind w:left="0" w:right="0"/>
              <w:jc w:val="both"/>
              <w:rPr>
                <w:color w:val="auto"/>
                <w:highlight w:val="none"/>
              </w:rPr>
            </w:pPr>
            <w:r>
              <w:rPr>
                <w:rFonts w:hint="eastAsia" w:ascii="宋体" w:hAnsi="宋体" w:eastAsia="宋体" w:cs="宋体"/>
                <w:color w:val="auto"/>
                <w:sz w:val="21"/>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8310" w:type="dxa"/>
            <w:gridSpan w:val="2"/>
            <w:shd w:val="clear" w:color="auto" w:fill="auto"/>
            <w:tcMar>
              <w:top w:w="0" w:type="dxa"/>
              <w:left w:w="105" w:type="dxa"/>
              <w:bottom w:w="0" w:type="dxa"/>
              <w:right w:w="105" w:type="dxa"/>
            </w:tcMar>
            <w:vAlign w:val="top"/>
          </w:tcPr>
          <w:p>
            <w:pPr>
              <w:pStyle w:val="11"/>
              <w:keepNext w:val="0"/>
              <w:keepLines w:val="0"/>
              <w:widowControl/>
              <w:suppressLineNumbers w:val="0"/>
              <w:spacing w:before="150" w:beforeAutospacing="0" w:after="0" w:afterAutospacing="0"/>
              <w:ind w:left="3045" w:right="0"/>
              <w:rPr>
                <w:color w:val="auto"/>
                <w:highlight w:val="none"/>
              </w:rPr>
            </w:pPr>
            <w:r>
              <w:rPr>
                <w:rFonts w:hint="eastAsia" w:ascii="宋体" w:hAnsi="宋体" w:eastAsia="宋体" w:cs="宋体"/>
                <w:color w:val="auto"/>
                <w:sz w:val="21"/>
                <w:szCs w:val="21"/>
                <w:highlight w:val="none"/>
              </w:rPr>
              <w:t>签订地点：</w:t>
            </w:r>
            <w:r>
              <w:rPr>
                <w:rFonts w:hint="default" w:ascii="Calibri" w:hAnsi="Calibri" w:cs="Calibri"/>
                <w:color w:val="auto"/>
                <w:sz w:val="21"/>
                <w:szCs w:val="21"/>
                <w:highlight w:val="none"/>
                <w:u w:val="single"/>
              </w:rPr>
              <w:t>                </w:t>
            </w:r>
          </w:p>
          <w:p>
            <w:pPr>
              <w:pStyle w:val="11"/>
              <w:keepNext w:val="0"/>
              <w:keepLines w:val="0"/>
              <w:widowControl/>
              <w:suppressLineNumbers w:val="0"/>
              <w:spacing w:before="0" w:beforeAutospacing="0" w:after="0" w:afterAutospacing="0" w:line="293" w:lineRule="atLeast"/>
              <w:ind w:left="3045" w:right="0"/>
              <w:rPr>
                <w:color w:val="auto"/>
                <w:highlight w:val="none"/>
              </w:rPr>
            </w:pPr>
            <w:r>
              <w:rPr>
                <w:rFonts w:hint="eastAsia" w:ascii="宋体" w:hAnsi="宋体" w:eastAsia="宋体" w:cs="宋体"/>
                <w:color w:val="auto"/>
                <w:sz w:val="21"/>
                <w:szCs w:val="21"/>
                <w:highlight w:val="none"/>
              </w:rPr>
              <w:t>签订日期：</w:t>
            </w:r>
            <w:r>
              <w:rPr>
                <w:rFonts w:hint="default" w:ascii="Calibri" w:hAnsi="Calibri" w:cs="Calibri"/>
                <w:color w:val="auto"/>
                <w:sz w:val="21"/>
                <w:szCs w:val="21"/>
                <w:highlight w:val="none"/>
              </w:rPr>
              <w:t>    </w:t>
            </w:r>
            <w:r>
              <w:rPr>
                <w:rFonts w:hint="eastAsia" w:ascii="宋体" w:hAnsi="宋体" w:eastAsia="宋体" w:cs="宋体"/>
                <w:color w:val="auto"/>
                <w:sz w:val="21"/>
                <w:szCs w:val="21"/>
                <w:highlight w:val="none"/>
              </w:rPr>
              <w:t>年</w:t>
            </w:r>
            <w:r>
              <w:rPr>
                <w:rFonts w:hint="default" w:ascii="Calibri" w:hAnsi="Calibri" w:cs="Calibri"/>
                <w:color w:val="auto"/>
                <w:sz w:val="21"/>
                <w:szCs w:val="21"/>
                <w:highlight w:val="none"/>
              </w:rPr>
              <w:t>   </w:t>
            </w:r>
            <w:r>
              <w:rPr>
                <w:rFonts w:hint="eastAsia" w:ascii="宋体" w:hAnsi="宋体" w:eastAsia="宋体" w:cs="宋体"/>
                <w:color w:val="auto"/>
                <w:sz w:val="21"/>
                <w:szCs w:val="21"/>
                <w:highlight w:val="none"/>
              </w:rPr>
              <w:t>月</w:t>
            </w:r>
            <w:r>
              <w:rPr>
                <w:rFonts w:hint="default" w:ascii="Calibri" w:hAnsi="Calibri" w:cs="Calibri"/>
                <w:color w:val="auto"/>
                <w:sz w:val="21"/>
                <w:szCs w:val="21"/>
                <w:highlight w:val="none"/>
              </w:rPr>
              <w:t>   </w:t>
            </w:r>
            <w:r>
              <w:rPr>
                <w:rFonts w:hint="eastAsia" w:ascii="宋体" w:hAnsi="宋体" w:eastAsia="宋体" w:cs="宋体"/>
                <w:color w:val="auto"/>
                <w:sz w:val="21"/>
                <w:szCs w:val="21"/>
                <w:highlight w:val="none"/>
              </w:rPr>
              <w:t>日</w:t>
            </w:r>
          </w:p>
        </w:tc>
      </w:tr>
    </w:tbl>
    <w:p>
      <w:pPr>
        <w:pStyle w:val="11"/>
        <w:keepNext w:val="0"/>
        <w:keepLines w:val="0"/>
        <w:widowControl/>
        <w:suppressLineNumbers w:val="0"/>
        <w:spacing w:before="75" w:beforeAutospacing="0" w:after="75" w:afterAutospacing="0"/>
        <w:ind w:left="0" w:right="0"/>
        <w:rPr>
          <w:color w:val="auto"/>
          <w:highlight w:val="none"/>
        </w:rPr>
      </w:pPr>
      <w:r>
        <w:rPr>
          <w:rStyle w:val="13"/>
          <w:rFonts w:hint="eastAsia" w:ascii="宋体" w:hAnsi="宋体" w:eastAsia="宋体" w:cs="宋体"/>
          <w:b/>
          <w:bCs/>
          <w:color w:val="auto"/>
          <w:sz w:val="21"/>
          <w:szCs w:val="21"/>
          <w:highlight w:val="none"/>
        </w:rPr>
        <w:t>※注意：</w:t>
      </w:r>
    </w:p>
    <w:p>
      <w:pPr>
        <w:pStyle w:val="11"/>
        <w:keepNext w:val="0"/>
        <w:keepLines w:val="0"/>
        <w:widowControl/>
        <w:suppressLineNumbers w:val="0"/>
        <w:spacing w:before="0" w:beforeAutospacing="0" w:after="150" w:afterAutospacing="0" w:line="293" w:lineRule="atLeast"/>
        <w:ind w:left="0" w:right="0" w:firstLine="435"/>
        <w:rPr>
          <w:color w:val="auto"/>
          <w:highlight w:val="none"/>
        </w:rPr>
      </w:pPr>
      <w:r>
        <w:rPr>
          <w:rStyle w:val="13"/>
          <w:rFonts w:hint="eastAsia" w:ascii="宋体" w:hAnsi="宋体" w:eastAsia="宋体" w:cs="宋体"/>
          <w:b/>
          <w:bCs/>
          <w:color w:val="auto"/>
          <w:sz w:val="21"/>
          <w:szCs w:val="21"/>
          <w:highlight w:val="none"/>
        </w:rPr>
        <w:t>1.招标文件接受合同分包且投标人拟将合同分包的，应提供本协议；否则无须提供。</w:t>
      </w:r>
    </w:p>
    <w:p>
      <w:pPr>
        <w:pStyle w:val="11"/>
        <w:keepNext w:val="0"/>
        <w:keepLines w:val="0"/>
        <w:widowControl/>
        <w:suppressLineNumbers w:val="0"/>
        <w:spacing w:before="0" w:beforeAutospacing="0" w:after="150" w:afterAutospacing="0" w:line="293" w:lineRule="atLeast"/>
        <w:ind w:left="0" w:right="0" w:firstLine="435"/>
        <w:rPr>
          <w:color w:val="auto"/>
          <w:highlight w:val="none"/>
        </w:rPr>
      </w:pPr>
      <w:r>
        <w:rPr>
          <w:rStyle w:val="13"/>
          <w:rFonts w:hint="eastAsia" w:ascii="宋体" w:hAnsi="宋体" w:eastAsia="宋体" w:cs="宋体"/>
          <w:b/>
          <w:bCs/>
          <w:color w:val="auto"/>
          <w:sz w:val="21"/>
          <w:szCs w:val="21"/>
          <w:highlight w:val="none"/>
        </w:rPr>
        <w:t>2.本协议由委托代理人签字或盖章的，应按照本章载明的格式提供“单位授权书”。</w:t>
      </w:r>
    </w:p>
    <w:p>
      <w:pPr>
        <w:pStyle w:val="11"/>
        <w:keepNext w:val="0"/>
        <w:keepLines w:val="0"/>
        <w:widowControl/>
        <w:suppressLineNumbers w:val="0"/>
        <w:spacing w:before="0" w:beforeAutospacing="0" w:after="150" w:afterAutospacing="0" w:line="293" w:lineRule="atLeast"/>
        <w:ind w:left="0" w:right="0" w:firstLine="435"/>
        <w:rPr>
          <w:color w:val="auto"/>
          <w:highlight w:val="none"/>
        </w:rPr>
      </w:pPr>
      <w:r>
        <w:rPr>
          <w:rStyle w:val="13"/>
          <w:rFonts w:hint="eastAsia" w:ascii="宋体" w:hAnsi="宋体" w:eastAsia="宋体" w:cs="宋体"/>
          <w:b/>
          <w:bCs/>
          <w:color w:val="auto"/>
          <w:sz w:val="21"/>
          <w:szCs w:val="21"/>
          <w:highlight w:val="none"/>
        </w:rPr>
        <w:t>3.在以合同分包形式落实中小企业预留份额项目中，投标人除了要提供《中小企业声明函》，还需提供本协议。 </w:t>
      </w:r>
    </w:p>
    <w:p>
      <w:pPr>
        <w:pStyle w:val="11"/>
        <w:keepNext w:val="0"/>
        <w:keepLines w:val="0"/>
        <w:widowControl/>
        <w:suppressLineNumbers w:val="0"/>
        <w:spacing w:before="0" w:beforeAutospacing="0" w:after="150" w:afterAutospacing="0"/>
        <w:ind w:left="0" w:right="0"/>
        <w:rPr>
          <w:color w:val="auto"/>
          <w:highlight w:val="none"/>
        </w:rPr>
      </w:pPr>
    </w:p>
    <w:p>
      <w:pPr>
        <w:pStyle w:val="11"/>
        <w:keepNext w:val="0"/>
        <w:keepLines w:val="0"/>
        <w:widowControl/>
        <w:suppressLineNumbers w:val="0"/>
        <w:spacing w:before="0" w:beforeAutospacing="0" w:after="240" w:afterAutospacing="0"/>
        <w:ind w:left="0" w:right="0"/>
        <w:rPr>
          <w:color w:val="auto"/>
          <w:highlight w:val="none"/>
        </w:rPr>
      </w:pP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textWrapping"/>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11"/>
        <w:keepNext w:val="0"/>
        <w:keepLines w:val="0"/>
        <w:widowControl/>
        <w:suppressLineNumbers w:val="0"/>
        <w:spacing w:before="0" w:beforeAutospacing="0" w:after="150" w:afterAutospacing="0"/>
        <w:ind w:left="0" w:right="0"/>
        <w:jc w:val="center"/>
        <w:rPr>
          <w:color w:val="auto"/>
          <w:highlight w:val="none"/>
        </w:rPr>
      </w:pPr>
      <w:r>
        <w:rPr>
          <w:rStyle w:val="13"/>
          <w:rFonts w:hint="eastAsia" w:ascii="宋体" w:hAnsi="宋体" w:eastAsia="宋体" w:cs="宋体"/>
          <w:b/>
          <w:bCs/>
          <w:color w:val="auto"/>
          <w:sz w:val="21"/>
          <w:szCs w:val="21"/>
          <w:highlight w:val="none"/>
        </w:rPr>
        <w:t>二-12其他资格证明文件（若有）</w:t>
      </w:r>
    </w:p>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二</w:t>
      </w:r>
      <w:r>
        <w:rPr>
          <w:rStyle w:val="13"/>
          <w:rFonts w:hint="eastAsia" w:ascii="宋体" w:hAnsi="宋体" w:eastAsia="宋体" w:cs="宋体"/>
          <w:b/>
          <w:bCs/>
          <w:color w:val="auto"/>
          <w:sz w:val="21"/>
          <w:szCs w:val="21"/>
          <w:highlight w:val="none"/>
        </w:rPr>
        <w:t>-12-①具备履行合同所必需设备和专业技术能力专项证明材料（若有）</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（采购人或采购代理机构）  </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现附上我方具备履行合同所必需的设备和专业技术能力的专项证明材料复印件（具体附后），上述证明材料真实有效，否则我方负全部责任。</w:t>
      </w:r>
    </w:p>
    <w:p>
      <w:pPr>
        <w:pStyle w:val="11"/>
        <w:keepNext w:val="0"/>
        <w:keepLines w:val="0"/>
        <w:widowControl/>
        <w:suppressLineNumbers w:val="0"/>
        <w:spacing w:before="0" w:beforeAutospacing="0" w:after="150" w:afterAutospacing="0"/>
        <w:ind w:left="0" w:right="0"/>
        <w:rPr>
          <w:color w:val="auto"/>
          <w:highlight w:val="none"/>
        </w:rPr>
      </w:pPr>
      <w:r>
        <w:rPr>
          <w:rFonts w:hint="default" w:ascii="Calibri" w:hAnsi="Calibri" w:cs="Calibri"/>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※注意：</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1、招标文件要求投标人提供“具备履行合同所必需的设备和专业技术能力专项证明材料”的，投标人应按照招标文件规定在此项下提供相应证明材料复印件。</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2、投标人提供的相应证明材料复印件均应符合：内容完整、清晰、整洁，并由投标人加盖其单位公章。</w:t>
      </w:r>
    </w:p>
    <w:p>
      <w:pPr>
        <w:pStyle w:val="11"/>
        <w:keepNext w:val="0"/>
        <w:keepLines w:val="0"/>
        <w:widowControl/>
        <w:suppressLineNumbers w:val="0"/>
        <w:spacing w:before="0" w:beforeAutospacing="0" w:after="150" w:afterAutospacing="0"/>
        <w:ind w:left="0" w:right="0"/>
        <w:rPr>
          <w:color w:val="auto"/>
          <w:highlight w:val="none"/>
        </w:rPr>
      </w:pPr>
      <w:r>
        <w:rPr>
          <w:rFonts w:hint="default" w:ascii="Calibri" w:hAnsi="Calibri" w:cs="Calibri"/>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default" w:ascii="Calibri" w:hAnsi="Calibri" w:cs="Calibri"/>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24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jc w:val="center"/>
        <w:rPr>
          <w:rFonts w:hint="default" w:ascii="Calibri" w:hAnsi="Calibri" w:cs="Calibri"/>
          <w:color w:val="auto"/>
          <w:sz w:val="21"/>
          <w:szCs w:val="21"/>
          <w:highlight w:val="none"/>
        </w:rPr>
      </w:pPr>
      <w:r>
        <w:rPr>
          <w:rFonts w:hint="default" w:ascii="Calibri" w:hAnsi="Calibri" w:cs="Calibri"/>
          <w:color w:val="auto"/>
          <w:sz w:val="21"/>
          <w:szCs w:val="21"/>
          <w:highlight w:val="none"/>
        </w:rPr>
        <w:br w:type="textWrapping"/>
      </w:r>
    </w:p>
    <w:p>
      <w:pPr>
        <w:rPr>
          <w:rFonts w:hint="default" w:ascii="Calibri" w:hAnsi="Calibri" w:cs="Calibri"/>
          <w:color w:val="auto"/>
          <w:sz w:val="21"/>
          <w:szCs w:val="21"/>
          <w:highlight w:val="none"/>
        </w:rPr>
      </w:pPr>
      <w:r>
        <w:rPr>
          <w:rFonts w:hint="default" w:ascii="Calibri" w:hAnsi="Calibri" w:cs="Calibri"/>
          <w:color w:val="auto"/>
          <w:sz w:val="21"/>
          <w:szCs w:val="21"/>
          <w:highlight w:val="none"/>
        </w:rPr>
        <w:br w:type="page"/>
      </w:r>
    </w:p>
    <w:p>
      <w:pPr>
        <w:pStyle w:val="11"/>
        <w:keepNext w:val="0"/>
        <w:keepLines w:val="0"/>
        <w:widowControl/>
        <w:suppressLineNumbers w:val="0"/>
        <w:spacing w:before="0" w:beforeAutospacing="0" w:after="150" w:afterAutospacing="0"/>
        <w:ind w:left="0" w:right="0"/>
        <w:jc w:val="center"/>
        <w:rPr>
          <w:color w:val="auto"/>
          <w:highlight w:val="none"/>
        </w:rPr>
      </w:pPr>
      <w:r>
        <w:rPr>
          <w:rStyle w:val="13"/>
          <w:rFonts w:hint="eastAsia" w:ascii="宋体" w:hAnsi="宋体" w:eastAsia="宋体" w:cs="宋体"/>
          <w:b/>
          <w:bCs/>
          <w:color w:val="auto"/>
          <w:sz w:val="21"/>
          <w:szCs w:val="21"/>
          <w:highlight w:val="none"/>
        </w:rPr>
        <w:t>二-12-②招标文件规定的其他资格证明文件（若有）</w:t>
      </w:r>
    </w:p>
    <w:p>
      <w:pPr>
        <w:pStyle w:val="11"/>
        <w:keepNext w:val="0"/>
        <w:keepLines w:val="0"/>
        <w:widowControl/>
        <w:suppressLineNumbers w:val="0"/>
        <w:spacing w:before="0" w:beforeAutospacing="0" w:after="150" w:afterAutospacing="0"/>
        <w:ind w:left="0" w:right="0"/>
        <w:rPr>
          <w:color w:val="auto"/>
          <w:highlight w:val="none"/>
        </w:rPr>
      </w:pPr>
      <w:r>
        <w:rPr>
          <w:rStyle w:val="13"/>
          <w:rFonts w:hint="eastAsia" w:ascii="宋体" w:hAnsi="宋体" w:eastAsia="宋体" w:cs="宋体"/>
          <w:b/>
          <w:bCs/>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Style w:val="13"/>
          <w:rFonts w:hint="eastAsia" w:ascii="宋体" w:hAnsi="宋体" w:eastAsia="宋体" w:cs="宋体"/>
          <w:b/>
          <w:bCs/>
          <w:color w:val="auto"/>
          <w:sz w:val="21"/>
          <w:szCs w:val="21"/>
          <w:highlight w:val="none"/>
        </w:rPr>
        <w:t> </w:t>
      </w:r>
    </w:p>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编制说明</w:t>
      </w:r>
    </w:p>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除招标文件另有规定外，招标文件要求提交的除前述资格证明文件外的其他资格证明文件（若有）加盖投标人的单位公章后应在此项下提交。</w:t>
      </w:r>
    </w:p>
    <w:p>
      <w:pPr>
        <w:pStyle w:val="11"/>
        <w:keepNext w:val="0"/>
        <w:keepLines w:val="0"/>
        <w:widowControl/>
        <w:suppressLineNumbers w:val="0"/>
        <w:spacing w:before="0" w:beforeAutospacing="0" w:after="150" w:afterAutospacing="0"/>
        <w:ind w:left="0" w:right="0"/>
        <w:rPr>
          <w:color w:val="auto"/>
          <w:highlight w:val="none"/>
        </w:rPr>
      </w:pPr>
      <w:r>
        <w:rPr>
          <w:rStyle w:val="13"/>
          <w:rFonts w:hint="eastAsia" w:ascii="宋体" w:hAnsi="宋体" w:eastAsia="宋体" w:cs="宋体"/>
          <w:b/>
          <w:bCs/>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Style w:val="13"/>
          <w:rFonts w:hint="eastAsia" w:ascii="宋体" w:hAnsi="宋体" w:eastAsia="宋体" w:cs="宋体"/>
          <w:b/>
          <w:bCs/>
          <w:color w:val="auto"/>
          <w:sz w:val="21"/>
          <w:szCs w:val="21"/>
          <w:highlight w:val="none"/>
        </w:rPr>
        <w:t> </w:t>
      </w:r>
    </w:p>
    <w:p>
      <w:pPr>
        <w:pStyle w:val="11"/>
        <w:keepNext w:val="0"/>
        <w:keepLines w:val="0"/>
        <w:widowControl/>
        <w:suppressLineNumbers w:val="0"/>
        <w:spacing w:before="0" w:beforeAutospacing="0" w:after="150" w:afterAutospacing="0"/>
        <w:ind w:left="0" w:right="0"/>
        <w:jc w:val="center"/>
        <w:rPr>
          <w:rFonts w:hint="default" w:ascii="Calibri" w:hAnsi="Calibri" w:cs="Calibri"/>
          <w:color w:val="auto"/>
          <w:sz w:val="21"/>
          <w:szCs w:val="21"/>
          <w:highlight w:val="none"/>
        </w:rPr>
      </w:pPr>
      <w:r>
        <w:rPr>
          <w:rFonts w:hint="default" w:ascii="Calibri" w:hAnsi="Calibri" w:cs="Calibri"/>
          <w:color w:val="auto"/>
          <w:sz w:val="21"/>
          <w:szCs w:val="21"/>
          <w:highlight w:val="none"/>
        </w:rPr>
        <w:br w:type="textWrapping"/>
      </w:r>
    </w:p>
    <w:p>
      <w:pPr>
        <w:rPr>
          <w:rFonts w:hint="default" w:ascii="Calibri" w:hAnsi="Calibri" w:cs="Calibri"/>
          <w:color w:val="auto"/>
          <w:sz w:val="21"/>
          <w:szCs w:val="21"/>
          <w:highlight w:val="none"/>
        </w:rPr>
      </w:pPr>
      <w:r>
        <w:rPr>
          <w:rFonts w:hint="default" w:ascii="Calibri" w:hAnsi="Calibri" w:cs="Calibri"/>
          <w:color w:val="auto"/>
          <w:sz w:val="21"/>
          <w:szCs w:val="21"/>
          <w:highlight w:val="none"/>
        </w:rPr>
        <w:br w:type="page"/>
      </w:r>
    </w:p>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三</w:t>
      </w:r>
      <w:r>
        <w:rPr>
          <w:rStyle w:val="13"/>
          <w:rFonts w:hint="eastAsia" w:ascii="宋体" w:hAnsi="宋体" w:eastAsia="宋体" w:cs="宋体"/>
          <w:b/>
          <w:bCs/>
          <w:color w:val="auto"/>
          <w:sz w:val="21"/>
          <w:szCs w:val="21"/>
          <w:highlight w:val="none"/>
        </w:rPr>
        <w:t>、投标保证金</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编制说明</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1、在此项下提交的</w:t>
      </w:r>
      <w:r>
        <w:rPr>
          <w:rStyle w:val="13"/>
          <w:rFonts w:hint="eastAsia" w:ascii="宋体" w:hAnsi="宋体" w:eastAsia="宋体" w:cs="宋体"/>
          <w:b/>
          <w:bCs/>
          <w:color w:val="auto"/>
          <w:sz w:val="21"/>
          <w:szCs w:val="21"/>
          <w:highlight w:val="none"/>
        </w:rPr>
        <w:t>“投标保证金”</w:t>
      </w:r>
      <w:r>
        <w:rPr>
          <w:rFonts w:hint="eastAsia" w:ascii="宋体" w:hAnsi="宋体" w:eastAsia="宋体" w:cs="宋体"/>
          <w:color w:val="auto"/>
          <w:sz w:val="21"/>
          <w:szCs w:val="21"/>
          <w:highlight w:val="none"/>
        </w:rPr>
        <w:t>材料可使用转账凭证复印件或从福建省政府采购网上公开信息系统中下载的有关原始页面的打印件。</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2、投标保证金是否已提交的认定按照招标文件第三章规定执行。</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rPr>
          <w:rStyle w:val="13"/>
          <w:rFonts w:hint="eastAsia" w:ascii="宋体" w:hAnsi="宋体" w:eastAsia="宋体" w:cs="宋体"/>
          <w:b/>
          <w:bCs/>
          <w:color w:val="auto"/>
          <w:sz w:val="28"/>
          <w:szCs w:val="28"/>
          <w:highlight w:val="none"/>
        </w:rPr>
      </w:pPr>
      <w:r>
        <w:rPr>
          <w:rStyle w:val="13"/>
          <w:rFonts w:hint="eastAsia" w:ascii="宋体" w:hAnsi="宋体" w:eastAsia="宋体" w:cs="宋体"/>
          <w:b/>
          <w:bCs/>
          <w:color w:val="auto"/>
          <w:sz w:val="28"/>
          <w:szCs w:val="28"/>
          <w:highlight w:val="none"/>
        </w:rPr>
        <w:br w:type="page"/>
      </w:r>
    </w:p>
    <w:p>
      <w:pPr>
        <w:pStyle w:val="11"/>
        <w:keepNext w:val="0"/>
        <w:keepLines w:val="0"/>
        <w:widowControl/>
        <w:suppressLineNumbers w:val="0"/>
        <w:spacing w:before="0" w:beforeAutospacing="0" w:after="150" w:afterAutospacing="0"/>
        <w:ind w:left="0" w:right="0"/>
        <w:jc w:val="center"/>
        <w:rPr>
          <w:color w:val="auto"/>
          <w:highlight w:val="none"/>
        </w:rPr>
      </w:pPr>
      <w:r>
        <w:rPr>
          <w:rStyle w:val="13"/>
          <w:rFonts w:hint="eastAsia" w:ascii="宋体" w:hAnsi="宋体" w:eastAsia="宋体" w:cs="宋体"/>
          <w:b/>
          <w:bCs/>
          <w:color w:val="auto"/>
          <w:sz w:val="28"/>
          <w:szCs w:val="28"/>
          <w:highlight w:val="none"/>
        </w:rPr>
        <w:t>封面格式</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36"/>
          <w:szCs w:val="36"/>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36"/>
          <w:szCs w:val="36"/>
          <w:highlight w:val="none"/>
        </w:rPr>
        <w:t> </w:t>
      </w:r>
    </w:p>
    <w:p>
      <w:pPr>
        <w:pStyle w:val="11"/>
        <w:keepNext w:val="0"/>
        <w:keepLines w:val="0"/>
        <w:widowControl/>
        <w:suppressLineNumbers w:val="0"/>
        <w:spacing w:before="0" w:beforeAutospacing="0" w:after="150" w:afterAutospacing="0"/>
        <w:ind w:left="0" w:right="0"/>
        <w:jc w:val="center"/>
        <w:rPr>
          <w:color w:val="auto"/>
          <w:highlight w:val="none"/>
        </w:rPr>
      </w:pPr>
      <w:r>
        <w:rPr>
          <w:rStyle w:val="13"/>
          <w:rFonts w:hint="eastAsia" w:ascii="宋体" w:hAnsi="宋体" w:eastAsia="宋体" w:cs="宋体"/>
          <w:b/>
          <w:bCs/>
          <w:color w:val="auto"/>
          <w:sz w:val="48"/>
          <w:szCs w:val="48"/>
          <w:highlight w:val="none"/>
        </w:rPr>
        <w:t>福建省政府采购投标文件</w:t>
      </w:r>
    </w:p>
    <w:p>
      <w:pPr>
        <w:pStyle w:val="11"/>
        <w:keepNext w:val="0"/>
        <w:keepLines w:val="0"/>
        <w:widowControl/>
        <w:suppressLineNumbers w:val="0"/>
        <w:spacing w:before="0" w:beforeAutospacing="0" w:after="150" w:afterAutospacing="0"/>
        <w:ind w:left="0" w:right="0"/>
        <w:jc w:val="center"/>
        <w:rPr>
          <w:color w:val="auto"/>
          <w:highlight w:val="none"/>
        </w:rPr>
      </w:pPr>
      <w:r>
        <w:rPr>
          <w:rStyle w:val="13"/>
          <w:rFonts w:hint="eastAsia" w:ascii="宋体" w:hAnsi="宋体" w:eastAsia="宋体" w:cs="宋体"/>
          <w:b/>
          <w:bCs/>
          <w:color w:val="auto"/>
          <w:sz w:val="48"/>
          <w:szCs w:val="48"/>
          <w:highlight w:val="none"/>
        </w:rPr>
        <w:t>（报价部分）</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36"/>
          <w:szCs w:val="36"/>
          <w:highlight w:val="none"/>
        </w:rPr>
        <w:t> </w:t>
      </w:r>
    </w:p>
    <w:p>
      <w:pPr>
        <w:pStyle w:val="11"/>
        <w:keepNext w:val="0"/>
        <w:keepLines w:val="0"/>
        <w:widowControl/>
        <w:suppressLineNumbers w:val="0"/>
        <w:spacing w:before="0" w:beforeAutospacing="0" w:after="150" w:afterAutospacing="0"/>
        <w:ind w:left="0" w:right="0"/>
        <w:jc w:val="center"/>
        <w:rPr>
          <w:color w:val="auto"/>
          <w:highlight w:val="none"/>
        </w:rPr>
      </w:pPr>
      <w:r>
        <w:rPr>
          <w:rStyle w:val="13"/>
          <w:rFonts w:hint="eastAsia" w:ascii="宋体" w:hAnsi="宋体" w:eastAsia="宋体" w:cs="宋体"/>
          <w:b/>
          <w:bCs/>
          <w:color w:val="auto"/>
          <w:sz w:val="36"/>
          <w:szCs w:val="36"/>
          <w:highlight w:val="none"/>
          <w:u w:val="single"/>
        </w:rPr>
        <w:t>（填写正本或副本）</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36"/>
          <w:szCs w:val="36"/>
          <w:highlight w:val="none"/>
        </w:rPr>
        <w:t> </w:t>
      </w:r>
    </w:p>
    <w:p>
      <w:pPr>
        <w:pStyle w:val="11"/>
        <w:keepNext w:val="0"/>
        <w:keepLines w:val="0"/>
        <w:widowControl/>
        <w:suppressLineNumbers w:val="0"/>
        <w:spacing w:before="0" w:beforeAutospacing="0" w:after="150" w:afterAutospacing="0"/>
        <w:ind w:left="0" w:right="0" w:firstLine="1920"/>
        <w:rPr>
          <w:color w:val="auto"/>
          <w:highlight w:val="none"/>
        </w:rPr>
      </w:pPr>
      <w:r>
        <w:rPr>
          <w:rStyle w:val="13"/>
          <w:rFonts w:hint="eastAsia" w:ascii="宋体" w:hAnsi="宋体" w:eastAsia="宋体" w:cs="宋体"/>
          <w:b/>
          <w:bCs/>
          <w:color w:val="auto"/>
          <w:sz w:val="31"/>
          <w:szCs w:val="31"/>
          <w:highlight w:val="none"/>
        </w:rPr>
        <w:t>项目名称：</w:t>
      </w:r>
      <w:r>
        <w:rPr>
          <w:rStyle w:val="13"/>
          <w:rFonts w:hint="eastAsia" w:ascii="宋体" w:hAnsi="宋体" w:eastAsia="宋体" w:cs="宋体"/>
          <w:b/>
          <w:bCs/>
          <w:color w:val="auto"/>
          <w:sz w:val="31"/>
          <w:szCs w:val="31"/>
          <w:highlight w:val="none"/>
          <w:u w:val="single"/>
        </w:rPr>
        <w:t>（由投标人填写）</w:t>
      </w:r>
    </w:p>
    <w:p>
      <w:pPr>
        <w:pStyle w:val="11"/>
        <w:keepNext w:val="0"/>
        <w:keepLines w:val="0"/>
        <w:widowControl/>
        <w:suppressLineNumbers w:val="0"/>
        <w:spacing w:before="0" w:beforeAutospacing="0" w:after="150" w:afterAutospacing="0"/>
        <w:ind w:left="0" w:right="0" w:firstLine="1920"/>
        <w:rPr>
          <w:color w:val="auto"/>
          <w:highlight w:val="none"/>
        </w:rPr>
      </w:pPr>
      <w:r>
        <w:rPr>
          <w:rStyle w:val="13"/>
          <w:rFonts w:hint="eastAsia" w:ascii="宋体" w:hAnsi="宋体" w:eastAsia="宋体" w:cs="宋体"/>
          <w:b/>
          <w:bCs/>
          <w:color w:val="auto"/>
          <w:sz w:val="31"/>
          <w:szCs w:val="31"/>
          <w:highlight w:val="none"/>
        </w:rPr>
        <w:t>备案编号：</w:t>
      </w:r>
      <w:r>
        <w:rPr>
          <w:rStyle w:val="13"/>
          <w:rFonts w:hint="eastAsia" w:ascii="宋体" w:hAnsi="宋体" w:eastAsia="宋体" w:cs="宋体"/>
          <w:b/>
          <w:bCs/>
          <w:color w:val="auto"/>
          <w:sz w:val="31"/>
          <w:szCs w:val="31"/>
          <w:highlight w:val="none"/>
          <w:u w:val="single"/>
        </w:rPr>
        <w:t>（由投标人填写）</w:t>
      </w:r>
    </w:p>
    <w:p>
      <w:pPr>
        <w:pStyle w:val="11"/>
        <w:keepNext w:val="0"/>
        <w:keepLines w:val="0"/>
        <w:widowControl/>
        <w:suppressLineNumbers w:val="0"/>
        <w:spacing w:before="0" w:beforeAutospacing="0" w:after="150" w:afterAutospacing="0"/>
        <w:ind w:left="0" w:right="0" w:firstLine="1920"/>
        <w:rPr>
          <w:color w:val="auto"/>
          <w:highlight w:val="none"/>
        </w:rPr>
      </w:pPr>
      <w:r>
        <w:rPr>
          <w:rStyle w:val="13"/>
          <w:rFonts w:hint="eastAsia" w:ascii="宋体" w:hAnsi="宋体" w:eastAsia="宋体" w:cs="宋体"/>
          <w:b/>
          <w:bCs/>
          <w:color w:val="auto"/>
          <w:sz w:val="31"/>
          <w:szCs w:val="31"/>
          <w:highlight w:val="none"/>
        </w:rPr>
        <w:t>项目编号：</w:t>
      </w:r>
      <w:r>
        <w:rPr>
          <w:rStyle w:val="13"/>
          <w:rFonts w:hint="eastAsia" w:ascii="宋体" w:hAnsi="宋体" w:eastAsia="宋体" w:cs="宋体"/>
          <w:b/>
          <w:bCs/>
          <w:color w:val="auto"/>
          <w:sz w:val="31"/>
          <w:szCs w:val="31"/>
          <w:highlight w:val="none"/>
          <w:u w:val="single"/>
        </w:rPr>
        <w:t>（由投标人填写）</w:t>
      </w:r>
    </w:p>
    <w:p>
      <w:pPr>
        <w:pStyle w:val="11"/>
        <w:keepNext w:val="0"/>
        <w:keepLines w:val="0"/>
        <w:widowControl/>
        <w:suppressLineNumbers w:val="0"/>
        <w:spacing w:before="0" w:beforeAutospacing="0" w:after="150" w:afterAutospacing="0"/>
        <w:ind w:left="0" w:right="0" w:firstLine="1920"/>
        <w:rPr>
          <w:color w:val="auto"/>
          <w:highlight w:val="none"/>
        </w:rPr>
      </w:pPr>
      <w:r>
        <w:rPr>
          <w:rStyle w:val="13"/>
          <w:rFonts w:hint="eastAsia" w:ascii="宋体" w:hAnsi="宋体" w:eastAsia="宋体" w:cs="宋体"/>
          <w:b/>
          <w:bCs/>
          <w:color w:val="auto"/>
          <w:sz w:val="31"/>
          <w:szCs w:val="31"/>
          <w:highlight w:val="none"/>
        </w:rPr>
        <w:t>所投采购包：</w:t>
      </w:r>
      <w:r>
        <w:rPr>
          <w:rStyle w:val="13"/>
          <w:rFonts w:hint="eastAsia" w:ascii="宋体" w:hAnsi="宋体" w:eastAsia="宋体" w:cs="宋体"/>
          <w:b/>
          <w:bCs/>
          <w:color w:val="auto"/>
          <w:sz w:val="31"/>
          <w:szCs w:val="31"/>
          <w:highlight w:val="none"/>
          <w:u w:val="single"/>
        </w:rPr>
        <w:t>（由投标人填写）</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36"/>
          <w:szCs w:val="36"/>
          <w:highlight w:val="none"/>
        </w:rPr>
        <w:t> </w:t>
      </w:r>
    </w:p>
    <w:p>
      <w:pPr>
        <w:pStyle w:val="11"/>
        <w:keepNext w:val="0"/>
        <w:keepLines w:val="0"/>
        <w:widowControl/>
        <w:suppressLineNumbers w:val="0"/>
        <w:spacing w:before="0" w:beforeAutospacing="0" w:after="150" w:afterAutospacing="0"/>
        <w:ind w:left="0" w:right="0"/>
        <w:rPr>
          <w:color w:val="auto"/>
          <w:highlight w:val="none"/>
        </w:rPr>
      </w:pP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36"/>
          <w:szCs w:val="36"/>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36"/>
          <w:szCs w:val="36"/>
          <w:highlight w:val="none"/>
        </w:rPr>
        <w:t> </w:t>
      </w:r>
    </w:p>
    <w:p>
      <w:pPr>
        <w:pStyle w:val="11"/>
        <w:keepNext w:val="0"/>
        <w:keepLines w:val="0"/>
        <w:widowControl/>
        <w:suppressLineNumbers w:val="0"/>
        <w:spacing w:before="0" w:beforeAutospacing="0" w:after="150" w:afterAutospacing="0"/>
        <w:ind w:left="0" w:right="0"/>
        <w:jc w:val="center"/>
        <w:rPr>
          <w:color w:val="auto"/>
          <w:highlight w:val="none"/>
        </w:rPr>
      </w:pPr>
      <w:r>
        <w:rPr>
          <w:rStyle w:val="13"/>
          <w:rFonts w:hint="eastAsia" w:ascii="宋体" w:hAnsi="宋体" w:eastAsia="宋体" w:cs="宋体"/>
          <w:b/>
          <w:bCs/>
          <w:color w:val="auto"/>
          <w:sz w:val="31"/>
          <w:szCs w:val="31"/>
          <w:highlight w:val="none"/>
        </w:rPr>
        <w:t>投标人：</w:t>
      </w:r>
      <w:r>
        <w:rPr>
          <w:rStyle w:val="13"/>
          <w:rFonts w:hint="eastAsia" w:ascii="宋体" w:hAnsi="宋体" w:eastAsia="宋体" w:cs="宋体"/>
          <w:b/>
          <w:bCs/>
          <w:color w:val="auto"/>
          <w:sz w:val="31"/>
          <w:szCs w:val="31"/>
          <w:highlight w:val="none"/>
          <w:u w:val="single"/>
        </w:rPr>
        <w:t>（填写“全称”）</w:t>
      </w:r>
    </w:p>
    <w:p>
      <w:pPr>
        <w:pStyle w:val="11"/>
        <w:keepNext w:val="0"/>
        <w:keepLines w:val="0"/>
        <w:widowControl/>
        <w:suppressLineNumbers w:val="0"/>
        <w:spacing w:before="0" w:beforeAutospacing="0" w:after="150" w:afterAutospacing="0"/>
        <w:ind w:left="0" w:right="0"/>
        <w:jc w:val="center"/>
        <w:rPr>
          <w:color w:val="auto"/>
          <w:highlight w:val="none"/>
        </w:rPr>
      </w:pPr>
      <w:r>
        <w:rPr>
          <w:rStyle w:val="13"/>
          <w:rFonts w:hint="eastAsia" w:ascii="宋体" w:hAnsi="宋体" w:eastAsia="宋体" w:cs="宋体"/>
          <w:b/>
          <w:bCs/>
          <w:color w:val="auto"/>
          <w:sz w:val="31"/>
          <w:szCs w:val="31"/>
          <w:highlight w:val="none"/>
          <w:u w:val="single"/>
        </w:rPr>
        <w:t>（由投标人填写）</w:t>
      </w:r>
      <w:r>
        <w:rPr>
          <w:rStyle w:val="13"/>
          <w:rFonts w:hint="eastAsia" w:ascii="宋体" w:hAnsi="宋体" w:eastAsia="宋体" w:cs="宋体"/>
          <w:b/>
          <w:bCs/>
          <w:color w:val="auto"/>
          <w:sz w:val="31"/>
          <w:szCs w:val="31"/>
          <w:highlight w:val="none"/>
        </w:rPr>
        <w:t>年</w:t>
      </w:r>
      <w:r>
        <w:rPr>
          <w:rStyle w:val="13"/>
          <w:rFonts w:hint="eastAsia" w:ascii="宋体" w:hAnsi="宋体" w:eastAsia="宋体" w:cs="宋体"/>
          <w:b/>
          <w:bCs/>
          <w:color w:val="auto"/>
          <w:sz w:val="31"/>
          <w:szCs w:val="31"/>
          <w:highlight w:val="none"/>
          <w:u w:val="single"/>
        </w:rPr>
        <w:t>（由投标人填写）</w:t>
      </w:r>
      <w:r>
        <w:rPr>
          <w:rStyle w:val="13"/>
          <w:rFonts w:hint="eastAsia" w:ascii="宋体" w:hAnsi="宋体" w:eastAsia="宋体" w:cs="宋体"/>
          <w:b/>
          <w:bCs/>
          <w:color w:val="auto"/>
          <w:sz w:val="31"/>
          <w:szCs w:val="31"/>
          <w:highlight w:val="none"/>
        </w:rPr>
        <w:t>月</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jc w:val="center"/>
        <w:rPr>
          <w:color w:val="auto"/>
          <w:highlight w:val="none"/>
        </w:rPr>
      </w:pPr>
      <w:r>
        <w:rPr>
          <w:rFonts w:hint="default" w:ascii="Calibri" w:hAnsi="Calibri" w:cs="Calibri"/>
          <w:color w:val="auto"/>
          <w:sz w:val="21"/>
          <w:szCs w:val="21"/>
          <w:highlight w:val="none"/>
        </w:rPr>
        <w:br w:type="textWrapping"/>
      </w:r>
      <w:r>
        <w:rPr>
          <w:rStyle w:val="13"/>
          <w:rFonts w:hint="eastAsia" w:ascii="宋体" w:hAnsi="宋体" w:eastAsia="宋体" w:cs="宋体"/>
          <w:b/>
          <w:bCs/>
          <w:color w:val="auto"/>
          <w:sz w:val="28"/>
          <w:szCs w:val="28"/>
          <w:highlight w:val="none"/>
        </w:rPr>
        <w:t>索引</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8"/>
          <w:szCs w:val="28"/>
          <w:highlight w:val="none"/>
        </w:rPr>
        <w:t>一、开标一览表</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8"/>
          <w:szCs w:val="28"/>
          <w:highlight w:val="none"/>
        </w:rPr>
        <w:t>二、投标分项报价表</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8"/>
          <w:szCs w:val="28"/>
          <w:highlight w:val="none"/>
        </w:rPr>
        <w:t>三、招标文件规定的价格扣除证明材料（若有）</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8"/>
          <w:szCs w:val="28"/>
          <w:highlight w:val="none"/>
        </w:rPr>
        <w:t>四、招标文件规定的加分证明材料（若有）</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jc w:val="center"/>
        <w:rPr>
          <w:rFonts w:hint="default" w:ascii="Calibri" w:hAnsi="Calibri" w:cs="Calibri"/>
          <w:color w:val="auto"/>
          <w:sz w:val="21"/>
          <w:szCs w:val="21"/>
          <w:highlight w:val="none"/>
        </w:rPr>
      </w:pPr>
      <w:r>
        <w:rPr>
          <w:rFonts w:hint="default" w:ascii="Calibri" w:hAnsi="Calibri" w:cs="Calibri"/>
          <w:color w:val="auto"/>
          <w:sz w:val="21"/>
          <w:szCs w:val="21"/>
          <w:highlight w:val="none"/>
        </w:rPr>
        <w:br w:type="textWrapping"/>
      </w:r>
    </w:p>
    <w:p>
      <w:pPr>
        <w:rPr>
          <w:rFonts w:hint="default" w:ascii="Calibri" w:hAnsi="Calibri" w:cs="Calibri"/>
          <w:color w:val="auto"/>
          <w:sz w:val="21"/>
          <w:szCs w:val="21"/>
          <w:highlight w:val="none"/>
        </w:rPr>
      </w:pPr>
      <w:r>
        <w:rPr>
          <w:rFonts w:hint="default" w:ascii="Calibri" w:hAnsi="Calibri" w:cs="Calibri"/>
          <w:color w:val="auto"/>
          <w:sz w:val="21"/>
          <w:szCs w:val="21"/>
          <w:highlight w:val="none"/>
        </w:rPr>
        <w:br w:type="page"/>
      </w:r>
    </w:p>
    <w:p>
      <w:pPr>
        <w:pStyle w:val="11"/>
        <w:keepNext w:val="0"/>
        <w:keepLines w:val="0"/>
        <w:widowControl/>
        <w:suppressLineNumbers w:val="0"/>
        <w:spacing w:before="0" w:beforeAutospacing="0" w:after="150" w:afterAutospacing="0"/>
        <w:ind w:left="0" w:right="0"/>
        <w:jc w:val="center"/>
        <w:rPr>
          <w:color w:val="auto"/>
          <w:highlight w:val="none"/>
        </w:rPr>
      </w:pPr>
      <w:r>
        <w:rPr>
          <w:rStyle w:val="13"/>
          <w:rFonts w:hint="eastAsia" w:ascii="宋体" w:hAnsi="宋体" w:eastAsia="宋体" w:cs="宋体"/>
          <w:b/>
          <w:bCs/>
          <w:color w:val="auto"/>
          <w:sz w:val="21"/>
          <w:szCs w:val="21"/>
          <w:highlight w:val="none"/>
        </w:rPr>
        <w:t>一、开标一览表</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w:t>
      </w:r>
    </w:p>
    <w:p>
      <w:pPr>
        <w:pStyle w:val="11"/>
        <w:keepNext w:val="0"/>
        <w:keepLines w:val="0"/>
        <w:widowControl/>
        <w:suppressLineNumbers w:val="0"/>
        <w:spacing w:before="0" w:beforeAutospacing="0" w:after="150" w:afterAutospacing="0"/>
        <w:ind w:left="0" w:right="0"/>
        <w:jc w:val="right"/>
        <w:rPr>
          <w:color w:val="auto"/>
          <w:highlight w:val="none"/>
        </w:rPr>
      </w:pPr>
      <w:r>
        <w:rPr>
          <w:rFonts w:hint="eastAsia" w:ascii="宋体" w:hAnsi="宋体" w:eastAsia="宋体" w:cs="宋体"/>
          <w:color w:val="auto"/>
          <w:sz w:val="21"/>
          <w:szCs w:val="21"/>
          <w:highlight w:val="none"/>
        </w:rPr>
        <w:t>货币及单位：人民币元</w:t>
      </w:r>
    </w:p>
    <w:tbl>
      <w:tblPr>
        <w:tblStyle w:val="1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065"/>
        <w:gridCol w:w="5670"/>
        <w:gridCol w:w="713"/>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106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采购包</w:t>
            </w:r>
          </w:p>
        </w:tc>
        <w:tc>
          <w:tcPr>
            <w:tcW w:w="5670"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投标报价</w:t>
            </w:r>
          </w:p>
        </w:tc>
        <w:tc>
          <w:tcPr>
            <w:tcW w:w="713"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投标</w:t>
            </w:r>
          </w:p>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保证金</w:t>
            </w:r>
          </w:p>
        </w:tc>
        <w:tc>
          <w:tcPr>
            <w:tcW w:w="1072"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00" w:hRule="atLeast"/>
        </w:trPr>
        <w:tc>
          <w:tcPr>
            <w:tcW w:w="106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w:t>
            </w:r>
          </w:p>
        </w:tc>
        <w:tc>
          <w:tcPr>
            <w:tcW w:w="5670"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投标总价（大写金额）：</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tc>
        <w:tc>
          <w:tcPr>
            <w:tcW w:w="713"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072" w:type="dxa"/>
            <w:vMerge w:val="restart"/>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a.投标报价的明细：详见《投标分项报价表》。</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b.招标文件规定的价格扣除证明材料（若有）：详见报价部分。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06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default" w:ascii="Calibri" w:hAnsi="Calibri" w:cs="Calibri"/>
                <w:color w:val="auto"/>
                <w:sz w:val="21"/>
                <w:szCs w:val="21"/>
                <w:highlight w:val="none"/>
              </w:rPr>
              <w:t>…</w:t>
            </w:r>
          </w:p>
        </w:tc>
        <w:tc>
          <w:tcPr>
            <w:tcW w:w="5670"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投标总价（大写金额）：</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tc>
        <w:tc>
          <w:tcPr>
            <w:tcW w:w="713"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072" w:type="dxa"/>
            <w:vMerge w:val="continue"/>
            <w:shd w:val="clear" w:color="auto" w:fill="auto"/>
            <w:tcMar>
              <w:top w:w="0" w:type="dxa"/>
              <w:left w:w="105" w:type="dxa"/>
              <w:bottom w:w="0" w:type="dxa"/>
              <w:right w:w="105" w:type="dxa"/>
            </w:tcMar>
            <w:vAlign w:val="center"/>
          </w:tcPr>
          <w:p>
            <w:pPr>
              <w:rPr>
                <w:rFonts w:hint="eastAsia" w:ascii="宋体"/>
                <w:color w:val="auto"/>
                <w:sz w:val="24"/>
                <w:szCs w:val="24"/>
                <w:highlight w:val="none"/>
              </w:rPr>
            </w:pPr>
          </w:p>
        </w:tc>
      </w:tr>
    </w:tbl>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※注意：</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1、本表应按照下列规定填写：</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1.1投标人应按照本表格式填写所投的采购包的“投标报价”。</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1.2本表中列示的“采购包”应与《投标分项报价表》中列示的“采购包”保持一致，即：若本表中列示的“采购包”为“</w:t>
      </w:r>
      <w:r>
        <w:rPr>
          <w:rFonts w:hint="default" w:ascii="Calibri" w:hAnsi="Calibri" w:eastAsia="宋体" w:cs="Calibri"/>
          <w:color w:val="auto"/>
          <w:sz w:val="21"/>
          <w:szCs w:val="21"/>
          <w:highlight w:val="none"/>
        </w:rPr>
        <w:t>1</w:t>
      </w:r>
      <w:r>
        <w:rPr>
          <w:rFonts w:hint="eastAsia" w:ascii="宋体" w:hAnsi="宋体" w:eastAsia="宋体" w:cs="宋体"/>
          <w:color w:val="auto"/>
          <w:sz w:val="21"/>
          <w:szCs w:val="21"/>
          <w:highlight w:val="none"/>
        </w:rPr>
        <w:t>”时，《投标分项报价表》中列示的“采购包”亦应为“</w:t>
      </w:r>
      <w:r>
        <w:rPr>
          <w:rFonts w:hint="default" w:ascii="Calibri" w:hAnsi="Calibri" w:eastAsia="宋体" w:cs="Calibri"/>
          <w:color w:val="auto"/>
          <w:sz w:val="21"/>
          <w:szCs w:val="21"/>
          <w:highlight w:val="none"/>
        </w:rPr>
        <w:t>1</w:t>
      </w:r>
      <w:r>
        <w:rPr>
          <w:rFonts w:hint="eastAsia" w:ascii="宋体" w:hAnsi="宋体" w:eastAsia="宋体" w:cs="宋体"/>
          <w:color w:val="auto"/>
          <w:sz w:val="21"/>
          <w:szCs w:val="21"/>
          <w:highlight w:val="none"/>
        </w:rPr>
        <w:t>”，以此类推。</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1.3“大写金额”指“投标报价”应用“壹、贰、叁、肆、伍、陆、柒、捌、玖、拾、佰、仟、万、亿、元、角、分、零”等进行填写。</w:t>
      </w:r>
    </w:p>
    <w:p>
      <w:pPr>
        <w:pStyle w:val="11"/>
        <w:keepNext w:val="0"/>
        <w:keepLines w:val="0"/>
        <w:widowControl/>
        <w:suppressLineNumbers w:val="0"/>
        <w:spacing w:before="0" w:beforeAutospacing="0" w:after="150" w:afterAutospacing="0"/>
        <w:ind w:left="0" w:right="0"/>
        <w:rPr>
          <w:color w:val="auto"/>
          <w:highlight w:val="none"/>
        </w:rPr>
      </w:pP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jc w:val="center"/>
        <w:rPr>
          <w:color w:val="auto"/>
          <w:highlight w:val="none"/>
        </w:rPr>
      </w:pPr>
      <w:r>
        <w:rPr>
          <w:rStyle w:val="13"/>
          <w:rFonts w:hint="default" w:ascii="Calibri" w:hAnsi="Calibri" w:cs="Calibri"/>
          <w:b/>
          <w:bCs/>
          <w:color w:val="auto"/>
          <w:sz w:val="21"/>
          <w:szCs w:val="21"/>
          <w:highlight w:val="none"/>
        </w:rPr>
        <w:br w:type="textWrapping"/>
      </w:r>
      <w:r>
        <w:rPr>
          <w:rStyle w:val="13"/>
          <w:rFonts w:hint="eastAsia" w:ascii="宋体" w:hAnsi="宋体" w:eastAsia="宋体" w:cs="宋体"/>
          <w:b/>
          <w:bCs/>
          <w:color w:val="auto"/>
          <w:sz w:val="21"/>
          <w:szCs w:val="21"/>
          <w:highlight w:val="none"/>
        </w:rPr>
        <w:t>二、投标分项报价表</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w:t>
      </w:r>
    </w:p>
    <w:p>
      <w:pPr>
        <w:pStyle w:val="11"/>
        <w:keepNext w:val="0"/>
        <w:keepLines w:val="0"/>
        <w:widowControl/>
        <w:suppressLineNumbers w:val="0"/>
        <w:spacing w:before="0" w:beforeAutospacing="0" w:after="150" w:afterAutospacing="0"/>
        <w:ind w:left="0" w:right="0"/>
        <w:jc w:val="right"/>
        <w:rPr>
          <w:color w:val="auto"/>
          <w:highlight w:val="none"/>
        </w:rPr>
      </w:pPr>
      <w:r>
        <w:rPr>
          <w:rFonts w:hint="eastAsia" w:ascii="宋体" w:hAnsi="宋体" w:eastAsia="宋体" w:cs="宋体"/>
          <w:color w:val="auto"/>
          <w:sz w:val="21"/>
          <w:szCs w:val="21"/>
          <w:highlight w:val="none"/>
        </w:rPr>
        <w:t>货币及单位：人民币元</w:t>
      </w:r>
    </w:p>
    <w:tbl>
      <w:tblPr>
        <w:tblStyle w:val="1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420"/>
        <w:gridCol w:w="958"/>
        <w:gridCol w:w="1556"/>
        <w:gridCol w:w="1272"/>
        <w:gridCol w:w="853"/>
        <w:gridCol w:w="989"/>
        <w:gridCol w:w="569"/>
        <w:gridCol w:w="1093"/>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420"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采购包</w:t>
            </w:r>
          </w:p>
        </w:tc>
        <w:tc>
          <w:tcPr>
            <w:tcW w:w="958"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品目号</w:t>
            </w:r>
          </w:p>
        </w:tc>
        <w:tc>
          <w:tcPr>
            <w:tcW w:w="1556"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投标标的</w:t>
            </w:r>
          </w:p>
        </w:tc>
        <w:tc>
          <w:tcPr>
            <w:tcW w:w="1272"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规格</w:t>
            </w:r>
          </w:p>
        </w:tc>
        <w:tc>
          <w:tcPr>
            <w:tcW w:w="853"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来源地</w:t>
            </w:r>
          </w:p>
        </w:tc>
        <w:tc>
          <w:tcPr>
            <w:tcW w:w="989"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单价</w:t>
            </w:r>
          </w:p>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（现场）</w:t>
            </w:r>
          </w:p>
        </w:tc>
        <w:tc>
          <w:tcPr>
            <w:tcW w:w="569"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数量</w:t>
            </w:r>
          </w:p>
        </w:tc>
        <w:tc>
          <w:tcPr>
            <w:tcW w:w="1093"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总价</w:t>
            </w:r>
          </w:p>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（现场）</w:t>
            </w:r>
          </w:p>
        </w:tc>
        <w:tc>
          <w:tcPr>
            <w:tcW w:w="810"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420" w:type="dxa"/>
            <w:vMerge w:val="restart"/>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w:t>
            </w:r>
          </w:p>
        </w:tc>
        <w:tc>
          <w:tcPr>
            <w:tcW w:w="958"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*-1</w:t>
            </w:r>
          </w:p>
        </w:tc>
        <w:tc>
          <w:tcPr>
            <w:tcW w:w="1556"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272"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853"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989"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569"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093"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810"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420" w:type="dxa"/>
            <w:vMerge w:val="continue"/>
            <w:shd w:val="clear" w:color="auto" w:fill="auto"/>
            <w:tcMar>
              <w:top w:w="0" w:type="dxa"/>
              <w:left w:w="105" w:type="dxa"/>
              <w:bottom w:w="0" w:type="dxa"/>
              <w:right w:w="105" w:type="dxa"/>
            </w:tcMar>
            <w:vAlign w:val="center"/>
          </w:tcPr>
          <w:p>
            <w:pPr>
              <w:rPr>
                <w:rFonts w:hint="eastAsia" w:ascii="宋体"/>
                <w:color w:val="auto"/>
                <w:sz w:val="24"/>
                <w:szCs w:val="24"/>
                <w:highlight w:val="none"/>
              </w:rPr>
            </w:pPr>
          </w:p>
        </w:tc>
        <w:tc>
          <w:tcPr>
            <w:tcW w:w="958"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556"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272"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853"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989"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569"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093"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810"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420"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default" w:ascii="Calibri" w:hAnsi="Calibri" w:cs="Calibri"/>
                <w:color w:val="auto"/>
                <w:sz w:val="21"/>
                <w:szCs w:val="21"/>
                <w:highlight w:val="none"/>
              </w:rPr>
              <w:t>…</w:t>
            </w:r>
          </w:p>
        </w:tc>
        <w:tc>
          <w:tcPr>
            <w:tcW w:w="958"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556"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272"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853"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989"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569"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093"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810"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r>
    </w:tbl>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※注意：</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1、本表应按照下列规定填写：</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rPr>
          <w:rFonts w:hint="default" w:ascii="Calibri" w:hAnsi="Calibri" w:eastAsia="宋体" w:cs="Calibri"/>
          <w:color w:val="auto"/>
          <w:sz w:val="21"/>
          <w:szCs w:val="21"/>
          <w:highlight w:val="none"/>
        </w:rPr>
        <w:t>1</w:t>
      </w:r>
      <w:r>
        <w:rPr>
          <w:rFonts w:hint="eastAsia" w:ascii="宋体" w:hAnsi="宋体" w:eastAsia="宋体" w:cs="宋体"/>
          <w:color w:val="auto"/>
          <w:sz w:val="21"/>
          <w:szCs w:val="21"/>
          <w:highlight w:val="none"/>
        </w:rPr>
        <w:t>”时，本表中列示的“采购包”亦应为“</w:t>
      </w:r>
      <w:r>
        <w:rPr>
          <w:rFonts w:hint="default" w:ascii="Calibri" w:hAnsi="Calibri" w:eastAsia="宋体" w:cs="Calibri"/>
          <w:color w:val="auto"/>
          <w:sz w:val="21"/>
          <w:szCs w:val="21"/>
          <w:highlight w:val="none"/>
        </w:rPr>
        <w:t>1</w:t>
      </w:r>
      <w:r>
        <w:rPr>
          <w:rFonts w:hint="eastAsia" w:ascii="宋体" w:hAnsi="宋体" w:eastAsia="宋体" w:cs="宋体"/>
          <w:color w:val="auto"/>
          <w:sz w:val="21"/>
          <w:szCs w:val="21"/>
          <w:highlight w:val="none"/>
        </w:rPr>
        <w:t>”，以此类推。</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1.2“投标标的”为货物的：</w:t>
      </w:r>
      <w:r>
        <w:rPr>
          <w:rStyle w:val="13"/>
          <w:rFonts w:hint="eastAsia" w:ascii="宋体" w:hAnsi="宋体" w:eastAsia="宋体" w:cs="宋体"/>
          <w:b/>
          <w:bCs/>
          <w:color w:val="auto"/>
          <w:sz w:val="21"/>
          <w:szCs w:val="21"/>
          <w:highlight w:val="none"/>
        </w:rPr>
        <w:t>“规格”</w:t>
      </w:r>
      <w:r>
        <w:rPr>
          <w:rFonts w:hint="eastAsia" w:ascii="宋体" w:hAnsi="宋体" w:eastAsia="宋体" w:cs="宋体"/>
          <w:color w:val="auto"/>
          <w:sz w:val="21"/>
          <w:szCs w:val="21"/>
          <w:highlight w:val="none"/>
        </w:rPr>
        <w:t>项下应填写货物制造厂商赋予的品牌（属于节能、环保清单产品的货物，填写的品牌名称应与清单载明的品牌名称保持一致）及具体型号。</w:t>
      </w:r>
      <w:r>
        <w:rPr>
          <w:rStyle w:val="13"/>
          <w:rFonts w:hint="eastAsia" w:ascii="宋体" w:hAnsi="宋体" w:eastAsia="宋体" w:cs="宋体"/>
          <w:b/>
          <w:bCs/>
          <w:color w:val="auto"/>
          <w:sz w:val="21"/>
          <w:szCs w:val="21"/>
          <w:highlight w:val="none"/>
        </w:rPr>
        <w:t>“来源地”</w:t>
      </w:r>
      <w:r>
        <w:rPr>
          <w:rFonts w:hint="eastAsia" w:ascii="宋体" w:hAnsi="宋体" w:eastAsia="宋体" w:cs="宋体"/>
          <w:color w:val="auto"/>
          <w:sz w:val="21"/>
          <w:szCs w:val="21"/>
          <w:highlight w:val="none"/>
        </w:rPr>
        <w:t>应填写货物的原产地。</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1.3“投标标的”为服务的：</w:t>
      </w:r>
      <w:r>
        <w:rPr>
          <w:rStyle w:val="13"/>
          <w:rFonts w:hint="eastAsia" w:ascii="宋体" w:hAnsi="宋体" w:eastAsia="宋体" w:cs="宋体"/>
          <w:b/>
          <w:bCs/>
          <w:color w:val="auto"/>
          <w:sz w:val="21"/>
          <w:szCs w:val="21"/>
          <w:highlight w:val="none"/>
        </w:rPr>
        <w:t>“规格”</w:t>
      </w:r>
      <w:r>
        <w:rPr>
          <w:rFonts w:hint="eastAsia" w:ascii="宋体" w:hAnsi="宋体" w:eastAsia="宋体" w:cs="宋体"/>
          <w:color w:val="auto"/>
          <w:sz w:val="21"/>
          <w:szCs w:val="21"/>
          <w:highlight w:val="none"/>
        </w:rPr>
        <w:t>项下应填写服务提供者提供的服务标准及品牌（若有）。</w:t>
      </w:r>
      <w:r>
        <w:rPr>
          <w:rStyle w:val="13"/>
          <w:rFonts w:hint="eastAsia" w:ascii="宋体" w:hAnsi="宋体" w:eastAsia="宋体" w:cs="宋体"/>
          <w:b/>
          <w:bCs/>
          <w:color w:val="auto"/>
          <w:sz w:val="21"/>
          <w:szCs w:val="21"/>
          <w:highlight w:val="none"/>
        </w:rPr>
        <w:t>“来源地”</w:t>
      </w:r>
      <w:r>
        <w:rPr>
          <w:rFonts w:hint="eastAsia" w:ascii="宋体" w:hAnsi="宋体" w:eastAsia="宋体" w:cs="宋体"/>
          <w:color w:val="auto"/>
          <w:sz w:val="21"/>
          <w:szCs w:val="21"/>
          <w:highlight w:val="none"/>
        </w:rPr>
        <w:t>应填写服务提供者的所在地。</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1.4同一采购包中，</w:t>
      </w:r>
      <w:r>
        <w:rPr>
          <w:rStyle w:val="13"/>
          <w:rFonts w:hint="eastAsia" w:ascii="宋体" w:hAnsi="宋体" w:eastAsia="宋体" w:cs="宋体"/>
          <w:b/>
          <w:bCs/>
          <w:color w:val="auto"/>
          <w:sz w:val="21"/>
          <w:szCs w:val="21"/>
          <w:highlight w:val="none"/>
        </w:rPr>
        <w:t>“单价（现场）”</w:t>
      </w:r>
      <w:r>
        <w:rPr>
          <w:rFonts w:hint="eastAsia" w:ascii="宋体" w:hAnsi="宋体" w:eastAsia="宋体" w:cs="宋体"/>
          <w:color w:val="auto"/>
          <w:sz w:val="21"/>
          <w:szCs w:val="21"/>
          <w:highlight w:val="none"/>
        </w:rPr>
        <w:t>×</w:t>
      </w:r>
      <w:r>
        <w:rPr>
          <w:rStyle w:val="13"/>
          <w:rFonts w:hint="eastAsia" w:ascii="宋体" w:hAnsi="宋体" w:eastAsia="宋体" w:cs="宋体"/>
          <w:b/>
          <w:bCs/>
          <w:color w:val="auto"/>
          <w:sz w:val="21"/>
          <w:szCs w:val="21"/>
          <w:highlight w:val="none"/>
        </w:rPr>
        <w:t>“数量”</w:t>
      </w:r>
      <w:r>
        <w:rPr>
          <w:rFonts w:hint="eastAsia" w:ascii="宋体" w:hAnsi="宋体" w:eastAsia="宋体" w:cs="宋体"/>
          <w:color w:val="auto"/>
          <w:sz w:val="21"/>
          <w:szCs w:val="21"/>
          <w:highlight w:val="none"/>
        </w:rPr>
        <w:t>=</w:t>
      </w:r>
      <w:r>
        <w:rPr>
          <w:rStyle w:val="13"/>
          <w:rFonts w:hint="eastAsia" w:ascii="宋体" w:hAnsi="宋体" w:eastAsia="宋体" w:cs="宋体"/>
          <w:b/>
          <w:bCs/>
          <w:color w:val="auto"/>
          <w:sz w:val="21"/>
          <w:szCs w:val="21"/>
          <w:highlight w:val="none"/>
        </w:rPr>
        <w:t>“总价（现场）”</w:t>
      </w:r>
      <w:r>
        <w:rPr>
          <w:rFonts w:hint="eastAsia" w:ascii="宋体" w:hAnsi="宋体" w:eastAsia="宋体" w:cs="宋体"/>
          <w:color w:val="auto"/>
          <w:sz w:val="21"/>
          <w:szCs w:val="21"/>
          <w:highlight w:val="none"/>
        </w:rPr>
        <w:t>，全部品目号</w:t>
      </w:r>
      <w:r>
        <w:rPr>
          <w:rStyle w:val="13"/>
          <w:rFonts w:hint="eastAsia" w:ascii="宋体" w:hAnsi="宋体" w:eastAsia="宋体" w:cs="宋体"/>
          <w:b/>
          <w:bCs/>
          <w:color w:val="auto"/>
          <w:sz w:val="21"/>
          <w:szCs w:val="21"/>
          <w:highlight w:val="none"/>
        </w:rPr>
        <w:t>“总价（现场）”</w:t>
      </w:r>
      <w:r>
        <w:rPr>
          <w:rFonts w:hint="eastAsia" w:ascii="宋体" w:hAnsi="宋体" w:eastAsia="宋体" w:cs="宋体"/>
          <w:color w:val="auto"/>
          <w:sz w:val="21"/>
          <w:szCs w:val="21"/>
          <w:highlight w:val="none"/>
        </w:rPr>
        <w:t>的合计金额应与《开标一览表》中相应采购包列示的</w:t>
      </w:r>
      <w:r>
        <w:rPr>
          <w:rStyle w:val="13"/>
          <w:rFonts w:hint="eastAsia" w:ascii="宋体" w:hAnsi="宋体" w:eastAsia="宋体" w:cs="宋体"/>
          <w:b/>
          <w:bCs/>
          <w:color w:val="auto"/>
          <w:sz w:val="21"/>
          <w:szCs w:val="21"/>
          <w:highlight w:val="none"/>
        </w:rPr>
        <w:t>“投标总价”</w:t>
      </w:r>
      <w:r>
        <w:rPr>
          <w:rFonts w:hint="eastAsia" w:ascii="宋体" w:hAnsi="宋体" w:eastAsia="宋体" w:cs="宋体"/>
          <w:color w:val="auto"/>
          <w:sz w:val="21"/>
          <w:szCs w:val="21"/>
          <w:highlight w:val="none"/>
        </w:rPr>
        <w:t>保持一致。</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1.5若招标文件要求投标人对“备品备件价格、专用工具价格、技术服务费、安装调试费、检验培训费、运输费、保险费、税收”等进行报价的，请在本表的</w:t>
      </w:r>
      <w:r>
        <w:rPr>
          <w:rStyle w:val="13"/>
          <w:rFonts w:hint="eastAsia" w:ascii="宋体" w:hAnsi="宋体" w:eastAsia="宋体" w:cs="宋体"/>
          <w:b/>
          <w:bCs/>
          <w:color w:val="auto"/>
          <w:sz w:val="21"/>
          <w:szCs w:val="21"/>
          <w:highlight w:val="none"/>
        </w:rPr>
        <w:t>“备注”</w:t>
      </w:r>
      <w:r>
        <w:rPr>
          <w:rFonts w:hint="eastAsia" w:ascii="宋体" w:hAnsi="宋体" w:eastAsia="宋体" w:cs="宋体"/>
          <w:color w:val="auto"/>
          <w:sz w:val="21"/>
          <w:szCs w:val="21"/>
          <w:highlight w:val="none"/>
        </w:rPr>
        <w:t>项下填写。</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1"/>
        <w:keepNext w:val="0"/>
        <w:keepLines w:val="0"/>
        <w:widowControl/>
        <w:suppressLineNumbers w:val="0"/>
        <w:spacing w:before="0" w:beforeAutospacing="0" w:after="240" w:afterAutospacing="0"/>
        <w:ind w:left="0" w:right="0"/>
        <w:rPr>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rPr>
        <w:br w:type="textWrapping"/>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jc w:val="center"/>
        <w:rPr>
          <w:color w:val="auto"/>
          <w:highlight w:val="none"/>
        </w:rPr>
      </w:pPr>
      <w:r>
        <w:rPr>
          <w:rFonts w:hint="default" w:ascii="Calibri" w:hAnsi="Calibri" w:cs="Calibri"/>
          <w:color w:val="auto"/>
          <w:sz w:val="21"/>
          <w:szCs w:val="21"/>
          <w:highlight w:val="none"/>
        </w:rPr>
        <w:br w:type="textWrapping"/>
      </w:r>
      <w:r>
        <w:rPr>
          <w:rStyle w:val="13"/>
          <w:rFonts w:hint="eastAsia" w:ascii="宋体" w:hAnsi="宋体" w:eastAsia="宋体" w:cs="宋体"/>
          <w:b/>
          <w:bCs/>
          <w:color w:val="auto"/>
          <w:sz w:val="21"/>
          <w:szCs w:val="21"/>
          <w:highlight w:val="none"/>
        </w:rPr>
        <w:t>三、招标文件规定的价格扣除证明材料（若有） </w:t>
      </w:r>
    </w:p>
    <w:p>
      <w:pPr>
        <w:pStyle w:val="11"/>
        <w:keepNext w:val="0"/>
        <w:keepLines w:val="0"/>
        <w:widowControl/>
        <w:suppressLineNumbers w:val="0"/>
        <w:spacing w:before="0" w:beforeAutospacing="0" w:after="150" w:afterAutospacing="0"/>
        <w:ind w:left="0" w:right="0"/>
        <w:jc w:val="center"/>
        <w:rPr>
          <w:color w:val="auto"/>
          <w:highlight w:val="none"/>
        </w:rPr>
      </w:pPr>
      <w:r>
        <w:rPr>
          <w:rStyle w:val="13"/>
          <w:rFonts w:hint="eastAsia" w:ascii="宋体" w:hAnsi="宋体" w:eastAsia="宋体" w:cs="宋体"/>
          <w:b/>
          <w:bCs/>
          <w:color w:val="auto"/>
          <w:sz w:val="21"/>
          <w:szCs w:val="21"/>
          <w:highlight w:val="none"/>
        </w:rPr>
        <w:t>三-1优先类节能产品、环境标志产品价格扣除证明材料（若有） </w:t>
      </w:r>
    </w:p>
    <w:p>
      <w:pPr>
        <w:pStyle w:val="11"/>
        <w:keepNext w:val="0"/>
        <w:keepLines w:val="0"/>
        <w:widowControl/>
        <w:suppressLineNumbers w:val="0"/>
        <w:spacing w:before="0" w:beforeAutospacing="0" w:after="150" w:afterAutospacing="0"/>
        <w:ind w:left="0" w:right="0"/>
        <w:jc w:val="center"/>
        <w:rPr>
          <w:color w:val="auto"/>
          <w:highlight w:val="none"/>
        </w:rPr>
      </w:pPr>
      <w:r>
        <w:rPr>
          <w:rStyle w:val="13"/>
          <w:rFonts w:hint="eastAsia" w:ascii="宋体" w:hAnsi="宋体" w:eastAsia="宋体" w:cs="宋体"/>
          <w:b/>
          <w:bCs/>
          <w:color w:val="auto"/>
          <w:sz w:val="21"/>
          <w:szCs w:val="21"/>
          <w:highlight w:val="none"/>
        </w:rPr>
        <w:t>三-1-①优先类节能产品、环境标志产品统计表（价格扣除适用，若有）</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w:t>
      </w:r>
    </w:p>
    <w:p>
      <w:pPr>
        <w:pStyle w:val="11"/>
        <w:keepNext w:val="0"/>
        <w:keepLines w:val="0"/>
        <w:widowControl/>
        <w:suppressLineNumbers w:val="0"/>
        <w:spacing w:before="0" w:beforeAutospacing="0" w:after="150" w:afterAutospacing="0"/>
        <w:ind w:left="0" w:right="0"/>
        <w:jc w:val="right"/>
        <w:rPr>
          <w:color w:val="auto"/>
          <w:highlight w:val="none"/>
        </w:rPr>
      </w:pPr>
      <w:r>
        <w:rPr>
          <w:rFonts w:hint="eastAsia" w:ascii="宋体" w:hAnsi="宋体" w:eastAsia="宋体" w:cs="宋体"/>
          <w:color w:val="auto"/>
          <w:sz w:val="21"/>
          <w:szCs w:val="21"/>
          <w:highlight w:val="none"/>
        </w:rPr>
        <w:t>货币及单位：人民币元</w:t>
      </w:r>
    </w:p>
    <w:tbl>
      <w:tblPr>
        <w:tblStyle w:val="1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215"/>
        <w:gridCol w:w="1215"/>
        <w:gridCol w:w="1215"/>
        <w:gridCol w:w="1215"/>
        <w:gridCol w:w="1215"/>
        <w:gridCol w:w="1215"/>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7305" w:type="dxa"/>
            <w:gridSpan w:val="6"/>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本采购包内属于节能、环境标志产品的情况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1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采购包</w:t>
            </w:r>
          </w:p>
        </w:tc>
        <w:tc>
          <w:tcPr>
            <w:tcW w:w="121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品目号</w:t>
            </w:r>
          </w:p>
        </w:tc>
        <w:tc>
          <w:tcPr>
            <w:tcW w:w="121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货物名称</w:t>
            </w:r>
          </w:p>
        </w:tc>
        <w:tc>
          <w:tcPr>
            <w:tcW w:w="121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单价</w:t>
            </w:r>
          </w:p>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（现场）</w:t>
            </w:r>
          </w:p>
        </w:tc>
        <w:tc>
          <w:tcPr>
            <w:tcW w:w="121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数量</w:t>
            </w:r>
          </w:p>
        </w:tc>
        <w:tc>
          <w:tcPr>
            <w:tcW w:w="121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总价</w:t>
            </w:r>
          </w:p>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（现场）</w:t>
            </w:r>
          </w:p>
        </w:tc>
        <w:tc>
          <w:tcPr>
            <w:tcW w:w="1230"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15" w:type="dxa"/>
            <w:vMerge w:val="restart"/>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w:t>
            </w:r>
          </w:p>
        </w:tc>
        <w:tc>
          <w:tcPr>
            <w:tcW w:w="121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*-1</w:t>
            </w: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230"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15" w:type="dxa"/>
            <w:vMerge w:val="continue"/>
            <w:shd w:val="clear" w:color="auto" w:fill="auto"/>
            <w:tcMar>
              <w:top w:w="0" w:type="dxa"/>
              <w:left w:w="105" w:type="dxa"/>
              <w:bottom w:w="0" w:type="dxa"/>
              <w:right w:w="105" w:type="dxa"/>
            </w:tcMar>
            <w:vAlign w:val="center"/>
          </w:tcPr>
          <w:p>
            <w:pPr>
              <w:rPr>
                <w:rFonts w:hint="eastAsia" w:ascii="宋体"/>
                <w:color w:val="auto"/>
                <w:sz w:val="24"/>
                <w:szCs w:val="24"/>
                <w:highlight w:val="none"/>
              </w:rPr>
            </w:pPr>
          </w:p>
        </w:tc>
        <w:tc>
          <w:tcPr>
            <w:tcW w:w="121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default" w:ascii="Calibri" w:hAnsi="Calibri" w:cs="Calibri"/>
                <w:color w:val="auto"/>
                <w:sz w:val="21"/>
                <w:szCs w:val="21"/>
                <w:highlight w:val="none"/>
              </w:rPr>
              <w:t>…</w:t>
            </w: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230"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1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备注</w:t>
            </w:r>
          </w:p>
        </w:tc>
        <w:tc>
          <w:tcPr>
            <w:tcW w:w="7305" w:type="dxa"/>
            <w:gridSpan w:val="6"/>
            <w:shd w:val="clear" w:color="auto" w:fill="auto"/>
            <w:tcMar>
              <w:top w:w="0" w:type="dxa"/>
              <w:left w:w="105" w:type="dxa"/>
              <w:bottom w:w="0" w:type="dxa"/>
              <w:right w:w="105" w:type="dxa"/>
            </w:tcMar>
            <w:vAlign w:val="top"/>
          </w:tcPr>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a.采购包内属于节能、环境标志产品的报价总金额：</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b.采购包投标总价（报价总金额）：</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c.“采购包内属于节能、环境标志产品的报价总金额”占“采购包投标总价（报价总金额）”的比例（以</w:t>
            </w:r>
            <w:r>
              <w:rPr>
                <w:rFonts w:hint="default" w:ascii="Calibri" w:hAnsi="Calibri" w:eastAsia="宋体" w:cs="Calibri"/>
                <w:color w:val="auto"/>
                <w:sz w:val="21"/>
                <w:szCs w:val="21"/>
                <w:highlight w:val="none"/>
              </w:rPr>
              <w:t>%</w:t>
            </w:r>
            <w:r>
              <w:rPr>
                <w:rFonts w:hint="eastAsia" w:ascii="宋体" w:hAnsi="宋体" w:eastAsia="宋体" w:cs="宋体"/>
                <w:color w:val="auto"/>
                <w:sz w:val="21"/>
                <w:szCs w:val="21"/>
                <w:highlight w:val="none"/>
              </w:rPr>
              <w:t>列示）：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tc>
      </w:tr>
    </w:tbl>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※注意：</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1、对节能、环境标志产品计算价格扣除时，只依据电子投标文件</w:t>
      </w:r>
      <w:r>
        <w:rPr>
          <w:rStyle w:val="13"/>
          <w:rFonts w:hint="eastAsia" w:ascii="宋体" w:hAnsi="宋体" w:eastAsia="宋体" w:cs="宋体"/>
          <w:b/>
          <w:bCs/>
          <w:color w:val="auto"/>
          <w:sz w:val="21"/>
          <w:szCs w:val="21"/>
          <w:highlight w:val="none"/>
        </w:rPr>
        <w:t>“三</w:t>
      </w:r>
      <w:r>
        <w:rPr>
          <w:rStyle w:val="13"/>
          <w:rFonts w:hint="default" w:ascii="Calibri" w:hAnsi="Calibri" w:eastAsia="宋体" w:cs="Calibri"/>
          <w:b/>
          <w:bCs/>
          <w:color w:val="auto"/>
          <w:sz w:val="21"/>
          <w:szCs w:val="21"/>
          <w:highlight w:val="none"/>
        </w:rPr>
        <w:t>-1-</w:t>
      </w:r>
      <w:r>
        <w:rPr>
          <w:rStyle w:val="13"/>
          <w:rFonts w:hint="eastAsia" w:ascii="宋体" w:hAnsi="宋体" w:eastAsia="宋体" w:cs="宋体"/>
          <w:b/>
          <w:bCs/>
          <w:color w:val="auto"/>
          <w:sz w:val="21"/>
          <w:szCs w:val="21"/>
          <w:highlight w:val="none"/>
        </w:rPr>
        <w:t>②优先类节能产品、环境标志产品证明材料（价格扣除适用，若有）”。</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2、本表以采购包为单位，不同采购包请分别填写；同一采购包请按照其品目号顺序分别填写。</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3、具体统计、计算：</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3.1若节能、环境标志产品仅是构成投标产品的部件、组件或零件，则该投标产品不享受鼓励优惠政策。同一品目中各认证证书不重复计算价格扣除。强制类节能产品不享受价格扣除。</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3.2计算结果若除不尽，可四舍五入保留到小数点后两位。</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3.3投标人应按照招标文件要求认真统计、计算，否则评标委员会不予认定。</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3.4若无节能、环境标志产品，不填写本表，否则，</w:t>
      </w:r>
      <w:r>
        <w:rPr>
          <w:rStyle w:val="13"/>
          <w:rFonts w:hint="eastAsia" w:ascii="宋体" w:hAnsi="宋体" w:eastAsia="宋体" w:cs="宋体"/>
          <w:b/>
          <w:bCs/>
          <w:color w:val="auto"/>
          <w:sz w:val="21"/>
          <w:szCs w:val="21"/>
          <w:highlight w:val="none"/>
        </w:rPr>
        <w:t>视为提供虚假材料。</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1"/>
        <w:keepNext w:val="0"/>
        <w:keepLines w:val="0"/>
        <w:widowControl/>
        <w:suppressLineNumbers w:val="0"/>
        <w:spacing w:before="0" w:beforeAutospacing="0" w:after="150" w:afterAutospacing="0"/>
        <w:ind w:left="0" w:right="0"/>
        <w:jc w:val="center"/>
        <w:rPr>
          <w:color w:val="auto"/>
          <w:highlight w:val="none"/>
        </w:rPr>
      </w:pPr>
      <w:r>
        <w:rPr>
          <w:rStyle w:val="13"/>
          <w:rFonts w:hint="eastAsia" w:ascii="宋体" w:hAnsi="宋体" w:eastAsia="宋体" w:cs="宋体"/>
          <w:b/>
          <w:bCs/>
          <w:color w:val="auto"/>
          <w:sz w:val="21"/>
          <w:szCs w:val="21"/>
          <w:highlight w:val="none"/>
        </w:rPr>
        <w:t>三-1-②优先类节能产品、环境标志产品证明材料（价格扣除适用，若有）</w:t>
      </w:r>
    </w:p>
    <w:p>
      <w:pPr>
        <w:pStyle w:val="11"/>
        <w:keepNext w:val="0"/>
        <w:keepLines w:val="0"/>
        <w:widowControl/>
        <w:suppressLineNumbers w:val="0"/>
        <w:spacing w:before="0" w:beforeAutospacing="0" w:after="150" w:afterAutospacing="0"/>
        <w:ind w:left="0" w:right="0"/>
        <w:jc w:val="center"/>
        <w:rPr>
          <w:color w:val="auto"/>
          <w:highlight w:val="none"/>
        </w:rPr>
      </w:pPr>
      <w:r>
        <w:rPr>
          <w:rStyle w:val="13"/>
          <w:rFonts w:hint="eastAsia" w:ascii="宋体" w:hAnsi="宋体" w:eastAsia="宋体" w:cs="宋体"/>
          <w:b/>
          <w:bCs/>
          <w:color w:val="auto"/>
          <w:sz w:val="21"/>
          <w:szCs w:val="21"/>
          <w:highlight w:val="none"/>
        </w:rPr>
        <w:t>三-2小型、微型企业产品等价格扣除证明材料（若有）</w:t>
      </w:r>
    </w:p>
    <w:p>
      <w:pPr>
        <w:pStyle w:val="11"/>
        <w:keepNext w:val="0"/>
        <w:keepLines w:val="0"/>
        <w:widowControl/>
        <w:suppressLineNumbers w:val="0"/>
        <w:spacing w:before="0" w:beforeAutospacing="0" w:after="150" w:afterAutospacing="0"/>
        <w:ind w:left="0" w:right="0"/>
        <w:jc w:val="center"/>
        <w:rPr>
          <w:color w:val="auto"/>
          <w:highlight w:val="none"/>
        </w:rPr>
      </w:pPr>
      <w:r>
        <w:rPr>
          <w:rStyle w:val="13"/>
          <w:rFonts w:hint="eastAsia" w:ascii="宋体" w:hAnsi="宋体" w:eastAsia="宋体" w:cs="宋体"/>
          <w:b/>
          <w:bCs/>
          <w:color w:val="auto"/>
          <w:sz w:val="21"/>
          <w:szCs w:val="21"/>
          <w:highlight w:val="none"/>
        </w:rPr>
        <w:t>三-2-①中小企业声明函（价格扣除适用，若有）</w:t>
      </w:r>
    </w:p>
    <w:p>
      <w:pPr>
        <w:pStyle w:val="11"/>
        <w:keepNext w:val="0"/>
        <w:keepLines w:val="0"/>
        <w:widowControl/>
        <w:suppressLineNumbers w:val="0"/>
        <w:spacing w:before="0" w:beforeAutospacing="0" w:after="150" w:afterAutospacing="0"/>
        <w:ind w:left="0" w:right="0"/>
        <w:rPr>
          <w:color w:val="auto"/>
          <w:highlight w:val="none"/>
        </w:rPr>
      </w:pPr>
    </w:p>
    <w:p>
      <w:pPr>
        <w:pStyle w:val="8"/>
        <w:keepNext w:val="0"/>
        <w:keepLines w:val="0"/>
        <w:widowControl/>
        <w:suppressLineNumbers w:val="0"/>
        <w:spacing w:before="150" w:beforeAutospacing="0" w:after="150" w:afterAutospacing="0" w:line="17" w:lineRule="atLeast"/>
        <w:jc w:val="center"/>
        <w:rPr>
          <w:rFonts w:hint="default" w:ascii="Helvetica" w:hAnsi="Helvetica" w:eastAsia="Helvetica" w:cs="Helvetica"/>
          <w:b w:val="0"/>
          <w:bCs w:val="0"/>
          <w:color w:val="auto"/>
          <w:sz w:val="19"/>
          <w:szCs w:val="19"/>
          <w:highlight w:val="none"/>
        </w:rPr>
      </w:pPr>
      <w:r>
        <w:rPr>
          <w:rStyle w:val="13"/>
          <w:rFonts w:hint="eastAsia" w:ascii="宋体" w:hAnsi="宋体" w:eastAsia="宋体" w:cs="宋体"/>
          <w:b/>
          <w:bCs/>
          <w:color w:val="auto"/>
          <w:sz w:val="24"/>
          <w:szCs w:val="24"/>
          <w:highlight w:val="none"/>
        </w:rPr>
        <w:t>中小企业声明函（货物）</w:t>
      </w:r>
    </w:p>
    <w:p>
      <w:pPr>
        <w:pStyle w:val="11"/>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z w:val="21"/>
          <w:szCs w:val="21"/>
          <w:highlight w:val="none"/>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pStyle w:val="11"/>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z w:val="21"/>
          <w:szCs w:val="21"/>
          <w:highlight w:val="none"/>
        </w:rPr>
        <w:t>1. </w:t>
      </w:r>
      <w:r>
        <w:rPr>
          <w:rFonts w:hint="eastAsia" w:ascii="宋体" w:hAnsi="宋体" w:eastAsia="宋体" w:cs="宋体"/>
          <w:color w:val="auto"/>
          <w:sz w:val="21"/>
          <w:szCs w:val="21"/>
          <w:highlight w:val="none"/>
          <w:u w:val="single"/>
        </w:rPr>
        <w:t> （标的名称）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行业；制造商为（企业名称），从业人员</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pPr>
        <w:pStyle w:val="11"/>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z w:val="21"/>
          <w:szCs w:val="21"/>
          <w:highlight w:val="none"/>
        </w:rPr>
        <w:t>2. </w:t>
      </w:r>
      <w:r>
        <w:rPr>
          <w:rFonts w:hint="eastAsia" w:ascii="宋体" w:hAnsi="宋体" w:eastAsia="宋体" w:cs="宋体"/>
          <w:color w:val="auto"/>
          <w:sz w:val="21"/>
          <w:szCs w:val="21"/>
          <w:highlight w:val="none"/>
          <w:u w:val="single"/>
        </w:rPr>
        <w:t> （标的名称） </w:t>
      </w:r>
      <w:r>
        <w:rPr>
          <w:rFonts w:hint="eastAsia" w:ascii="宋体" w:hAnsi="宋体" w:eastAsia="宋体" w:cs="宋体"/>
          <w:color w:val="auto"/>
          <w:sz w:val="21"/>
          <w:szCs w:val="21"/>
          <w:highlight w:val="none"/>
        </w:rPr>
        <w:t>， 属于</w:t>
      </w:r>
      <w:r>
        <w:rPr>
          <w:rFonts w:hint="eastAsia" w:ascii="宋体" w:hAnsi="宋体" w:eastAsia="宋体" w:cs="宋体"/>
          <w:color w:val="auto"/>
          <w:sz w:val="21"/>
          <w:szCs w:val="21"/>
          <w:highlight w:val="none"/>
          <w:u w:val="single"/>
        </w:rPr>
        <w:t> （采购文件中明确的所属行业 ）</w:t>
      </w:r>
      <w:r>
        <w:rPr>
          <w:rFonts w:hint="eastAsia" w:ascii="宋体" w:hAnsi="宋体" w:eastAsia="宋体" w:cs="宋体"/>
          <w:color w:val="auto"/>
          <w:sz w:val="21"/>
          <w:szCs w:val="21"/>
          <w:highlight w:val="none"/>
        </w:rPr>
        <w:t>行业；制造商为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pPr>
        <w:pStyle w:val="11"/>
        <w:keepNext w:val="0"/>
        <w:keepLines w:val="0"/>
        <w:widowControl/>
        <w:suppressLineNumbers w:val="0"/>
        <w:spacing w:before="75" w:beforeAutospacing="0" w:after="75" w:afterAutospacing="0"/>
        <w:ind w:left="0" w:right="0" w:firstLine="420"/>
        <w:rPr>
          <w:color w:val="auto"/>
          <w:highlight w:val="none"/>
        </w:rPr>
      </w:pPr>
      <w:r>
        <w:rPr>
          <w:rFonts w:hint="default" w:ascii="Calibri" w:hAnsi="Calibri" w:cs="Calibri"/>
          <w:color w:val="auto"/>
          <w:sz w:val="24"/>
          <w:szCs w:val="24"/>
          <w:highlight w:val="none"/>
        </w:rPr>
        <w:t>  </w:t>
      </w:r>
    </w:p>
    <w:p>
      <w:pPr>
        <w:pStyle w:val="11"/>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z w:val="21"/>
          <w:szCs w:val="21"/>
          <w:highlight w:val="none"/>
        </w:rPr>
        <w:t>……</w:t>
      </w:r>
    </w:p>
    <w:p>
      <w:pPr>
        <w:pStyle w:val="11"/>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pPr>
        <w:pStyle w:val="11"/>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pPr>
        <w:pStyle w:val="11"/>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z w:val="21"/>
          <w:szCs w:val="21"/>
          <w:highlight w:val="none"/>
        </w:rPr>
        <w:t>                                                                               企业名称（盖章）：                          日期：</w:t>
      </w:r>
    </w:p>
    <w:p>
      <w:pPr>
        <w:pStyle w:val="11"/>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75" w:beforeAutospacing="0" w:after="75" w:afterAutospacing="0"/>
        <w:ind w:left="0" w:right="0" w:firstLine="420"/>
        <w:rPr>
          <w:color w:val="auto"/>
          <w:highlight w:val="none"/>
        </w:rPr>
      </w:pPr>
      <w:r>
        <w:rPr>
          <w:rStyle w:val="13"/>
          <w:rFonts w:hint="eastAsia" w:ascii="宋体" w:hAnsi="宋体" w:eastAsia="宋体" w:cs="宋体"/>
          <w:b/>
          <w:bCs/>
          <w:color w:val="auto"/>
          <w:sz w:val="21"/>
          <w:szCs w:val="21"/>
          <w:highlight w:val="none"/>
        </w:rPr>
        <w:t>1、从业人员、营业收入、资产总额填报上一年度数据，无上一年度数据的新成立企业可不填报。</w:t>
      </w:r>
    </w:p>
    <w:p>
      <w:pPr>
        <w:pStyle w:val="11"/>
        <w:keepNext w:val="0"/>
        <w:keepLines w:val="0"/>
        <w:widowControl/>
        <w:suppressLineNumbers w:val="0"/>
        <w:spacing w:before="75" w:beforeAutospacing="0" w:after="75" w:afterAutospacing="0"/>
        <w:ind w:left="0" w:right="0" w:firstLine="420"/>
        <w:rPr>
          <w:color w:val="auto"/>
          <w:highlight w:val="none"/>
        </w:rPr>
      </w:pPr>
      <w:r>
        <w:rPr>
          <w:rStyle w:val="13"/>
          <w:rFonts w:hint="eastAsia" w:ascii="宋体" w:hAnsi="宋体" w:eastAsia="宋体" w:cs="宋体"/>
          <w:b/>
          <w:bCs/>
          <w:color w:val="auto"/>
          <w:sz w:val="21"/>
          <w:szCs w:val="21"/>
          <w:highlight w:val="none"/>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1"/>
        <w:keepNext w:val="0"/>
        <w:keepLines w:val="0"/>
        <w:widowControl/>
        <w:suppressLineNumbers w:val="0"/>
        <w:spacing w:before="75" w:beforeAutospacing="0" w:after="75" w:afterAutospacing="0"/>
        <w:ind w:left="0" w:right="0" w:firstLine="420"/>
        <w:rPr>
          <w:color w:val="auto"/>
          <w:highlight w:val="none"/>
        </w:rPr>
      </w:pPr>
      <w:r>
        <w:rPr>
          <w:rStyle w:val="13"/>
          <w:rFonts w:hint="eastAsia" w:ascii="宋体" w:hAnsi="宋体" w:eastAsia="宋体" w:cs="宋体"/>
          <w:b/>
          <w:bCs/>
          <w:color w:val="auto"/>
          <w:sz w:val="21"/>
          <w:szCs w:val="21"/>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rPr>
          <w:rStyle w:val="13"/>
          <w:rFonts w:hint="eastAsia" w:ascii="宋体" w:hAnsi="宋体" w:eastAsia="宋体" w:cs="宋体"/>
          <w:b/>
          <w:bCs/>
          <w:color w:val="auto"/>
          <w:sz w:val="24"/>
          <w:szCs w:val="24"/>
          <w:highlight w:val="none"/>
        </w:rPr>
      </w:pPr>
      <w:r>
        <w:rPr>
          <w:rStyle w:val="13"/>
          <w:rFonts w:hint="eastAsia" w:ascii="宋体" w:hAnsi="宋体" w:eastAsia="宋体" w:cs="宋体"/>
          <w:b/>
          <w:bCs/>
          <w:color w:val="auto"/>
          <w:sz w:val="24"/>
          <w:szCs w:val="24"/>
          <w:highlight w:val="none"/>
        </w:rPr>
        <w:br w:type="page"/>
      </w:r>
    </w:p>
    <w:p>
      <w:pPr>
        <w:pStyle w:val="8"/>
        <w:keepNext w:val="0"/>
        <w:keepLines w:val="0"/>
        <w:widowControl/>
        <w:suppressLineNumbers w:val="0"/>
        <w:spacing w:before="150" w:beforeAutospacing="0" w:after="150" w:afterAutospacing="0" w:line="17" w:lineRule="atLeast"/>
        <w:jc w:val="center"/>
        <w:rPr>
          <w:rFonts w:hint="default" w:ascii="Helvetica" w:hAnsi="Helvetica" w:eastAsia="Helvetica" w:cs="Helvetica"/>
          <w:b w:val="0"/>
          <w:bCs w:val="0"/>
          <w:color w:val="auto"/>
          <w:sz w:val="19"/>
          <w:szCs w:val="19"/>
          <w:highlight w:val="none"/>
        </w:rPr>
      </w:pPr>
      <w:r>
        <w:rPr>
          <w:rStyle w:val="13"/>
          <w:rFonts w:hint="eastAsia" w:ascii="宋体" w:hAnsi="宋体" w:eastAsia="宋体" w:cs="宋体"/>
          <w:b/>
          <w:bCs/>
          <w:color w:val="auto"/>
          <w:sz w:val="24"/>
          <w:szCs w:val="24"/>
          <w:highlight w:val="none"/>
        </w:rPr>
        <w:t>中小企业声明函（工程、服务</w:t>
      </w:r>
      <w:r>
        <w:rPr>
          <w:rStyle w:val="13"/>
          <w:rFonts w:hint="eastAsia" w:ascii="宋体" w:hAnsi="宋体" w:eastAsia="宋体" w:cs="宋体"/>
          <w:b/>
          <w:bCs/>
          <w:color w:val="auto"/>
          <w:sz w:val="21"/>
          <w:szCs w:val="21"/>
          <w:highlight w:val="none"/>
        </w:rPr>
        <w:t>）</w:t>
      </w:r>
    </w:p>
    <w:p>
      <w:pPr>
        <w:pStyle w:val="11"/>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z w:val="21"/>
          <w:szCs w:val="21"/>
          <w:highlight w:val="none"/>
        </w:rPr>
        <w:t>    本公司（联合体）郑重声明，根据《政府采购促进中小企业发展管理办法》（财库﹝2020﹞46 号）的规定，本公司（联合体）参加</w:t>
      </w:r>
      <w:r>
        <w:rPr>
          <w:rFonts w:hint="eastAsia" w:ascii="宋体" w:hAnsi="宋体" w:eastAsia="宋体" w:cs="宋体"/>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11"/>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 （标的名称）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；承建（承接）企业为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pPr>
        <w:pStyle w:val="11"/>
        <w:keepNext w:val="0"/>
        <w:keepLines w:val="0"/>
        <w:widowControl/>
        <w:suppressLineNumbers w:val="0"/>
        <w:spacing w:before="75" w:beforeAutospacing="0" w:after="75" w:afterAutospacing="0"/>
        <w:ind w:left="0" w:right="0"/>
        <w:rPr>
          <w:color w:val="auto"/>
          <w:highlight w:val="none"/>
        </w:rPr>
      </w:pPr>
      <w:r>
        <w:rPr>
          <w:rFonts w:hint="eastAsia" w:ascii="宋体" w:hAnsi="宋体" w:eastAsia="宋体" w:cs="宋体"/>
          <w:color w:val="auto"/>
          <w:sz w:val="21"/>
          <w:szCs w:val="21"/>
          <w:highlight w:val="none"/>
        </w:rPr>
        <w:t> 　2.</w:t>
      </w:r>
      <w:r>
        <w:rPr>
          <w:rFonts w:hint="eastAsia" w:ascii="宋体" w:hAnsi="宋体" w:eastAsia="宋体" w:cs="宋体"/>
          <w:color w:val="auto"/>
          <w:sz w:val="21"/>
          <w:szCs w:val="21"/>
          <w:highlight w:val="none"/>
          <w:u w:val="single"/>
        </w:rPr>
        <w:t> （标的名称）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；承建（承接）企业为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w:t>
      </w:r>
    </w:p>
    <w:p>
      <w:pPr>
        <w:pStyle w:val="11"/>
        <w:keepNext w:val="0"/>
        <w:keepLines w:val="0"/>
        <w:widowControl/>
        <w:suppressLineNumbers w:val="0"/>
        <w:spacing w:before="75" w:beforeAutospacing="0" w:after="75"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75" w:beforeAutospacing="0" w:after="75" w:afterAutospacing="0"/>
        <w:ind w:left="0" w:right="0"/>
        <w:rPr>
          <w:color w:val="auto"/>
          <w:highlight w:val="none"/>
        </w:rPr>
      </w:pPr>
      <w:r>
        <w:rPr>
          <w:rFonts w:hint="eastAsia" w:ascii="宋体" w:hAnsi="宋体" w:eastAsia="宋体" w:cs="宋体"/>
          <w:color w:val="auto"/>
          <w:sz w:val="21"/>
          <w:szCs w:val="21"/>
          <w:highlight w:val="none"/>
        </w:rPr>
        <w:t>……</w:t>
      </w:r>
    </w:p>
    <w:p>
      <w:pPr>
        <w:pStyle w:val="11"/>
        <w:keepNext w:val="0"/>
        <w:keepLines w:val="0"/>
        <w:widowControl/>
        <w:suppressLineNumbers w:val="0"/>
        <w:spacing w:before="75" w:beforeAutospacing="0" w:after="75"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75" w:beforeAutospacing="0" w:after="75" w:afterAutospacing="0"/>
        <w:ind w:left="0" w:right="0"/>
        <w:rPr>
          <w:color w:val="auto"/>
          <w:highlight w:val="none"/>
        </w:rPr>
      </w:pPr>
      <w:r>
        <w:rPr>
          <w:rFonts w:hint="eastAsia" w:ascii="宋体" w:hAnsi="宋体" w:eastAsia="宋体" w:cs="宋体"/>
          <w:color w:val="auto"/>
          <w:sz w:val="21"/>
          <w:szCs w:val="21"/>
          <w:highlight w:val="none"/>
        </w:rPr>
        <w:t>   以上企业，不属于大企业的分支机构，不存在控股股东为大企业的情形，也不存在与大企业的负责人为同一人的情形。</w:t>
      </w:r>
    </w:p>
    <w:p>
      <w:pPr>
        <w:pStyle w:val="11"/>
        <w:keepNext w:val="0"/>
        <w:keepLines w:val="0"/>
        <w:widowControl/>
        <w:suppressLineNumbers w:val="0"/>
        <w:spacing w:before="75" w:beforeAutospacing="0" w:after="75"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75" w:beforeAutospacing="0" w:after="75" w:afterAutospacing="0"/>
        <w:ind w:left="0" w:right="0"/>
        <w:rPr>
          <w:color w:val="auto"/>
          <w:highlight w:val="none"/>
        </w:rPr>
      </w:pPr>
      <w:r>
        <w:rPr>
          <w:rFonts w:hint="eastAsia" w:ascii="宋体" w:hAnsi="宋体" w:eastAsia="宋体" w:cs="宋体"/>
          <w:color w:val="auto"/>
          <w:sz w:val="21"/>
          <w:szCs w:val="21"/>
          <w:highlight w:val="none"/>
        </w:rPr>
        <w:t>   本企业对上述声明内容的真实性负责。如有虚假，将依法承担相应责任。</w:t>
      </w:r>
    </w:p>
    <w:p>
      <w:pPr>
        <w:pStyle w:val="11"/>
        <w:keepNext w:val="0"/>
        <w:keepLines w:val="0"/>
        <w:widowControl/>
        <w:suppressLineNumbers w:val="0"/>
        <w:spacing w:before="75" w:beforeAutospacing="0" w:after="75"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75" w:beforeAutospacing="0" w:after="75" w:afterAutospacing="0"/>
        <w:ind w:left="0" w:right="0"/>
        <w:rPr>
          <w:color w:val="auto"/>
          <w:highlight w:val="none"/>
        </w:rPr>
      </w:pPr>
      <w:r>
        <w:rPr>
          <w:rFonts w:hint="eastAsia" w:ascii="宋体" w:hAnsi="宋体" w:eastAsia="宋体" w:cs="宋体"/>
          <w:color w:val="auto"/>
          <w:sz w:val="21"/>
          <w:szCs w:val="21"/>
          <w:highlight w:val="none"/>
        </w:rPr>
        <w:t>                                                         　　　　　　　　　　　　　　　　　　　　企业名称（盖章）：   </w:t>
      </w:r>
    </w:p>
    <w:p>
      <w:pPr>
        <w:pStyle w:val="11"/>
        <w:keepNext w:val="0"/>
        <w:keepLines w:val="0"/>
        <w:widowControl/>
        <w:suppressLineNumbers w:val="0"/>
        <w:spacing w:before="75" w:beforeAutospacing="0" w:after="75" w:afterAutospacing="0"/>
        <w:ind w:left="0" w:right="0"/>
        <w:rPr>
          <w:color w:val="auto"/>
          <w:highlight w:val="none"/>
        </w:rPr>
      </w:pPr>
      <w:r>
        <w:rPr>
          <w:rFonts w:hint="eastAsia" w:ascii="宋体" w:hAnsi="宋体" w:eastAsia="宋体" w:cs="宋体"/>
          <w:color w:val="auto"/>
          <w:sz w:val="21"/>
          <w:szCs w:val="21"/>
          <w:highlight w:val="none"/>
        </w:rPr>
        <w:t>                            日期：</w:t>
      </w:r>
    </w:p>
    <w:p>
      <w:pPr>
        <w:pStyle w:val="11"/>
        <w:keepNext w:val="0"/>
        <w:keepLines w:val="0"/>
        <w:widowControl/>
        <w:suppressLineNumbers w:val="0"/>
        <w:spacing w:before="75" w:beforeAutospacing="0" w:after="75"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75" w:beforeAutospacing="0" w:after="75" w:afterAutospacing="0"/>
        <w:ind w:left="0" w:right="0" w:firstLine="420"/>
        <w:rPr>
          <w:color w:val="auto"/>
          <w:highlight w:val="none"/>
        </w:rPr>
      </w:pPr>
      <w:r>
        <w:rPr>
          <w:rStyle w:val="13"/>
          <w:rFonts w:hint="eastAsia" w:ascii="宋体" w:hAnsi="宋体" w:eastAsia="宋体" w:cs="宋体"/>
          <w:b/>
          <w:bCs/>
          <w:color w:val="auto"/>
          <w:sz w:val="21"/>
          <w:szCs w:val="21"/>
          <w:highlight w:val="none"/>
        </w:rPr>
        <w:t>1、从业人员、营业收入、资产总额填报上一年度数据，无上一年度数据的新成立企业可不填报。</w:t>
      </w:r>
    </w:p>
    <w:p>
      <w:pPr>
        <w:pStyle w:val="11"/>
        <w:keepNext w:val="0"/>
        <w:keepLines w:val="0"/>
        <w:widowControl/>
        <w:suppressLineNumbers w:val="0"/>
        <w:spacing w:before="75" w:beforeAutospacing="0" w:after="75" w:afterAutospacing="0"/>
        <w:ind w:left="0" w:right="0" w:firstLine="420"/>
        <w:rPr>
          <w:color w:val="auto"/>
          <w:highlight w:val="none"/>
        </w:rPr>
      </w:pPr>
      <w:r>
        <w:rPr>
          <w:rStyle w:val="13"/>
          <w:rFonts w:hint="eastAsia" w:ascii="宋体" w:hAnsi="宋体" w:eastAsia="宋体" w:cs="宋体"/>
          <w:b/>
          <w:bCs/>
          <w:color w:val="auto"/>
          <w:sz w:val="21"/>
          <w:szCs w:val="21"/>
          <w:highlight w:val="none"/>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1"/>
        <w:keepNext w:val="0"/>
        <w:keepLines w:val="0"/>
        <w:widowControl/>
        <w:suppressLineNumbers w:val="0"/>
        <w:spacing w:before="75" w:beforeAutospacing="0" w:after="75" w:afterAutospacing="0"/>
        <w:ind w:left="0" w:right="0" w:firstLine="420"/>
        <w:rPr>
          <w:color w:val="auto"/>
          <w:highlight w:val="none"/>
        </w:rPr>
      </w:pPr>
      <w:r>
        <w:rPr>
          <w:rStyle w:val="13"/>
          <w:rFonts w:hint="eastAsia" w:ascii="宋体" w:hAnsi="宋体" w:eastAsia="宋体" w:cs="宋体"/>
          <w:b/>
          <w:bCs/>
          <w:color w:val="auto"/>
          <w:sz w:val="21"/>
          <w:szCs w:val="21"/>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1"/>
        <w:keepNext w:val="0"/>
        <w:keepLines w:val="0"/>
        <w:widowControl/>
        <w:suppressLineNumbers w:val="0"/>
        <w:spacing w:before="0" w:beforeAutospacing="0" w:after="150" w:afterAutospacing="0"/>
        <w:ind w:left="0" w:right="0"/>
        <w:jc w:val="center"/>
        <w:rPr>
          <w:color w:val="auto"/>
          <w:highlight w:val="none"/>
        </w:rPr>
      </w:pPr>
      <w:r>
        <w:rPr>
          <w:rStyle w:val="13"/>
          <w:rFonts w:hint="eastAsia" w:ascii="宋体" w:hAnsi="宋体" w:eastAsia="宋体" w:cs="宋体"/>
          <w:b/>
          <w:bCs/>
          <w:color w:val="auto"/>
          <w:sz w:val="21"/>
          <w:szCs w:val="21"/>
          <w:highlight w:val="none"/>
        </w:rPr>
        <w:t> </w:t>
      </w:r>
    </w:p>
    <w:p>
      <w:pPr>
        <w:pStyle w:val="11"/>
        <w:keepNext w:val="0"/>
        <w:keepLines w:val="0"/>
        <w:widowControl/>
        <w:suppressLineNumbers w:val="0"/>
        <w:spacing w:before="0" w:beforeAutospacing="0" w:after="240" w:afterAutospacing="0"/>
        <w:ind w:left="0" w:right="0"/>
        <w:rPr>
          <w:color w:val="auto"/>
          <w:highlight w:val="none"/>
        </w:rPr>
      </w:pPr>
      <w:r>
        <w:rPr>
          <w:rFonts w:hint="default" w:ascii="Calibri" w:hAnsi="Calibri" w:cs="Calibri"/>
          <w:color w:val="auto"/>
          <w:sz w:val="21"/>
          <w:szCs w:val="21"/>
          <w:highlight w:val="none"/>
        </w:rPr>
        <w:br w:type="textWrapping"/>
      </w:r>
      <w:r>
        <w:rPr>
          <w:rFonts w:hint="default" w:ascii="Calibri" w:hAnsi="Calibri" w:cs="Calibri"/>
          <w:color w:val="auto"/>
          <w:sz w:val="21"/>
          <w:szCs w:val="21"/>
          <w:highlight w:val="none"/>
        </w:rPr>
        <w:br w:type="textWrapping"/>
      </w:r>
      <w:r>
        <w:rPr>
          <w:rFonts w:hint="default" w:ascii="Calibri" w:hAnsi="Calibri" w:cs="Calibri"/>
          <w:color w:val="auto"/>
          <w:sz w:val="21"/>
          <w:szCs w:val="21"/>
          <w:highlight w:val="none"/>
        </w:rPr>
        <w:br w:type="textWrapping"/>
      </w:r>
    </w:p>
    <w:p>
      <w:pPr>
        <w:rPr>
          <w:rStyle w:val="13"/>
          <w:rFonts w:hint="eastAsia" w:ascii="宋体" w:hAnsi="宋体" w:eastAsia="宋体" w:cs="宋体"/>
          <w:b/>
          <w:bCs/>
          <w:color w:val="auto"/>
          <w:sz w:val="21"/>
          <w:szCs w:val="21"/>
          <w:highlight w:val="none"/>
        </w:rPr>
      </w:pPr>
      <w:r>
        <w:rPr>
          <w:rStyle w:val="13"/>
          <w:rFonts w:hint="eastAsia" w:ascii="宋体" w:hAnsi="宋体" w:eastAsia="宋体" w:cs="宋体"/>
          <w:b/>
          <w:bCs/>
          <w:color w:val="auto"/>
          <w:sz w:val="21"/>
          <w:szCs w:val="21"/>
          <w:highlight w:val="none"/>
        </w:rPr>
        <w:br w:type="page"/>
      </w:r>
    </w:p>
    <w:p>
      <w:pPr>
        <w:pStyle w:val="11"/>
        <w:keepNext w:val="0"/>
        <w:keepLines w:val="0"/>
        <w:widowControl/>
        <w:suppressLineNumbers w:val="0"/>
        <w:spacing w:before="0" w:beforeAutospacing="0" w:after="150" w:afterAutospacing="0"/>
        <w:ind w:left="0" w:right="0"/>
        <w:jc w:val="center"/>
        <w:rPr>
          <w:color w:val="auto"/>
          <w:highlight w:val="none"/>
        </w:rPr>
      </w:pPr>
      <w:r>
        <w:rPr>
          <w:rStyle w:val="13"/>
          <w:rFonts w:hint="eastAsia" w:ascii="宋体" w:hAnsi="宋体" w:eastAsia="宋体" w:cs="宋体"/>
          <w:b/>
          <w:bCs/>
          <w:color w:val="auto"/>
          <w:sz w:val="21"/>
          <w:szCs w:val="21"/>
          <w:highlight w:val="none"/>
        </w:rPr>
        <w:t>三-2-②小型、微型企业等证明材料（价格扣除适用，若有）</w:t>
      </w:r>
    </w:p>
    <w:p>
      <w:pPr>
        <w:pStyle w:val="11"/>
        <w:keepNext w:val="0"/>
        <w:keepLines w:val="0"/>
        <w:widowControl/>
        <w:suppressLineNumbers w:val="0"/>
        <w:spacing w:before="0" w:beforeAutospacing="0" w:after="150" w:afterAutospacing="0"/>
        <w:ind w:left="0" w:right="0"/>
        <w:rPr>
          <w:color w:val="auto"/>
          <w:highlight w:val="none"/>
        </w:rPr>
      </w:pPr>
      <w:r>
        <w:rPr>
          <w:rStyle w:val="13"/>
          <w:rFonts w:hint="eastAsia" w:ascii="宋体" w:hAnsi="宋体" w:eastAsia="宋体" w:cs="宋体"/>
          <w:b/>
          <w:bCs/>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Style w:val="13"/>
          <w:rFonts w:hint="eastAsia" w:ascii="宋体" w:hAnsi="宋体" w:eastAsia="宋体" w:cs="宋体"/>
          <w:b/>
          <w:bCs/>
          <w:color w:val="auto"/>
          <w:sz w:val="21"/>
          <w:szCs w:val="21"/>
          <w:highlight w:val="none"/>
        </w:rPr>
        <w:t> </w:t>
      </w:r>
    </w:p>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编制说明</w:t>
      </w:r>
    </w:p>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1、投标人应按照招标文件要求提供相应证明材料，证明材料应与《中小企业声明函》的内容相一致，否则视为《中小企业声明函》内容不真实。</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2、投标人为监狱企业的，根据其提供的由省级以上监狱管理局、戒毒管理局（含新疆生产建设兵团）出具的属于监狱企业的证明文件进行认定，监狱企业视同小型、微型企业。</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3、投标人为残疾人福利性单位的，根据其提供的《残疾人福利性单位声明函》（格式附后）进行认定，残疾人福利性单位视同小型、微型企业。残疾人福利性单位属于小型、微型企业的，不重复享受政策。</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rFonts w:hint="default" w:ascii="Calibri" w:hAnsi="Calibri" w:cs="Calibri"/>
          <w:color w:val="auto"/>
          <w:sz w:val="21"/>
          <w:szCs w:val="21"/>
          <w:highlight w:val="none"/>
        </w:rPr>
      </w:pPr>
      <w:r>
        <w:rPr>
          <w:rFonts w:hint="default" w:ascii="Calibri" w:hAnsi="Calibri" w:cs="Calibri"/>
          <w:color w:val="auto"/>
          <w:sz w:val="21"/>
          <w:szCs w:val="21"/>
          <w:highlight w:val="none"/>
        </w:rPr>
        <w:br w:type="textWrapping"/>
      </w:r>
    </w:p>
    <w:p>
      <w:pPr>
        <w:rPr>
          <w:rFonts w:hint="default" w:ascii="Calibri" w:hAnsi="Calibri" w:cs="Calibri"/>
          <w:color w:val="auto"/>
          <w:sz w:val="21"/>
          <w:szCs w:val="21"/>
          <w:highlight w:val="none"/>
        </w:rPr>
      </w:pPr>
      <w:r>
        <w:rPr>
          <w:rFonts w:hint="default" w:ascii="Calibri" w:hAnsi="Calibri" w:cs="Calibri"/>
          <w:color w:val="auto"/>
          <w:sz w:val="21"/>
          <w:szCs w:val="21"/>
          <w:highlight w:val="none"/>
        </w:rPr>
        <w:br w:type="page"/>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附：</w:t>
      </w:r>
    </w:p>
    <w:p>
      <w:pPr>
        <w:pStyle w:val="11"/>
        <w:keepNext w:val="0"/>
        <w:keepLines w:val="0"/>
        <w:widowControl/>
        <w:suppressLineNumbers w:val="0"/>
        <w:spacing w:before="0" w:beforeAutospacing="0" w:after="150" w:afterAutospacing="0"/>
        <w:ind w:left="0" w:right="0"/>
        <w:jc w:val="center"/>
        <w:rPr>
          <w:color w:val="auto"/>
          <w:highlight w:val="none"/>
        </w:rPr>
      </w:pPr>
      <w:r>
        <w:rPr>
          <w:rStyle w:val="13"/>
          <w:rFonts w:hint="eastAsia" w:ascii="宋体" w:hAnsi="宋体" w:eastAsia="宋体" w:cs="宋体"/>
          <w:b/>
          <w:bCs/>
          <w:color w:val="auto"/>
          <w:sz w:val="21"/>
          <w:szCs w:val="21"/>
          <w:highlight w:val="none"/>
        </w:rPr>
        <w:t>残疾人福利性单位声明函（价格扣除适用，若有）</w:t>
      </w:r>
    </w:p>
    <w:p>
      <w:pPr>
        <w:pStyle w:val="11"/>
        <w:keepNext w:val="0"/>
        <w:keepLines w:val="0"/>
        <w:widowControl/>
        <w:suppressLineNumbers w:val="0"/>
        <w:spacing w:before="0" w:beforeAutospacing="0" w:after="150" w:afterAutospacing="0"/>
        <w:ind w:left="0" w:right="0"/>
        <w:rPr>
          <w:color w:val="auto"/>
          <w:highlight w:val="none"/>
        </w:rPr>
      </w:pPr>
      <w:r>
        <w:rPr>
          <w:rStyle w:val="13"/>
          <w:rFonts w:hint="eastAsia" w:ascii="宋体" w:hAnsi="宋体" w:eastAsia="宋体" w:cs="宋体"/>
          <w:b/>
          <w:bCs/>
          <w:color w:val="auto"/>
          <w:sz w:val="21"/>
          <w:szCs w:val="21"/>
          <w:highlight w:val="none"/>
        </w:rPr>
        <w:t> </w:t>
      </w:r>
    </w:p>
    <w:p>
      <w:pPr>
        <w:pStyle w:val="11"/>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z w:val="21"/>
          <w:szCs w:val="21"/>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color w:val="auto"/>
          <w:sz w:val="21"/>
          <w:szCs w:val="21"/>
          <w:highlight w:val="none"/>
          <w:u w:val="single"/>
        </w:rPr>
        <w:t>（填写“项目名称”）</w:t>
      </w:r>
      <w:r>
        <w:rPr>
          <w:rFonts w:hint="eastAsia" w:ascii="宋体" w:hAnsi="宋体" w:eastAsia="宋体" w:cs="宋体"/>
          <w:color w:val="auto"/>
          <w:sz w:val="21"/>
          <w:szCs w:val="21"/>
          <w:highlight w:val="none"/>
        </w:rPr>
        <w:t>项目采购活动：</w:t>
      </w:r>
    </w:p>
    <w:p>
      <w:pPr>
        <w:pStyle w:val="11"/>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z w:val="21"/>
          <w:szCs w:val="21"/>
          <w:highlight w:val="none"/>
        </w:rPr>
        <w:t>（ ）提供本投标人制造的</w:t>
      </w:r>
      <w:r>
        <w:rPr>
          <w:rFonts w:hint="eastAsia" w:ascii="宋体" w:hAnsi="宋体" w:eastAsia="宋体" w:cs="宋体"/>
          <w:color w:val="auto"/>
          <w:sz w:val="21"/>
          <w:szCs w:val="21"/>
          <w:highlight w:val="none"/>
          <w:u w:val="single"/>
        </w:rPr>
        <w:t>（填写“所投采购包、品目号”）</w:t>
      </w:r>
      <w:r>
        <w:rPr>
          <w:rFonts w:hint="eastAsia" w:ascii="宋体" w:hAnsi="宋体" w:eastAsia="宋体" w:cs="宋体"/>
          <w:color w:val="auto"/>
          <w:sz w:val="21"/>
          <w:szCs w:val="21"/>
          <w:highlight w:val="none"/>
        </w:rPr>
        <w:t>货物，或提供其他残疾人福利性单位制造的</w:t>
      </w:r>
      <w:r>
        <w:rPr>
          <w:rFonts w:hint="eastAsia" w:ascii="宋体" w:hAnsi="宋体" w:eastAsia="宋体" w:cs="宋体"/>
          <w:color w:val="auto"/>
          <w:sz w:val="21"/>
          <w:szCs w:val="21"/>
          <w:highlight w:val="none"/>
          <w:u w:val="single"/>
        </w:rPr>
        <w:t>（填写“所投采购包、品目号”）</w:t>
      </w:r>
      <w:r>
        <w:rPr>
          <w:rFonts w:hint="eastAsia" w:ascii="宋体" w:hAnsi="宋体" w:eastAsia="宋体" w:cs="宋体"/>
          <w:color w:val="auto"/>
          <w:sz w:val="21"/>
          <w:szCs w:val="21"/>
          <w:highlight w:val="none"/>
        </w:rPr>
        <w:t>货物（不包括使用非残疾人福利性单位注册商标的货物）。（说明：只有部分货物由残疾人福利企业制造的，在该货物后标</w:t>
      </w:r>
      <w:r>
        <w:rPr>
          <w:rFonts w:ascii="Segoe UI Symbol" w:hAnsi="Segoe UI Symbol" w:eastAsia="Segoe UI Symbol" w:cs="Segoe UI Symbol"/>
          <w:color w:val="auto"/>
          <w:sz w:val="19"/>
          <w:szCs w:val="19"/>
          <w:highlight w:val="none"/>
          <w:shd w:val="clear" w:fill="FFFFFF"/>
        </w:rPr>
        <w:t>★</w:t>
      </w:r>
      <w:r>
        <w:rPr>
          <w:rFonts w:hint="eastAsia" w:ascii="宋体" w:hAnsi="宋体" w:eastAsia="宋体" w:cs="宋体"/>
          <w:color w:val="auto"/>
          <w:sz w:val="21"/>
          <w:szCs w:val="21"/>
          <w:highlight w:val="none"/>
        </w:rPr>
        <w:t>）</w:t>
      </w:r>
    </w:p>
    <w:p>
      <w:pPr>
        <w:pStyle w:val="11"/>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z w:val="21"/>
          <w:szCs w:val="21"/>
          <w:highlight w:val="none"/>
        </w:rPr>
        <w:t>（ ）由本投标人承建的</w:t>
      </w:r>
      <w:r>
        <w:rPr>
          <w:rFonts w:hint="eastAsia" w:ascii="宋体" w:hAnsi="宋体" w:eastAsia="宋体" w:cs="宋体"/>
          <w:color w:val="auto"/>
          <w:sz w:val="21"/>
          <w:szCs w:val="21"/>
          <w:highlight w:val="none"/>
          <w:u w:val="single"/>
        </w:rPr>
        <w:t>（填写“所投采购包、品目号”）</w:t>
      </w:r>
      <w:r>
        <w:rPr>
          <w:rFonts w:hint="eastAsia" w:ascii="宋体" w:hAnsi="宋体" w:eastAsia="宋体" w:cs="宋体"/>
          <w:color w:val="auto"/>
          <w:sz w:val="21"/>
          <w:szCs w:val="21"/>
          <w:highlight w:val="none"/>
        </w:rPr>
        <w:t>工程</w:t>
      </w:r>
    </w:p>
    <w:p>
      <w:pPr>
        <w:pStyle w:val="11"/>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z w:val="21"/>
          <w:szCs w:val="21"/>
          <w:highlight w:val="none"/>
        </w:rPr>
        <w:t>（ ）由本投标人承接的</w:t>
      </w:r>
      <w:r>
        <w:rPr>
          <w:rFonts w:hint="eastAsia" w:ascii="宋体" w:hAnsi="宋体" w:eastAsia="宋体" w:cs="宋体"/>
          <w:color w:val="auto"/>
          <w:sz w:val="21"/>
          <w:szCs w:val="21"/>
          <w:highlight w:val="none"/>
          <w:u w:val="single"/>
        </w:rPr>
        <w:t>（填写“所投采购包、品目号”）</w:t>
      </w:r>
      <w:r>
        <w:rPr>
          <w:rFonts w:hint="eastAsia" w:ascii="宋体" w:hAnsi="宋体" w:eastAsia="宋体" w:cs="宋体"/>
          <w:color w:val="auto"/>
          <w:sz w:val="21"/>
          <w:szCs w:val="21"/>
          <w:highlight w:val="none"/>
        </w:rPr>
        <w:t>服务；</w:t>
      </w:r>
    </w:p>
    <w:p>
      <w:pPr>
        <w:pStyle w:val="11"/>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z w:val="21"/>
          <w:szCs w:val="21"/>
          <w:highlight w:val="none"/>
        </w:rPr>
        <w:t>本投标人对上述声明的真实性负责。如有虚假，将依法承担相应责任。</w:t>
      </w:r>
    </w:p>
    <w:p>
      <w:pPr>
        <w:pStyle w:val="11"/>
        <w:keepNext w:val="0"/>
        <w:keepLines w:val="0"/>
        <w:widowControl/>
        <w:suppressLineNumbers w:val="0"/>
        <w:spacing w:before="75" w:beforeAutospacing="0" w:after="75" w:afterAutospacing="0"/>
        <w:ind w:left="0" w:right="0" w:firstLine="420"/>
        <w:rPr>
          <w:color w:val="auto"/>
          <w:highlight w:val="none"/>
        </w:rPr>
      </w:pPr>
      <w:r>
        <w:rPr>
          <w:rFonts w:hint="default" w:ascii="Calibri" w:hAnsi="Calibri" w:cs="Calibri"/>
          <w:color w:val="auto"/>
          <w:sz w:val="21"/>
          <w:szCs w:val="21"/>
          <w:highlight w:val="none"/>
        </w:rPr>
        <w:t> </w:t>
      </w:r>
    </w:p>
    <w:p>
      <w:pPr>
        <w:pStyle w:val="11"/>
        <w:keepNext w:val="0"/>
        <w:keepLines w:val="0"/>
        <w:widowControl/>
        <w:suppressLineNumbers w:val="0"/>
        <w:spacing w:before="75" w:beforeAutospacing="0" w:after="75" w:afterAutospacing="0"/>
        <w:ind w:left="0" w:right="0"/>
        <w:rPr>
          <w:color w:val="auto"/>
          <w:highlight w:val="none"/>
        </w:rPr>
      </w:pPr>
      <w:r>
        <w:rPr>
          <w:rFonts w:hint="eastAsia" w:ascii="宋体" w:hAnsi="宋体" w:eastAsia="宋体" w:cs="宋体"/>
          <w:color w:val="auto"/>
          <w:sz w:val="21"/>
          <w:szCs w:val="21"/>
          <w:highlight w:val="none"/>
        </w:rPr>
        <w:t>备注：</w:t>
      </w:r>
    </w:p>
    <w:p>
      <w:pPr>
        <w:pStyle w:val="11"/>
        <w:keepNext w:val="0"/>
        <w:keepLines w:val="0"/>
        <w:widowControl/>
        <w:suppressLineNumbers w:val="0"/>
        <w:spacing w:before="75" w:beforeAutospacing="0" w:after="75" w:afterAutospacing="0"/>
        <w:ind w:left="0" w:right="0"/>
        <w:rPr>
          <w:color w:val="auto"/>
          <w:highlight w:val="none"/>
        </w:rPr>
      </w:pPr>
      <w:r>
        <w:rPr>
          <w:rFonts w:hint="eastAsia" w:ascii="宋体" w:hAnsi="宋体" w:eastAsia="宋体" w:cs="宋体"/>
          <w:color w:val="auto"/>
          <w:sz w:val="21"/>
          <w:szCs w:val="21"/>
          <w:highlight w:val="none"/>
        </w:rPr>
        <w:t>1、请投标人按照实际情况编制填写本声明函，并在相应的（）中打“√”。</w:t>
      </w:r>
    </w:p>
    <w:p>
      <w:pPr>
        <w:pStyle w:val="11"/>
        <w:keepNext w:val="0"/>
        <w:keepLines w:val="0"/>
        <w:widowControl/>
        <w:suppressLineNumbers w:val="0"/>
        <w:spacing w:before="75" w:beforeAutospacing="0" w:after="75" w:afterAutospacing="0"/>
        <w:ind w:left="0" w:right="0"/>
        <w:rPr>
          <w:color w:val="auto"/>
          <w:highlight w:val="none"/>
        </w:rPr>
      </w:pPr>
      <w:r>
        <w:rPr>
          <w:rFonts w:hint="eastAsia" w:ascii="宋体" w:hAnsi="宋体" w:eastAsia="宋体" w:cs="宋体"/>
          <w:color w:val="auto"/>
          <w:sz w:val="21"/>
          <w:szCs w:val="21"/>
          <w:highlight w:val="none"/>
        </w:rPr>
        <w:t>2、若《残疾人福利性单位声明函》内容不真实，</w:t>
      </w:r>
      <w:r>
        <w:rPr>
          <w:rStyle w:val="13"/>
          <w:rFonts w:hint="eastAsia" w:ascii="宋体" w:hAnsi="宋体" w:eastAsia="宋体" w:cs="宋体"/>
          <w:b/>
          <w:bCs/>
          <w:color w:val="auto"/>
          <w:sz w:val="21"/>
          <w:szCs w:val="21"/>
          <w:highlight w:val="none"/>
        </w:rPr>
        <w:t>视为提供虚假材料。</w:t>
      </w:r>
    </w:p>
    <w:p>
      <w:pPr>
        <w:pStyle w:val="11"/>
        <w:keepNext w:val="0"/>
        <w:keepLines w:val="0"/>
        <w:widowControl/>
        <w:suppressLineNumbers w:val="0"/>
        <w:spacing w:before="75" w:beforeAutospacing="0" w:after="75"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75" w:beforeAutospacing="0" w:after="75" w:afterAutospacing="0"/>
        <w:ind w:left="0" w:right="0"/>
        <w:rPr>
          <w:color w:val="auto"/>
          <w:highlight w:val="none"/>
        </w:rPr>
      </w:pPr>
      <w:r>
        <w:rPr>
          <w:rFonts w:hint="default" w:ascii="Calibri" w:hAnsi="Calibri" w:cs="Calibri"/>
          <w:color w:val="auto"/>
          <w:sz w:val="21"/>
          <w:szCs w:val="21"/>
          <w:highlight w:val="none"/>
        </w:rPr>
        <w:t> </w:t>
      </w:r>
    </w:p>
    <w:p>
      <w:pPr>
        <w:pStyle w:val="11"/>
        <w:keepNext w:val="0"/>
        <w:keepLines w:val="0"/>
        <w:widowControl/>
        <w:suppressLineNumbers w:val="0"/>
        <w:spacing w:before="75" w:beforeAutospacing="0" w:after="75" w:afterAutospacing="0"/>
        <w:ind w:left="0" w:right="0"/>
        <w:rPr>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1"/>
        <w:keepNext w:val="0"/>
        <w:keepLines w:val="0"/>
        <w:widowControl/>
        <w:suppressLineNumbers w:val="0"/>
        <w:spacing w:before="75" w:beforeAutospacing="0" w:after="240" w:afterAutospacing="0"/>
        <w:ind w:left="0" w:right="0"/>
        <w:rPr>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1"/>
        <w:keepNext w:val="0"/>
        <w:keepLines w:val="0"/>
        <w:widowControl/>
        <w:suppressLineNumbers w:val="0"/>
        <w:spacing w:before="0" w:beforeAutospacing="0" w:after="0" w:afterAutospacing="0"/>
        <w:ind w:left="0" w:right="0" w:firstLine="420"/>
        <w:rPr>
          <w:color w:val="auto"/>
          <w:highlight w:val="none"/>
        </w:rPr>
      </w:pPr>
      <w:r>
        <w:rPr>
          <w:rFonts w:hint="eastAsia" w:ascii="宋体" w:hAnsi="宋体" w:eastAsia="宋体" w:cs="宋体"/>
          <w:color w:val="auto"/>
          <w:sz w:val="21"/>
          <w:szCs w:val="21"/>
          <w:highlight w:val="none"/>
        </w:rPr>
        <w:t>附：</w:t>
      </w:r>
    </w:p>
    <w:p>
      <w:pPr>
        <w:pStyle w:val="11"/>
        <w:keepNext w:val="0"/>
        <w:keepLines w:val="0"/>
        <w:widowControl/>
        <w:suppressLineNumbers w:val="0"/>
        <w:spacing w:before="75" w:beforeAutospacing="0" w:after="75" w:afterAutospacing="0"/>
        <w:ind w:left="0" w:right="0" w:firstLine="0"/>
        <w:jc w:val="center"/>
        <w:rPr>
          <w:color w:val="auto"/>
          <w:highlight w:val="none"/>
        </w:rPr>
      </w:pPr>
      <w:r>
        <w:rPr>
          <w:rStyle w:val="13"/>
          <w:rFonts w:hint="eastAsia" w:ascii="宋体" w:hAnsi="宋体" w:eastAsia="宋体" w:cs="宋体"/>
          <w:b/>
          <w:bCs/>
          <w:color w:val="auto"/>
          <w:highlight w:val="none"/>
        </w:rPr>
        <w:t>监狱企业证明材料</w:t>
      </w:r>
    </w:p>
    <w:p>
      <w:pPr>
        <w:pStyle w:val="11"/>
        <w:keepNext w:val="0"/>
        <w:keepLines w:val="0"/>
        <w:widowControl/>
        <w:suppressLineNumbers w:val="0"/>
        <w:spacing w:before="75" w:beforeAutospacing="0" w:after="75" w:afterAutospacing="0"/>
        <w:ind w:left="0" w:right="0" w:firstLine="0"/>
        <w:jc w:val="center"/>
        <w:rPr>
          <w:color w:val="auto"/>
          <w:highlight w:val="none"/>
        </w:rPr>
      </w:pPr>
      <w:r>
        <w:rPr>
          <w:rStyle w:val="13"/>
          <w:rFonts w:hint="eastAsia" w:ascii="宋体" w:hAnsi="宋体" w:eastAsia="宋体" w:cs="宋体"/>
          <w:b/>
          <w:bCs/>
          <w:color w:val="auto"/>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4"/>
          <w:szCs w:val="24"/>
          <w:highlight w:val="none"/>
        </w:rPr>
        <w:t>  投标人为监狱企业，提供本单位制造的货物（承接的服务），并在电子投标文件中提供省级以上监狱管理局、戒毒管理局（含新疆生产建设兵团）出具的属于监狱企业的证明文件。</w:t>
      </w:r>
    </w:p>
    <w:p>
      <w:pPr>
        <w:pStyle w:val="11"/>
        <w:keepNext w:val="0"/>
        <w:keepLines w:val="0"/>
        <w:widowControl/>
        <w:suppressLineNumbers w:val="0"/>
        <w:spacing w:before="75" w:beforeAutospacing="0" w:after="240" w:afterAutospacing="0"/>
        <w:ind w:left="0" w:right="0"/>
        <w:rPr>
          <w:color w:val="auto"/>
          <w:highlight w:val="none"/>
        </w:rPr>
      </w:pP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br w:type="textWrapping"/>
      </w:r>
    </w:p>
    <w:p>
      <w:pPr>
        <w:pStyle w:val="11"/>
        <w:keepNext w:val="0"/>
        <w:keepLines w:val="0"/>
        <w:widowControl/>
        <w:suppressLineNumbers w:val="0"/>
        <w:spacing w:before="0" w:beforeAutospacing="0" w:after="150" w:afterAutospacing="0"/>
        <w:ind w:left="0" w:right="0"/>
        <w:jc w:val="center"/>
        <w:rPr>
          <w:rFonts w:hint="default" w:ascii="Calibri" w:hAnsi="Calibri" w:cs="Calibri"/>
          <w:color w:val="auto"/>
          <w:sz w:val="21"/>
          <w:szCs w:val="21"/>
          <w:highlight w:val="none"/>
        </w:rPr>
      </w:pPr>
      <w:r>
        <w:rPr>
          <w:rFonts w:hint="default" w:ascii="Calibri" w:hAnsi="Calibri" w:cs="Calibri"/>
          <w:color w:val="auto"/>
          <w:sz w:val="21"/>
          <w:szCs w:val="21"/>
          <w:highlight w:val="none"/>
        </w:rPr>
        <w:br w:type="textWrapping"/>
      </w:r>
    </w:p>
    <w:p>
      <w:pPr>
        <w:rPr>
          <w:rFonts w:hint="default" w:ascii="Calibri" w:hAnsi="Calibri" w:cs="Calibri"/>
          <w:color w:val="auto"/>
          <w:sz w:val="21"/>
          <w:szCs w:val="21"/>
          <w:highlight w:val="none"/>
        </w:rPr>
      </w:pPr>
      <w:r>
        <w:rPr>
          <w:rFonts w:hint="default" w:ascii="Calibri" w:hAnsi="Calibri" w:cs="Calibri"/>
          <w:color w:val="auto"/>
          <w:sz w:val="21"/>
          <w:szCs w:val="21"/>
          <w:highlight w:val="none"/>
        </w:rPr>
        <w:br w:type="page"/>
      </w:r>
    </w:p>
    <w:p>
      <w:pPr>
        <w:pStyle w:val="11"/>
        <w:keepNext w:val="0"/>
        <w:keepLines w:val="0"/>
        <w:widowControl/>
        <w:suppressLineNumbers w:val="0"/>
        <w:spacing w:before="0" w:beforeAutospacing="0" w:after="150" w:afterAutospacing="0"/>
        <w:ind w:left="0" w:right="0"/>
        <w:jc w:val="center"/>
        <w:rPr>
          <w:color w:val="auto"/>
          <w:highlight w:val="none"/>
        </w:rPr>
      </w:pPr>
      <w:r>
        <w:rPr>
          <w:rStyle w:val="13"/>
          <w:rFonts w:hint="eastAsia" w:ascii="宋体" w:hAnsi="宋体" w:eastAsia="宋体" w:cs="宋体"/>
          <w:b/>
          <w:bCs/>
          <w:color w:val="auto"/>
          <w:sz w:val="21"/>
          <w:szCs w:val="21"/>
          <w:highlight w:val="none"/>
        </w:rPr>
        <w:t>三-3招标文件规定的其他价格扣除证明材料（若有）</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编制说明</w:t>
      </w:r>
    </w:p>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若投标人可享受招标文件规定的除</w:t>
      </w:r>
      <w:r>
        <w:rPr>
          <w:rStyle w:val="13"/>
          <w:rFonts w:hint="eastAsia" w:ascii="宋体" w:hAnsi="宋体" w:eastAsia="宋体" w:cs="宋体"/>
          <w:b/>
          <w:bCs/>
          <w:color w:val="auto"/>
          <w:sz w:val="21"/>
          <w:szCs w:val="21"/>
          <w:highlight w:val="none"/>
        </w:rPr>
        <w:t>“节能（非强制类）、环境标志产品价格扣除”及“小型、微型企业产品等价格扣除”</w:t>
      </w:r>
      <w:r>
        <w:rPr>
          <w:rFonts w:hint="eastAsia" w:ascii="宋体" w:hAnsi="宋体" w:eastAsia="宋体" w:cs="宋体"/>
          <w:color w:val="auto"/>
          <w:sz w:val="21"/>
          <w:szCs w:val="21"/>
          <w:highlight w:val="none"/>
        </w:rPr>
        <w:t>外的其他价格扣除优惠，则投标人应按照招标文件要求提供相应证明材料。</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240" w:afterAutospacing="0"/>
        <w:ind w:left="0" w:right="0"/>
        <w:rPr>
          <w:color w:val="auto"/>
          <w:highlight w:val="none"/>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br w:type="textWrapping"/>
      </w:r>
    </w:p>
    <w:p>
      <w:pPr>
        <w:pStyle w:val="11"/>
        <w:keepNext w:val="0"/>
        <w:keepLines w:val="0"/>
        <w:widowControl/>
        <w:suppressLineNumbers w:val="0"/>
        <w:spacing w:before="0" w:beforeAutospacing="0" w:after="150" w:afterAutospacing="0"/>
        <w:ind w:left="0" w:right="0"/>
        <w:jc w:val="center"/>
        <w:rPr>
          <w:rFonts w:hint="default" w:ascii="Calibri" w:hAnsi="Calibri" w:cs="Calibri"/>
          <w:color w:val="auto"/>
          <w:sz w:val="21"/>
          <w:szCs w:val="21"/>
          <w:highlight w:val="none"/>
        </w:rPr>
      </w:pPr>
      <w:r>
        <w:rPr>
          <w:rFonts w:hint="default" w:ascii="Calibri" w:hAnsi="Calibri" w:cs="Calibri"/>
          <w:color w:val="auto"/>
          <w:sz w:val="21"/>
          <w:szCs w:val="21"/>
          <w:highlight w:val="none"/>
        </w:rPr>
        <w:br w:type="textWrapping"/>
      </w:r>
    </w:p>
    <w:p>
      <w:pPr>
        <w:rPr>
          <w:rFonts w:hint="default" w:ascii="Calibri" w:hAnsi="Calibri" w:cs="Calibri"/>
          <w:color w:val="auto"/>
          <w:sz w:val="21"/>
          <w:szCs w:val="21"/>
          <w:highlight w:val="none"/>
        </w:rPr>
      </w:pPr>
      <w:r>
        <w:rPr>
          <w:rFonts w:hint="default" w:ascii="Calibri" w:hAnsi="Calibri" w:cs="Calibri"/>
          <w:color w:val="auto"/>
          <w:sz w:val="21"/>
          <w:szCs w:val="21"/>
          <w:highlight w:val="none"/>
        </w:rPr>
        <w:br w:type="page"/>
      </w:r>
    </w:p>
    <w:p>
      <w:pPr>
        <w:pStyle w:val="11"/>
        <w:keepNext w:val="0"/>
        <w:keepLines w:val="0"/>
        <w:widowControl/>
        <w:suppressLineNumbers w:val="0"/>
        <w:spacing w:before="0" w:beforeAutospacing="0" w:after="150" w:afterAutospacing="0"/>
        <w:ind w:left="0" w:right="0"/>
        <w:jc w:val="center"/>
        <w:rPr>
          <w:color w:val="auto"/>
          <w:highlight w:val="none"/>
        </w:rPr>
      </w:pPr>
      <w:r>
        <w:rPr>
          <w:rStyle w:val="13"/>
          <w:rFonts w:hint="eastAsia" w:ascii="宋体" w:hAnsi="宋体" w:eastAsia="宋体" w:cs="宋体"/>
          <w:b/>
          <w:bCs/>
          <w:color w:val="auto"/>
          <w:sz w:val="21"/>
          <w:szCs w:val="21"/>
          <w:highlight w:val="none"/>
        </w:rPr>
        <w:t>四、招标文件规定的加分证明材料（若有）</w:t>
      </w:r>
    </w:p>
    <w:p>
      <w:pPr>
        <w:pStyle w:val="11"/>
        <w:keepNext w:val="0"/>
        <w:keepLines w:val="0"/>
        <w:widowControl/>
        <w:suppressLineNumbers w:val="0"/>
        <w:spacing w:before="0" w:beforeAutospacing="0" w:after="150" w:afterAutospacing="0"/>
        <w:ind w:left="0" w:right="0"/>
        <w:jc w:val="center"/>
        <w:rPr>
          <w:color w:val="auto"/>
          <w:highlight w:val="none"/>
        </w:rPr>
      </w:pPr>
      <w:r>
        <w:rPr>
          <w:rStyle w:val="13"/>
          <w:rFonts w:hint="eastAsia" w:ascii="宋体" w:hAnsi="宋体" w:eastAsia="宋体" w:cs="宋体"/>
          <w:b/>
          <w:bCs/>
          <w:color w:val="auto"/>
          <w:sz w:val="21"/>
          <w:szCs w:val="21"/>
          <w:highlight w:val="none"/>
        </w:rPr>
        <w:t>四-1优先类节能产品、环境标志产品加分证明材料（若有） </w:t>
      </w:r>
    </w:p>
    <w:p>
      <w:pPr>
        <w:pStyle w:val="11"/>
        <w:keepNext w:val="0"/>
        <w:keepLines w:val="0"/>
        <w:widowControl/>
        <w:suppressLineNumbers w:val="0"/>
        <w:spacing w:before="0" w:beforeAutospacing="0" w:after="150" w:afterAutospacing="0"/>
        <w:ind w:left="0" w:right="0"/>
        <w:jc w:val="center"/>
        <w:rPr>
          <w:color w:val="auto"/>
          <w:highlight w:val="none"/>
        </w:rPr>
      </w:pPr>
      <w:r>
        <w:rPr>
          <w:rStyle w:val="13"/>
          <w:rFonts w:hint="eastAsia" w:ascii="宋体" w:hAnsi="宋体" w:eastAsia="宋体" w:cs="宋体"/>
          <w:b/>
          <w:bCs/>
          <w:color w:val="auto"/>
          <w:sz w:val="21"/>
          <w:szCs w:val="21"/>
          <w:highlight w:val="none"/>
        </w:rPr>
        <w:t>四-1-①优先类节能产品、环境标志产品统计表（加分适用，若有）</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w:t>
      </w:r>
    </w:p>
    <w:p>
      <w:pPr>
        <w:pStyle w:val="11"/>
        <w:keepNext w:val="0"/>
        <w:keepLines w:val="0"/>
        <w:widowControl/>
        <w:suppressLineNumbers w:val="0"/>
        <w:spacing w:before="0" w:beforeAutospacing="0" w:after="150" w:afterAutospacing="0"/>
        <w:ind w:left="0" w:right="0"/>
        <w:jc w:val="right"/>
        <w:rPr>
          <w:color w:val="auto"/>
          <w:highlight w:val="none"/>
        </w:rPr>
      </w:pPr>
      <w:r>
        <w:rPr>
          <w:rFonts w:hint="eastAsia" w:ascii="宋体" w:hAnsi="宋体" w:eastAsia="宋体" w:cs="宋体"/>
          <w:color w:val="auto"/>
          <w:sz w:val="21"/>
          <w:szCs w:val="21"/>
          <w:highlight w:val="none"/>
        </w:rPr>
        <w:t>货币及单位：人民币元</w:t>
      </w:r>
    </w:p>
    <w:tbl>
      <w:tblPr>
        <w:tblStyle w:val="1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215"/>
        <w:gridCol w:w="1215"/>
        <w:gridCol w:w="1215"/>
        <w:gridCol w:w="1215"/>
        <w:gridCol w:w="1215"/>
        <w:gridCol w:w="1215"/>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7305" w:type="dxa"/>
            <w:gridSpan w:val="6"/>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本采购包内属于节能、环境标志产品的情况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1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采购包</w:t>
            </w:r>
          </w:p>
        </w:tc>
        <w:tc>
          <w:tcPr>
            <w:tcW w:w="121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品目号</w:t>
            </w:r>
          </w:p>
        </w:tc>
        <w:tc>
          <w:tcPr>
            <w:tcW w:w="121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货物名称</w:t>
            </w:r>
          </w:p>
        </w:tc>
        <w:tc>
          <w:tcPr>
            <w:tcW w:w="121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单价</w:t>
            </w:r>
          </w:p>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（现场）</w:t>
            </w:r>
          </w:p>
        </w:tc>
        <w:tc>
          <w:tcPr>
            <w:tcW w:w="121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数量</w:t>
            </w:r>
          </w:p>
        </w:tc>
        <w:tc>
          <w:tcPr>
            <w:tcW w:w="121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总价</w:t>
            </w:r>
          </w:p>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（现场）</w:t>
            </w:r>
          </w:p>
        </w:tc>
        <w:tc>
          <w:tcPr>
            <w:tcW w:w="1230"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15" w:type="dxa"/>
            <w:vMerge w:val="restart"/>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w:t>
            </w:r>
          </w:p>
        </w:tc>
        <w:tc>
          <w:tcPr>
            <w:tcW w:w="121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*-1</w:t>
            </w: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230"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15" w:type="dxa"/>
            <w:vMerge w:val="continue"/>
            <w:shd w:val="clear" w:color="auto" w:fill="auto"/>
            <w:tcMar>
              <w:top w:w="0" w:type="dxa"/>
              <w:left w:w="105" w:type="dxa"/>
              <w:bottom w:w="0" w:type="dxa"/>
              <w:right w:w="105" w:type="dxa"/>
            </w:tcMar>
            <w:vAlign w:val="center"/>
          </w:tcPr>
          <w:p>
            <w:pPr>
              <w:rPr>
                <w:rFonts w:hint="eastAsia" w:ascii="宋体"/>
                <w:color w:val="auto"/>
                <w:sz w:val="24"/>
                <w:szCs w:val="24"/>
                <w:highlight w:val="none"/>
              </w:rPr>
            </w:pPr>
          </w:p>
        </w:tc>
        <w:tc>
          <w:tcPr>
            <w:tcW w:w="121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default" w:ascii="Calibri" w:hAnsi="Calibri" w:cs="Calibri"/>
                <w:color w:val="auto"/>
                <w:sz w:val="21"/>
                <w:szCs w:val="21"/>
                <w:highlight w:val="none"/>
              </w:rPr>
              <w:t>…</w:t>
            </w: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230"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1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备注</w:t>
            </w:r>
          </w:p>
        </w:tc>
        <w:tc>
          <w:tcPr>
            <w:tcW w:w="7305" w:type="dxa"/>
            <w:gridSpan w:val="6"/>
            <w:shd w:val="clear" w:color="auto" w:fill="auto"/>
            <w:tcMar>
              <w:top w:w="0" w:type="dxa"/>
              <w:left w:w="105" w:type="dxa"/>
              <w:bottom w:w="0" w:type="dxa"/>
              <w:right w:w="105" w:type="dxa"/>
            </w:tcMar>
            <w:vAlign w:val="top"/>
          </w:tcPr>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a.采购包内属于节能、环境标志产品的报价总金额：</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b.采购包投标总价（报价总金额）：</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c.“采购包内属于节能、环境标志产品的报价总金额”占“采购包投标总价（报价总金额）”的比例（以</w:t>
            </w:r>
            <w:r>
              <w:rPr>
                <w:rFonts w:hint="default" w:ascii="Calibri" w:hAnsi="Calibri" w:eastAsia="宋体" w:cs="Calibri"/>
                <w:color w:val="auto"/>
                <w:sz w:val="21"/>
                <w:szCs w:val="21"/>
                <w:highlight w:val="none"/>
              </w:rPr>
              <w:t>%</w:t>
            </w:r>
            <w:r>
              <w:rPr>
                <w:rFonts w:hint="eastAsia" w:ascii="宋体" w:hAnsi="宋体" w:eastAsia="宋体" w:cs="宋体"/>
                <w:color w:val="auto"/>
                <w:sz w:val="21"/>
                <w:szCs w:val="21"/>
                <w:highlight w:val="none"/>
              </w:rPr>
              <w:t>列示）：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tc>
      </w:tr>
    </w:tbl>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※注意：</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1、对节能、环境标志产品计算加分时，只依据电子投标文件</w:t>
      </w:r>
      <w:r>
        <w:rPr>
          <w:rStyle w:val="13"/>
          <w:rFonts w:hint="eastAsia" w:ascii="宋体" w:hAnsi="宋体" w:eastAsia="宋体" w:cs="宋体"/>
          <w:b/>
          <w:bCs/>
          <w:color w:val="auto"/>
          <w:sz w:val="21"/>
          <w:szCs w:val="21"/>
          <w:highlight w:val="none"/>
        </w:rPr>
        <w:t>“四</w:t>
      </w:r>
      <w:r>
        <w:rPr>
          <w:rStyle w:val="13"/>
          <w:rFonts w:hint="default" w:ascii="Calibri" w:hAnsi="Calibri" w:eastAsia="宋体" w:cs="Calibri"/>
          <w:b/>
          <w:bCs/>
          <w:color w:val="auto"/>
          <w:sz w:val="21"/>
          <w:szCs w:val="21"/>
          <w:highlight w:val="none"/>
        </w:rPr>
        <w:t>-1-</w:t>
      </w:r>
      <w:r>
        <w:rPr>
          <w:rStyle w:val="13"/>
          <w:rFonts w:hint="eastAsia" w:ascii="宋体" w:hAnsi="宋体" w:eastAsia="宋体" w:cs="宋体"/>
          <w:b/>
          <w:bCs/>
          <w:color w:val="auto"/>
          <w:sz w:val="21"/>
          <w:szCs w:val="21"/>
          <w:highlight w:val="none"/>
        </w:rPr>
        <w:t>②优先类节能产品、环境标志产品加分证明材料（加分适用，若有）”。</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2、本表以采购包为单位，不同采购包请分别填写；同一采购包请按照其品目号顺序分别填写。</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3、具体统计、计算：</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3.1</w:t>
      </w:r>
      <w:r>
        <w:rPr>
          <w:rFonts w:hint="default" w:ascii="Calibri" w:hAnsi="Calibri" w:cs="Calibri"/>
          <w:color w:val="auto"/>
          <w:sz w:val="21"/>
          <w:szCs w:val="21"/>
          <w:highlight w:val="none"/>
        </w:rPr>
        <w:t> </w:t>
      </w:r>
      <w:r>
        <w:rPr>
          <w:rFonts w:hint="eastAsia" w:ascii="宋体" w:hAnsi="宋体" w:eastAsia="宋体" w:cs="宋体"/>
          <w:color w:val="auto"/>
          <w:sz w:val="21"/>
          <w:szCs w:val="21"/>
          <w:highlight w:val="none"/>
        </w:rPr>
        <w:t>若节能、环境标志产品仅是构成投标产品的部件、组件或零件，则该投标产品不享受鼓励优惠政策。同一品目中各认证证书不重复计算加分。强制类节能产品不享受加分。</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3.2计算结果若除不尽，可四舍五入保留到小数点后两位。</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3.3投标人应按照招标文件要求认真统计、计算，否则评标委员会不予认定。</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3.4若无节能、环境标志产品，不填写本表，否则，</w:t>
      </w:r>
      <w:r>
        <w:rPr>
          <w:rStyle w:val="13"/>
          <w:rFonts w:hint="eastAsia" w:ascii="宋体" w:hAnsi="宋体" w:eastAsia="宋体" w:cs="宋体"/>
          <w:b/>
          <w:bCs/>
          <w:color w:val="auto"/>
          <w:sz w:val="21"/>
          <w:szCs w:val="21"/>
          <w:highlight w:val="none"/>
        </w:rPr>
        <w:t>视为提供虚假材料</w:t>
      </w:r>
      <w:r>
        <w:rPr>
          <w:rFonts w:hint="eastAsia" w:ascii="宋体" w:hAnsi="宋体" w:eastAsia="宋体" w:cs="宋体"/>
          <w:color w:val="auto"/>
          <w:sz w:val="21"/>
          <w:szCs w:val="21"/>
          <w:highlight w:val="none"/>
        </w:rPr>
        <w:t>。</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1"/>
        <w:keepNext w:val="0"/>
        <w:keepLines w:val="0"/>
        <w:widowControl/>
        <w:suppressLineNumbers w:val="0"/>
        <w:spacing w:before="0" w:beforeAutospacing="0" w:after="150" w:afterAutospacing="0"/>
        <w:ind w:left="0" w:right="0"/>
        <w:rPr>
          <w:color w:val="auto"/>
          <w:highlight w:val="none"/>
        </w:rPr>
      </w:pPr>
      <w:r>
        <w:rPr>
          <w:rStyle w:val="13"/>
          <w:rFonts w:hint="eastAsia" w:ascii="宋体" w:hAnsi="宋体" w:eastAsia="宋体" w:cs="宋体"/>
          <w:b/>
          <w:bCs/>
          <w:color w:val="auto"/>
          <w:sz w:val="21"/>
          <w:szCs w:val="21"/>
          <w:highlight w:val="none"/>
        </w:rPr>
        <w:t> </w:t>
      </w:r>
    </w:p>
    <w:p>
      <w:pPr>
        <w:pStyle w:val="11"/>
        <w:keepNext w:val="0"/>
        <w:keepLines w:val="0"/>
        <w:widowControl/>
        <w:suppressLineNumbers w:val="0"/>
        <w:spacing w:before="0" w:beforeAutospacing="0" w:after="150" w:afterAutospacing="0"/>
        <w:ind w:left="0" w:right="0"/>
        <w:jc w:val="center"/>
        <w:rPr>
          <w:color w:val="auto"/>
          <w:highlight w:val="none"/>
        </w:rPr>
      </w:pPr>
      <w:r>
        <w:rPr>
          <w:rStyle w:val="13"/>
          <w:rFonts w:hint="eastAsia" w:ascii="宋体" w:hAnsi="宋体" w:eastAsia="宋体" w:cs="宋体"/>
          <w:b/>
          <w:bCs/>
          <w:color w:val="auto"/>
          <w:sz w:val="21"/>
          <w:szCs w:val="21"/>
          <w:highlight w:val="none"/>
        </w:rPr>
        <w:t>四-1-②优先类节能产品、环境标志产品证明材料（加分适用，若有）</w:t>
      </w:r>
    </w:p>
    <w:p>
      <w:pPr>
        <w:pStyle w:val="11"/>
        <w:keepNext w:val="0"/>
        <w:keepLines w:val="0"/>
        <w:widowControl/>
        <w:suppressLineNumbers w:val="0"/>
        <w:spacing w:before="0" w:beforeAutospacing="0" w:after="150" w:afterAutospacing="0"/>
        <w:ind w:left="0" w:right="0"/>
        <w:rPr>
          <w:color w:val="auto"/>
          <w:highlight w:val="none"/>
        </w:rPr>
      </w:pPr>
      <w:r>
        <w:rPr>
          <w:rStyle w:val="13"/>
          <w:rFonts w:hint="eastAsia" w:ascii="宋体" w:hAnsi="宋体" w:eastAsia="宋体" w:cs="宋体"/>
          <w:b/>
          <w:bCs/>
          <w:color w:val="auto"/>
          <w:sz w:val="21"/>
          <w:szCs w:val="21"/>
          <w:highlight w:val="none"/>
        </w:rPr>
        <w:t> </w:t>
      </w:r>
    </w:p>
    <w:p>
      <w:pPr>
        <w:pStyle w:val="11"/>
        <w:keepNext w:val="0"/>
        <w:keepLines w:val="0"/>
        <w:widowControl/>
        <w:suppressLineNumbers w:val="0"/>
        <w:spacing w:before="0" w:beforeAutospacing="0" w:after="150" w:afterAutospacing="0"/>
        <w:ind w:left="0" w:right="0"/>
        <w:jc w:val="center"/>
        <w:rPr>
          <w:color w:val="auto"/>
          <w:highlight w:val="none"/>
        </w:rPr>
      </w:pPr>
      <w:r>
        <w:rPr>
          <w:rFonts w:hint="default" w:ascii="Calibri" w:hAnsi="Calibri" w:cs="Calibri"/>
          <w:color w:val="auto"/>
          <w:sz w:val="21"/>
          <w:szCs w:val="21"/>
          <w:highlight w:val="none"/>
        </w:rPr>
        <w:br w:type="textWrapping"/>
      </w:r>
      <w:r>
        <w:rPr>
          <w:rFonts w:hint="eastAsia" w:ascii="宋体" w:hAnsi="宋体" w:eastAsia="宋体" w:cs="宋体"/>
          <w:color w:val="auto"/>
          <w:sz w:val="21"/>
          <w:szCs w:val="21"/>
          <w:highlight w:val="none"/>
        </w:rPr>
        <w:t>四</w:t>
      </w:r>
      <w:r>
        <w:rPr>
          <w:rStyle w:val="13"/>
          <w:rFonts w:hint="eastAsia" w:ascii="宋体" w:hAnsi="宋体" w:eastAsia="宋体" w:cs="宋体"/>
          <w:b/>
          <w:bCs/>
          <w:color w:val="auto"/>
          <w:sz w:val="21"/>
          <w:szCs w:val="21"/>
          <w:highlight w:val="none"/>
        </w:rPr>
        <w:t>-2招标文件规定的其他加分证明材料（若有）</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编制说明</w:t>
      </w:r>
    </w:p>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若投标人可享受招标文件规定的除</w:t>
      </w:r>
      <w:r>
        <w:rPr>
          <w:rStyle w:val="13"/>
          <w:rFonts w:hint="eastAsia" w:ascii="宋体" w:hAnsi="宋体" w:eastAsia="宋体" w:cs="宋体"/>
          <w:b/>
          <w:bCs/>
          <w:color w:val="auto"/>
          <w:sz w:val="21"/>
          <w:szCs w:val="21"/>
          <w:highlight w:val="none"/>
        </w:rPr>
        <w:t>“优先类节能产品、环境标志产品加分”</w:t>
      </w:r>
      <w:r>
        <w:rPr>
          <w:rFonts w:hint="eastAsia" w:ascii="宋体" w:hAnsi="宋体" w:eastAsia="宋体" w:cs="宋体"/>
          <w:color w:val="auto"/>
          <w:sz w:val="21"/>
          <w:szCs w:val="21"/>
          <w:highlight w:val="none"/>
        </w:rPr>
        <w:t>外的其他加分优惠，则投标人应按照招标文件要求提供相应证明材料。</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rPr>
          <w:rStyle w:val="13"/>
          <w:rFonts w:hint="eastAsia" w:ascii="宋体" w:hAnsi="宋体" w:eastAsia="宋体" w:cs="宋体"/>
          <w:b/>
          <w:bCs/>
          <w:color w:val="auto"/>
          <w:sz w:val="28"/>
          <w:szCs w:val="28"/>
          <w:highlight w:val="none"/>
        </w:rPr>
      </w:pPr>
      <w:r>
        <w:rPr>
          <w:rStyle w:val="13"/>
          <w:rFonts w:hint="eastAsia" w:ascii="宋体" w:hAnsi="宋体" w:eastAsia="宋体" w:cs="宋体"/>
          <w:b/>
          <w:bCs/>
          <w:color w:val="auto"/>
          <w:sz w:val="28"/>
          <w:szCs w:val="28"/>
          <w:highlight w:val="none"/>
        </w:rPr>
        <w:br w:type="page"/>
      </w:r>
    </w:p>
    <w:p>
      <w:pPr>
        <w:pStyle w:val="11"/>
        <w:keepNext w:val="0"/>
        <w:keepLines w:val="0"/>
        <w:widowControl/>
        <w:suppressLineNumbers w:val="0"/>
        <w:spacing w:before="0" w:beforeAutospacing="0" w:after="150" w:afterAutospacing="0"/>
        <w:ind w:left="0" w:right="0"/>
        <w:jc w:val="center"/>
        <w:rPr>
          <w:color w:val="auto"/>
          <w:highlight w:val="none"/>
        </w:rPr>
      </w:pPr>
      <w:r>
        <w:rPr>
          <w:rStyle w:val="13"/>
          <w:rFonts w:hint="eastAsia" w:ascii="宋体" w:hAnsi="宋体" w:eastAsia="宋体" w:cs="宋体"/>
          <w:b/>
          <w:bCs/>
          <w:color w:val="auto"/>
          <w:sz w:val="28"/>
          <w:szCs w:val="28"/>
          <w:highlight w:val="none"/>
        </w:rPr>
        <w:t>封面格式</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36"/>
          <w:szCs w:val="36"/>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36"/>
          <w:szCs w:val="36"/>
          <w:highlight w:val="none"/>
        </w:rPr>
        <w:t> </w:t>
      </w:r>
    </w:p>
    <w:p>
      <w:pPr>
        <w:pStyle w:val="11"/>
        <w:keepNext w:val="0"/>
        <w:keepLines w:val="0"/>
        <w:widowControl/>
        <w:suppressLineNumbers w:val="0"/>
        <w:spacing w:before="0" w:beforeAutospacing="0" w:after="150" w:afterAutospacing="0"/>
        <w:ind w:left="0" w:right="0"/>
        <w:jc w:val="center"/>
        <w:rPr>
          <w:color w:val="auto"/>
          <w:highlight w:val="none"/>
        </w:rPr>
      </w:pPr>
      <w:r>
        <w:rPr>
          <w:rStyle w:val="13"/>
          <w:rFonts w:hint="eastAsia" w:ascii="宋体" w:hAnsi="宋体" w:eastAsia="宋体" w:cs="宋体"/>
          <w:b/>
          <w:bCs/>
          <w:color w:val="auto"/>
          <w:sz w:val="48"/>
          <w:szCs w:val="48"/>
          <w:highlight w:val="none"/>
        </w:rPr>
        <w:t>福建省政府采购投标文件</w:t>
      </w:r>
    </w:p>
    <w:p>
      <w:pPr>
        <w:pStyle w:val="11"/>
        <w:keepNext w:val="0"/>
        <w:keepLines w:val="0"/>
        <w:widowControl/>
        <w:suppressLineNumbers w:val="0"/>
        <w:spacing w:before="0" w:beforeAutospacing="0" w:after="150" w:afterAutospacing="0"/>
        <w:ind w:left="0" w:right="0"/>
        <w:jc w:val="center"/>
        <w:rPr>
          <w:color w:val="auto"/>
          <w:highlight w:val="none"/>
        </w:rPr>
      </w:pPr>
      <w:r>
        <w:rPr>
          <w:rStyle w:val="13"/>
          <w:rFonts w:hint="eastAsia" w:ascii="宋体" w:hAnsi="宋体" w:eastAsia="宋体" w:cs="宋体"/>
          <w:b/>
          <w:bCs/>
          <w:color w:val="auto"/>
          <w:sz w:val="48"/>
          <w:szCs w:val="48"/>
          <w:highlight w:val="none"/>
        </w:rPr>
        <w:t>（技术商务部分）</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36"/>
          <w:szCs w:val="36"/>
          <w:highlight w:val="none"/>
        </w:rPr>
        <w:t> </w:t>
      </w:r>
    </w:p>
    <w:p>
      <w:pPr>
        <w:pStyle w:val="11"/>
        <w:keepNext w:val="0"/>
        <w:keepLines w:val="0"/>
        <w:widowControl/>
        <w:suppressLineNumbers w:val="0"/>
        <w:spacing w:before="0" w:beforeAutospacing="0" w:after="150" w:afterAutospacing="0"/>
        <w:ind w:left="0" w:right="0"/>
        <w:jc w:val="center"/>
        <w:rPr>
          <w:color w:val="auto"/>
          <w:highlight w:val="none"/>
        </w:rPr>
      </w:pPr>
      <w:r>
        <w:rPr>
          <w:rStyle w:val="13"/>
          <w:rFonts w:hint="eastAsia" w:ascii="宋体" w:hAnsi="宋体" w:eastAsia="宋体" w:cs="宋体"/>
          <w:b/>
          <w:bCs/>
          <w:color w:val="auto"/>
          <w:sz w:val="36"/>
          <w:szCs w:val="36"/>
          <w:highlight w:val="none"/>
          <w:u w:val="single"/>
        </w:rPr>
        <w:t>（填写正本或副本）</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36"/>
          <w:szCs w:val="36"/>
          <w:highlight w:val="none"/>
        </w:rPr>
        <w:t> </w:t>
      </w:r>
    </w:p>
    <w:p>
      <w:pPr>
        <w:pStyle w:val="11"/>
        <w:keepNext w:val="0"/>
        <w:keepLines w:val="0"/>
        <w:widowControl/>
        <w:suppressLineNumbers w:val="0"/>
        <w:spacing w:before="0" w:beforeAutospacing="0" w:after="150" w:afterAutospacing="0"/>
        <w:ind w:left="0" w:right="0" w:firstLine="1920"/>
        <w:rPr>
          <w:color w:val="auto"/>
          <w:highlight w:val="none"/>
        </w:rPr>
      </w:pPr>
      <w:r>
        <w:rPr>
          <w:rStyle w:val="13"/>
          <w:rFonts w:hint="eastAsia" w:ascii="宋体" w:hAnsi="宋体" w:eastAsia="宋体" w:cs="宋体"/>
          <w:b/>
          <w:bCs/>
          <w:color w:val="auto"/>
          <w:sz w:val="31"/>
          <w:szCs w:val="31"/>
          <w:highlight w:val="none"/>
        </w:rPr>
        <w:t>项目名称：</w:t>
      </w:r>
      <w:r>
        <w:rPr>
          <w:rStyle w:val="13"/>
          <w:rFonts w:hint="eastAsia" w:ascii="宋体" w:hAnsi="宋体" w:eastAsia="宋体" w:cs="宋体"/>
          <w:b/>
          <w:bCs/>
          <w:color w:val="auto"/>
          <w:sz w:val="31"/>
          <w:szCs w:val="31"/>
          <w:highlight w:val="none"/>
          <w:u w:val="single"/>
        </w:rPr>
        <w:t>（由投标人填写）</w:t>
      </w:r>
    </w:p>
    <w:p>
      <w:pPr>
        <w:pStyle w:val="11"/>
        <w:keepNext w:val="0"/>
        <w:keepLines w:val="0"/>
        <w:widowControl/>
        <w:suppressLineNumbers w:val="0"/>
        <w:spacing w:before="0" w:beforeAutospacing="0" w:after="150" w:afterAutospacing="0"/>
        <w:ind w:left="0" w:right="0" w:firstLine="1920"/>
        <w:rPr>
          <w:color w:val="auto"/>
          <w:highlight w:val="none"/>
        </w:rPr>
      </w:pPr>
      <w:r>
        <w:rPr>
          <w:rStyle w:val="13"/>
          <w:rFonts w:hint="eastAsia" w:ascii="宋体" w:hAnsi="宋体" w:eastAsia="宋体" w:cs="宋体"/>
          <w:b/>
          <w:bCs/>
          <w:color w:val="auto"/>
          <w:sz w:val="31"/>
          <w:szCs w:val="31"/>
          <w:highlight w:val="none"/>
        </w:rPr>
        <w:t>备案编号：</w:t>
      </w:r>
      <w:r>
        <w:rPr>
          <w:rStyle w:val="13"/>
          <w:rFonts w:hint="eastAsia" w:ascii="宋体" w:hAnsi="宋体" w:eastAsia="宋体" w:cs="宋体"/>
          <w:b/>
          <w:bCs/>
          <w:color w:val="auto"/>
          <w:sz w:val="31"/>
          <w:szCs w:val="31"/>
          <w:highlight w:val="none"/>
          <w:u w:val="single"/>
        </w:rPr>
        <w:t>（由投标人填写）</w:t>
      </w:r>
    </w:p>
    <w:p>
      <w:pPr>
        <w:pStyle w:val="11"/>
        <w:keepNext w:val="0"/>
        <w:keepLines w:val="0"/>
        <w:widowControl/>
        <w:suppressLineNumbers w:val="0"/>
        <w:spacing w:before="0" w:beforeAutospacing="0" w:after="150" w:afterAutospacing="0"/>
        <w:ind w:left="0" w:right="0" w:firstLine="1920"/>
        <w:rPr>
          <w:color w:val="auto"/>
          <w:highlight w:val="none"/>
        </w:rPr>
      </w:pPr>
      <w:r>
        <w:rPr>
          <w:rStyle w:val="13"/>
          <w:rFonts w:hint="eastAsia" w:ascii="宋体" w:hAnsi="宋体" w:eastAsia="宋体" w:cs="宋体"/>
          <w:b/>
          <w:bCs/>
          <w:color w:val="auto"/>
          <w:sz w:val="31"/>
          <w:szCs w:val="31"/>
          <w:highlight w:val="none"/>
        </w:rPr>
        <w:t>项目编号：</w:t>
      </w:r>
      <w:r>
        <w:rPr>
          <w:rStyle w:val="13"/>
          <w:rFonts w:hint="eastAsia" w:ascii="宋体" w:hAnsi="宋体" w:eastAsia="宋体" w:cs="宋体"/>
          <w:b/>
          <w:bCs/>
          <w:color w:val="auto"/>
          <w:sz w:val="31"/>
          <w:szCs w:val="31"/>
          <w:highlight w:val="none"/>
          <w:u w:val="single"/>
        </w:rPr>
        <w:t>（由投标人填写）</w:t>
      </w:r>
    </w:p>
    <w:p>
      <w:pPr>
        <w:pStyle w:val="11"/>
        <w:keepNext w:val="0"/>
        <w:keepLines w:val="0"/>
        <w:widowControl/>
        <w:suppressLineNumbers w:val="0"/>
        <w:spacing w:before="0" w:beforeAutospacing="0" w:after="150" w:afterAutospacing="0"/>
        <w:ind w:left="0" w:right="0" w:firstLine="1920"/>
        <w:rPr>
          <w:color w:val="auto"/>
          <w:highlight w:val="none"/>
        </w:rPr>
      </w:pPr>
      <w:r>
        <w:rPr>
          <w:rStyle w:val="13"/>
          <w:rFonts w:hint="eastAsia" w:ascii="宋体" w:hAnsi="宋体" w:eastAsia="宋体" w:cs="宋体"/>
          <w:b/>
          <w:bCs/>
          <w:color w:val="auto"/>
          <w:sz w:val="31"/>
          <w:szCs w:val="31"/>
          <w:highlight w:val="none"/>
        </w:rPr>
        <w:t>所投采购包：</w:t>
      </w:r>
      <w:r>
        <w:rPr>
          <w:rStyle w:val="13"/>
          <w:rFonts w:hint="eastAsia" w:ascii="宋体" w:hAnsi="宋体" w:eastAsia="宋体" w:cs="宋体"/>
          <w:b/>
          <w:bCs/>
          <w:color w:val="auto"/>
          <w:sz w:val="31"/>
          <w:szCs w:val="31"/>
          <w:highlight w:val="none"/>
          <w:u w:val="single"/>
        </w:rPr>
        <w:t>（由投标人填写）</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36"/>
          <w:szCs w:val="36"/>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36"/>
          <w:szCs w:val="36"/>
          <w:highlight w:val="none"/>
        </w:rPr>
        <w:t> </w:t>
      </w:r>
    </w:p>
    <w:p>
      <w:pPr>
        <w:pStyle w:val="11"/>
        <w:keepNext w:val="0"/>
        <w:keepLines w:val="0"/>
        <w:widowControl/>
        <w:suppressLineNumbers w:val="0"/>
        <w:spacing w:before="0" w:beforeAutospacing="0" w:after="150" w:afterAutospacing="0"/>
        <w:ind w:left="0" w:right="0"/>
        <w:rPr>
          <w:color w:val="auto"/>
          <w:highlight w:val="none"/>
        </w:rPr>
      </w:pP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36"/>
          <w:szCs w:val="36"/>
          <w:highlight w:val="none"/>
        </w:rPr>
        <w:t> </w:t>
      </w:r>
    </w:p>
    <w:p>
      <w:pPr>
        <w:pStyle w:val="11"/>
        <w:keepNext w:val="0"/>
        <w:keepLines w:val="0"/>
        <w:widowControl/>
        <w:suppressLineNumbers w:val="0"/>
        <w:spacing w:before="0" w:beforeAutospacing="0" w:after="150" w:afterAutospacing="0"/>
        <w:ind w:left="0" w:right="0"/>
        <w:jc w:val="center"/>
        <w:rPr>
          <w:color w:val="auto"/>
          <w:highlight w:val="none"/>
        </w:rPr>
      </w:pPr>
      <w:r>
        <w:rPr>
          <w:rStyle w:val="13"/>
          <w:rFonts w:hint="eastAsia" w:ascii="宋体" w:hAnsi="宋体" w:eastAsia="宋体" w:cs="宋体"/>
          <w:b/>
          <w:bCs/>
          <w:color w:val="auto"/>
          <w:sz w:val="31"/>
          <w:szCs w:val="31"/>
          <w:highlight w:val="none"/>
        </w:rPr>
        <w:t>投标人：</w:t>
      </w:r>
      <w:r>
        <w:rPr>
          <w:rStyle w:val="13"/>
          <w:rFonts w:hint="eastAsia" w:ascii="宋体" w:hAnsi="宋体" w:eastAsia="宋体" w:cs="宋体"/>
          <w:b/>
          <w:bCs/>
          <w:color w:val="auto"/>
          <w:sz w:val="31"/>
          <w:szCs w:val="31"/>
          <w:highlight w:val="none"/>
          <w:u w:val="single"/>
        </w:rPr>
        <w:t>（填写“全称”）</w:t>
      </w:r>
    </w:p>
    <w:p>
      <w:pPr>
        <w:pStyle w:val="11"/>
        <w:keepNext w:val="0"/>
        <w:keepLines w:val="0"/>
        <w:widowControl/>
        <w:suppressLineNumbers w:val="0"/>
        <w:spacing w:before="0" w:beforeAutospacing="0" w:after="150" w:afterAutospacing="0"/>
        <w:ind w:left="0" w:right="0"/>
        <w:jc w:val="center"/>
        <w:rPr>
          <w:color w:val="auto"/>
          <w:highlight w:val="none"/>
        </w:rPr>
      </w:pPr>
      <w:r>
        <w:rPr>
          <w:rStyle w:val="13"/>
          <w:rFonts w:hint="eastAsia" w:ascii="宋体" w:hAnsi="宋体" w:eastAsia="宋体" w:cs="宋体"/>
          <w:b/>
          <w:bCs/>
          <w:color w:val="auto"/>
          <w:sz w:val="31"/>
          <w:szCs w:val="31"/>
          <w:highlight w:val="none"/>
          <w:u w:val="single"/>
        </w:rPr>
        <w:t>（由投标人填写）</w:t>
      </w:r>
      <w:r>
        <w:rPr>
          <w:rStyle w:val="13"/>
          <w:rFonts w:hint="eastAsia" w:ascii="宋体" w:hAnsi="宋体" w:eastAsia="宋体" w:cs="宋体"/>
          <w:b/>
          <w:bCs/>
          <w:color w:val="auto"/>
          <w:sz w:val="31"/>
          <w:szCs w:val="31"/>
          <w:highlight w:val="none"/>
        </w:rPr>
        <w:t>年</w:t>
      </w:r>
      <w:r>
        <w:rPr>
          <w:rStyle w:val="13"/>
          <w:rFonts w:hint="eastAsia" w:ascii="宋体" w:hAnsi="宋体" w:eastAsia="宋体" w:cs="宋体"/>
          <w:b/>
          <w:bCs/>
          <w:color w:val="auto"/>
          <w:sz w:val="31"/>
          <w:szCs w:val="31"/>
          <w:highlight w:val="none"/>
          <w:u w:val="single"/>
        </w:rPr>
        <w:t>（由投标人填写）</w:t>
      </w:r>
      <w:r>
        <w:rPr>
          <w:rStyle w:val="13"/>
          <w:rFonts w:hint="eastAsia" w:ascii="宋体" w:hAnsi="宋体" w:eastAsia="宋体" w:cs="宋体"/>
          <w:b/>
          <w:bCs/>
          <w:color w:val="auto"/>
          <w:sz w:val="31"/>
          <w:szCs w:val="31"/>
          <w:highlight w:val="none"/>
        </w:rPr>
        <w:t>月</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jc w:val="center"/>
        <w:rPr>
          <w:color w:val="auto"/>
          <w:highlight w:val="none"/>
        </w:rPr>
      </w:pPr>
      <w:r>
        <w:rPr>
          <w:rFonts w:hint="default" w:ascii="Calibri" w:hAnsi="Calibri" w:cs="Calibri"/>
          <w:color w:val="auto"/>
          <w:sz w:val="21"/>
          <w:szCs w:val="21"/>
          <w:highlight w:val="none"/>
        </w:rPr>
        <w:br w:type="textWrapping"/>
      </w:r>
      <w:r>
        <w:rPr>
          <w:rStyle w:val="13"/>
          <w:rFonts w:hint="eastAsia" w:ascii="宋体" w:hAnsi="宋体" w:eastAsia="宋体" w:cs="宋体"/>
          <w:b/>
          <w:bCs/>
          <w:color w:val="auto"/>
          <w:sz w:val="28"/>
          <w:szCs w:val="28"/>
          <w:highlight w:val="none"/>
        </w:rPr>
        <w:t>索引</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8"/>
          <w:szCs w:val="28"/>
          <w:highlight w:val="none"/>
        </w:rPr>
        <w:t>一、标的说明一览表</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8"/>
          <w:szCs w:val="28"/>
          <w:highlight w:val="none"/>
        </w:rPr>
        <w:t>二、技术和服务要求响应表</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8"/>
          <w:szCs w:val="28"/>
          <w:highlight w:val="none"/>
        </w:rPr>
        <w:t>三、商务条件响应表</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8"/>
          <w:szCs w:val="28"/>
          <w:highlight w:val="none"/>
        </w:rPr>
        <w:t>四、投标人提交的其他资料（若有）</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※注意</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技术商务部分中不得出现报价部分的全部或部分的投标报价信息（或组成资料），否则</w:t>
      </w:r>
      <w:r>
        <w:rPr>
          <w:rStyle w:val="13"/>
          <w:rFonts w:hint="eastAsia" w:ascii="宋体" w:hAnsi="宋体" w:eastAsia="宋体" w:cs="宋体"/>
          <w:b/>
          <w:bCs/>
          <w:color w:val="auto"/>
          <w:sz w:val="21"/>
          <w:szCs w:val="21"/>
          <w:highlight w:val="none"/>
        </w:rPr>
        <w:t>符合性审查不合格</w:t>
      </w:r>
      <w:r>
        <w:rPr>
          <w:rFonts w:hint="eastAsia" w:ascii="宋体" w:hAnsi="宋体" w:eastAsia="宋体" w:cs="宋体"/>
          <w:color w:val="auto"/>
          <w:sz w:val="21"/>
          <w:szCs w:val="21"/>
          <w:highlight w:val="none"/>
        </w:rPr>
        <w:t>。</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firstLine="42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jc w:val="center"/>
        <w:rPr>
          <w:rFonts w:hint="default" w:ascii="Calibri" w:hAnsi="Calibri" w:cs="Calibri"/>
          <w:color w:val="auto"/>
          <w:sz w:val="21"/>
          <w:szCs w:val="21"/>
          <w:highlight w:val="none"/>
        </w:rPr>
      </w:pPr>
      <w:r>
        <w:rPr>
          <w:rFonts w:hint="default" w:ascii="Calibri" w:hAnsi="Calibri" w:cs="Calibri"/>
          <w:color w:val="auto"/>
          <w:sz w:val="21"/>
          <w:szCs w:val="21"/>
          <w:highlight w:val="none"/>
        </w:rPr>
        <w:br w:type="textWrapping"/>
      </w:r>
    </w:p>
    <w:p>
      <w:pPr>
        <w:rPr>
          <w:rFonts w:hint="default" w:ascii="Calibri" w:hAnsi="Calibri" w:cs="Calibri"/>
          <w:color w:val="auto"/>
          <w:sz w:val="21"/>
          <w:szCs w:val="21"/>
          <w:highlight w:val="none"/>
        </w:rPr>
      </w:pPr>
      <w:r>
        <w:rPr>
          <w:rFonts w:hint="default" w:ascii="Calibri" w:hAnsi="Calibri" w:cs="Calibri"/>
          <w:color w:val="auto"/>
          <w:sz w:val="21"/>
          <w:szCs w:val="21"/>
          <w:highlight w:val="none"/>
        </w:rPr>
        <w:br w:type="page"/>
      </w:r>
    </w:p>
    <w:p>
      <w:pPr>
        <w:pStyle w:val="11"/>
        <w:keepNext w:val="0"/>
        <w:keepLines w:val="0"/>
        <w:widowControl/>
        <w:suppressLineNumbers w:val="0"/>
        <w:spacing w:before="0" w:beforeAutospacing="0" w:after="150" w:afterAutospacing="0"/>
        <w:ind w:left="0" w:right="0"/>
        <w:jc w:val="center"/>
        <w:rPr>
          <w:color w:val="auto"/>
          <w:highlight w:val="none"/>
        </w:rPr>
      </w:pPr>
      <w:r>
        <w:rPr>
          <w:rStyle w:val="13"/>
          <w:rFonts w:hint="eastAsia" w:ascii="宋体" w:hAnsi="宋体" w:eastAsia="宋体" w:cs="宋体"/>
          <w:b/>
          <w:bCs/>
          <w:color w:val="auto"/>
          <w:sz w:val="21"/>
          <w:szCs w:val="21"/>
          <w:highlight w:val="none"/>
        </w:rPr>
        <w:t>一、标的说明一览表</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w:t>
      </w:r>
    </w:p>
    <w:tbl>
      <w:tblPr>
        <w:tblStyle w:val="1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958"/>
        <w:gridCol w:w="854"/>
        <w:gridCol w:w="1691"/>
        <w:gridCol w:w="854"/>
        <w:gridCol w:w="1139"/>
        <w:gridCol w:w="1138"/>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958"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采购包</w:t>
            </w:r>
          </w:p>
        </w:tc>
        <w:tc>
          <w:tcPr>
            <w:tcW w:w="854"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品目号</w:t>
            </w:r>
          </w:p>
        </w:tc>
        <w:tc>
          <w:tcPr>
            <w:tcW w:w="1691"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投标标的</w:t>
            </w:r>
          </w:p>
        </w:tc>
        <w:tc>
          <w:tcPr>
            <w:tcW w:w="854"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数量</w:t>
            </w:r>
          </w:p>
        </w:tc>
        <w:tc>
          <w:tcPr>
            <w:tcW w:w="1139"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规格（品牌/型号）</w:t>
            </w:r>
          </w:p>
        </w:tc>
        <w:tc>
          <w:tcPr>
            <w:tcW w:w="1138"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来源地</w:t>
            </w:r>
          </w:p>
        </w:tc>
        <w:tc>
          <w:tcPr>
            <w:tcW w:w="1886"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958" w:type="dxa"/>
            <w:vMerge w:val="restart"/>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w:t>
            </w:r>
          </w:p>
        </w:tc>
        <w:tc>
          <w:tcPr>
            <w:tcW w:w="854"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*-1</w:t>
            </w:r>
          </w:p>
        </w:tc>
        <w:tc>
          <w:tcPr>
            <w:tcW w:w="1691"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854"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139"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138"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886"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958" w:type="dxa"/>
            <w:vMerge w:val="continue"/>
            <w:shd w:val="clear" w:color="auto" w:fill="auto"/>
            <w:tcMar>
              <w:top w:w="0" w:type="dxa"/>
              <w:left w:w="105" w:type="dxa"/>
              <w:bottom w:w="0" w:type="dxa"/>
              <w:right w:w="105" w:type="dxa"/>
            </w:tcMar>
            <w:vAlign w:val="center"/>
          </w:tcPr>
          <w:p>
            <w:pPr>
              <w:rPr>
                <w:rFonts w:hint="eastAsia" w:ascii="宋体"/>
                <w:color w:val="auto"/>
                <w:sz w:val="24"/>
                <w:szCs w:val="24"/>
                <w:highlight w:val="none"/>
              </w:rPr>
            </w:pPr>
          </w:p>
        </w:tc>
        <w:tc>
          <w:tcPr>
            <w:tcW w:w="854"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default" w:ascii="Calibri" w:hAnsi="Calibri" w:cs="Calibri"/>
                <w:color w:val="auto"/>
                <w:sz w:val="21"/>
                <w:szCs w:val="21"/>
                <w:highlight w:val="none"/>
              </w:rPr>
              <w:t>…</w:t>
            </w:r>
          </w:p>
        </w:tc>
        <w:tc>
          <w:tcPr>
            <w:tcW w:w="1691"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854"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139"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138"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886"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958"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default" w:ascii="Calibri" w:hAnsi="Calibri" w:cs="Calibri"/>
                <w:color w:val="auto"/>
                <w:sz w:val="21"/>
                <w:szCs w:val="21"/>
                <w:highlight w:val="none"/>
              </w:rPr>
              <w:t>…</w:t>
            </w:r>
          </w:p>
        </w:tc>
        <w:tc>
          <w:tcPr>
            <w:tcW w:w="854"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691"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854"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139"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138"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886"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r>
    </w:tbl>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※注意：</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1、本表应按照下列规定填写：</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1.1“采购包”、“品目号”、“投标标的”及“数量”应与招标文件《采购标的一览表》中的有关内容（“采购包”、“品目号”、“采购标的”及“数量”）保持一致。</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1.2“投标标的”为货物的：</w:t>
      </w:r>
      <w:r>
        <w:rPr>
          <w:rStyle w:val="13"/>
          <w:rFonts w:hint="eastAsia" w:ascii="宋体" w:hAnsi="宋体" w:eastAsia="宋体" w:cs="宋体"/>
          <w:b/>
          <w:bCs/>
          <w:color w:val="auto"/>
          <w:sz w:val="21"/>
          <w:szCs w:val="21"/>
          <w:highlight w:val="none"/>
        </w:rPr>
        <w:t>“规格”</w:t>
      </w:r>
      <w:r>
        <w:rPr>
          <w:rFonts w:hint="eastAsia" w:ascii="宋体" w:hAnsi="宋体" w:eastAsia="宋体" w:cs="宋体"/>
          <w:color w:val="auto"/>
          <w:sz w:val="21"/>
          <w:szCs w:val="21"/>
          <w:highlight w:val="none"/>
        </w:rPr>
        <w:t>项下应填写货物制造厂商赋予的品牌（属于节能、环保清单产品的货物，填写的品牌名称应与清单载明的品牌名称保持一致）及具体型号。</w:t>
      </w:r>
      <w:r>
        <w:rPr>
          <w:rStyle w:val="13"/>
          <w:rFonts w:hint="eastAsia" w:ascii="宋体" w:hAnsi="宋体" w:eastAsia="宋体" w:cs="宋体"/>
          <w:b/>
          <w:bCs/>
          <w:color w:val="auto"/>
          <w:sz w:val="21"/>
          <w:szCs w:val="21"/>
          <w:highlight w:val="none"/>
        </w:rPr>
        <w:t>“来源地”</w:t>
      </w:r>
      <w:r>
        <w:rPr>
          <w:rFonts w:hint="eastAsia" w:ascii="宋体" w:hAnsi="宋体" w:eastAsia="宋体" w:cs="宋体"/>
          <w:color w:val="auto"/>
          <w:sz w:val="21"/>
          <w:szCs w:val="21"/>
          <w:highlight w:val="none"/>
        </w:rPr>
        <w:t>应填写货物的原产地。</w:t>
      </w:r>
      <w:r>
        <w:rPr>
          <w:rStyle w:val="13"/>
          <w:rFonts w:hint="eastAsia" w:ascii="宋体" w:hAnsi="宋体" w:eastAsia="宋体" w:cs="宋体"/>
          <w:b/>
          <w:bCs/>
          <w:color w:val="auto"/>
          <w:sz w:val="21"/>
          <w:szCs w:val="21"/>
          <w:highlight w:val="none"/>
        </w:rPr>
        <w:t>“备注”</w:t>
      </w:r>
      <w:r>
        <w:rPr>
          <w:rFonts w:hint="eastAsia" w:ascii="宋体" w:hAnsi="宋体" w:eastAsia="宋体" w:cs="宋体"/>
          <w:color w:val="auto"/>
          <w:sz w:val="21"/>
          <w:szCs w:val="21"/>
          <w:highlight w:val="none"/>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1.3“投标标的”为服务的：</w:t>
      </w:r>
      <w:r>
        <w:rPr>
          <w:rStyle w:val="13"/>
          <w:rFonts w:hint="eastAsia" w:ascii="宋体" w:hAnsi="宋体" w:eastAsia="宋体" w:cs="宋体"/>
          <w:b/>
          <w:bCs/>
          <w:color w:val="auto"/>
          <w:sz w:val="21"/>
          <w:szCs w:val="21"/>
          <w:highlight w:val="none"/>
        </w:rPr>
        <w:t>“规格”</w:t>
      </w:r>
      <w:r>
        <w:rPr>
          <w:rFonts w:hint="eastAsia" w:ascii="宋体" w:hAnsi="宋体" w:eastAsia="宋体" w:cs="宋体"/>
          <w:color w:val="auto"/>
          <w:sz w:val="21"/>
          <w:szCs w:val="21"/>
          <w:highlight w:val="none"/>
        </w:rPr>
        <w:t>项下应填写服务提供者提供的服务标准及品牌（若有）。</w:t>
      </w:r>
      <w:r>
        <w:rPr>
          <w:rStyle w:val="13"/>
          <w:rFonts w:hint="eastAsia" w:ascii="宋体" w:hAnsi="宋体" w:eastAsia="宋体" w:cs="宋体"/>
          <w:b/>
          <w:bCs/>
          <w:color w:val="auto"/>
          <w:sz w:val="21"/>
          <w:szCs w:val="21"/>
          <w:highlight w:val="none"/>
        </w:rPr>
        <w:t>“来源地”</w:t>
      </w:r>
      <w:r>
        <w:rPr>
          <w:rFonts w:hint="eastAsia" w:ascii="宋体" w:hAnsi="宋体" w:eastAsia="宋体" w:cs="宋体"/>
          <w:color w:val="auto"/>
          <w:sz w:val="21"/>
          <w:szCs w:val="21"/>
          <w:highlight w:val="none"/>
        </w:rPr>
        <w:t>应填写服务提供者的所在地。</w:t>
      </w:r>
      <w:r>
        <w:rPr>
          <w:rStyle w:val="13"/>
          <w:rFonts w:hint="eastAsia" w:ascii="宋体" w:hAnsi="宋体" w:eastAsia="宋体" w:cs="宋体"/>
          <w:b/>
          <w:bCs/>
          <w:color w:val="auto"/>
          <w:sz w:val="21"/>
          <w:szCs w:val="21"/>
          <w:highlight w:val="none"/>
        </w:rPr>
        <w:t>“备注”</w:t>
      </w:r>
      <w:r>
        <w:rPr>
          <w:rFonts w:hint="eastAsia" w:ascii="宋体" w:hAnsi="宋体" w:eastAsia="宋体" w:cs="宋体"/>
          <w:color w:val="auto"/>
          <w:sz w:val="21"/>
          <w:szCs w:val="21"/>
          <w:highlight w:val="none"/>
        </w:rPr>
        <w:t>项下应填写关于服务标准所涵盖的具体项目或内容的说明等。</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3、电子投标文件中涉及</w:t>
      </w:r>
      <w:r>
        <w:rPr>
          <w:rStyle w:val="13"/>
          <w:rFonts w:hint="eastAsia" w:ascii="宋体" w:hAnsi="宋体" w:eastAsia="宋体" w:cs="宋体"/>
          <w:b/>
          <w:bCs/>
          <w:color w:val="auto"/>
          <w:sz w:val="21"/>
          <w:szCs w:val="21"/>
          <w:highlight w:val="none"/>
        </w:rPr>
        <w:t>“投标标的”、“数量”、“规格”、“来源地”</w:t>
      </w:r>
      <w:r>
        <w:rPr>
          <w:rFonts w:hint="eastAsia" w:ascii="宋体" w:hAnsi="宋体" w:eastAsia="宋体" w:cs="宋体"/>
          <w:color w:val="auto"/>
          <w:sz w:val="21"/>
          <w:szCs w:val="21"/>
          <w:highlight w:val="none"/>
        </w:rPr>
        <w:t>的内容若不一致，</w:t>
      </w:r>
      <w:r>
        <w:rPr>
          <w:rStyle w:val="13"/>
          <w:rFonts w:hint="eastAsia" w:ascii="宋体" w:hAnsi="宋体" w:eastAsia="宋体" w:cs="宋体"/>
          <w:b/>
          <w:bCs/>
          <w:color w:val="auto"/>
          <w:sz w:val="21"/>
          <w:szCs w:val="21"/>
          <w:highlight w:val="none"/>
        </w:rPr>
        <w:t>应以本表为准</w:t>
      </w:r>
      <w:r>
        <w:rPr>
          <w:rFonts w:hint="eastAsia" w:ascii="宋体" w:hAnsi="宋体" w:eastAsia="宋体" w:cs="宋体"/>
          <w:color w:val="auto"/>
          <w:sz w:val="21"/>
          <w:szCs w:val="21"/>
          <w:highlight w:val="none"/>
        </w:rPr>
        <w:t>。</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jc w:val="center"/>
        <w:rPr>
          <w:rStyle w:val="13"/>
          <w:rFonts w:hint="default" w:ascii="Calibri" w:hAnsi="Calibri" w:cs="Calibri"/>
          <w:b/>
          <w:bCs/>
          <w:color w:val="auto"/>
          <w:sz w:val="21"/>
          <w:szCs w:val="21"/>
          <w:highlight w:val="none"/>
        </w:rPr>
      </w:pPr>
      <w:r>
        <w:rPr>
          <w:rStyle w:val="13"/>
          <w:rFonts w:hint="default" w:ascii="Calibri" w:hAnsi="Calibri" w:cs="Calibri"/>
          <w:b/>
          <w:bCs/>
          <w:color w:val="auto"/>
          <w:sz w:val="21"/>
          <w:szCs w:val="21"/>
          <w:highlight w:val="none"/>
        </w:rPr>
        <w:br w:type="textWrapping"/>
      </w:r>
    </w:p>
    <w:p>
      <w:pPr>
        <w:rPr>
          <w:rStyle w:val="13"/>
          <w:rFonts w:hint="default" w:ascii="Calibri" w:hAnsi="Calibri" w:cs="Calibri"/>
          <w:b/>
          <w:bCs/>
          <w:color w:val="auto"/>
          <w:sz w:val="21"/>
          <w:szCs w:val="21"/>
          <w:highlight w:val="none"/>
        </w:rPr>
      </w:pPr>
      <w:r>
        <w:rPr>
          <w:rStyle w:val="13"/>
          <w:rFonts w:hint="default" w:ascii="Calibri" w:hAnsi="Calibri" w:cs="Calibri"/>
          <w:b/>
          <w:bCs/>
          <w:color w:val="auto"/>
          <w:sz w:val="21"/>
          <w:szCs w:val="21"/>
          <w:highlight w:val="none"/>
        </w:rPr>
        <w:br w:type="page"/>
      </w:r>
    </w:p>
    <w:p>
      <w:pPr>
        <w:pStyle w:val="11"/>
        <w:keepNext w:val="0"/>
        <w:keepLines w:val="0"/>
        <w:widowControl/>
        <w:suppressLineNumbers w:val="0"/>
        <w:spacing w:before="0" w:beforeAutospacing="0" w:after="150" w:afterAutospacing="0"/>
        <w:ind w:left="0" w:right="0"/>
        <w:jc w:val="center"/>
        <w:rPr>
          <w:color w:val="auto"/>
          <w:highlight w:val="none"/>
        </w:rPr>
      </w:pPr>
      <w:r>
        <w:rPr>
          <w:rStyle w:val="13"/>
          <w:rFonts w:hint="eastAsia" w:ascii="宋体" w:hAnsi="宋体" w:eastAsia="宋体" w:cs="宋体"/>
          <w:b/>
          <w:bCs/>
          <w:color w:val="auto"/>
          <w:sz w:val="21"/>
          <w:szCs w:val="21"/>
          <w:highlight w:val="none"/>
        </w:rPr>
        <w:t>二、技术和服务要求响应表</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w:t>
      </w:r>
    </w:p>
    <w:tbl>
      <w:tblPr>
        <w:tblStyle w:val="1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960"/>
        <w:gridCol w:w="855"/>
        <w:gridCol w:w="2970"/>
        <w:gridCol w:w="184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55" w:hRule="atLeast"/>
        </w:trPr>
        <w:tc>
          <w:tcPr>
            <w:tcW w:w="960"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采购包</w:t>
            </w:r>
          </w:p>
        </w:tc>
        <w:tc>
          <w:tcPr>
            <w:tcW w:w="85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品目号</w:t>
            </w:r>
          </w:p>
        </w:tc>
        <w:tc>
          <w:tcPr>
            <w:tcW w:w="2970"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技术和服务要求</w:t>
            </w:r>
          </w:p>
        </w:tc>
        <w:tc>
          <w:tcPr>
            <w:tcW w:w="184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投标响应</w:t>
            </w:r>
          </w:p>
        </w:tc>
        <w:tc>
          <w:tcPr>
            <w:tcW w:w="1890"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960" w:type="dxa"/>
            <w:vMerge w:val="restart"/>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w:t>
            </w:r>
          </w:p>
        </w:tc>
        <w:tc>
          <w:tcPr>
            <w:tcW w:w="85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*-1</w:t>
            </w:r>
          </w:p>
        </w:tc>
        <w:tc>
          <w:tcPr>
            <w:tcW w:w="2970"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845"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890"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960" w:type="dxa"/>
            <w:vMerge w:val="continue"/>
            <w:shd w:val="clear" w:color="auto" w:fill="auto"/>
            <w:tcMar>
              <w:top w:w="0" w:type="dxa"/>
              <w:left w:w="105" w:type="dxa"/>
              <w:bottom w:w="0" w:type="dxa"/>
              <w:right w:w="105" w:type="dxa"/>
            </w:tcMar>
            <w:vAlign w:val="center"/>
          </w:tcPr>
          <w:p>
            <w:pPr>
              <w:rPr>
                <w:rFonts w:hint="eastAsia" w:ascii="宋体"/>
                <w:color w:val="auto"/>
                <w:sz w:val="24"/>
                <w:szCs w:val="24"/>
                <w:highlight w:val="none"/>
              </w:rPr>
            </w:pPr>
          </w:p>
        </w:tc>
        <w:tc>
          <w:tcPr>
            <w:tcW w:w="85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default" w:ascii="Calibri" w:hAnsi="Calibri" w:cs="Calibri"/>
                <w:color w:val="auto"/>
                <w:sz w:val="21"/>
                <w:szCs w:val="21"/>
                <w:highlight w:val="none"/>
              </w:rPr>
              <w:t>…</w:t>
            </w:r>
          </w:p>
        </w:tc>
        <w:tc>
          <w:tcPr>
            <w:tcW w:w="2970"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845"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890"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960"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default" w:ascii="Calibri" w:hAnsi="Calibri" w:cs="Calibri"/>
                <w:color w:val="auto"/>
                <w:sz w:val="21"/>
                <w:szCs w:val="21"/>
                <w:highlight w:val="none"/>
              </w:rPr>
              <w:t>…</w:t>
            </w:r>
          </w:p>
        </w:tc>
        <w:tc>
          <w:tcPr>
            <w:tcW w:w="855"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2970"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845"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890"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r>
    </w:tbl>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※注意：</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1、本表应按照下列规定填写：</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1.1“技术和服务要求”项下填写的内容应与招标文件第五章“技术和服务要求”的内容保持一致。</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1.3“是否偏离及说明”项下应按下列规定填写：优于的，填写“正偏离”；符合的，填写“无偏离”；低于的，填写“负偏离”。</w:t>
      </w:r>
    </w:p>
    <w:p>
      <w:pPr>
        <w:pStyle w:val="11"/>
        <w:keepNext w:val="0"/>
        <w:keepLines w:val="0"/>
        <w:widowControl/>
        <w:suppressLineNumbers w:val="0"/>
        <w:spacing w:before="75" w:beforeAutospacing="0" w:after="75" w:afterAutospacing="0"/>
        <w:ind w:left="0" w:right="0"/>
        <w:rPr>
          <w:color w:val="auto"/>
          <w:highlight w:val="none"/>
        </w:rPr>
      </w:pPr>
      <w:r>
        <w:rPr>
          <w:rFonts w:hint="eastAsia" w:ascii="宋体" w:hAnsi="宋体" w:eastAsia="宋体" w:cs="宋体"/>
          <w:color w:val="auto"/>
          <w:sz w:val="21"/>
          <w:szCs w:val="21"/>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jc w:val="center"/>
        <w:rPr>
          <w:rFonts w:hint="default" w:ascii="Calibri" w:hAnsi="Calibri" w:cs="Calibri"/>
          <w:color w:val="auto"/>
          <w:sz w:val="21"/>
          <w:szCs w:val="21"/>
          <w:highlight w:val="none"/>
        </w:rPr>
      </w:pPr>
      <w:r>
        <w:rPr>
          <w:rFonts w:hint="default" w:ascii="Calibri" w:hAnsi="Calibri" w:cs="Calibri"/>
          <w:color w:val="auto"/>
          <w:sz w:val="21"/>
          <w:szCs w:val="21"/>
          <w:highlight w:val="none"/>
        </w:rPr>
        <w:br w:type="textWrapping"/>
      </w:r>
    </w:p>
    <w:p>
      <w:pPr>
        <w:rPr>
          <w:rFonts w:hint="default" w:ascii="Calibri" w:hAnsi="Calibri" w:cs="Calibri"/>
          <w:color w:val="auto"/>
          <w:sz w:val="21"/>
          <w:szCs w:val="21"/>
          <w:highlight w:val="none"/>
        </w:rPr>
      </w:pPr>
      <w:r>
        <w:rPr>
          <w:rFonts w:hint="default" w:ascii="Calibri" w:hAnsi="Calibri" w:cs="Calibri"/>
          <w:color w:val="auto"/>
          <w:sz w:val="21"/>
          <w:szCs w:val="21"/>
          <w:highlight w:val="none"/>
        </w:rPr>
        <w:br w:type="page"/>
      </w:r>
    </w:p>
    <w:p>
      <w:pPr>
        <w:pStyle w:val="11"/>
        <w:keepNext w:val="0"/>
        <w:keepLines w:val="0"/>
        <w:widowControl/>
        <w:suppressLineNumbers w:val="0"/>
        <w:spacing w:before="0" w:beforeAutospacing="0" w:after="150" w:afterAutospacing="0"/>
        <w:ind w:left="0" w:right="0"/>
        <w:jc w:val="center"/>
        <w:rPr>
          <w:color w:val="auto"/>
          <w:highlight w:val="none"/>
        </w:rPr>
      </w:pPr>
      <w:r>
        <w:rPr>
          <w:rStyle w:val="13"/>
          <w:rFonts w:hint="eastAsia" w:ascii="宋体" w:hAnsi="宋体" w:eastAsia="宋体" w:cs="宋体"/>
          <w:b/>
          <w:bCs/>
          <w:color w:val="auto"/>
          <w:sz w:val="21"/>
          <w:szCs w:val="21"/>
          <w:highlight w:val="none"/>
        </w:rPr>
        <w:t>三、商务条件响应表</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w:t>
      </w:r>
    </w:p>
    <w:tbl>
      <w:tblPr>
        <w:tblStyle w:val="1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960"/>
        <w:gridCol w:w="855"/>
        <w:gridCol w:w="2970"/>
        <w:gridCol w:w="184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c>
          <w:tcPr>
            <w:tcW w:w="960"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采购包</w:t>
            </w:r>
          </w:p>
        </w:tc>
        <w:tc>
          <w:tcPr>
            <w:tcW w:w="85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品目号</w:t>
            </w:r>
          </w:p>
        </w:tc>
        <w:tc>
          <w:tcPr>
            <w:tcW w:w="2970"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商务条件</w:t>
            </w:r>
          </w:p>
        </w:tc>
        <w:tc>
          <w:tcPr>
            <w:tcW w:w="184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投标响应</w:t>
            </w:r>
          </w:p>
        </w:tc>
        <w:tc>
          <w:tcPr>
            <w:tcW w:w="1890"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960" w:type="dxa"/>
            <w:vMerge w:val="restart"/>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w:t>
            </w:r>
          </w:p>
        </w:tc>
        <w:tc>
          <w:tcPr>
            <w:tcW w:w="85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*-1</w:t>
            </w:r>
          </w:p>
        </w:tc>
        <w:tc>
          <w:tcPr>
            <w:tcW w:w="2970"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845"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890"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960" w:type="dxa"/>
            <w:vMerge w:val="continue"/>
            <w:shd w:val="clear" w:color="auto" w:fill="auto"/>
            <w:tcMar>
              <w:top w:w="0" w:type="dxa"/>
              <w:left w:w="105" w:type="dxa"/>
              <w:bottom w:w="0" w:type="dxa"/>
              <w:right w:w="105" w:type="dxa"/>
            </w:tcMar>
            <w:vAlign w:val="center"/>
          </w:tcPr>
          <w:p>
            <w:pPr>
              <w:rPr>
                <w:rFonts w:hint="eastAsia" w:ascii="宋体"/>
                <w:color w:val="auto"/>
                <w:sz w:val="24"/>
                <w:szCs w:val="24"/>
                <w:highlight w:val="none"/>
              </w:rPr>
            </w:pPr>
          </w:p>
        </w:tc>
        <w:tc>
          <w:tcPr>
            <w:tcW w:w="85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default" w:ascii="Calibri" w:hAnsi="Calibri" w:cs="Calibri"/>
                <w:color w:val="auto"/>
                <w:sz w:val="21"/>
                <w:szCs w:val="21"/>
                <w:highlight w:val="none"/>
              </w:rPr>
              <w:t>…</w:t>
            </w:r>
          </w:p>
        </w:tc>
        <w:tc>
          <w:tcPr>
            <w:tcW w:w="2970"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845"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890"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960"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color w:val="auto"/>
                <w:highlight w:val="none"/>
              </w:rPr>
            </w:pPr>
            <w:r>
              <w:rPr>
                <w:rFonts w:hint="default" w:ascii="Calibri" w:hAnsi="Calibri" w:cs="Calibri"/>
                <w:color w:val="auto"/>
                <w:sz w:val="21"/>
                <w:szCs w:val="21"/>
                <w:highlight w:val="none"/>
              </w:rPr>
              <w:t>…</w:t>
            </w:r>
          </w:p>
        </w:tc>
        <w:tc>
          <w:tcPr>
            <w:tcW w:w="855"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2970"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845"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890"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r>
    </w:tbl>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※注意：</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1、本表应按照下列规定填写：</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1.1“商务条件”项下填写的内容应与招标文件第五章“商务条件”的内容保持一致。</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1.2“投标响应”项下应填写具体的响应内容并与“商务条件”项下填写的内容逐项对应；对“商务条件”项下涉及“≥或＞”、“≤或＜”及某个区间值范围内的内容，应填写具体的数值。</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1.3“是否偏离及说明”项下应按下列规定填写：优于的，填写“正偏离”；符合的，填写“无偏离”；低于的，填写“负偏离”。</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1"/>
        <w:keepNext w:val="0"/>
        <w:keepLines w:val="0"/>
        <w:widowControl/>
        <w:suppressLineNumbers w:val="0"/>
        <w:spacing w:before="0" w:beforeAutospacing="0" w:after="150" w:afterAutospacing="0"/>
        <w:ind w:left="0" w:right="0"/>
        <w:rPr>
          <w:color w:val="auto"/>
          <w:highlight w:val="none"/>
        </w:rPr>
      </w:pP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240" w:afterAutospacing="0"/>
        <w:ind w:left="0" w:right="0"/>
        <w:rPr>
          <w:color w:val="auto"/>
          <w:highlight w:val="none"/>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rPr>
        <w:br w:type="textWrapping"/>
      </w:r>
    </w:p>
    <w:p>
      <w:pPr>
        <w:pStyle w:val="11"/>
        <w:keepNext w:val="0"/>
        <w:keepLines w:val="0"/>
        <w:widowControl/>
        <w:suppressLineNumbers w:val="0"/>
        <w:spacing w:before="0" w:beforeAutospacing="0" w:after="15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textWrapping"/>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11"/>
        <w:keepNext w:val="0"/>
        <w:keepLines w:val="0"/>
        <w:widowControl/>
        <w:suppressLineNumbers w:val="0"/>
        <w:spacing w:before="0" w:beforeAutospacing="0" w:after="150" w:afterAutospacing="0"/>
        <w:ind w:left="0" w:right="0"/>
        <w:jc w:val="center"/>
        <w:rPr>
          <w:color w:val="auto"/>
          <w:highlight w:val="none"/>
        </w:rPr>
      </w:pPr>
      <w:r>
        <w:rPr>
          <w:rStyle w:val="13"/>
          <w:rFonts w:hint="eastAsia" w:ascii="宋体" w:hAnsi="宋体" w:eastAsia="宋体" w:cs="宋体"/>
          <w:b/>
          <w:bCs/>
          <w:color w:val="auto"/>
          <w:sz w:val="21"/>
          <w:szCs w:val="21"/>
          <w:highlight w:val="none"/>
        </w:rPr>
        <w:t>四、投标人提交的其他资料（若有）</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编制说明</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1、招标文件要求提交的除</w:t>
      </w:r>
      <w:r>
        <w:rPr>
          <w:rStyle w:val="13"/>
          <w:rFonts w:hint="eastAsia" w:ascii="宋体" w:hAnsi="宋体" w:eastAsia="宋体" w:cs="宋体"/>
          <w:b/>
          <w:bCs/>
          <w:color w:val="auto"/>
          <w:sz w:val="21"/>
          <w:szCs w:val="21"/>
          <w:highlight w:val="none"/>
        </w:rPr>
        <w:t>“资格及资信证明部分”、“报价部分”</w:t>
      </w:r>
      <w:r>
        <w:rPr>
          <w:rFonts w:hint="eastAsia" w:ascii="宋体" w:hAnsi="宋体" w:eastAsia="宋体" w:cs="宋体"/>
          <w:color w:val="auto"/>
          <w:sz w:val="21"/>
          <w:szCs w:val="21"/>
          <w:highlight w:val="none"/>
        </w:rPr>
        <w:t>外的其他证明材料或资料加盖投标人的单位公章后应在此项下提交。</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2、招标文件要求投标人提供方案（包括但不限于：组织、实施、技术、服务方案等）的，投标人应在此项下提交。</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3、除招标文件另有规定外，投标人认为需要提交的其他证明材料或资料加盖投标人的单位公章后应在此项下提交。</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 </w:t>
      </w:r>
    </w:p>
    <w:p>
      <w:pPr>
        <w:pStyle w:val="11"/>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5"/>
        <w:keepNext w:val="0"/>
        <w:keepLines w:val="0"/>
        <w:widowControl/>
        <w:suppressLineNumbers w:val="0"/>
        <w:shd w:val="clear" w:fill="FFFFFF"/>
        <w:spacing w:before="300" w:beforeAutospacing="0" w:after="150" w:afterAutospacing="0" w:line="17" w:lineRule="atLeast"/>
        <w:ind w:left="0" w:firstLine="0"/>
        <w:rPr>
          <w:rFonts w:hint="default" w:ascii="Helvetica" w:hAnsi="Helvetica" w:eastAsia="Helvetica" w:cs="Helvetica"/>
          <w:b w:val="0"/>
          <w:bCs w:val="0"/>
          <w:i w:val="0"/>
          <w:iCs w:val="0"/>
          <w:caps w:val="0"/>
          <w:color w:val="auto"/>
          <w:spacing w:val="0"/>
          <w:sz w:val="33"/>
          <w:szCs w:val="33"/>
          <w:highlight w:val="none"/>
        </w:rPr>
      </w:pPr>
      <w:r>
        <w:rPr>
          <w:rFonts w:hint="default" w:ascii="Helvetica" w:hAnsi="Helvetica" w:eastAsia="Helvetica" w:cs="Helvetica"/>
          <w:b w:val="0"/>
          <w:bCs w:val="0"/>
          <w:i w:val="0"/>
          <w:iCs w:val="0"/>
          <w:caps w:val="0"/>
          <w:color w:val="auto"/>
          <w:spacing w:val="0"/>
          <w:sz w:val="33"/>
          <w:szCs w:val="33"/>
          <w:highlight w:val="none"/>
          <w:shd w:val="clear" w:fill="FFFFFF"/>
        </w:rPr>
        <w:t>采购文件相关附件</w:t>
      </w:r>
    </w:p>
    <w:p>
      <w:pPr>
        <w:rPr>
          <w:color w:val="auto"/>
          <w:highlight w:val="none"/>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 w:name="MS PGothic">
    <w:panose1 w:val="020B0600070205080204"/>
    <w:charset w:val="80"/>
    <w:family w:val="auto"/>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5A0EF3"/>
    <w:multiLevelType w:val="singleLevel"/>
    <w:tmpl w:val="9E5A0EF3"/>
    <w:lvl w:ilvl="0" w:tentative="0">
      <w:start w:val="1"/>
      <w:numFmt w:val="decimalEnclosedCircleChinese"/>
      <w:suff w:val="nothing"/>
      <w:lvlText w:val="%1　"/>
      <w:lvlJc w:val="left"/>
      <w:pPr>
        <w:ind w:left="0" w:firstLine="400"/>
      </w:pPr>
      <w:rPr>
        <w:rFonts w:hint="eastAsia"/>
      </w:rPr>
    </w:lvl>
  </w:abstractNum>
  <w:abstractNum w:abstractNumId="1">
    <w:nsid w:val="A26D1F08"/>
    <w:multiLevelType w:val="singleLevel"/>
    <w:tmpl w:val="A26D1F08"/>
    <w:lvl w:ilvl="0" w:tentative="0">
      <w:start w:val="3"/>
      <w:numFmt w:val="chineseCounting"/>
      <w:suff w:val="nothing"/>
      <w:lvlText w:val="（%1）"/>
      <w:lvlJc w:val="left"/>
      <w:pPr>
        <w:ind w:left="-400"/>
      </w:pPr>
      <w:rPr>
        <w:rFonts w:hint="eastAsia"/>
      </w:rPr>
    </w:lvl>
  </w:abstractNum>
  <w:abstractNum w:abstractNumId="2">
    <w:nsid w:val="C76B3313"/>
    <w:multiLevelType w:val="singleLevel"/>
    <w:tmpl w:val="C76B3313"/>
    <w:lvl w:ilvl="0" w:tentative="0">
      <w:start w:val="1"/>
      <w:numFmt w:val="decimal"/>
      <w:suff w:val="nothing"/>
      <w:lvlText w:val="（%1）"/>
      <w:lvlJc w:val="left"/>
    </w:lvl>
  </w:abstractNum>
  <w:abstractNum w:abstractNumId="3">
    <w:nsid w:val="21BE7C7F"/>
    <w:multiLevelType w:val="singleLevel"/>
    <w:tmpl w:val="21BE7C7F"/>
    <w:lvl w:ilvl="0" w:tentative="0">
      <w:start w:val="1"/>
      <w:numFmt w:val="decimalEnclosedCircleChinese"/>
      <w:suff w:val="nothing"/>
      <w:lvlText w:val="%1　"/>
      <w:lvlJc w:val="left"/>
      <w:pPr>
        <w:ind w:left="0" w:firstLine="400"/>
      </w:pPr>
      <w:rPr>
        <w:rFonts w:hint="eastAsia"/>
      </w:rPr>
    </w:lvl>
  </w:abstractNum>
  <w:abstractNum w:abstractNumId="4">
    <w:nsid w:val="63804B3A"/>
    <w:multiLevelType w:val="singleLevel"/>
    <w:tmpl w:val="63804B3A"/>
    <w:lvl w:ilvl="0" w:tentative="0">
      <w:start w:val="1"/>
      <w:numFmt w:val="decimalEnclosedCircleChinese"/>
      <w:suff w:val="nothing"/>
      <w:lvlText w:val="%1　"/>
      <w:lvlJc w:val="left"/>
      <w:pPr>
        <w:ind w:left="0" w:firstLine="400"/>
      </w:pPr>
      <w:rPr>
        <w:rFonts w:hint="eastAsia"/>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zNTQ0YjExYzcwYjRmNzcxYTZiMGNiMzBiYmZiYTIifQ=="/>
  </w:docVars>
  <w:rsids>
    <w:rsidRoot w:val="48A3618C"/>
    <w:rsid w:val="007943A7"/>
    <w:rsid w:val="04666CE5"/>
    <w:rsid w:val="0C246346"/>
    <w:rsid w:val="0D304FFD"/>
    <w:rsid w:val="0DC24FC9"/>
    <w:rsid w:val="0F3876C0"/>
    <w:rsid w:val="156C55BC"/>
    <w:rsid w:val="15DA0777"/>
    <w:rsid w:val="24066307"/>
    <w:rsid w:val="24101808"/>
    <w:rsid w:val="250A26FB"/>
    <w:rsid w:val="2BDA2E28"/>
    <w:rsid w:val="2EB37960"/>
    <w:rsid w:val="318B6972"/>
    <w:rsid w:val="34D4418C"/>
    <w:rsid w:val="39FF3A59"/>
    <w:rsid w:val="3D9B618F"/>
    <w:rsid w:val="3E016501"/>
    <w:rsid w:val="433E7706"/>
    <w:rsid w:val="47867568"/>
    <w:rsid w:val="48A3618C"/>
    <w:rsid w:val="490628D2"/>
    <w:rsid w:val="4D3D7270"/>
    <w:rsid w:val="50AF4B29"/>
    <w:rsid w:val="51013BE6"/>
    <w:rsid w:val="52AB4326"/>
    <w:rsid w:val="52ED0DE3"/>
    <w:rsid w:val="55480552"/>
    <w:rsid w:val="5C2A09B2"/>
    <w:rsid w:val="5CCC5BEA"/>
    <w:rsid w:val="5EB84053"/>
    <w:rsid w:val="64EE0999"/>
    <w:rsid w:val="654949ED"/>
    <w:rsid w:val="668C2425"/>
    <w:rsid w:val="731E2BC7"/>
    <w:rsid w:val="78280044"/>
    <w:rsid w:val="7F4F410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4"/>
    <w:basedOn w:val="1"/>
    <w:next w:val="1"/>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7">
    <w:name w:val="heading 5"/>
    <w:basedOn w:val="1"/>
    <w:next w:val="1"/>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8">
    <w:name w:val="heading 6"/>
    <w:basedOn w:val="1"/>
    <w:next w:val="1"/>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2">
    <w:name w:val="Default Paragraph Font"/>
    <w:semiHidden/>
    <w:qFormat/>
    <w:uiPriority w:val="0"/>
  </w:style>
  <w:style w:type="table" w:default="1" w:styleId="14">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rPr>
      <w:rFonts w:ascii="黑体" w:hAnsi="Courier New" w:eastAsia="黑体"/>
      <w:sz w:val="30"/>
      <w:shd w:val="pct10" w:color="auto" w:fill="FFFFFF"/>
    </w:rPr>
  </w:style>
  <w:style w:type="paragraph" w:styleId="3">
    <w:name w:val="Date"/>
    <w:basedOn w:val="1"/>
    <w:next w:val="1"/>
    <w:qFormat/>
    <w:uiPriority w:val="0"/>
    <w:pPr>
      <w:ind w:left="100" w:leftChars="2500"/>
    </w:p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103</Pages>
  <Words>67739</Words>
  <Characters>70401</Characters>
  <Lines>0</Lines>
  <Paragraphs>0</Paragraphs>
  <TotalTime>0</TotalTime>
  <ScaleCrop>false</ScaleCrop>
  <LinksUpToDate>false</LinksUpToDate>
  <CharactersWithSpaces>72620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2022-08-19T04:35:00Z</dcterms:created>
  <dc:creator>Administrator</dc:creator>
  <cp:lastModifiedBy>江祥昭</cp:lastModifiedBy>
  <dcterms:modified xsi:type="dcterms:W3CDTF">2022-08-22T03:12:47Z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56523DA9FE32463EBB33346B6A941426</vt:lpwstr>
  </property>
</Properties>
</file>