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福州高新区绿地、行道树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绿化养护考核评分表</w:t>
      </w:r>
    </w:p>
    <w:tbl>
      <w:tblPr>
        <w:tblStyle w:val="3"/>
        <w:tblpPr w:leftFromText="180" w:rightFromText="180" w:vertAnchor="text" w:horzAnchor="page" w:tblpX="556" w:tblpY="1"/>
        <w:tblOverlap w:val="never"/>
        <w:tblW w:w="157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674"/>
        <w:gridCol w:w="455"/>
        <w:gridCol w:w="453"/>
        <w:gridCol w:w="1193"/>
        <w:gridCol w:w="3240"/>
        <w:gridCol w:w="1"/>
        <w:gridCol w:w="3240"/>
        <w:gridCol w:w="1"/>
        <w:gridCol w:w="82"/>
        <w:gridCol w:w="3157"/>
        <w:gridCol w:w="2"/>
        <w:gridCol w:w="42"/>
        <w:gridCol w:w="32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32" w:hRule="atLeast"/>
        </w:trPr>
        <w:tc>
          <w:tcPr>
            <w:tcW w:w="674" w:type="dxa"/>
            <w:tcBorders>
              <w:bottom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/>
                <w:sz w:val="16"/>
                <w:szCs w:val="16"/>
                <w:vertAlign w:val="baseline"/>
                <w:lang w:eastAsia="zh-CN"/>
              </w:rPr>
              <w:t>地段：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</w:p>
        </w:tc>
        <w:tc>
          <w:tcPr>
            <w:tcW w:w="453" w:type="dxa"/>
            <w:tcBorders>
              <w:bottom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</w:p>
        </w:tc>
        <w:tc>
          <w:tcPr>
            <w:tcW w:w="1193" w:type="dxa"/>
            <w:tcBorders>
              <w:bottom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</w:p>
        </w:tc>
        <w:tc>
          <w:tcPr>
            <w:tcW w:w="6564" w:type="dxa"/>
            <w:gridSpan w:val="5"/>
            <w:tcBorders>
              <w:bottom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01" w:type="dxa"/>
            <w:gridSpan w:val="3"/>
            <w:tcBorders>
              <w:bottom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时间：</w:t>
            </w:r>
          </w:p>
        </w:tc>
        <w:tc>
          <w:tcPr>
            <w:tcW w:w="3200" w:type="dxa"/>
            <w:tcBorders>
              <w:bottom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考核单位：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99" w:hRule="atLeast"/>
        </w:trPr>
        <w:tc>
          <w:tcPr>
            <w:tcW w:w="674" w:type="dxa"/>
            <w:vMerge w:val="restart"/>
            <w:tcBorders>
              <w:top w:val="single" w:color="auto" w:sz="18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项目</w:t>
            </w:r>
          </w:p>
        </w:tc>
        <w:tc>
          <w:tcPr>
            <w:tcW w:w="455" w:type="dxa"/>
            <w:vMerge w:val="restart"/>
            <w:tcBorders>
              <w:top w:val="single" w:color="auto" w:sz="18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评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分</w:t>
            </w:r>
          </w:p>
        </w:tc>
        <w:tc>
          <w:tcPr>
            <w:tcW w:w="453" w:type="dxa"/>
            <w:vMerge w:val="restart"/>
            <w:tcBorders>
              <w:top w:val="single" w:color="auto" w:sz="18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满分</w:t>
            </w:r>
          </w:p>
        </w:tc>
        <w:tc>
          <w:tcPr>
            <w:tcW w:w="1193" w:type="dxa"/>
            <w:vMerge w:val="restart"/>
            <w:tcBorders>
              <w:top w:val="single" w:color="auto" w:sz="18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备注</w:t>
            </w:r>
          </w:p>
        </w:tc>
        <w:tc>
          <w:tcPr>
            <w:tcW w:w="3241" w:type="dxa"/>
            <w:gridSpan w:val="2"/>
            <w:tcBorders>
              <w:top w:val="single" w:color="auto" w:sz="18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</w:t>
            </w:r>
          </w:p>
        </w:tc>
        <w:tc>
          <w:tcPr>
            <w:tcW w:w="3241" w:type="dxa"/>
            <w:gridSpan w:val="2"/>
            <w:tcBorders>
              <w:top w:val="single" w:color="auto" w:sz="18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</w:t>
            </w:r>
          </w:p>
        </w:tc>
        <w:tc>
          <w:tcPr>
            <w:tcW w:w="3241" w:type="dxa"/>
            <w:gridSpan w:val="3"/>
            <w:tcBorders>
              <w:top w:val="single" w:color="auto" w:sz="18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两园</w:t>
            </w:r>
          </w:p>
        </w:tc>
        <w:tc>
          <w:tcPr>
            <w:tcW w:w="3242" w:type="dxa"/>
            <w:gridSpan w:val="2"/>
            <w:tcBorders>
              <w:top w:val="single" w:color="auto" w:sz="18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绿地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58" w:hRule="atLeast"/>
        </w:trPr>
        <w:tc>
          <w:tcPr>
            <w:tcW w:w="674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5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9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考核评分</w:t>
            </w:r>
          </w:p>
        </w:tc>
        <w:tc>
          <w:tcPr>
            <w:tcW w:w="3241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考核评分</w:t>
            </w:r>
          </w:p>
        </w:tc>
        <w:tc>
          <w:tcPr>
            <w:tcW w:w="3240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考核评分</w:t>
            </w:r>
          </w:p>
        </w:tc>
        <w:tc>
          <w:tcPr>
            <w:tcW w:w="3244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考核评分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42" w:hRule="atLeast"/>
        </w:trPr>
        <w:tc>
          <w:tcPr>
            <w:tcW w:w="67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景观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效果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(5分)</w:t>
            </w:r>
          </w:p>
        </w:tc>
        <w:tc>
          <w:tcPr>
            <w:tcW w:w="4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整体景观效果一般的，扣2分；较差的，视效果扣3-5分。</w:t>
            </w:r>
          </w:p>
        </w:tc>
        <w:tc>
          <w:tcPr>
            <w:tcW w:w="3241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整体景观效果一般的，扣1分；较差的，视效果扣2-4分。</w:t>
            </w:r>
          </w:p>
        </w:tc>
        <w:tc>
          <w:tcPr>
            <w:tcW w:w="3240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整体景观效果一般的，扣1分；较差的，视效果扣1-4分。</w:t>
            </w:r>
          </w:p>
        </w:tc>
        <w:tc>
          <w:tcPr>
            <w:tcW w:w="3244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整体景观效果一般的，扣1分；较差的，视效果扣1-3分。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42" w:hRule="atLeast"/>
        </w:trPr>
        <w:tc>
          <w:tcPr>
            <w:tcW w:w="674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植物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生长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状况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(15分)</w:t>
            </w:r>
          </w:p>
        </w:tc>
        <w:tc>
          <w:tcPr>
            <w:tcW w:w="4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树冠残缺、植株长势不良的，扣0.3-0.5分/株；枯枝、死枝、徒长枝、病虫枝扣0.3分/株。</w:t>
            </w:r>
          </w:p>
        </w:tc>
        <w:tc>
          <w:tcPr>
            <w:tcW w:w="3241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树冠残缺、植株长势不良的，视情况扣0.2-0.4分/株。枯枝、死枝、徒长枝、病虫枝扣0.2分/株。</w:t>
            </w:r>
          </w:p>
        </w:tc>
        <w:tc>
          <w:tcPr>
            <w:tcW w:w="3240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树冠残缺、植株长势不良的，视情况扣0.1-0.4分/株。枯枝、死枝、徒长枝、病虫枝扣0.1分/株。</w:t>
            </w:r>
          </w:p>
        </w:tc>
        <w:tc>
          <w:tcPr>
            <w:tcW w:w="3244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树冠残缺、植株长势不良的，视情况扣0.1-0.3分/株。枯枝、死枝、徒长枝、病虫枝扣0.1分/株。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174" w:hRule="atLeast"/>
        </w:trPr>
        <w:tc>
          <w:tcPr>
            <w:tcW w:w="674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出现枯枝、残花的，空缺、断层（行）明显、下部有光秃现象的，单块面积大于1m²的，视面积扣0.5-1分/处。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卷叶、焦叶等单块面积大于1m²的，视面积扣0.5-1分/处。</w:t>
            </w:r>
          </w:p>
        </w:tc>
        <w:tc>
          <w:tcPr>
            <w:tcW w:w="3241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出现枯枝、残花的，空缺、断层（行）明显、下部有光秃现象的，单块面积大于1m²的，视面积扣0.5-0.8分/处。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卷叶、焦叶等单块面积大于1m²的，视面积扣0.5-0.8分/处。</w:t>
            </w:r>
          </w:p>
        </w:tc>
        <w:tc>
          <w:tcPr>
            <w:tcW w:w="3240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出现枯枝、残花的，空缺、断层（行）明显、下部有光秃现象的，单块面积大于1m²的，视面积扣0.3-0.6分/处。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卷叶、焦叶等单块面积大于1m²的，视面积扣0.3-0.6分/处。</w:t>
            </w:r>
          </w:p>
        </w:tc>
        <w:tc>
          <w:tcPr>
            <w:tcW w:w="3244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出现枯枝、残花的，空缺、断层（行）明显、下部有光秃现象的，单块面积大于1m²的，视面积扣0.2-0.5分/处。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卷叶、焦叶等单块面积大于1m²的，视面积扣0.2-0.5分/处。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87" w:hRule="atLeast"/>
        </w:trPr>
        <w:tc>
          <w:tcPr>
            <w:tcW w:w="674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底土裸露单块面积大于1m²的，视面积扣0.5-1分/处；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缺株、死株现象严重的，扣0.7分/m²。</w:t>
            </w:r>
          </w:p>
        </w:tc>
        <w:tc>
          <w:tcPr>
            <w:tcW w:w="3241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底土裸露单块面积大于1m²的，视面积扣0.3-0.8分/处；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缺株、死株现象严重的，扣0.5分/m²。</w:t>
            </w:r>
          </w:p>
        </w:tc>
        <w:tc>
          <w:tcPr>
            <w:tcW w:w="3240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底土裸露单块面积大于1m²的，视面积扣0.3-0.6分/处；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缺株、死株现象严重的，扣0.3分/m²。</w:t>
            </w:r>
          </w:p>
        </w:tc>
        <w:tc>
          <w:tcPr>
            <w:tcW w:w="3244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底土裸露单块面积大于1m²的，视面积扣0.2-0.5分/处；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缺株、死株现象严重的，扣0.2分/m²。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811" w:hRule="atLeast"/>
        </w:trPr>
        <w:tc>
          <w:tcPr>
            <w:tcW w:w="674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植物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养护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状况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(30分)</w:t>
            </w:r>
          </w:p>
        </w:tc>
        <w:tc>
          <w:tcPr>
            <w:tcW w:w="4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缺株、死株的（非管养不当造成的不计入），扣1分/株；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存在倾斜或倒伏树木的，扣0.5-1分/株。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补（新）植行道树高度、胸径与同一路段树种相差太大的，扣0.3-0.5分/株；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行道树分支点影响行人过往、行车视线及交通安全的，扣0.5-1分/株。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树干缠绕有野生藤蔓的扣0.5-1分/株。</w:t>
            </w:r>
          </w:p>
        </w:tc>
        <w:tc>
          <w:tcPr>
            <w:tcW w:w="3241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缺株、死株的（非管养不当造成的不计入），扣0.8分/株；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存在倾斜或倒伏树木的，扣0.5-0.8分/株。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补（新）植行道树高度、胸径与同一路段树种相差太大的，扣0.2-0.4分/株；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行道树分支点影响行人过往、行车视线及交通安全的，扣0.5-0.8分/株。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树干缠绕有野生藤蔓的扣0.5-0.8分/株。</w:t>
            </w:r>
          </w:p>
        </w:tc>
        <w:tc>
          <w:tcPr>
            <w:tcW w:w="3240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缺株、死株的（非管养不当造成的不计入），扣0.6分/株；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存在倾斜或倒伏树木的，扣0.3-0.6分/株。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补（新）植行道树高度、胸径与同一路段树种相差太大的，扣0.1-0.4分/株；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行道树分支点影响行人过往、行车视线及交通安全的，扣0.3-0.6分/株。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树干缠绕有野生藤蔓的扣0.3-0.6分/株。</w:t>
            </w:r>
          </w:p>
        </w:tc>
        <w:tc>
          <w:tcPr>
            <w:tcW w:w="3244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缺株、死株的（非管养不当造成的不计入），扣0.4分/株；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存在倾斜或倒伏树木的，扣0.3-0.6分/株。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补（新）植行道树高度、胸径与同一路段树种相差太大的，扣0.1-0.3分/株；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行道树分支点影响行人过往、行车视线及交通安全的，扣0.2-0.5分/株。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树干缠绕有野生藤蔓的扣0.2-0.5分/株。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42" w:hRule="atLeast"/>
        </w:trPr>
        <w:tc>
          <w:tcPr>
            <w:tcW w:w="674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修剪面不符合要求的，视情况扣0.5-0.8分/10m；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空缺、断层、出现明显空秃的，未在7个工作日内及时补植的，扣0.5-1分/处。</w:t>
            </w:r>
          </w:p>
        </w:tc>
        <w:tc>
          <w:tcPr>
            <w:tcW w:w="3241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修剪面不符合要求的，视情况扣0.3-0.6分/10m；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空缺、断层、出现明显空秃的，未在10个工作日内及时补植的，扣0.5-0.8分/处。</w:t>
            </w:r>
          </w:p>
        </w:tc>
        <w:tc>
          <w:tcPr>
            <w:tcW w:w="3240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修剪面不符合要求的，视情况扣0.2-0.5分/10m；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空缺、断层、出现明显空秃的，未在12个工作日内及时补植的，扣0.3-0.6分/处。</w:t>
            </w:r>
          </w:p>
        </w:tc>
        <w:tc>
          <w:tcPr>
            <w:tcW w:w="3244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修剪面不符合要求的，视情况扣0.1-0.4分/10m；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空缺、断层、出现明显空秃的，未在15个工作日内及时补植的，扣0.2-0.5分/处。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95" w:hRule="atLeast"/>
        </w:trPr>
        <w:tc>
          <w:tcPr>
            <w:tcW w:w="674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高度不符合要求的，扣0.2分/10m²；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有明显杂草，单块面积大于1m²的，视面积扣0.5-0.8分/处；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反季节枯黄、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6"/>
                <w:szCs w:val="16"/>
                <w:lang w:val="en-US" w:eastAsia="zh-CN" w:bidi="ar"/>
              </w:rPr>
              <w:t>空秃面积超过限制的，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视面积扣0.5-1分/处。</w:t>
            </w:r>
          </w:p>
        </w:tc>
        <w:tc>
          <w:tcPr>
            <w:tcW w:w="3241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高度不符合要求的，扣0.2分/10m²；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有明显杂草，单块面积大于1m²的，视面积扣0.5-0.8分/处；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反季节枯黄、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6"/>
                <w:szCs w:val="16"/>
                <w:lang w:val="en-US" w:eastAsia="zh-CN" w:bidi="ar"/>
              </w:rPr>
              <w:t>空秃面积超过限制的，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视面积扣0.5-1分/处。</w:t>
            </w:r>
          </w:p>
        </w:tc>
        <w:tc>
          <w:tcPr>
            <w:tcW w:w="3240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高度不符合要求的，扣0.2分/10m²；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有明显杂草，单块面积大于1m²的，视面积扣0.5-0.8分/处；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反季节枯黄、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6"/>
                <w:szCs w:val="16"/>
                <w:lang w:val="en-US" w:eastAsia="zh-CN" w:bidi="ar"/>
              </w:rPr>
              <w:t>空秃面积超过限制的，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视面积扣0.5-1分/处。</w:t>
            </w:r>
          </w:p>
        </w:tc>
        <w:tc>
          <w:tcPr>
            <w:tcW w:w="3244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高度不符合要求的，扣0.2分/10m²；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有明显杂草，单块面积大于1m²的，视面积扣0.5-0.8分/处；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反季节枯黄、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6"/>
                <w:szCs w:val="16"/>
                <w:lang w:val="en-US" w:eastAsia="zh-CN" w:bidi="ar"/>
              </w:rPr>
              <w:t>空秃面积超过限制的，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视面积扣0.5-1分/处。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036" w:hRule="atLeast"/>
        </w:trPr>
        <w:tc>
          <w:tcPr>
            <w:tcW w:w="674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倒伏面积超过10%，残花败叶未及时清理的，视面积扣0.5-1分/处；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出现大面积虫斑，杂草（盆栽被盗）占比超过总面积10%的，扣1分/处。</w:t>
            </w:r>
          </w:p>
        </w:tc>
        <w:tc>
          <w:tcPr>
            <w:tcW w:w="3241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倒伏面积超过10%，残花败叶未及时清理的，视面积扣0.5-0.8分/处；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出现大面积虫斑的，杂草（盆栽被盗）超过总面积10%的，扣0.8分/处。</w:t>
            </w:r>
          </w:p>
        </w:tc>
        <w:tc>
          <w:tcPr>
            <w:tcW w:w="3240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倒伏面积超过10%，残花败叶未及时清理的，视面积扣0.3-0.6分/处；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出现大面积虫斑的，杂草（盆栽被盗）超过总面积10%的，扣0.6分/处。</w:t>
            </w:r>
          </w:p>
        </w:tc>
        <w:tc>
          <w:tcPr>
            <w:tcW w:w="3244" w:type="dxa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倒伏面积超过10%，残花败叶未及时清理的，视面积扣0.2-0.5分/处；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出现大面积虫斑的，杂草（盆栽被盗）超过总面积10%的，扣0.6分/处。</w:t>
            </w:r>
          </w:p>
        </w:tc>
      </w:tr>
    </w:tbl>
    <w:tbl>
      <w:tblPr>
        <w:tblStyle w:val="3"/>
        <w:tblpPr w:leftFromText="180" w:rightFromText="180" w:vertAnchor="text" w:horzAnchor="page" w:tblpX="583" w:tblpY="779"/>
        <w:tblOverlap w:val="never"/>
        <w:tblW w:w="15688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2" w:space="0"/>
          <w:insideV w:val="single" w:color="auto" w:sz="2" w:space="0"/>
        </w:tblBorders>
        <w:shd w:val="clear" w:color="auto" w:fill="auto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669"/>
        <w:gridCol w:w="452"/>
        <w:gridCol w:w="449"/>
        <w:gridCol w:w="1169"/>
        <w:gridCol w:w="3220"/>
        <w:gridCol w:w="3220"/>
        <w:gridCol w:w="3220"/>
        <w:gridCol w:w="3289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项目</w:t>
            </w:r>
          </w:p>
        </w:tc>
        <w:tc>
          <w:tcPr>
            <w:tcW w:w="452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评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分</w:t>
            </w:r>
          </w:p>
        </w:tc>
        <w:tc>
          <w:tcPr>
            <w:tcW w:w="449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满分</w:t>
            </w:r>
          </w:p>
        </w:tc>
        <w:tc>
          <w:tcPr>
            <w:tcW w:w="1169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备注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两园</w:t>
            </w:r>
          </w:p>
        </w:tc>
        <w:tc>
          <w:tcPr>
            <w:tcW w:w="328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绿地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9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169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考核评分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考核评分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考核评分</w:t>
            </w:r>
          </w:p>
        </w:tc>
        <w:tc>
          <w:tcPr>
            <w:tcW w:w="328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考核评分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植物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养护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状况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(30分)</w:t>
            </w:r>
          </w:p>
        </w:tc>
        <w:tc>
          <w:tcPr>
            <w:tcW w:w="45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无病虫害防治预案和防治计划的，扣3分。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有病虫害危害的，乔灌木扣0.3-0.5分/株，绿篱、草坪受害面积超过总面积10%的，扣1-3分；发生药害事故的，此项全扣。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无病虫害防治预案和防治计划的，扣3分。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有病虫害危害的，乔灌木扣0.2-0.4分/株，绿篱、草坪受害面积超过总面积20%的，扣1-3分；发生药害事故的，此项全扣。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无病虫害防治预案和防治计划的，扣3分。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有病虫害危害的，乔灌木扣0.2-0.4分/株，绿篱、草坪受害面积超过总面积30%的，扣1-3分；发生药害事故的，此项全扣。</w:t>
            </w:r>
          </w:p>
        </w:tc>
        <w:tc>
          <w:tcPr>
            <w:tcW w:w="328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无病虫害防治预案和防治计划的，扣3分。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有病虫害危害的，乔灌木扣0.1-0.3分/株，绿篱、草坪受害面积超过总面积30%的，扣1-3分；发生药害事故的，此项全扣。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无针对台风天气易倒伏树木修剪计划的，扣3分。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未对根浅、迎风、树冠大、枝叶浓密树木及时采取加固措施的，扣1分/株。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台风后未在12小时内疏通道路，扣2分/处；未在3日内将倒伏树扶正扣1分/株。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无针对台风天气易倒伏树木修剪计划的，扣3分。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未对根浅、迎风、树冠大、枝叶浓密树木及时采取加固措施的，扣0.8分/株。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台风后未在24小时内疏通道路的，扣2分/处；未在5日内将倒伏树扶正扣1分/株。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无针对台风天气易倒伏树木修剪计划的，扣3分。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未对根浅、迎风、树冠大、枝叶浓密树木及时采取加固措施的，扣0.6分/株。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台风后未在24小时内疏通道路的，扣2分/处；未在5日内将倒伏树扶正扣1分/株。</w:t>
            </w:r>
          </w:p>
        </w:tc>
        <w:tc>
          <w:tcPr>
            <w:tcW w:w="328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无针对台风天气易倒伏树木修剪计划的，扣3分。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未对根浅、迎风、树冠大、枝叶浓密树木及时采取加固措施的，扣0.4分/株。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台风后未在24小时内疏通道路的，扣2分/处；未在5日内将倒伏树扶正扣1分/株。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绿地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保洁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状况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(25分)</w:t>
            </w:r>
          </w:p>
        </w:tc>
        <w:tc>
          <w:tcPr>
            <w:tcW w:w="45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有白色垃圾、污物、树枝（叶）上悬挂有明显有形垃圾及杂物的，扣1分/处；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有工程废料及其他有形垃圾的，视面积扣1-3分/处。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有白色垃圾、污物、树枝（叶）上悬挂有明显有形垃圾及杂物的，扣0.8分/处；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有工程废料及其他有形垃圾的，视面积扣1-2分/处。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有白色垃圾、污物、树枝（叶）上悬挂有明显有形垃圾及杂物的，扣0.6分/处；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有工程废料及其他有形垃圾的，视面积扣1-2分/处。</w:t>
            </w:r>
          </w:p>
        </w:tc>
        <w:tc>
          <w:tcPr>
            <w:tcW w:w="328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有白色垃圾、污物、树枝（叶）上悬挂有明显有形垃圾及杂物的，扣0.4分/处；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有工程废料及其他有形垃圾的，视面积扣1-2分/处。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45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绿化修剪废弃物未及时清理的，视面积扣1-2分/处；有被数字城管抓拍或12345投诉的，扣1分/次。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绿化修剪废弃物未及时清理的，视面积扣0.5-1分/处；有被数字城管抓拍或12345投诉的，扣0.5分/次。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绿化修剪废弃物未及时清理的，视面积扣0.5-0.8分/处；有被数字城管抓拍或12345投诉的，扣0.5分/次。</w:t>
            </w:r>
          </w:p>
        </w:tc>
        <w:tc>
          <w:tcPr>
            <w:tcW w:w="328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绿化修剪废弃物未及时清理的，视面积扣0.3-0.6分/处；有被数字城管抓拍或12345投诉的，扣0.5分/次。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45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（乔灌木、绿篱或园林景观设施）表面有明显积尘的，园林景观设施破损严重的，单块面积大于1m²的，扣0.5-0.8分/处。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（乔灌木、绿篱或园林景观设施）表面有明显积尘的，园林景观设施破损严重的，单块面积大于1m²的，扣0.2-0.8分/处。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（乔灌木、绿篱或园林景观设施）表面有明显积尘的，园林景观设施破损严重的，单块面积大于1m²的，扣0.2-0.6分/处。</w:t>
            </w:r>
          </w:p>
        </w:tc>
        <w:tc>
          <w:tcPr>
            <w:tcW w:w="328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（乔灌木、绿篱或园林景观设施）表面有明显积尘的，园林景观设施破损严重的，单块面积大于1m²的，扣0.1-0.5分/处。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作业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规范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管理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(15分)</w:t>
            </w:r>
          </w:p>
        </w:tc>
        <w:tc>
          <w:tcPr>
            <w:tcW w:w="45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影响交通，出现群众投诉的，扣2分/次。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现场无反光锥、警示牌等安全文明施工措施，扣3分/处；未及时清理场地的，视面积扣0.5-1分/处。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影响交通，出现群众投诉的，扣1.5分/次。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现场无反光锥、警示牌等安全文明施工措施，扣3分/处；未及时清理场地的，视面积扣0.5-0.8分/处。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影响交通，出现群众投诉的，扣1.2分/次。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现场无反光锥、警示牌等安全文明施工措施，扣3分/处；未及时清理场地的，视面积扣0.3-0.6分/处。</w:t>
            </w:r>
          </w:p>
        </w:tc>
        <w:tc>
          <w:tcPr>
            <w:tcW w:w="328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影响交通，出现群众投诉的，扣1分/次。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现场无反光锥、警示牌等安全文明施工措施，扣3分/处；未及时清理场地的，视面积扣0.1-0.5分/处。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无管理员跟班作业，扣2分/次；无检查记录的，扣1分/次；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养护人员未穿带有反光标志的统一制服，扣0.5分/人。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无管理员跟班作业，扣2分/次；无检查记录的，扣1分/次；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养护人员未穿带有反光标志的统一制服，扣0.5分/人。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无管理员跟班作业，扣2分/次；无检查记录的，扣1分/次；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养护人员未穿带有反光标志的统一制服，扣0.5分/人。</w:t>
            </w:r>
          </w:p>
        </w:tc>
        <w:tc>
          <w:tcPr>
            <w:tcW w:w="328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无管理员跟班作业，扣2分/次；无检查记录的，扣1分/次；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养护人员未穿带有反光标志的统一制服，扣0.5分/人。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月度养护计划未按规定时间上报的；扣2分/次。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月度养护计划未按规定时间上报的；扣2分/次。</w:t>
            </w:r>
          </w:p>
        </w:tc>
        <w:tc>
          <w:tcPr>
            <w:tcW w:w="32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月度养护计划未按规定时间上报的；扣2分/次。</w:t>
            </w:r>
          </w:p>
        </w:tc>
        <w:tc>
          <w:tcPr>
            <w:tcW w:w="328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月度养护计划未按规定时间上报的；扣2分/次。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(10分)</w:t>
            </w:r>
          </w:p>
        </w:tc>
        <w:tc>
          <w:tcPr>
            <w:tcW w:w="4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不配合工作，造成植株死亡的，扣2分/处；乔灌木以株为单位，地被、草坪及花卉以每10平方米为单位。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如因工作推诿、拖拉造成投诉件逾期处理或重办件的，扣3分/次。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如因重大活动保障不力，被点名批评的，该项全扣。</w:t>
            </w:r>
          </w:p>
        </w:tc>
        <w:tc>
          <w:tcPr>
            <w:tcW w:w="32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不配合工作，造成植株死亡的，扣1分/处；乔灌木以株为单位，地被、草坪及花卉以每10平方米为单位。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如因工作推诿、拖拉造成投诉件逾期处理或重办件的，扣2分/次。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如因重大活动保障不力，被点名批评的，该项全扣。</w:t>
            </w:r>
          </w:p>
        </w:tc>
        <w:tc>
          <w:tcPr>
            <w:tcW w:w="32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不配合工作，造成植株死亡的，扣0.8分/处；乔灌木以株为单位，地被、草坪及花卉以每10平方米为单位。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如因工作推诿、拖拉造成投诉件逾期处理或重办件的，扣1.5分/次。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如因重大活动保障不力，被点名批评的，该项全扣。</w:t>
            </w:r>
          </w:p>
        </w:tc>
        <w:tc>
          <w:tcPr>
            <w:tcW w:w="328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不配合工作，造成植株死亡的，扣0.5分/处；乔灌木以株为单位，地被、草坪及花卉以每10平方米为单位。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如因工作推诿、拖拉造成投诉件逾期处理或重办件的，扣1分/次。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如因重大活动保障不力，被点名批评的，该项全扣。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669" w:type="dxa"/>
            <w:tcBorders>
              <w:top w:val="single" w:color="auto" w:sz="2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eastAsia="zh-CN"/>
              </w:rPr>
              <w:t>合计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(100分)</w:t>
            </w:r>
          </w:p>
        </w:tc>
        <w:tc>
          <w:tcPr>
            <w:tcW w:w="2070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考核意见：</w:t>
            </w:r>
          </w:p>
        </w:tc>
        <w:tc>
          <w:tcPr>
            <w:tcW w:w="650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检查人：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</w:pPr>
    </w:p>
    <w:p>
      <w:pPr>
        <w:jc w:val="both"/>
        <w:rPr>
          <w:rFonts w:hint="eastAsia"/>
          <w:sz w:val="16"/>
          <w:szCs w:val="16"/>
          <w:lang w:eastAsia="zh-CN"/>
        </w:rPr>
      </w:pPr>
    </w:p>
    <w:sectPr>
      <w:pgSz w:w="16783" w:h="11850" w:orient="landscape"/>
      <w:pgMar w:top="567" w:right="720" w:bottom="56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45220"/>
    <w:rsid w:val="06A73317"/>
    <w:rsid w:val="08567F85"/>
    <w:rsid w:val="0B8D7B4E"/>
    <w:rsid w:val="0B92745B"/>
    <w:rsid w:val="0C1E0640"/>
    <w:rsid w:val="0C5E6B9A"/>
    <w:rsid w:val="0E6F4626"/>
    <w:rsid w:val="17A45842"/>
    <w:rsid w:val="1B93036E"/>
    <w:rsid w:val="20FD7DD3"/>
    <w:rsid w:val="21BC02F2"/>
    <w:rsid w:val="222C761F"/>
    <w:rsid w:val="22A90260"/>
    <w:rsid w:val="24945220"/>
    <w:rsid w:val="25401A81"/>
    <w:rsid w:val="274E7B28"/>
    <w:rsid w:val="277058A0"/>
    <w:rsid w:val="27E14C5B"/>
    <w:rsid w:val="29CB7C99"/>
    <w:rsid w:val="2B2239CC"/>
    <w:rsid w:val="2C70109F"/>
    <w:rsid w:val="2ED1378D"/>
    <w:rsid w:val="321530B3"/>
    <w:rsid w:val="322C1474"/>
    <w:rsid w:val="35744FED"/>
    <w:rsid w:val="357672CB"/>
    <w:rsid w:val="36A434BB"/>
    <w:rsid w:val="3B4312D2"/>
    <w:rsid w:val="46C830F8"/>
    <w:rsid w:val="4CD2783E"/>
    <w:rsid w:val="4E180925"/>
    <w:rsid w:val="52C6142F"/>
    <w:rsid w:val="53E86176"/>
    <w:rsid w:val="58074289"/>
    <w:rsid w:val="59704BD5"/>
    <w:rsid w:val="5F60798E"/>
    <w:rsid w:val="61220362"/>
    <w:rsid w:val="624351AF"/>
    <w:rsid w:val="62565D77"/>
    <w:rsid w:val="62A40C04"/>
    <w:rsid w:val="634A47AF"/>
    <w:rsid w:val="6647649F"/>
    <w:rsid w:val="674C311E"/>
    <w:rsid w:val="68074CEC"/>
    <w:rsid w:val="68AF4CE4"/>
    <w:rsid w:val="6AD119C9"/>
    <w:rsid w:val="6B8102DE"/>
    <w:rsid w:val="6BB777F5"/>
    <w:rsid w:val="6EC1417B"/>
    <w:rsid w:val="71994B3A"/>
    <w:rsid w:val="725A3EFA"/>
    <w:rsid w:val="77F21FBF"/>
    <w:rsid w:val="7AEC72A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">
    <w:name w:val="font91"/>
    <w:basedOn w:val="2"/>
    <w:qFormat/>
    <w:uiPriority w:val="0"/>
    <w:rPr>
      <w:rFonts w:hint="eastAsia" w:ascii="宋体" w:hAnsi="宋体" w:eastAsia="宋体" w:cs="宋体"/>
      <w:color w:val="FF0000"/>
      <w:sz w:val="16"/>
      <w:szCs w:val="16"/>
      <w:u w:val="none"/>
    </w:rPr>
  </w:style>
  <w:style w:type="character" w:customStyle="1" w:styleId="6">
    <w:name w:val="font81"/>
    <w:basedOn w:val="2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7">
    <w:name w:val="font01"/>
    <w:basedOn w:val="2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8">
    <w:name w:val="font11"/>
    <w:basedOn w:val="2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2019-03-01T05:17:00Z</dcterms:created>
  <dc:creator>Lynn</dc:creator>
  <cp:lastModifiedBy>张旭</cp:lastModifiedBy>
  <cp:lastPrinted>2019-06-18T02:38:00Z</cp:lastPrinted>
  <dcterms:modified xsi:type="dcterms:W3CDTF">2023-02-08T02:19:28Z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