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ABD51">
      <w:pPr>
        <w:rPr>
          <w:rFonts w:hint="eastAsia" w:ascii="仿宋_GB2312" w:hAnsi="仿宋_GB2312" w:eastAsia="仿宋_GB2312" w:cs="仿宋_GB2312"/>
          <w:color w:val="auto"/>
          <w:sz w:val="36"/>
          <w:szCs w:val="36"/>
        </w:rPr>
      </w:pPr>
      <w:r>
        <w:rPr>
          <w:sz w:val="36"/>
        </w:rPr>
        <mc:AlternateContent>
          <mc:Choice Requires="wps">
            <w:drawing>
              <wp:anchor distT="0" distB="0" distL="114300" distR="114300" simplePos="0" relativeHeight="251666432" behindDoc="0" locked="0" layoutInCell="1" allowOverlap="1">
                <wp:simplePos x="0" y="0"/>
                <wp:positionH relativeFrom="column">
                  <wp:posOffset>-382270</wp:posOffset>
                </wp:positionH>
                <wp:positionV relativeFrom="paragraph">
                  <wp:posOffset>26035</wp:posOffset>
                </wp:positionV>
                <wp:extent cx="6597015" cy="8347075"/>
                <wp:effectExtent l="0" t="0" r="13335" b="15875"/>
                <wp:wrapNone/>
                <wp:docPr id="65" name="文本框 65"/>
                <wp:cNvGraphicFramePr/>
                <a:graphic xmlns:a="http://schemas.openxmlformats.org/drawingml/2006/main">
                  <a:graphicData uri="http://schemas.microsoft.com/office/word/2010/wordprocessingShape">
                    <wps:wsp>
                      <wps:cNvSpPr txBox="1"/>
                      <wps:spPr>
                        <a:xfrm>
                          <a:off x="970280" y="1106170"/>
                          <a:ext cx="6597015" cy="8347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098159">
                            <w:r>
                              <w:drawing>
                                <wp:inline distT="0" distB="0" distL="114300" distR="114300">
                                  <wp:extent cx="6400800" cy="8688070"/>
                                  <wp:effectExtent l="0" t="0" r="0" b="1778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13"/>
                                          <a:stretch>
                                            <a:fillRect/>
                                          </a:stretch>
                                        </pic:blipFill>
                                        <pic:spPr>
                                          <a:xfrm>
                                            <a:off x="0" y="0"/>
                                            <a:ext cx="6400800" cy="8688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pt;margin-top:2.05pt;height:657.25pt;width:519.45pt;z-index:251666432;mso-width-relative:page;mso-height-relative:page;" fillcolor="#FFFFFF [3201]" filled="t" stroked="f" coordsize="21600,21600" o:gfxdata="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1XQka&#10;1gAAAAoBAAAPAAAAAAAAAAEAIAAAACIAAABkcnMvZG93bnJldi54bWxQSwECFAAUAAAACACHTuJA&#10;ZxMq5FwCAACdBAAADgAAAAAAAAABACAAAAAlAQAAZHJzL2Uyb0RvYy54bWxQSwUGAAAAAAYABgBZ&#10;AQAA8wUAAAAA&#10;">
                <v:fill on="t" focussize="0,0"/>
                <v:stroke on="f" weight="0.5pt"/>
                <v:imagedata o:title=""/>
                <o:lock v:ext="edit" aspectratio="f"/>
                <v:textbox>
                  <w:txbxContent>
                    <w:p w14:paraId="79098159">
                      <w:r>
                        <w:drawing>
                          <wp:inline distT="0" distB="0" distL="114300" distR="114300">
                            <wp:extent cx="6400800" cy="8688070"/>
                            <wp:effectExtent l="0" t="0" r="0" b="1778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13"/>
                                    <a:stretch>
                                      <a:fillRect/>
                                    </a:stretch>
                                  </pic:blipFill>
                                  <pic:spPr>
                                    <a:xfrm>
                                      <a:off x="0" y="0"/>
                                      <a:ext cx="6400800" cy="8688070"/>
                                    </a:xfrm>
                                    <a:prstGeom prst="rect">
                                      <a:avLst/>
                                    </a:prstGeom>
                                    <a:noFill/>
                                    <a:ln>
                                      <a:noFill/>
                                    </a:ln>
                                  </pic:spPr>
                                </pic:pic>
                              </a:graphicData>
                            </a:graphic>
                          </wp:inline>
                        </w:drawing>
                      </w:r>
                    </w:p>
                  </w:txbxContent>
                </v:textbox>
              </v:shape>
            </w:pict>
          </mc:Fallback>
        </mc:AlternateContent>
      </w:r>
    </w:p>
    <w:p w14:paraId="5B1D9FD2">
      <w:pPr>
        <w:rPr>
          <w:rFonts w:hint="eastAsia" w:ascii="仿宋_GB2312" w:hAnsi="仿宋_GB2312" w:eastAsia="仿宋_GB2312" w:cs="仿宋_GB2312"/>
          <w:color w:val="auto"/>
          <w:sz w:val="36"/>
          <w:szCs w:val="36"/>
        </w:rPr>
      </w:pPr>
    </w:p>
    <w:p w14:paraId="1A891B80">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18F0B9AC">
      <w:pPr>
        <w:adjustRightInd w:val="0"/>
        <w:snapToGrid w:val="0"/>
        <w:spacing w:before="192" w:beforeLines="80"/>
        <w:jc w:val="center"/>
        <w:rPr>
          <w:rFonts w:eastAsia="仿宋"/>
          <w:color w:val="auto"/>
          <w:sz w:val="44"/>
          <w:szCs w:val="44"/>
        </w:rPr>
      </w:pPr>
      <w:r>
        <w:rPr>
          <w:rFonts w:hint="eastAsia" w:ascii="楷体_GB2312" w:eastAsia="楷体_GB2312"/>
          <w:bCs/>
          <w:color w:val="auto"/>
          <w:sz w:val="48"/>
          <w:szCs w:val="48"/>
        </w:rPr>
        <w:t>（污染影响类）</w:t>
      </w:r>
    </w:p>
    <w:p w14:paraId="660FA97D">
      <w:pPr>
        <w:ind w:firstLine="1040"/>
        <w:rPr>
          <w:rFonts w:eastAsia="仿宋"/>
          <w:color w:val="auto"/>
          <w:sz w:val="44"/>
          <w:szCs w:val="44"/>
        </w:rPr>
      </w:pPr>
    </w:p>
    <w:p w14:paraId="01E60E7C">
      <w:pPr>
        <w:ind w:firstLine="1040"/>
        <w:rPr>
          <w:rFonts w:eastAsia="仿宋"/>
          <w:color w:val="auto"/>
          <w:sz w:val="44"/>
          <w:szCs w:val="44"/>
        </w:rPr>
      </w:pPr>
    </w:p>
    <w:p w14:paraId="71C65800">
      <w:pPr>
        <w:ind w:firstLine="1040"/>
        <w:rPr>
          <w:rFonts w:eastAsia="仿宋"/>
          <w:color w:val="auto"/>
          <w:sz w:val="44"/>
          <w:szCs w:val="44"/>
        </w:rPr>
      </w:pPr>
    </w:p>
    <w:p w14:paraId="612AF79B">
      <w:pPr>
        <w:rPr>
          <w:rFonts w:eastAsia="仿宋"/>
          <w:color w:val="auto"/>
          <w:sz w:val="44"/>
          <w:szCs w:val="44"/>
        </w:rPr>
      </w:pPr>
    </w:p>
    <w:p w14:paraId="4869CC9A">
      <w:pPr>
        <w:ind w:firstLine="1040"/>
        <w:rPr>
          <w:rFonts w:eastAsia="仿宋"/>
          <w:color w:val="auto"/>
          <w:sz w:val="44"/>
          <w:szCs w:val="44"/>
        </w:rPr>
      </w:pPr>
    </w:p>
    <w:p w14:paraId="1DDAFAE0">
      <w:pPr>
        <w:ind w:firstLine="1040"/>
        <w:rPr>
          <w:rFonts w:eastAsia="仿宋"/>
          <w:color w:val="auto"/>
          <w:sz w:val="44"/>
          <w:szCs w:val="44"/>
        </w:rPr>
      </w:pPr>
    </w:p>
    <w:tbl>
      <w:tblPr>
        <w:tblStyle w:val="31"/>
        <w:tblW w:w="9913" w:type="dxa"/>
        <w:tblInd w:w="-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5"/>
        <w:gridCol w:w="6958"/>
      </w:tblGrid>
      <w:tr w14:paraId="7772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5" w:type="dxa"/>
          </w:tcPr>
          <w:p w14:paraId="74D72F6D">
            <w:pPr>
              <w:adjustRightInd w:val="0"/>
              <w:snapToGrid w:val="0"/>
              <w:spacing w:line="288" w:lineRule="auto"/>
              <w:jc w:val="distribute"/>
              <w:rPr>
                <w:color w:val="auto"/>
              </w:rPr>
            </w:pPr>
            <w:r>
              <w:rPr>
                <w:rFonts w:eastAsia="仿宋_GB2312"/>
                <w:color w:val="auto"/>
                <w:sz w:val="36"/>
                <w:szCs w:val="36"/>
              </w:rPr>
              <w:t>项目名称</w:t>
            </w:r>
          </w:p>
        </w:tc>
        <w:tc>
          <w:tcPr>
            <w:tcW w:w="6958" w:type="dxa"/>
            <w:tcBorders>
              <w:bottom w:val="single" w:color="auto" w:sz="4" w:space="0"/>
            </w:tcBorders>
            <w:vAlign w:val="center"/>
          </w:tcPr>
          <w:p w14:paraId="7E435072">
            <w:pPr>
              <w:adjustRightInd w:val="0"/>
              <w:snapToGrid w:val="0"/>
              <w:spacing w:line="288" w:lineRule="auto"/>
              <w:jc w:val="center"/>
              <w:rPr>
                <w:color w:val="auto"/>
              </w:rPr>
            </w:pPr>
            <w:r>
              <w:rPr>
                <w:rFonts w:hint="eastAsia" w:eastAsia="仿宋_GB2312"/>
                <w:color w:val="auto"/>
                <w:sz w:val="36"/>
                <w:szCs w:val="36"/>
              </w:rPr>
              <w:t>光电LED产品及标识发光字制作生产项目</w:t>
            </w:r>
          </w:p>
        </w:tc>
      </w:tr>
      <w:tr w14:paraId="1757D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5" w:type="dxa"/>
          </w:tcPr>
          <w:p w14:paraId="6FB5802E">
            <w:pPr>
              <w:adjustRightInd w:val="0"/>
              <w:snapToGrid w:val="0"/>
              <w:spacing w:line="288" w:lineRule="auto"/>
              <w:jc w:val="distribute"/>
              <w:rPr>
                <w:color w:val="auto"/>
              </w:rPr>
            </w:pPr>
            <w:r>
              <w:rPr>
                <w:rFonts w:eastAsia="仿宋_GB2312"/>
                <w:color w:val="auto"/>
                <w:sz w:val="36"/>
                <w:szCs w:val="36"/>
              </w:rPr>
              <w:t>建设单位（盖章）</w:t>
            </w:r>
          </w:p>
        </w:tc>
        <w:tc>
          <w:tcPr>
            <w:tcW w:w="6958" w:type="dxa"/>
            <w:tcBorders>
              <w:top w:val="single" w:color="auto" w:sz="4" w:space="0"/>
              <w:bottom w:val="single" w:color="auto" w:sz="4" w:space="0"/>
            </w:tcBorders>
            <w:vAlign w:val="center"/>
          </w:tcPr>
          <w:p w14:paraId="2103516F">
            <w:pPr>
              <w:adjustRightInd w:val="0"/>
              <w:snapToGrid w:val="0"/>
              <w:spacing w:line="288" w:lineRule="auto"/>
              <w:jc w:val="center"/>
              <w:rPr>
                <w:color w:val="auto"/>
              </w:rPr>
            </w:pPr>
            <w:r>
              <w:rPr>
                <w:rFonts w:hint="eastAsia" w:eastAsia="仿宋_GB2312"/>
                <w:color w:val="auto"/>
                <w:sz w:val="36"/>
                <w:szCs w:val="36"/>
              </w:rPr>
              <w:t>福州彩诚光电有限公司</w:t>
            </w:r>
          </w:p>
        </w:tc>
      </w:tr>
      <w:tr w14:paraId="3BE56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55" w:type="dxa"/>
          </w:tcPr>
          <w:p w14:paraId="2014DEE7">
            <w:pPr>
              <w:adjustRightInd w:val="0"/>
              <w:snapToGrid w:val="0"/>
              <w:spacing w:line="288" w:lineRule="auto"/>
              <w:jc w:val="distribute"/>
              <w:rPr>
                <w:color w:val="auto"/>
              </w:rPr>
            </w:pPr>
            <w:r>
              <w:rPr>
                <w:rFonts w:eastAsia="仿宋_GB2312"/>
                <w:color w:val="auto"/>
                <w:sz w:val="36"/>
                <w:szCs w:val="36"/>
              </w:rPr>
              <w:t>编制日期</w:t>
            </w:r>
          </w:p>
        </w:tc>
        <w:tc>
          <w:tcPr>
            <w:tcW w:w="6958" w:type="dxa"/>
            <w:tcBorders>
              <w:top w:val="single" w:color="auto" w:sz="4" w:space="0"/>
              <w:bottom w:val="single" w:color="auto" w:sz="4" w:space="0"/>
            </w:tcBorders>
            <w:vAlign w:val="center"/>
          </w:tcPr>
          <w:p w14:paraId="5BB7F957">
            <w:pPr>
              <w:adjustRightInd w:val="0"/>
              <w:snapToGrid w:val="0"/>
              <w:spacing w:line="288" w:lineRule="auto"/>
              <w:jc w:val="center"/>
              <w:rPr>
                <w:color w:val="auto"/>
              </w:rPr>
            </w:pPr>
            <w:r>
              <w:rPr>
                <w:rFonts w:eastAsia="仿宋_GB2312"/>
                <w:color w:val="auto"/>
                <w:sz w:val="36"/>
                <w:szCs w:val="36"/>
              </w:rPr>
              <w:t>2025年</w:t>
            </w:r>
            <w:r>
              <w:rPr>
                <w:rFonts w:hint="eastAsia" w:eastAsia="仿宋_GB2312"/>
                <w:color w:val="auto"/>
                <w:sz w:val="36"/>
                <w:szCs w:val="36"/>
              </w:rPr>
              <w:t>7</w:t>
            </w:r>
            <w:r>
              <w:rPr>
                <w:rFonts w:eastAsia="仿宋_GB2312"/>
                <w:color w:val="auto"/>
                <w:sz w:val="36"/>
                <w:szCs w:val="36"/>
              </w:rPr>
              <w:t>月</w:t>
            </w:r>
          </w:p>
        </w:tc>
        <w:bookmarkStart w:id="0" w:name="_Hlk57884087"/>
      </w:tr>
    </w:tbl>
    <w:p w14:paraId="6B6D1D54">
      <w:pPr>
        <w:adjustRightInd w:val="0"/>
        <w:snapToGrid w:val="0"/>
        <w:spacing w:line="288" w:lineRule="auto"/>
        <w:ind w:firstLine="1040"/>
        <w:rPr>
          <w:rFonts w:ascii="仿宋_GB2312" w:eastAsia="仿宋_GB2312"/>
          <w:color w:val="auto"/>
          <w:sz w:val="36"/>
          <w:szCs w:val="36"/>
          <w:u w:val="single"/>
        </w:rPr>
      </w:pPr>
    </w:p>
    <w:p w14:paraId="540B1DD8">
      <w:pPr>
        <w:adjustRightInd w:val="0"/>
        <w:snapToGrid w:val="0"/>
        <w:spacing w:line="288" w:lineRule="auto"/>
        <w:ind w:firstLine="1040"/>
        <w:rPr>
          <w:rFonts w:ascii="仿宋_GB2312" w:eastAsia="仿宋_GB2312"/>
          <w:color w:val="auto"/>
          <w:sz w:val="36"/>
          <w:szCs w:val="36"/>
        </w:rPr>
      </w:pPr>
    </w:p>
    <w:p w14:paraId="4984CAE6">
      <w:pPr>
        <w:adjustRightInd w:val="0"/>
        <w:snapToGrid w:val="0"/>
        <w:spacing w:line="288" w:lineRule="auto"/>
        <w:ind w:firstLine="1040"/>
        <w:rPr>
          <w:rFonts w:ascii="仿宋_GB2312" w:eastAsia="仿宋_GB2312"/>
          <w:color w:val="auto"/>
          <w:sz w:val="36"/>
          <w:szCs w:val="36"/>
        </w:rPr>
      </w:pPr>
    </w:p>
    <w:bookmarkEnd w:id="0"/>
    <w:p w14:paraId="0668B4D2">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79ED98E7">
      <w:pPr>
        <w:adjustRightInd w:val="0"/>
        <w:snapToGrid w:val="0"/>
        <w:spacing w:line="288" w:lineRule="auto"/>
        <w:jc w:val="both"/>
        <w:rPr>
          <w:rFonts w:ascii="仿宋_GB2312" w:eastAsia="仿宋_GB2312"/>
          <w:color w:val="auto"/>
          <w:sz w:val="36"/>
          <w:szCs w:val="36"/>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B0FD419">
      <w:pPr>
        <w:pStyle w:val="2"/>
        <w:keepLines/>
        <w:overflowPunct/>
        <w:snapToGrid/>
        <w:spacing w:before="0" w:after="0" w:line="360" w:lineRule="auto"/>
        <w:ind w:left="0" w:firstLine="0"/>
        <w:jc w:val="center"/>
        <w:rPr>
          <w:b w:val="0"/>
          <w:bCs w:val="0"/>
          <w:color w:val="auto"/>
          <w:sz w:val="32"/>
          <w:szCs w:val="32"/>
        </w:rPr>
      </w:pPr>
      <w:r>
        <w:rPr>
          <w:rFonts w:hint="eastAsia"/>
          <w:b w:val="0"/>
          <w:bCs w:val="0"/>
          <w:color w:val="auto"/>
          <w:sz w:val="32"/>
          <w:szCs w:val="32"/>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5"/>
        <w:gridCol w:w="2192"/>
        <w:gridCol w:w="1835"/>
        <w:gridCol w:w="2848"/>
      </w:tblGrid>
      <w:tr w14:paraId="23452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1948986E">
            <w:pPr>
              <w:adjustRightInd w:val="0"/>
              <w:snapToGrid w:val="0"/>
              <w:spacing w:line="288" w:lineRule="auto"/>
              <w:jc w:val="center"/>
              <w:rPr>
                <w:rFonts w:hint="eastAsia" w:ascii="宋体" w:hAnsi="宋体" w:cs="宋体"/>
                <w:color w:val="auto"/>
              </w:rPr>
            </w:pPr>
            <w:r>
              <w:rPr>
                <w:rFonts w:hint="eastAsia" w:ascii="宋体" w:hAnsi="宋体" w:cs="宋体"/>
                <w:color w:val="auto"/>
              </w:rPr>
              <w:t>建设项目名称</w:t>
            </w:r>
          </w:p>
        </w:tc>
        <w:tc>
          <w:tcPr>
            <w:tcW w:w="6875" w:type="dxa"/>
            <w:gridSpan w:val="3"/>
            <w:vAlign w:val="center"/>
          </w:tcPr>
          <w:p w14:paraId="110C632B">
            <w:pPr>
              <w:pStyle w:val="40"/>
              <w:spacing w:line="288" w:lineRule="auto"/>
              <w:rPr>
                <w:color w:val="auto"/>
                <w:szCs w:val="24"/>
              </w:rPr>
            </w:pPr>
            <w:r>
              <w:rPr>
                <w:rFonts w:hint="eastAsia"/>
                <w:color w:val="auto"/>
                <w:szCs w:val="24"/>
              </w:rPr>
              <w:t>光电LED产品及标识发光字制作生产项目</w:t>
            </w:r>
          </w:p>
        </w:tc>
      </w:tr>
      <w:tr w14:paraId="3542D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2FD1E00B">
            <w:pPr>
              <w:adjustRightInd w:val="0"/>
              <w:snapToGrid w:val="0"/>
              <w:spacing w:line="288" w:lineRule="auto"/>
              <w:jc w:val="center"/>
              <w:rPr>
                <w:rFonts w:hint="eastAsia" w:ascii="宋体" w:hAnsi="宋体" w:cs="宋体"/>
                <w:color w:val="auto"/>
              </w:rPr>
            </w:pPr>
            <w:r>
              <w:rPr>
                <w:rFonts w:hint="eastAsia" w:ascii="宋体" w:hAnsi="宋体" w:cs="宋体"/>
                <w:color w:val="auto"/>
              </w:rPr>
              <w:t>项目代码</w:t>
            </w:r>
          </w:p>
        </w:tc>
        <w:tc>
          <w:tcPr>
            <w:tcW w:w="6875" w:type="dxa"/>
            <w:gridSpan w:val="3"/>
            <w:vAlign w:val="center"/>
          </w:tcPr>
          <w:p w14:paraId="218CE53B">
            <w:pPr>
              <w:pStyle w:val="40"/>
              <w:spacing w:line="288" w:lineRule="auto"/>
              <w:rPr>
                <w:color w:val="auto"/>
                <w:szCs w:val="24"/>
              </w:rPr>
            </w:pPr>
            <w:r>
              <w:rPr>
                <w:rFonts w:hint="eastAsia"/>
                <w:color w:val="auto"/>
                <w:szCs w:val="24"/>
              </w:rPr>
              <w:t>2506-350169-04-01-513009</w:t>
            </w:r>
          </w:p>
        </w:tc>
      </w:tr>
      <w:tr w14:paraId="5879A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61291206">
            <w:pPr>
              <w:adjustRightInd w:val="0"/>
              <w:snapToGrid w:val="0"/>
              <w:spacing w:line="288" w:lineRule="auto"/>
              <w:jc w:val="center"/>
              <w:rPr>
                <w:rFonts w:hint="eastAsia" w:ascii="宋体" w:hAnsi="宋体" w:cs="宋体"/>
                <w:color w:val="auto"/>
              </w:rPr>
            </w:pPr>
            <w:r>
              <w:rPr>
                <w:rFonts w:hint="eastAsia" w:ascii="宋体" w:hAnsi="宋体" w:cs="宋体"/>
                <w:color w:val="auto"/>
              </w:rPr>
              <w:t>建设单位联系人</w:t>
            </w:r>
          </w:p>
        </w:tc>
        <w:tc>
          <w:tcPr>
            <w:tcW w:w="2192" w:type="dxa"/>
            <w:vAlign w:val="center"/>
          </w:tcPr>
          <w:p w14:paraId="7FA55960">
            <w:pPr>
              <w:pStyle w:val="40"/>
              <w:spacing w:line="288" w:lineRule="auto"/>
              <w:rPr>
                <w:rFonts w:hint="eastAsia" w:eastAsia="宋体"/>
                <w:color w:val="auto"/>
                <w:szCs w:val="24"/>
                <w:lang w:eastAsia="zh-CN"/>
              </w:rPr>
            </w:pPr>
            <w:r>
              <w:rPr>
                <w:rFonts w:hint="eastAsia"/>
                <w:color w:val="auto"/>
                <w:szCs w:val="24"/>
                <w:lang w:val="en-US" w:eastAsia="zh-CN"/>
              </w:rPr>
              <w:t>/</w:t>
            </w:r>
          </w:p>
        </w:tc>
        <w:tc>
          <w:tcPr>
            <w:tcW w:w="1835" w:type="dxa"/>
            <w:vAlign w:val="center"/>
          </w:tcPr>
          <w:p w14:paraId="0562B8FB">
            <w:pPr>
              <w:pStyle w:val="40"/>
              <w:spacing w:line="288" w:lineRule="auto"/>
              <w:rPr>
                <w:color w:val="auto"/>
                <w:szCs w:val="24"/>
              </w:rPr>
            </w:pPr>
            <w:r>
              <w:rPr>
                <w:rFonts w:hint="eastAsia"/>
                <w:color w:val="auto"/>
                <w:szCs w:val="24"/>
              </w:rPr>
              <w:t>联系方式</w:t>
            </w:r>
          </w:p>
        </w:tc>
        <w:tc>
          <w:tcPr>
            <w:tcW w:w="2848" w:type="dxa"/>
            <w:vAlign w:val="center"/>
          </w:tcPr>
          <w:p w14:paraId="375F2776">
            <w:pPr>
              <w:pStyle w:val="40"/>
              <w:spacing w:line="288" w:lineRule="auto"/>
              <w:rPr>
                <w:color w:val="auto"/>
                <w:szCs w:val="24"/>
              </w:rPr>
            </w:pPr>
            <w:r>
              <w:rPr>
                <w:rFonts w:hint="eastAsia"/>
                <w:color w:val="auto"/>
                <w:szCs w:val="24"/>
                <w:lang w:val="en-US" w:eastAsia="zh-CN"/>
              </w:rPr>
              <w:t>/</w:t>
            </w:r>
          </w:p>
        </w:tc>
      </w:tr>
      <w:tr w14:paraId="75F30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4F40A050">
            <w:pPr>
              <w:adjustRightInd w:val="0"/>
              <w:snapToGrid w:val="0"/>
              <w:spacing w:line="288" w:lineRule="auto"/>
              <w:jc w:val="center"/>
              <w:rPr>
                <w:rFonts w:hint="eastAsia" w:ascii="宋体" w:hAnsi="宋体" w:cs="宋体"/>
                <w:color w:val="auto"/>
              </w:rPr>
            </w:pPr>
            <w:r>
              <w:rPr>
                <w:rFonts w:hint="eastAsia" w:ascii="宋体" w:hAnsi="宋体" w:cs="宋体"/>
                <w:color w:val="auto"/>
              </w:rPr>
              <w:t>建设地点</w:t>
            </w:r>
          </w:p>
        </w:tc>
        <w:tc>
          <w:tcPr>
            <w:tcW w:w="6875" w:type="dxa"/>
            <w:gridSpan w:val="3"/>
            <w:vAlign w:val="center"/>
          </w:tcPr>
          <w:p w14:paraId="7D530BA7">
            <w:pPr>
              <w:pStyle w:val="40"/>
              <w:tabs>
                <w:tab w:val="left" w:pos="6480"/>
              </w:tabs>
              <w:spacing w:line="288" w:lineRule="auto"/>
              <w:rPr>
                <w:color w:val="auto"/>
                <w:szCs w:val="24"/>
              </w:rPr>
            </w:pPr>
            <w:r>
              <w:rPr>
                <w:rFonts w:hint="eastAsia"/>
                <w:color w:val="auto"/>
                <w:szCs w:val="24"/>
              </w:rPr>
              <w:t>福建省闽侯县南屿镇智慧大道20号保利通信福州高新科技产业园13号楼</w:t>
            </w:r>
          </w:p>
        </w:tc>
      </w:tr>
      <w:tr w14:paraId="65192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07CA870A">
            <w:pPr>
              <w:adjustRightInd w:val="0"/>
              <w:snapToGrid w:val="0"/>
              <w:spacing w:line="288" w:lineRule="auto"/>
              <w:jc w:val="center"/>
              <w:rPr>
                <w:rFonts w:hint="eastAsia" w:ascii="宋体" w:hAnsi="宋体" w:cs="宋体"/>
                <w:color w:val="auto"/>
              </w:rPr>
            </w:pPr>
            <w:r>
              <w:rPr>
                <w:rFonts w:hint="eastAsia" w:ascii="宋体" w:hAnsi="宋体" w:cs="宋体"/>
                <w:color w:val="auto"/>
              </w:rPr>
              <w:t>地理坐标</w:t>
            </w:r>
          </w:p>
        </w:tc>
        <w:tc>
          <w:tcPr>
            <w:tcW w:w="6875" w:type="dxa"/>
            <w:gridSpan w:val="3"/>
            <w:vAlign w:val="center"/>
          </w:tcPr>
          <w:p w14:paraId="7FAB2E38">
            <w:pPr>
              <w:pStyle w:val="40"/>
              <w:spacing w:line="288" w:lineRule="auto"/>
              <w:rPr>
                <w:color w:val="auto"/>
                <w:szCs w:val="24"/>
              </w:rPr>
            </w:pPr>
            <w:r>
              <w:rPr>
                <w:color w:val="auto"/>
                <w:szCs w:val="24"/>
              </w:rPr>
              <w:t>（</w:t>
            </w:r>
            <w:r>
              <w:rPr>
                <w:rFonts w:hint="eastAsia"/>
                <w:color w:val="auto"/>
                <w:szCs w:val="24"/>
                <w:u w:val="single"/>
              </w:rPr>
              <w:t>119</w:t>
            </w:r>
            <w:r>
              <w:rPr>
                <w:color w:val="auto"/>
                <w:szCs w:val="24"/>
              </w:rPr>
              <w:t>度</w:t>
            </w:r>
            <w:r>
              <w:rPr>
                <w:rFonts w:hint="eastAsia"/>
                <w:color w:val="auto"/>
                <w:szCs w:val="24"/>
                <w:u w:val="single"/>
              </w:rPr>
              <w:t>12</w:t>
            </w:r>
            <w:r>
              <w:rPr>
                <w:color w:val="auto"/>
                <w:szCs w:val="24"/>
              </w:rPr>
              <w:t>分</w:t>
            </w:r>
            <w:r>
              <w:rPr>
                <w:rFonts w:hint="eastAsia"/>
                <w:color w:val="auto"/>
                <w:szCs w:val="24"/>
                <w:u w:val="single"/>
              </w:rPr>
              <w:t>38.475</w:t>
            </w:r>
            <w:r>
              <w:rPr>
                <w:color w:val="auto"/>
                <w:szCs w:val="24"/>
              </w:rPr>
              <w:t>秒，</w:t>
            </w:r>
            <w:r>
              <w:rPr>
                <w:rFonts w:hint="eastAsia"/>
                <w:color w:val="auto"/>
                <w:szCs w:val="24"/>
                <w:u w:val="single"/>
              </w:rPr>
              <w:t>25</w:t>
            </w:r>
            <w:r>
              <w:rPr>
                <w:color w:val="auto"/>
                <w:szCs w:val="24"/>
              </w:rPr>
              <w:t>度</w:t>
            </w:r>
            <w:r>
              <w:rPr>
                <w:rFonts w:hint="eastAsia"/>
                <w:color w:val="auto"/>
                <w:szCs w:val="24"/>
                <w:u w:val="single"/>
              </w:rPr>
              <w:t>57</w:t>
            </w:r>
            <w:r>
              <w:rPr>
                <w:color w:val="auto"/>
                <w:szCs w:val="24"/>
              </w:rPr>
              <w:t>分</w:t>
            </w:r>
            <w:r>
              <w:rPr>
                <w:rFonts w:hint="eastAsia"/>
                <w:color w:val="auto"/>
                <w:szCs w:val="24"/>
                <w:u w:val="single"/>
              </w:rPr>
              <w:t>2.214</w:t>
            </w:r>
            <w:r>
              <w:rPr>
                <w:color w:val="auto"/>
                <w:szCs w:val="24"/>
              </w:rPr>
              <w:t>秒）</w:t>
            </w:r>
          </w:p>
        </w:tc>
      </w:tr>
      <w:tr w14:paraId="2D7EB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1995" w:type="dxa"/>
            <w:tcMar>
              <w:top w:w="16" w:type="dxa"/>
              <w:left w:w="16" w:type="dxa"/>
              <w:right w:w="16" w:type="dxa"/>
            </w:tcMar>
            <w:vAlign w:val="center"/>
          </w:tcPr>
          <w:p w14:paraId="10B74C31">
            <w:pPr>
              <w:adjustRightInd w:val="0"/>
              <w:snapToGrid w:val="0"/>
              <w:spacing w:line="288" w:lineRule="auto"/>
              <w:jc w:val="center"/>
              <w:rPr>
                <w:rFonts w:hint="eastAsia" w:ascii="宋体" w:hAnsi="宋体" w:cs="宋体"/>
                <w:color w:val="auto"/>
              </w:rPr>
            </w:pPr>
            <w:r>
              <w:rPr>
                <w:rFonts w:hint="eastAsia" w:ascii="宋体" w:hAnsi="宋体" w:cs="宋体"/>
                <w:color w:val="auto"/>
              </w:rPr>
              <w:t>国民经济</w:t>
            </w:r>
          </w:p>
          <w:p w14:paraId="62F2A6E6">
            <w:pPr>
              <w:adjustRightInd w:val="0"/>
              <w:snapToGrid w:val="0"/>
              <w:spacing w:line="288" w:lineRule="auto"/>
              <w:jc w:val="center"/>
              <w:rPr>
                <w:rFonts w:hint="eastAsia" w:ascii="宋体" w:hAnsi="宋体" w:cs="宋体"/>
                <w:color w:val="auto"/>
              </w:rPr>
            </w:pPr>
            <w:r>
              <w:rPr>
                <w:rFonts w:hint="eastAsia" w:ascii="宋体" w:hAnsi="宋体" w:cs="宋体"/>
                <w:color w:val="auto"/>
              </w:rPr>
              <w:t>行业类别</w:t>
            </w:r>
          </w:p>
        </w:tc>
        <w:tc>
          <w:tcPr>
            <w:tcW w:w="2192" w:type="dxa"/>
            <w:vAlign w:val="center"/>
          </w:tcPr>
          <w:p w14:paraId="11F9C11D">
            <w:pPr>
              <w:pStyle w:val="40"/>
              <w:spacing w:line="288" w:lineRule="auto"/>
              <w:rPr>
                <w:color w:val="auto"/>
                <w:szCs w:val="24"/>
              </w:rPr>
            </w:pPr>
            <w:r>
              <w:rPr>
                <w:color w:val="auto"/>
                <w:szCs w:val="24"/>
              </w:rPr>
              <w:t>C3394交通及公共管理用金属标牌制造</w:t>
            </w:r>
          </w:p>
          <w:p w14:paraId="35723D2B">
            <w:pPr>
              <w:pStyle w:val="40"/>
              <w:spacing w:line="288" w:lineRule="auto"/>
              <w:rPr>
                <w:color w:val="auto"/>
                <w:szCs w:val="24"/>
              </w:rPr>
            </w:pPr>
            <w:r>
              <w:rPr>
                <w:color w:val="auto"/>
                <w:szCs w:val="24"/>
              </w:rPr>
              <w:t>C3399其他未列明金属制品制造</w:t>
            </w:r>
          </w:p>
          <w:p w14:paraId="7AA166F8">
            <w:pPr>
              <w:pStyle w:val="40"/>
              <w:spacing w:line="288" w:lineRule="auto"/>
              <w:rPr>
                <w:color w:val="auto"/>
                <w:szCs w:val="24"/>
              </w:rPr>
            </w:pPr>
            <w:r>
              <w:rPr>
                <w:color w:val="auto"/>
                <w:szCs w:val="24"/>
              </w:rPr>
              <w:t>C2929塑料零件及其他塑料制品制造</w:t>
            </w:r>
          </w:p>
        </w:tc>
        <w:tc>
          <w:tcPr>
            <w:tcW w:w="1835" w:type="dxa"/>
            <w:vAlign w:val="center"/>
          </w:tcPr>
          <w:p w14:paraId="1CF83BD2">
            <w:pPr>
              <w:pStyle w:val="40"/>
              <w:spacing w:line="288" w:lineRule="auto"/>
              <w:rPr>
                <w:color w:val="auto"/>
                <w:szCs w:val="24"/>
              </w:rPr>
            </w:pPr>
            <w:bookmarkStart w:id="1" w:name="_Hlk49843745"/>
            <w:r>
              <w:rPr>
                <w:rFonts w:hint="eastAsia"/>
                <w:color w:val="auto"/>
                <w:szCs w:val="24"/>
              </w:rPr>
              <w:t>建设项目</w:t>
            </w:r>
          </w:p>
          <w:p w14:paraId="7A1BA759">
            <w:pPr>
              <w:pStyle w:val="40"/>
              <w:spacing w:line="288" w:lineRule="auto"/>
              <w:rPr>
                <w:color w:val="auto"/>
                <w:szCs w:val="24"/>
              </w:rPr>
            </w:pPr>
            <w:r>
              <w:rPr>
                <w:rFonts w:hint="eastAsia"/>
                <w:color w:val="auto"/>
                <w:szCs w:val="24"/>
              </w:rPr>
              <w:t>行业类别</w:t>
            </w:r>
            <w:bookmarkEnd w:id="1"/>
          </w:p>
        </w:tc>
        <w:tc>
          <w:tcPr>
            <w:tcW w:w="2848" w:type="dxa"/>
            <w:vAlign w:val="center"/>
          </w:tcPr>
          <w:p w14:paraId="11F00D27">
            <w:pPr>
              <w:pStyle w:val="40"/>
              <w:spacing w:line="288" w:lineRule="auto"/>
              <w:rPr>
                <w:color w:val="auto"/>
                <w:szCs w:val="24"/>
              </w:rPr>
            </w:pPr>
            <w:r>
              <w:rPr>
                <w:color w:val="auto"/>
                <w:szCs w:val="24"/>
              </w:rPr>
              <w:t>二十六、橡胶和塑料制品业</w:t>
            </w:r>
          </w:p>
          <w:p w14:paraId="4135428C">
            <w:pPr>
              <w:pStyle w:val="40"/>
              <w:spacing w:line="288" w:lineRule="auto"/>
              <w:rPr>
                <w:color w:val="auto"/>
                <w:szCs w:val="24"/>
              </w:rPr>
            </w:pPr>
            <w:r>
              <w:rPr>
                <w:color w:val="auto"/>
                <w:szCs w:val="24"/>
              </w:rPr>
              <w:t>53.塑料制品业</w:t>
            </w:r>
          </w:p>
          <w:p w14:paraId="3346C33C">
            <w:pPr>
              <w:pStyle w:val="40"/>
              <w:spacing w:line="288" w:lineRule="auto"/>
              <w:rPr>
                <w:color w:val="auto"/>
                <w:szCs w:val="24"/>
              </w:rPr>
            </w:pPr>
            <w:r>
              <w:rPr>
                <w:color w:val="auto"/>
                <w:szCs w:val="24"/>
              </w:rPr>
              <w:t>三十、金属制品业</w:t>
            </w:r>
          </w:p>
          <w:p w14:paraId="3CBCAE7D">
            <w:pPr>
              <w:pStyle w:val="40"/>
              <w:spacing w:line="288" w:lineRule="auto"/>
              <w:rPr>
                <w:color w:val="auto"/>
                <w:szCs w:val="24"/>
              </w:rPr>
            </w:pPr>
            <w:r>
              <w:rPr>
                <w:color w:val="auto"/>
                <w:szCs w:val="24"/>
              </w:rPr>
              <w:t>68.铸造及其他金属制品制造</w:t>
            </w:r>
          </w:p>
        </w:tc>
      </w:tr>
      <w:tr w14:paraId="5D7D5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5" w:type="dxa"/>
            <w:tcMar>
              <w:top w:w="16" w:type="dxa"/>
              <w:left w:w="16" w:type="dxa"/>
              <w:right w:w="16" w:type="dxa"/>
            </w:tcMar>
            <w:vAlign w:val="center"/>
          </w:tcPr>
          <w:p w14:paraId="70F82E12">
            <w:pPr>
              <w:pStyle w:val="40"/>
              <w:spacing w:line="288" w:lineRule="auto"/>
              <w:rPr>
                <w:color w:val="auto"/>
                <w:szCs w:val="24"/>
              </w:rPr>
            </w:pPr>
            <w:r>
              <w:rPr>
                <w:rFonts w:hint="eastAsia"/>
                <w:color w:val="auto"/>
                <w:szCs w:val="24"/>
              </w:rPr>
              <w:t>建设性质</w:t>
            </w:r>
          </w:p>
        </w:tc>
        <w:tc>
          <w:tcPr>
            <w:tcW w:w="2192" w:type="dxa"/>
            <w:vAlign w:val="center"/>
          </w:tcPr>
          <w:p w14:paraId="7C0C5C60">
            <w:pPr>
              <w:spacing w:line="288" w:lineRule="auto"/>
              <w:jc w:val="left"/>
              <w:rPr>
                <w:rFonts w:hint="eastAsia" w:ascii="宋体" w:hAnsi="宋体" w:cs="宋体"/>
                <w:color w:val="auto"/>
              </w:rPr>
            </w:pPr>
            <w:r>
              <w:rPr>
                <w:rFonts w:hint="eastAsia" w:ascii="宋体" w:hAnsi="宋体" w:cs="宋体"/>
                <w:color w:val="auto"/>
              </w:rPr>
              <w:t>☑新建（迁建）</w:t>
            </w:r>
          </w:p>
          <w:p w14:paraId="0140C830">
            <w:pPr>
              <w:spacing w:line="288" w:lineRule="auto"/>
              <w:jc w:val="left"/>
              <w:rPr>
                <w:rFonts w:hint="eastAsia" w:ascii="宋体" w:hAnsi="宋体" w:cs="宋体"/>
                <w:color w:val="auto"/>
              </w:rPr>
            </w:pPr>
            <w:r>
              <w:rPr>
                <w:rFonts w:hint="eastAsia" w:ascii="宋体" w:hAnsi="宋体" w:cs="宋体"/>
                <w:color w:val="auto"/>
              </w:rPr>
              <w:t>□改建</w:t>
            </w:r>
          </w:p>
          <w:p w14:paraId="2D4C8FE9">
            <w:pPr>
              <w:spacing w:line="288" w:lineRule="auto"/>
              <w:jc w:val="left"/>
              <w:rPr>
                <w:rFonts w:hint="eastAsia" w:ascii="宋体" w:hAnsi="宋体" w:cs="宋体"/>
                <w:color w:val="auto"/>
              </w:rPr>
            </w:pPr>
            <w:r>
              <w:rPr>
                <w:rFonts w:hint="eastAsia" w:ascii="宋体" w:hAnsi="宋体" w:cs="宋体"/>
                <w:color w:val="auto"/>
              </w:rPr>
              <w:t>□扩建</w:t>
            </w:r>
          </w:p>
          <w:p w14:paraId="6D39B981">
            <w:pPr>
              <w:spacing w:line="288" w:lineRule="auto"/>
              <w:jc w:val="left"/>
              <w:rPr>
                <w:rFonts w:hint="eastAsia" w:ascii="宋体" w:hAnsi="宋体" w:cs="宋体"/>
                <w:color w:val="auto"/>
              </w:rPr>
            </w:pPr>
            <w:r>
              <w:rPr>
                <w:rFonts w:hint="eastAsia" w:ascii="宋体" w:hAnsi="宋体" w:cs="宋体"/>
                <w:color w:val="auto"/>
              </w:rPr>
              <w:t>□技术改造</w:t>
            </w:r>
          </w:p>
        </w:tc>
        <w:tc>
          <w:tcPr>
            <w:tcW w:w="1835" w:type="dxa"/>
            <w:vAlign w:val="center"/>
          </w:tcPr>
          <w:p w14:paraId="5A8E89BA">
            <w:pPr>
              <w:pStyle w:val="40"/>
              <w:spacing w:line="288" w:lineRule="auto"/>
              <w:rPr>
                <w:color w:val="auto"/>
                <w:szCs w:val="24"/>
              </w:rPr>
            </w:pPr>
            <w:r>
              <w:rPr>
                <w:rFonts w:hint="eastAsia"/>
                <w:color w:val="auto"/>
                <w:szCs w:val="24"/>
              </w:rPr>
              <w:t>建设项目</w:t>
            </w:r>
          </w:p>
          <w:p w14:paraId="2946908B">
            <w:pPr>
              <w:pStyle w:val="40"/>
              <w:spacing w:line="288" w:lineRule="auto"/>
              <w:rPr>
                <w:color w:val="auto"/>
                <w:szCs w:val="24"/>
              </w:rPr>
            </w:pPr>
            <w:r>
              <w:rPr>
                <w:rFonts w:hint="eastAsia"/>
                <w:color w:val="auto"/>
                <w:szCs w:val="24"/>
              </w:rPr>
              <w:t>申报情形</w:t>
            </w:r>
          </w:p>
        </w:tc>
        <w:tc>
          <w:tcPr>
            <w:tcW w:w="2848" w:type="dxa"/>
            <w:vAlign w:val="center"/>
          </w:tcPr>
          <w:p w14:paraId="1323F486">
            <w:pPr>
              <w:spacing w:line="288" w:lineRule="auto"/>
              <w:jc w:val="left"/>
              <w:rPr>
                <w:rFonts w:hint="eastAsia" w:ascii="宋体" w:hAnsi="宋体" w:cs="宋体"/>
                <w:color w:val="auto"/>
              </w:rPr>
            </w:pPr>
            <w:r>
              <w:rPr>
                <w:rFonts w:hint="eastAsia" w:ascii="宋体" w:hAnsi="宋体" w:cs="宋体"/>
                <w:color w:val="auto"/>
              </w:rPr>
              <w:t>☑首次申报项目</w:t>
            </w:r>
            <w:r>
              <w:rPr>
                <w:rFonts w:ascii="宋体" w:hAnsi="宋体" w:cs="宋体"/>
                <w:color w:val="auto"/>
              </w:rPr>
              <w:t xml:space="preserve">             </w:t>
            </w:r>
          </w:p>
          <w:p w14:paraId="65686BDB">
            <w:pPr>
              <w:spacing w:line="288" w:lineRule="auto"/>
              <w:jc w:val="left"/>
              <w:rPr>
                <w:rFonts w:hint="eastAsia" w:ascii="宋体" w:hAnsi="宋体" w:cs="宋体"/>
                <w:color w:val="auto"/>
              </w:rPr>
            </w:pPr>
            <w:r>
              <w:rPr>
                <w:rFonts w:hint="eastAsia" w:ascii="宋体" w:hAnsi="宋体" w:cs="宋体"/>
                <w:color w:val="auto"/>
              </w:rPr>
              <w:t>□不予批准后再次申报项目</w:t>
            </w:r>
          </w:p>
          <w:p w14:paraId="71FE8CB8">
            <w:pPr>
              <w:spacing w:line="288" w:lineRule="auto"/>
              <w:jc w:val="left"/>
              <w:rPr>
                <w:rFonts w:hint="eastAsia" w:ascii="宋体" w:hAnsi="宋体" w:cs="宋体"/>
                <w:color w:val="auto"/>
              </w:rPr>
            </w:pPr>
            <w:r>
              <w:rPr>
                <w:rFonts w:hint="eastAsia" w:ascii="宋体" w:hAnsi="宋体" w:cs="宋体"/>
                <w:color w:val="auto"/>
              </w:rPr>
              <w:t>□超五年重新审核项目</w:t>
            </w:r>
            <w:r>
              <w:rPr>
                <w:rFonts w:ascii="宋体" w:hAnsi="宋体" w:cs="宋体"/>
                <w:color w:val="auto"/>
              </w:rPr>
              <w:t xml:space="preserve">     </w:t>
            </w:r>
          </w:p>
          <w:p w14:paraId="4D6958B8">
            <w:pPr>
              <w:spacing w:line="288" w:lineRule="auto"/>
              <w:jc w:val="left"/>
              <w:rPr>
                <w:rFonts w:hint="eastAsia" w:ascii="宋体" w:hAnsi="宋体" w:cs="宋体"/>
                <w:color w:val="auto"/>
              </w:rPr>
            </w:pPr>
            <w:r>
              <w:rPr>
                <w:rFonts w:hint="eastAsia" w:ascii="宋体" w:hAnsi="宋体" w:cs="宋体"/>
                <w:color w:val="auto"/>
              </w:rPr>
              <w:t>□重大变动重新报批项目</w:t>
            </w:r>
          </w:p>
        </w:tc>
      </w:tr>
      <w:tr w14:paraId="49B07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5" w:type="dxa"/>
            <w:tcMar>
              <w:top w:w="16" w:type="dxa"/>
              <w:left w:w="16" w:type="dxa"/>
              <w:right w:w="16" w:type="dxa"/>
            </w:tcMar>
            <w:vAlign w:val="center"/>
          </w:tcPr>
          <w:p w14:paraId="2C9835C0">
            <w:pPr>
              <w:pStyle w:val="40"/>
              <w:spacing w:line="288" w:lineRule="auto"/>
              <w:rPr>
                <w:color w:val="auto"/>
                <w:szCs w:val="24"/>
              </w:rPr>
            </w:pPr>
            <w:r>
              <w:rPr>
                <w:rFonts w:hint="eastAsia"/>
                <w:color w:val="auto"/>
                <w:szCs w:val="24"/>
              </w:rPr>
              <w:t>项目审批（核准</w:t>
            </w:r>
            <w:r>
              <w:rPr>
                <w:color w:val="auto"/>
                <w:szCs w:val="24"/>
              </w:rPr>
              <w:t>/</w:t>
            </w:r>
            <w:r>
              <w:rPr>
                <w:rFonts w:hint="eastAsia"/>
                <w:color w:val="auto"/>
                <w:szCs w:val="24"/>
              </w:rPr>
              <w:t>备案）部门（选填）</w:t>
            </w:r>
          </w:p>
        </w:tc>
        <w:tc>
          <w:tcPr>
            <w:tcW w:w="2192" w:type="dxa"/>
            <w:vAlign w:val="center"/>
          </w:tcPr>
          <w:p w14:paraId="6652D44C">
            <w:pPr>
              <w:pStyle w:val="40"/>
              <w:spacing w:line="288" w:lineRule="auto"/>
              <w:rPr>
                <w:color w:val="auto"/>
                <w:szCs w:val="24"/>
              </w:rPr>
            </w:pPr>
            <w:r>
              <w:rPr>
                <w:color w:val="auto"/>
                <w:szCs w:val="24"/>
              </w:rPr>
              <w:t>福州高新区经济发展局</w:t>
            </w:r>
          </w:p>
        </w:tc>
        <w:tc>
          <w:tcPr>
            <w:tcW w:w="1835" w:type="dxa"/>
            <w:vAlign w:val="center"/>
          </w:tcPr>
          <w:p w14:paraId="12A767BD">
            <w:pPr>
              <w:pStyle w:val="40"/>
              <w:spacing w:line="288" w:lineRule="auto"/>
              <w:rPr>
                <w:color w:val="auto"/>
                <w:szCs w:val="24"/>
              </w:rPr>
            </w:pPr>
            <w:r>
              <w:rPr>
                <w:rFonts w:hint="eastAsia"/>
                <w:color w:val="auto"/>
                <w:szCs w:val="24"/>
              </w:rPr>
              <w:t>项目审批（核准</w:t>
            </w:r>
            <w:r>
              <w:rPr>
                <w:color w:val="auto"/>
                <w:szCs w:val="24"/>
              </w:rPr>
              <w:t>/</w:t>
            </w:r>
          </w:p>
          <w:p w14:paraId="3B43885D">
            <w:pPr>
              <w:pStyle w:val="40"/>
              <w:spacing w:line="288" w:lineRule="auto"/>
              <w:rPr>
                <w:color w:val="auto"/>
                <w:szCs w:val="24"/>
              </w:rPr>
            </w:pPr>
            <w:r>
              <w:rPr>
                <w:rFonts w:hint="eastAsia"/>
                <w:color w:val="auto"/>
                <w:szCs w:val="24"/>
              </w:rPr>
              <w:t>备案）文号（选填）</w:t>
            </w:r>
          </w:p>
        </w:tc>
        <w:tc>
          <w:tcPr>
            <w:tcW w:w="2848" w:type="dxa"/>
            <w:vAlign w:val="center"/>
          </w:tcPr>
          <w:p w14:paraId="28D3354C">
            <w:pPr>
              <w:pStyle w:val="40"/>
              <w:spacing w:line="288" w:lineRule="auto"/>
              <w:rPr>
                <w:color w:val="auto"/>
                <w:szCs w:val="24"/>
              </w:rPr>
            </w:pPr>
            <w:r>
              <w:rPr>
                <w:rFonts w:hint="eastAsia"/>
                <w:color w:val="auto"/>
                <w:szCs w:val="24"/>
              </w:rPr>
              <w:t>闽发改备[2025]A140107号</w:t>
            </w:r>
          </w:p>
        </w:tc>
      </w:tr>
      <w:tr w14:paraId="17DDA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1123E825">
            <w:pPr>
              <w:pStyle w:val="40"/>
              <w:spacing w:line="288" w:lineRule="auto"/>
              <w:rPr>
                <w:color w:val="auto"/>
                <w:szCs w:val="24"/>
              </w:rPr>
            </w:pPr>
            <w:r>
              <w:rPr>
                <w:rFonts w:hint="eastAsia"/>
                <w:color w:val="auto"/>
                <w:szCs w:val="24"/>
              </w:rPr>
              <w:t>总投资（万元）</w:t>
            </w:r>
          </w:p>
        </w:tc>
        <w:tc>
          <w:tcPr>
            <w:tcW w:w="2192" w:type="dxa"/>
            <w:vAlign w:val="center"/>
          </w:tcPr>
          <w:p w14:paraId="298D8DAA">
            <w:pPr>
              <w:pStyle w:val="40"/>
              <w:spacing w:line="288" w:lineRule="auto"/>
              <w:rPr>
                <w:color w:val="auto"/>
                <w:szCs w:val="24"/>
              </w:rPr>
            </w:pPr>
            <w:r>
              <w:rPr>
                <w:rFonts w:hint="eastAsia"/>
                <w:color w:val="auto"/>
                <w:szCs w:val="24"/>
              </w:rPr>
              <w:t>4000</w:t>
            </w:r>
          </w:p>
        </w:tc>
        <w:tc>
          <w:tcPr>
            <w:tcW w:w="1835" w:type="dxa"/>
            <w:tcMar>
              <w:top w:w="16" w:type="dxa"/>
              <w:left w:w="16" w:type="dxa"/>
              <w:right w:w="16" w:type="dxa"/>
            </w:tcMar>
            <w:vAlign w:val="center"/>
          </w:tcPr>
          <w:p w14:paraId="36806B68">
            <w:pPr>
              <w:pStyle w:val="40"/>
              <w:spacing w:line="288" w:lineRule="auto"/>
              <w:rPr>
                <w:color w:val="auto"/>
                <w:szCs w:val="24"/>
              </w:rPr>
            </w:pPr>
            <w:r>
              <w:rPr>
                <w:rFonts w:hint="eastAsia"/>
                <w:color w:val="auto"/>
                <w:szCs w:val="24"/>
              </w:rPr>
              <w:t>环保投资（万元）</w:t>
            </w:r>
          </w:p>
        </w:tc>
        <w:tc>
          <w:tcPr>
            <w:tcW w:w="2848" w:type="dxa"/>
            <w:vAlign w:val="center"/>
          </w:tcPr>
          <w:p w14:paraId="77A5348B">
            <w:pPr>
              <w:pStyle w:val="40"/>
              <w:spacing w:line="288" w:lineRule="auto"/>
              <w:rPr>
                <w:color w:val="auto"/>
                <w:szCs w:val="24"/>
              </w:rPr>
            </w:pPr>
            <w:r>
              <w:rPr>
                <w:rFonts w:hint="eastAsia"/>
                <w:color w:val="auto"/>
                <w:szCs w:val="24"/>
              </w:rPr>
              <w:t>50</w:t>
            </w:r>
          </w:p>
        </w:tc>
      </w:tr>
      <w:tr w14:paraId="74805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2D93B8EA">
            <w:pPr>
              <w:pStyle w:val="40"/>
              <w:spacing w:line="288" w:lineRule="auto"/>
              <w:rPr>
                <w:color w:val="auto"/>
                <w:szCs w:val="24"/>
              </w:rPr>
            </w:pPr>
            <w:r>
              <w:rPr>
                <w:rFonts w:hint="eastAsia"/>
                <w:color w:val="auto"/>
                <w:szCs w:val="24"/>
              </w:rPr>
              <w:t>环保投资占比（</w:t>
            </w:r>
            <w:r>
              <w:rPr>
                <w:color w:val="auto"/>
                <w:szCs w:val="24"/>
              </w:rPr>
              <w:t>%</w:t>
            </w:r>
            <w:r>
              <w:rPr>
                <w:rFonts w:hint="eastAsia"/>
                <w:color w:val="auto"/>
                <w:szCs w:val="24"/>
              </w:rPr>
              <w:t>）</w:t>
            </w:r>
          </w:p>
        </w:tc>
        <w:tc>
          <w:tcPr>
            <w:tcW w:w="2192" w:type="dxa"/>
            <w:vAlign w:val="center"/>
          </w:tcPr>
          <w:p w14:paraId="1729B5E3">
            <w:pPr>
              <w:pStyle w:val="40"/>
              <w:spacing w:line="288" w:lineRule="auto"/>
              <w:rPr>
                <w:color w:val="auto"/>
                <w:szCs w:val="24"/>
              </w:rPr>
            </w:pPr>
            <w:r>
              <w:rPr>
                <w:rFonts w:hint="eastAsia"/>
                <w:color w:val="auto"/>
                <w:szCs w:val="24"/>
              </w:rPr>
              <w:t>1.25</w:t>
            </w:r>
          </w:p>
        </w:tc>
        <w:tc>
          <w:tcPr>
            <w:tcW w:w="1835" w:type="dxa"/>
            <w:tcMar>
              <w:top w:w="16" w:type="dxa"/>
              <w:left w:w="16" w:type="dxa"/>
              <w:right w:w="16" w:type="dxa"/>
            </w:tcMar>
            <w:vAlign w:val="center"/>
          </w:tcPr>
          <w:p w14:paraId="363386E1">
            <w:pPr>
              <w:pStyle w:val="40"/>
              <w:spacing w:line="288" w:lineRule="auto"/>
              <w:rPr>
                <w:color w:val="auto"/>
                <w:szCs w:val="24"/>
              </w:rPr>
            </w:pPr>
            <w:r>
              <w:rPr>
                <w:rFonts w:hint="eastAsia"/>
                <w:color w:val="auto"/>
                <w:szCs w:val="24"/>
              </w:rPr>
              <w:t>施工工期</w:t>
            </w:r>
          </w:p>
        </w:tc>
        <w:tc>
          <w:tcPr>
            <w:tcW w:w="2848" w:type="dxa"/>
            <w:vAlign w:val="center"/>
          </w:tcPr>
          <w:p w14:paraId="71CA2F2A">
            <w:pPr>
              <w:pStyle w:val="40"/>
              <w:spacing w:line="288" w:lineRule="auto"/>
              <w:rPr>
                <w:color w:val="auto"/>
                <w:szCs w:val="24"/>
              </w:rPr>
            </w:pPr>
            <w:r>
              <w:rPr>
                <w:rFonts w:hint="eastAsia"/>
                <w:color w:val="auto"/>
                <w:szCs w:val="24"/>
              </w:rPr>
              <w:t>1年</w:t>
            </w:r>
          </w:p>
        </w:tc>
      </w:tr>
      <w:tr w14:paraId="1CF8E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5" w:type="dxa"/>
            <w:tcMar>
              <w:top w:w="16" w:type="dxa"/>
              <w:left w:w="16" w:type="dxa"/>
              <w:right w:w="16" w:type="dxa"/>
            </w:tcMar>
            <w:vAlign w:val="center"/>
          </w:tcPr>
          <w:p w14:paraId="7BC02618">
            <w:pPr>
              <w:pStyle w:val="40"/>
              <w:spacing w:line="288" w:lineRule="auto"/>
              <w:rPr>
                <w:color w:val="auto"/>
                <w:szCs w:val="24"/>
              </w:rPr>
            </w:pPr>
            <w:r>
              <w:rPr>
                <w:rFonts w:hint="eastAsia"/>
                <w:color w:val="auto"/>
                <w:szCs w:val="24"/>
              </w:rPr>
              <w:t>是否开工建设</w:t>
            </w:r>
          </w:p>
        </w:tc>
        <w:tc>
          <w:tcPr>
            <w:tcW w:w="2192" w:type="dxa"/>
            <w:vAlign w:val="center"/>
          </w:tcPr>
          <w:p w14:paraId="15825D09">
            <w:pPr>
              <w:adjustRightInd w:val="0"/>
              <w:snapToGrid w:val="0"/>
              <w:spacing w:line="288" w:lineRule="auto"/>
              <w:rPr>
                <w:rFonts w:hint="eastAsia" w:ascii="宋体" w:hAnsi="宋体" w:cs="宋体"/>
                <w:color w:val="auto"/>
              </w:rPr>
            </w:pPr>
            <w:r>
              <w:rPr>
                <w:rFonts w:hint="eastAsia" w:ascii="宋体" w:hAnsi="宋体" w:cs="宋体"/>
                <w:color w:val="auto"/>
              </w:rPr>
              <w:t>☑否</w:t>
            </w:r>
          </w:p>
          <w:p w14:paraId="4537CE8D">
            <w:pPr>
              <w:adjustRightInd w:val="0"/>
              <w:snapToGrid w:val="0"/>
              <w:spacing w:line="288" w:lineRule="auto"/>
              <w:rPr>
                <w:rFonts w:hint="eastAsia" w:ascii="宋体" w:hAnsi="宋体" w:cs="宋体"/>
                <w:color w:val="auto"/>
              </w:rPr>
            </w:pPr>
            <w:r>
              <w:rPr>
                <w:rFonts w:hint="eastAsia" w:ascii="宋体" w:hAnsi="宋体" w:cs="宋体"/>
                <w:color w:val="auto"/>
              </w:rPr>
              <w:t>□是：</w:t>
            </w:r>
            <w:r>
              <w:rPr>
                <w:rFonts w:hint="eastAsia" w:ascii="宋体" w:hAnsi="宋体" w:cs="宋体"/>
                <w:color w:val="auto"/>
                <w:u w:val="single"/>
              </w:rPr>
              <w:t xml:space="preserve">             </w:t>
            </w:r>
          </w:p>
        </w:tc>
        <w:tc>
          <w:tcPr>
            <w:tcW w:w="1835" w:type="dxa"/>
            <w:tcMar>
              <w:top w:w="16" w:type="dxa"/>
              <w:left w:w="16" w:type="dxa"/>
              <w:right w:w="16" w:type="dxa"/>
            </w:tcMar>
            <w:vAlign w:val="center"/>
          </w:tcPr>
          <w:p w14:paraId="08FBDE7A">
            <w:pPr>
              <w:pStyle w:val="40"/>
              <w:spacing w:line="288" w:lineRule="auto"/>
              <w:rPr>
                <w:color w:val="auto"/>
                <w:szCs w:val="24"/>
              </w:rPr>
            </w:pPr>
            <w:r>
              <w:rPr>
                <w:rFonts w:hint="eastAsia"/>
                <w:color w:val="auto"/>
                <w:szCs w:val="24"/>
              </w:rPr>
              <w:t>用地（用海）</w:t>
            </w:r>
          </w:p>
          <w:p w14:paraId="4192AD56">
            <w:pPr>
              <w:pStyle w:val="40"/>
              <w:spacing w:line="288" w:lineRule="auto"/>
              <w:rPr>
                <w:color w:val="auto"/>
                <w:szCs w:val="24"/>
              </w:rPr>
            </w:pPr>
            <w:r>
              <w:rPr>
                <w:rFonts w:hint="eastAsia"/>
                <w:color w:val="auto"/>
                <w:szCs w:val="24"/>
              </w:rPr>
              <w:t>面积（</w:t>
            </w:r>
            <w:r>
              <w:rPr>
                <w:color w:val="auto"/>
                <w:szCs w:val="24"/>
              </w:rPr>
              <w:t>m</w:t>
            </w:r>
            <w:r>
              <w:rPr>
                <w:color w:val="auto"/>
                <w:szCs w:val="24"/>
                <w:vertAlign w:val="superscript"/>
              </w:rPr>
              <w:t>2</w:t>
            </w:r>
            <w:r>
              <w:rPr>
                <w:rFonts w:hint="eastAsia"/>
                <w:color w:val="auto"/>
                <w:szCs w:val="24"/>
              </w:rPr>
              <w:t>）</w:t>
            </w:r>
          </w:p>
        </w:tc>
        <w:tc>
          <w:tcPr>
            <w:tcW w:w="2848" w:type="dxa"/>
            <w:vAlign w:val="center"/>
          </w:tcPr>
          <w:p w14:paraId="33108CDE">
            <w:pPr>
              <w:pStyle w:val="40"/>
              <w:spacing w:line="288" w:lineRule="auto"/>
              <w:rPr>
                <w:color w:val="auto"/>
                <w:szCs w:val="24"/>
              </w:rPr>
            </w:pPr>
            <w:r>
              <w:rPr>
                <w:rFonts w:hint="eastAsia"/>
                <w:color w:val="auto"/>
                <w:szCs w:val="24"/>
              </w:rPr>
              <w:t>建筑面积4482.72（</w:t>
            </w:r>
            <w:r>
              <w:rPr>
                <w:color w:val="auto"/>
                <w:szCs w:val="24"/>
              </w:rPr>
              <w:t>m</w:t>
            </w:r>
            <w:r>
              <w:rPr>
                <w:color w:val="auto"/>
                <w:szCs w:val="24"/>
                <w:vertAlign w:val="superscript"/>
              </w:rPr>
              <w:t>2</w:t>
            </w:r>
            <w:r>
              <w:rPr>
                <w:rFonts w:hint="eastAsia"/>
                <w:color w:val="auto"/>
                <w:szCs w:val="24"/>
              </w:rPr>
              <w:t>）</w:t>
            </w:r>
          </w:p>
        </w:tc>
      </w:tr>
      <w:tr w14:paraId="755D9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vAlign w:val="center"/>
          </w:tcPr>
          <w:p w14:paraId="137E03D0">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rPr>
              <w:t>专项评价设置情况</w:t>
            </w:r>
          </w:p>
        </w:tc>
        <w:tc>
          <w:tcPr>
            <w:tcW w:w="6875" w:type="dxa"/>
            <w:gridSpan w:val="3"/>
            <w:vAlign w:val="center"/>
          </w:tcPr>
          <w:p w14:paraId="64650911">
            <w:pPr>
              <w:autoSpaceDE w:val="0"/>
              <w:autoSpaceDN w:val="0"/>
              <w:adjustRightInd w:val="0"/>
              <w:snapToGrid w:val="0"/>
              <w:ind w:firstLine="480" w:firstLineChars="200"/>
              <w:rPr>
                <w:color w:val="auto"/>
              </w:rPr>
            </w:pPr>
            <w:r>
              <w:rPr>
                <w:color w:val="auto"/>
              </w:rPr>
              <w:t>根据《建设项目环境影响报告表编制技术指南</w:t>
            </w:r>
            <w:r>
              <w:rPr>
                <w:rFonts w:hint="eastAsia"/>
                <w:color w:val="auto"/>
              </w:rPr>
              <w:t>（</w:t>
            </w:r>
            <w:r>
              <w:rPr>
                <w:color w:val="auto"/>
              </w:rPr>
              <w:t>污染影响类试行</w:t>
            </w:r>
            <w:r>
              <w:rPr>
                <w:rFonts w:hint="eastAsia"/>
                <w:color w:val="auto"/>
              </w:rPr>
              <w:t>）</w:t>
            </w:r>
            <w:r>
              <w:rPr>
                <w:color w:val="auto"/>
              </w:rPr>
              <w:t>》，项目工程专项设置情况参照专项评价设置原则表，项目不设置专项评价，具体详见表1-1。</w:t>
            </w:r>
          </w:p>
          <w:p w14:paraId="1319CE75">
            <w:pPr>
              <w:pStyle w:val="44"/>
              <w:spacing w:after="0" w:line="240" w:lineRule="auto"/>
              <w:ind w:left="0" w:leftChars="0" w:firstLine="0" w:firstLineChars="0"/>
              <w:jc w:val="center"/>
              <w:rPr>
                <w:b/>
                <w:bCs/>
                <w:color w:val="auto"/>
              </w:rPr>
            </w:pPr>
            <w:r>
              <w:rPr>
                <w:b/>
                <w:bCs/>
                <w:color w:val="auto"/>
              </w:rPr>
              <w:t>表1-1</w:t>
            </w:r>
            <w:r>
              <w:rPr>
                <w:rFonts w:hint="eastAsia"/>
                <w:b/>
                <w:bCs/>
                <w:color w:val="auto"/>
              </w:rPr>
              <w:t xml:space="preserve"> </w:t>
            </w:r>
            <w:r>
              <w:rPr>
                <w:b/>
                <w:bCs/>
                <w:color w:val="auto"/>
              </w:rPr>
              <w:t xml:space="preserve"> 专项评价设置表</w:t>
            </w:r>
          </w:p>
          <w:tbl>
            <w:tblPr>
              <w:tblStyle w:val="31"/>
              <w:tblW w:w="6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557"/>
              <w:gridCol w:w="2171"/>
              <w:gridCol w:w="905"/>
            </w:tblGrid>
            <w:tr w14:paraId="6B5F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12" w:space="0"/>
                    <w:left w:val="nil"/>
                    <w:bottom w:val="single" w:color="auto" w:sz="4" w:space="0"/>
                    <w:right w:val="single" w:color="auto" w:sz="4" w:space="0"/>
                  </w:tcBorders>
                  <w:vAlign w:val="center"/>
                </w:tcPr>
                <w:p w14:paraId="60122CF4">
                  <w:pPr>
                    <w:widowControl/>
                    <w:spacing w:line="240" w:lineRule="auto"/>
                    <w:jc w:val="center"/>
                    <w:rPr>
                      <w:color w:val="auto"/>
                      <w:sz w:val="21"/>
                      <w:szCs w:val="21"/>
                    </w:rPr>
                  </w:pPr>
                  <w:r>
                    <w:rPr>
                      <w:color w:val="auto"/>
                      <w:sz w:val="21"/>
                      <w:szCs w:val="21"/>
                    </w:rPr>
                    <w:t>专项评价类别</w:t>
                  </w:r>
                </w:p>
              </w:tc>
              <w:tc>
                <w:tcPr>
                  <w:tcW w:w="2557" w:type="dxa"/>
                  <w:tcBorders>
                    <w:top w:val="single" w:color="auto" w:sz="12" w:space="0"/>
                    <w:left w:val="single" w:color="auto" w:sz="4" w:space="0"/>
                    <w:bottom w:val="single" w:color="auto" w:sz="4" w:space="0"/>
                    <w:right w:val="single" w:color="auto" w:sz="4" w:space="0"/>
                  </w:tcBorders>
                  <w:vAlign w:val="center"/>
                </w:tcPr>
                <w:p w14:paraId="34536D4D">
                  <w:pPr>
                    <w:widowControl/>
                    <w:spacing w:line="240" w:lineRule="auto"/>
                    <w:jc w:val="center"/>
                    <w:rPr>
                      <w:color w:val="auto"/>
                      <w:sz w:val="21"/>
                      <w:szCs w:val="21"/>
                    </w:rPr>
                  </w:pPr>
                  <w:r>
                    <w:rPr>
                      <w:rFonts w:hint="eastAsia"/>
                      <w:color w:val="auto"/>
                      <w:sz w:val="21"/>
                      <w:szCs w:val="21"/>
                    </w:rPr>
                    <w:t>设置原则</w:t>
                  </w:r>
                </w:p>
              </w:tc>
              <w:tc>
                <w:tcPr>
                  <w:tcW w:w="2171" w:type="dxa"/>
                  <w:tcBorders>
                    <w:top w:val="single" w:color="auto" w:sz="12" w:space="0"/>
                    <w:left w:val="single" w:color="auto" w:sz="4" w:space="0"/>
                    <w:bottom w:val="single" w:color="auto" w:sz="4" w:space="0"/>
                    <w:right w:val="single" w:color="auto" w:sz="4" w:space="0"/>
                  </w:tcBorders>
                  <w:vAlign w:val="center"/>
                </w:tcPr>
                <w:p w14:paraId="7F94E295">
                  <w:pPr>
                    <w:widowControl/>
                    <w:spacing w:line="240" w:lineRule="auto"/>
                    <w:jc w:val="center"/>
                    <w:rPr>
                      <w:color w:val="auto"/>
                      <w:sz w:val="21"/>
                      <w:szCs w:val="21"/>
                    </w:rPr>
                  </w:pPr>
                  <w:r>
                    <w:rPr>
                      <w:color w:val="auto"/>
                      <w:sz w:val="21"/>
                      <w:szCs w:val="21"/>
                    </w:rPr>
                    <w:t>本项目</w:t>
                  </w:r>
                  <w:r>
                    <w:rPr>
                      <w:rFonts w:hint="eastAsia"/>
                      <w:color w:val="auto"/>
                      <w:sz w:val="21"/>
                      <w:szCs w:val="21"/>
                    </w:rPr>
                    <w:t>情况</w:t>
                  </w:r>
                </w:p>
              </w:tc>
              <w:tc>
                <w:tcPr>
                  <w:tcW w:w="905" w:type="dxa"/>
                  <w:tcBorders>
                    <w:top w:val="single" w:color="auto" w:sz="12" w:space="0"/>
                    <w:left w:val="single" w:color="auto" w:sz="4" w:space="0"/>
                    <w:bottom w:val="single" w:color="auto" w:sz="4" w:space="0"/>
                    <w:right w:val="nil"/>
                  </w:tcBorders>
                  <w:vAlign w:val="center"/>
                </w:tcPr>
                <w:p w14:paraId="0DC57680">
                  <w:pPr>
                    <w:spacing w:line="240" w:lineRule="auto"/>
                    <w:jc w:val="center"/>
                    <w:rPr>
                      <w:color w:val="auto"/>
                      <w:sz w:val="21"/>
                      <w:szCs w:val="21"/>
                    </w:rPr>
                  </w:pPr>
                  <w:r>
                    <w:rPr>
                      <w:color w:val="auto"/>
                      <w:sz w:val="21"/>
                      <w:szCs w:val="21"/>
                    </w:rPr>
                    <w:t>是否设置专项</w:t>
                  </w:r>
                  <w:r>
                    <w:rPr>
                      <w:rFonts w:hint="eastAsia"/>
                      <w:color w:val="auto"/>
                      <w:sz w:val="21"/>
                      <w:szCs w:val="21"/>
                    </w:rPr>
                    <w:t>评价</w:t>
                  </w:r>
                </w:p>
              </w:tc>
            </w:tr>
            <w:tr w14:paraId="6A57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56B304B1">
                  <w:pPr>
                    <w:widowControl/>
                    <w:spacing w:line="240" w:lineRule="auto"/>
                    <w:jc w:val="center"/>
                    <w:rPr>
                      <w:color w:val="auto"/>
                      <w:kern w:val="0"/>
                      <w:sz w:val="21"/>
                      <w:szCs w:val="21"/>
                      <w:lang w:bidi="ar"/>
                    </w:rPr>
                  </w:pPr>
                  <w:r>
                    <w:rPr>
                      <w:color w:val="auto"/>
                      <w:kern w:val="0"/>
                      <w:sz w:val="21"/>
                      <w:szCs w:val="21"/>
                      <w:lang w:bidi="ar"/>
                    </w:rPr>
                    <w:t>大气</w:t>
                  </w:r>
                </w:p>
              </w:tc>
              <w:tc>
                <w:tcPr>
                  <w:tcW w:w="2557" w:type="dxa"/>
                  <w:tcBorders>
                    <w:top w:val="single" w:color="auto" w:sz="4" w:space="0"/>
                    <w:left w:val="single" w:color="auto" w:sz="4" w:space="0"/>
                    <w:bottom w:val="single" w:color="auto" w:sz="4" w:space="0"/>
                    <w:right w:val="single" w:color="auto" w:sz="4" w:space="0"/>
                  </w:tcBorders>
                  <w:vAlign w:val="center"/>
                </w:tcPr>
                <w:p w14:paraId="2CC7F183">
                  <w:pPr>
                    <w:widowControl/>
                    <w:spacing w:line="240" w:lineRule="auto"/>
                    <w:jc w:val="center"/>
                    <w:rPr>
                      <w:color w:val="auto"/>
                      <w:kern w:val="0"/>
                      <w:sz w:val="21"/>
                      <w:szCs w:val="21"/>
                      <w:lang w:bidi="ar"/>
                    </w:rPr>
                  </w:pPr>
                  <w:r>
                    <w:rPr>
                      <w:color w:val="auto"/>
                      <w:kern w:val="0"/>
                      <w:sz w:val="21"/>
                      <w:szCs w:val="20"/>
                    </w:rPr>
                    <w:t>排放废气含有毒有害污染物</w:t>
                  </w:r>
                  <w:r>
                    <w:rPr>
                      <w:color w:val="auto"/>
                      <w:kern w:val="0"/>
                      <w:sz w:val="21"/>
                      <w:szCs w:val="20"/>
                      <w:vertAlign w:val="superscript"/>
                    </w:rPr>
                    <w:t>1</w:t>
                  </w:r>
                  <w:r>
                    <w:rPr>
                      <w:color w:val="auto"/>
                      <w:kern w:val="0"/>
                      <w:sz w:val="21"/>
                      <w:szCs w:val="20"/>
                    </w:rPr>
                    <w:t>、二噁英、苯并[a]芘、氰化物、氯气且厂界外500米范围内有环境空气保护目标</w:t>
                  </w:r>
                  <w:r>
                    <w:rPr>
                      <w:color w:val="auto"/>
                      <w:kern w:val="0"/>
                      <w:sz w:val="21"/>
                      <w:szCs w:val="20"/>
                      <w:vertAlign w:val="superscript"/>
                    </w:rPr>
                    <w:t>2</w:t>
                  </w:r>
                  <w:r>
                    <w:rPr>
                      <w:color w:val="auto"/>
                      <w:kern w:val="0"/>
                      <w:sz w:val="21"/>
                      <w:szCs w:val="20"/>
                    </w:rPr>
                    <w:t>的建设项目</w:t>
                  </w:r>
                  <w:r>
                    <w:rPr>
                      <w:rFonts w:hint="eastAsia"/>
                      <w:color w:val="auto"/>
                      <w:kern w:val="0"/>
                      <w:sz w:val="21"/>
                      <w:szCs w:val="20"/>
                    </w:rPr>
                    <w:t>。</w:t>
                  </w:r>
                </w:p>
              </w:tc>
              <w:tc>
                <w:tcPr>
                  <w:tcW w:w="2171" w:type="dxa"/>
                  <w:tcBorders>
                    <w:top w:val="single" w:color="auto" w:sz="4" w:space="0"/>
                    <w:left w:val="single" w:color="auto" w:sz="4" w:space="0"/>
                    <w:bottom w:val="single" w:color="auto" w:sz="4" w:space="0"/>
                    <w:right w:val="single" w:color="auto" w:sz="4" w:space="0"/>
                  </w:tcBorders>
                  <w:vAlign w:val="center"/>
                </w:tcPr>
                <w:p w14:paraId="0D89080F">
                  <w:pPr>
                    <w:adjustRightInd w:val="0"/>
                    <w:snapToGrid w:val="0"/>
                    <w:spacing w:line="240" w:lineRule="auto"/>
                    <w:jc w:val="center"/>
                    <w:rPr>
                      <w:color w:val="auto"/>
                      <w:kern w:val="0"/>
                      <w:sz w:val="21"/>
                      <w:szCs w:val="20"/>
                    </w:rPr>
                  </w:pPr>
                  <w:r>
                    <w:rPr>
                      <w:rFonts w:hint="eastAsia"/>
                      <w:color w:val="auto"/>
                      <w:kern w:val="0"/>
                      <w:sz w:val="21"/>
                      <w:szCs w:val="20"/>
                    </w:rPr>
                    <w:t>项目排放废气不含有毒有害污染物</w:t>
                  </w:r>
                  <w:r>
                    <w:rPr>
                      <w:rFonts w:hint="eastAsia"/>
                      <w:color w:val="auto"/>
                      <w:kern w:val="0"/>
                      <w:sz w:val="21"/>
                      <w:szCs w:val="20"/>
                      <w:vertAlign w:val="superscript"/>
                    </w:rPr>
                    <w:t>1</w:t>
                  </w:r>
                  <w:r>
                    <w:rPr>
                      <w:rFonts w:hint="eastAsia"/>
                      <w:color w:val="auto"/>
                      <w:kern w:val="0"/>
                      <w:sz w:val="21"/>
                      <w:szCs w:val="20"/>
                    </w:rPr>
                    <w:t>、二噁英苯并[a]芘、氰化物、氯气。</w:t>
                  </w:r>
                </w:p>
              </w:tc>
              <w:tc>
                <w:tcPr>
                  <w:tcW w:w="905" w:type="dxa"/>
                  <w:tcBorders>
                    <w:top w:val="single" w:color="auto" w:sz="4" w:space="0"/>
                    <w:left w:val="single" w:color="auto" w:sz="4" w:space="0"/>
                    <w:bottom w:val="single" w:color="auto" w:sz="4" w:space="0"/>
                    <w:right w:val="nil"/>
                  </w:tcBorders>
                  <w:vAlign w:val="center"/>
                </w:tcPr>
                <w:p w14:paraId="5D06D647">
                  <w:pPr>
                    <w:spacing w:line="240" w:lineRule="auto"/>
                    <w:jc w:val="center"/>
                    <w:rPr>
                      <w:color w:val="auto"/>
                      <w:sz w:val="21"/>
                      <w:szCs w:val="21"/>
                    </w:rPr>
                  </w:pPr>
                  <w:r>
                    <w:rPr>
                      <w:color w:val="auto"/>
                      <w:sz w:val="21"/>
                      <w:szCs w:val="21"/>
                    </w:rPr>
                    <w:t>否</w:t>
                  </w:r>
                </w:p>
              </w:tc>
            </w:tr>
            <w:tr w14:paraId="1D79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329CC4BC">
                  <w:pPr>
                    <w:widowControl/>
                    <w:spacing w:line="240" w:lineRule="auto"/>
                    <w:jc w:val="center"/>
                    <w:rPr>
                      <w:color w:val="auto"/>
                      <w:kern w:val="0"/>
                      <w:sz w:val="21"/>
                      <w:szCs w:val="21"/>
                      <w:lang w:bidi="ar"/>
                    </w:rPr>
                  </w:pPr>
                  <w:r>
                    <w:rPr>
                      <w:color w:val="auto"/>
                      <w:kern w:val="0"/>
                      <w:sz w:val="21"/>
                      <w:szCs w:val="21"/>
                      <w:lang w:bidi="ar"/>
                    </w:rPr>
                    <w:t>地表水</w:t>
                  </w:r>
                </w:p>
              </w:tc>
              <w:tc>
                <w:tcPr>
                  <w:tcW w:w="2557" w:type="dxa"/>
                  <w:tcBorders>
                    <w:top w:val="single" w:color="auto" w:sz="4" w:space="0"/>
                    <w:left w:val="single" w:color="auto" w:sz="4" w:space="0"/>
                    <w:bottom w:val="single" w:color="auto" w:sz="4" w:space="0"/>
                    <w:right w:val="single" w:color="auto" w:sz="4" w:space="0"/>
                  </w:tcBorders>
                  <w:vAlign w:val="center"/>
                </w:tcPr>
                <w:p w14:paraId="43343DA8">
                  <w:pPr>
                    <w:widowControl/>
                    <w:spacing w:line="240" w:lineRule="auto"/>
                    <w:jc w:val="center"/>
                    <w:rPr>
                      <w:color w:val="auto"/>
                      <w:kern w:val="0"/>
                      <w:sz w:val="21"/>
                      <w:szCs w:val="21"/>
                      <w:lang w:bidi="ar"/>
                    </w:rPr>
                  </w:pPr>
                  <w:r>
                    <w:rPr>
                      <w:color w:val="auto"/>
                      <w:kern w:val="0"/>
                      <w:sz w:val="21"/>
                      <w:szCs w:val="21"/>
                      <w:lang w:bidi="ar"/>
                    </w:rPr>
                    <w:t>新增工业废水直排建设项目</w:t>
                  </w:r>
                  <w:r>
                    <w:rPr>
                      <w:rFonts w:hint="eastAsia"/>
                      <w:color w:val="auto"/>
                      <w:kern w:val="0"/>
                      <w:sz w:val="21"/>
                      <w:szCs w:val="21"/>
                      <w:lang w:bidi="ar"/>
                    </w:rPr>
                    <w:t>（</w:t>
                  </w:r>
                  <w:r>
                    <w:rPr>
                      <w:color w:val="auto"/>
                      <w:kern w:val="0"/>
                      <w:sz w:val="21"/>
                      <w:szCs w:val="21"/>
                      <w:lang w:bidi="ar"/>
                    </w:rPr>
                    <w:t>槽罐车外送污水处理厂的除外</w:t>
                  </w:r>
                  <w:r>
                    <w:rPr>
                      <w:rFonts w:hint="eastAsia"/>
                      <w:color w:val="auto"/>
                      <w:kern w:val="0"/>
                      <w:sz w:val="21"/>
                      <w:szCs w:val="21"/>
                      <w:lang w:bidi="ar"/>
                    </w:rPr>
                    <w:t>）；</w:t>
                  </w:r>
                  <w:r>
                    <w:rPr>
                      <w:color w:val="auto"/>
                      <w:kern w:val="0"/>
                      <w:sz w:val="21"/>
                      <w:szCs w:val="21"/>
                      <w:lang w:bidi="ar"/>
                    </w:rPr>
                    <w:t>新增废水直排的污水集中处理厂</w:t>
                  </w:r>
                </w:p>
              </w:tc>
              <w:tc>
                <w:tcPr>
                  <w:tcW w:w="2171" w:type="dxa"/>
                  <w:tcBorders>
                    <w:top w:val="single" w:color="auto" w:sz="4" w:space="0"/>
                    <w:left w:val="single" w:color="auto" w:sz="4" w:space="0"/>
                    <w:bottom w:val="single" w:color="auto" w:sz="4" w:space="0"/>
                    <w:right w:val="single" w:color="auto" w:sz="4" w:space="0"/>
                  </w:tcBorders>
                  <w:vAlign w:val="center"/>
                </w:tcPr>
                <w:p w14:paraId="462E3C4F">
                  <w:pPr>
                    <w:adjustRightInd w:val="0"/>
                    <w:snapToGrid w:val="0"/>
                    <w:spacing w:line="240" w:lineRule="auto"/>
                    <w:jc w:val="center"/>
                    <w:rPr>
                      <w:color w:val="auto"/>
                      <w:kern w:val="0"/>
                      <w:sz w:val="21"/>
                      <w:szCs w:val="20"/>
                    </w:rPr>
                  </w:pPr>
                  <w:r>
                    <w:rPr>
                      <w:color w:val="auto"/>
                      <w:kern w:val="0"/>
                      <w:sz w:val="21"/>
                      <w:szCs w:val="20"/>
                    </w:rPr>
                    <w:t>项目</w:t>
                  </w:r>
                  <w:r>
                    <w:rPr>
                      <w:rFonts w:hint="eastAsia"/>
                      <w:color w:val="auto"/>
                      <w:kern w:val="0"/>
                      <w:sz w:val="21"/>
                      <w:szCs w:val="20"/>
                    </w:rPr>
                    <w:t>外排的生活污水经化粪池处理达标后排入市政污水管网，纳入大学城污水处理厂集中处理；项目不外排生产废水</w:t>
                  </w:r>
                </w:p>
              </w:tc>
              <w:tc>
                <w:tcPr>
                  <w:tcW w:w="905" w:type="dxa"/>
                  <w:tcBorders>
                    <w:top w:val="single" w:color="auto" w:sz="4" w:space="0"/>
                    <w:left w:val="single" w:color="auto" w:sz="4" w:space="0"/>
                    <w:bottom w:val="single" w:color="auto" w:sz="4" w:space="0"/>
                    <w:right w:val="nil"/>
                  </w:tcBorders>
                  <w:vAlign w:val="center"/>
                </w:tcPr>
                <w:p w14:paraId="76CC7A36">
                  <w:pPr>
                    <w:spacing w:line="240" w:lineRule="auto"/>
                    <w:jc w:val="center"/>
                    <w:rPr>
                      <w:color w:val="auto"/>
                      <w:sz w:val="21"/>
                      <w:szCs w:val="21"/>
                    </w:rPr>
                  </w:pPr>
                  <w:r>
                    <w:rPr>
                      <w:color w:val="auto"/>
                      <w:sz w:val="21"/>
                      <w:szCs w:val="21"/>
                    </w:rPr>
                    <w:t>否</w:t>
                  </w:r>
                </w:p>
              </w:tc>
            </w:tr>
            <w:tr w14:paraId="35CA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56C364B0">
                  <w:pPr>
                    <w:widowControl/>
                    <w:spacing w:line="240" w:lineRule="auto"/>
                    <w:jc w:val="center"/>
                    <w:rPr>
                      <w:color w:val="auto"/>
                      <w:kern w:val="0"/>
                      <w:sz w:val="21"/>
                      <w:szCs w:val="21"/>
                      <w:lang w:bidi="ar"/>
                    </w:rPr>
                  </w:pPr>
                  <w:r>
                    <w:rPr>
                      <w:color w:val="auto"/>
                      <w:kern w:val="0"/>
                      <w:sz w:val="21"/>
                      <w:szCs w:val="21"/>
                      <w:lang w:bidi="ar"/>
                    </w:rPr>
                    <w:t>环境风险</w:t>
                  </w:r>
                </w:p>
              </w:tc>
              <w:tc>
                <w:tcPr>
                  <w:tcW w:w="2557" w:type="dxa"/>
                  <w:tcBorders>
                    <w:top w:val="single" w:color="auto" w:sz="4" w:space="0"/>
                    <w:left w:val="single" w:color="auto" w:sz="4" w:space="0"/>
                    <w:bottom w:val="single" w:color="auto" w:sz="4" w:space="0"/>
                    <w:right w:val="single" w:color="auto" w:sz="4" w:space="0"/>
                  </w:tcBorders>
                  <w:vAlign w:val="center"/>
                </w:tcPr>
                <w:p w14:paraId="20FAA3E2">
                  <w:pPr>
                    <w:widowControl/>
                    <w:spacing w:line="240" w:lineRule="auto"/>
                    <w:jc w:val="center"/>
                    <w:rPr>
                      <w:color w:val="auto"/>
                      <w:kern w:val="0"/>
                      <w:sz w:val="21"/>
                      <w:szCs w:val="21"/>
                      <w:lang w:bidi="ar"/>
                    </w:rPr>
                  </w:pPr>
                  <w:r>
                    <w:rPr>
                      <w:color w:val="auto"/>
                      <w:kern w:val="0"/>
                      <w:sz w:val="21"/>
                      <w:szCs w:val="20"/>
                    </w:rPr>
                    <w:t>有毒有害和易燃易爆危险物质存储量超过临界量</w:t>
                  </w:r>
                  <w:r>
                    <w:rPr>
                      <w:color w:val="auto"/>
                      <w:kern w:val="0"/>
                      <w:sz w:val="21"/>
                      <w:szCs w:val="20"/>
                      <w:vertAlign w:val="superscript"/>
                    </w:rPr>
                    <w:t>3</w:t>
                  </w:r>
                  <w:r>
                    <w:rPr>
                      <w:color w:val="auto"/>
                      <w:kern w:val="0"/>
                      <w:sz w:val="21"/>
                      <w:szCs w:val="20"/>
                    </w:rPr>
                    <w:t>的建设项目</w:t>
                  </w:r>
                  <w:r>
                    <w:rPr>
                      <w:rFonts w:hint="eastAsia"/>
                      <w:color w:val="auto"/>
                      <w:kern w:val="0"/>
                      <w:sz w:val="21"/>
                      <w:szCs w:val="20"/>
                    </w:rPr>
                    <w:t>。</w:t>
                  </w:r>
                </w:p>
              </w:tc>
              <w:tc>
                <w:tcPr>
                  <w:tcW w:w="2171" w:type="dxa"/>
                  <w:tcBorders>
                    <w:top w:val="single" w:color="auto" w:sz="4" w:space="0"/>
                    <w:left w:val="single" w:color="auto" w:sz="4" w:space="0"/>
                    <w:bottom w:val="single" w:color="auto" w:sz="4" w:space="0"/>
                    <w:right w:val="single" w:color="auto" w:sz="4" w:space="0"/>
                  </w:tcBorders>
                  <w:vAlign w:val="center"/>
                </w:tcPr>
                <w:p w14:paraId="4A6DD6D0">
                  <w:pPr>
                    <w:adjustRightInd w:val="0"/>
                    <w:snapToGrid w:val="0"/>
                    <w:spacing w:line="240" w:lineRule="auto"/>
                    <w:jc w:val="center"/>
                    <w:rPr>
                      <w:color w:val="auto"/>
                      <w:kern w:val="0"/>
                      <w:sz w:val="21"/>
                      <w:szCs w:val="20"/>
                    </w:rPr>
                  </w:pPr>
                  <w:r>
                    <w:rPr>
                      <w:color w:val="auto"/>
                      <w:kern w:val="0"/>
                      <w:sz w:val="21"/>
                      <w:szCs w:val="20"/>
                    </w:rPr>
                    <w:t>项目涉及</w:t>
                  </w:r>
                  <w:r>
                    <w:rPr>
                      <w:rFonts w:hint="eastAsia"/>
                      <w:color w:val="auto"/>
                      <w:kern w:val="0"/>
                      <w:sz w:val="21"/>
                      <w:szCs w:val="20"/>
                    </w:rPr>
                    <w:t>的</w:t>
                  </w:r>
                  <w:r>
                    <w:rPr>
                      <w:color w:val="auto"/>
                      <w:kern w:val="0"/>
                      <w:sz w:val="21"/>
                      <w:szCs w:val="20"/>
                    </w:rPr>
                    <w:t>有毒有害和易燃易爆危险物质</w:t>
                  </w:r>
                  <w:r>
                    <w:rPr>
                      <w:rFonts w:hint="eastAsia"/>
                      <w:color w:val="auto"/>
                      <w:kern w:val="0"/>
                      <w:sz w:val="21"/>
                      <w:szCs w:val="20"/>
                    </w:rPr>
                    <w:t>存储量未超过临界量</w:t>
                  </w:r>
                </w:p>
              </w:tc>
              <w:tc>
                <w:tcPr>
                  <w:tcW w:w="905" w:type="dxa"/>
                  <w:tcBorders>
                    <w:top w:val="single" w:color="auto" w:sz="4" w:space="0"/>
                    <w:left w:val="single" w:color="auto" w:sz="4" w:space="0"/>
                    <w:bottom w:val="single" w:color="auto" w:sz="4" w:space="0"/>
                    <w:right w:val="nil"/>
                  </w:tcBorders>
                  <w:vAlign w:val="center"/>
                </w:tcPr>
                <w:p w14:paraId="72D6CEDD">
                  <w:pPr>
                    <w:spacing w:line="240" w:lineRule="auto"/>
                    <w:jc w:val="center"/>
                    <w:rPr>
                      <w:color w:val="auto"/>
                      <w:sz w:val="21"/>
                      <w:szCs w:val="21"/>
                    </w:rPr>
                  </w:pPr>
                  <w:r>
                    <w:rPr>
                      <w:color w:val="auto"/>
                      <w:sz w:val="21"/>
                      <w:szCs w:val="21"/>
                    </w:rPr>
                    <w:t>否</w:t>
                  </w:r>
                </w:p>
              </w:tc>
            </w:tr>
            <w:tr w14:paraId="101A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43A54D17">
                  <w:pPr>
                    <w:widowControl/>
                    <w:spacing w:line="240" w:lineRule="auto"/>
                    <w:jc w:val="center"/>
                    <w:rPr>
                      <w:color w:val="auto"/>
                      <w:kern w:val="0"/>
                      <w:sz w:val="21"/>
                      <w:szCs w:val="21"/>
                      <w:lang w:bidi="ar"/>
                    </w:rPr>
                  </w:pPr>
                  <w:r>
                    <w:rPr>
                      <w:color w:val="auto"/>
                      <w:kern w:val="0"/>
                      <w:sz w:val="21"/>
                      <w:szCs w:val="21"/>
                      <w:lang w:bidi="ar"/>
                    </w:rPr>
                    <w:t>生态</w:t>
                  </w:r>
                </w:p>
              </w:tc>
              <w:tc>
                <w:tcPr>
                  <w:tcW w:w="2557" w:type="dxa"/>
                  <w:tcBorders>
                    <w:top w:val="single" w:color="auto" w:sz="4" w:space="0"/>
                    <w:left w:val="single" w:color="auto" w:sz="4" w:space="0"/>
                    <w:bottom w:val="single" w:color="auto" w:sz="4" w:space="0"/>
                    <w:right w:val="single" w:color="auto" w:sz="4" w:space="0"/>
                  </w:tcBorders>
                  <w:vAlign w:val="center"/>
                </w:tcPr>
                <w:p w14:paraId="378B5382">
                  <w:pPr>
                    <w:widowControl/>
                    <w:spacing w:line="240" w:lineRule="auto"/>
                    <w:jc w:val="center"/>
                    <w:rPr>
                      <w:color w:val="auto"/>
                      <w:kern w:val="0"/>
                      <w:sz w:val="21"/>
                      <w:szCs w:val="21"/>
                      <w:lang w:bidi="ar"/>
                    </w:rPr>
                  </w:pPr>
                  <w:r>
                    <w:rPr>
                      <w:color w:val="auto"/>
                      <w:kern w:val="0"/>
                      <w:sz w:val="21"/>
                      <w:szCs w:val="21"/>
                      <w:lang w:bidi="ar"/>
                    </w:rPr>
                    <w:t>取水口下游500米范围内有重要水生生物的自然产卵场、索饵场、越冬场和河游通道的新增河道取水的污染类建设项目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770F6822">
                  <w:pPr>
                    <w:widowControl/>
                    <w:spacing w:line="240" w:lineRule="auto"/>
                    <w:jc w:val="center"/>
                    <w:rPr>
                      <w:color w:val="auto"/>
                      <w:kern w:val="0"/>
                      <w:sz w:val="21"/>
                      <w:szCs w:val="20"/>
                    </w:rPr>
                  </w:pPr>
                  <w:r>
                    <w:rPr>
                      <w:color w:val="auto"/>
                      <w:sz w:val="21"/>
                      <w:szCs w:val="21"/>
                    </w:rPr>
                    <w:t>项目用水</w:t>
                  </w:r>
                  <w:r>
                    <w:rPr>
                      <w:iCs/>
                      <w:color w:val="auto"/>
                      <w:sz w:val="21"/>
                      <w:szCs w:val="21"/>
                    </w:rPr>
                    <w:t>由市政给水管</w:t>
                  </w:r>
                  <w:r>
                    <w:rPr>
                      <w:rFonts w:hint="eastAsia"/>
                      <w:iCs/>
                      <w:color w:val="auto"/>
                      <w:sz w:val="21"/>
                      <w:szCs w:val="21"/>
                    </w:rPr>
                    <w:t>网</w:t>
                  </w:r>
                  <w:r>
                    <w:rPr>
                      <w:iCs/>
                      <w:color w:val="auto"/>
                      <w:sz w:val="21"/>
                      <w:szCs w:val="21"/>
                    </w:rPr>
                    <w:t>供给</w:t>
                  </w:r>
                  <w:r>
                    <w:rPr>
                      <w:color w:val="auto"/>
                      <w:sz w:val="21"/>
                      <w:szCs w:val="21"/>
                    </w:rPr>
                    <w:t>，不设置取水口</w:t>
                  </w:r>
                </w:p>
              </w:tc>
              <w:tc>
                <w:tcPr>
                  <w:tcW w:w="905" w:type="dxa"/>
                  <w:tcBorders>
                    <w:top w:val="single" w:color="auto" w:sz="4" w:space="0"/>
                    <w:left w:val="single" w:color="auto" w:sz="4" w:space="0"/>
                    <w:bottom w:val="single" w:color="auto" w:sz="4" w:space="0"/>
                    <w:right w:val="nil"/>
                  </w:tcBorders>
                  <w:vAlign w:val="center"/>
                </w:tcPr>
                <w:p w14:paraId="251ACC40">
                  <w:pPr>
                    <w:spacing w:line="240" w:lineRule="auto"/>
                    <w:jc w:val="center"/>
                    <w:rPr>
                      <w:color w:val="auto"/>
                      <w:sz w:val="21"/>
                      <w:szCs w:val="21"/>
                    </w:rPr>
                  </w:pPr>
                  <w:r>
                    <w:rPr>
                      <w:color w:val="auto"/>
                      <w:sz w:val="21"/>
                      <w:szCs w:val="21"/>
                    </w:rPr>
                    <w:t>否</w:t>
                  </w:r>
                </w:p>
              </w:tc>
            </w:tr>
            <w:tr w14:paraId="28B4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127" w:type="dxa"/>
                  <w:tcBorders>
                    <w:top w:val="single" w:color="auto" w:sz="4" w:space="0"/>
                    <w:left w:val="nil"/>
                    <w:bottom w:val="single" w:color="auto" w:sz="4" w:space="0"/>
                    <w:right w:val="single" w:color="auto" w:sz="4" w:space="0"/>
                  </w:tcBorders>
                  <w:vAlign w:val="center"/>
                </w:tcPr>
                <w:p w14:paraId="631F99FF">
                  <w:pPr>
                    <w:widowControl/>
                    <w:spacing w:line="240" w:lineRule="auto"/>
                    <w:jc w:val="center"/>
                    <w:rPr>
                      <w:color w:val="auto"/>
                      <w:kern w:val="0"/>
                      <w:sz w:val="21"/>
                      <w:szCs w:val="21"/>
                      <w:lang w:bidi="ar"/>
                    </w:rPr>
                  </w:pPr>
                  <w:r>
                    <w:rPr>
                      <w:color w:val="auto"/>
                      <w:kern w:val="0"/>
                      <w:sz w:val="21"/>
                      <w:szCs w:val="21"/>
                      <w:lang w:bidi="ar"/>
                    </w:rPr>
                    <w:t>海洋</w:t>
                  </w:r>
                </w:p>
              </w:tc>
              <w:tc>
                <w:tcPr>
                  <w:tcW w:w="2557" w:type="dxa"/>
                  <w:tcBorders>
                    <w:top w:val="single" w:color="auto" w:sz="4" w:space="0"/>
                    <w:left w:val="single" w:color="auto" w:sz="4" w:space="0"/>
                    <w:bottom w:val="single" w:color="auto" w:sz="4" w:space="0"/>
                    <w:right w:val="single" w:color="auto" w:sz="4" w:space="0"/>
                  </w:tcBorders>
                  <w:vAlign w:val="center"/>
                </w:tcPr>
                <w:p w14:paraId="4E63A76C">
                  <w:pPr>
                    <w:widowControl/>
                    <w:spacing w:line="240" w:lineRule="auto"/>
                    <w:jc w:val="center"/>
                    <w:rPr>
                      <w:color w:val="auto"/>
                      <w:kern w:val="0"/>
                      <w:sz w:val="21"/>
                      <w:szCs w:val="21"/>
                      <w:lang w:bidi="ar"/>
                    </w:rPr>
                  </w:pPr>
                  <w:r>
                    <w:rPr>
                      <w:color w:val="auto"/>
                      <w:kern w:val="0"/>
                      <w:sz w:val="21"/>
                      <w:szCs w:val="21"/>
                      <w:lang w:bidi="ar"/>
                    </w:rPr>
                    <w:t>直接向海排放污染物的海洋工程建设项目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601AC7A1">
                  <w:pPr>
                    <w:widowControl/>
                    <w:spacing w:line="240" w:lineRule="auto"/>
                    <w:jc w:val="center"/>
                    <w:rPr>
                      <w:color w:val="auto"/>
                      <w:kern w:val="0"/>
                      <w:sz w:val="21"/>
                      <w:szCs w:val="20"/>
                    </w:rPr>
                  </w:pPr>
                  <w:r>
                    <w:rPr>
                      <w:color w:val="auto"/>
                      <w:kern w:val="0"/>
                      <w:sz w:val="21"/>
                      <w:szCs w:val="21"/>
                      <w:lang w:bidi="ar"/>
                    </w:rPr>
                    <w:t>项目不属于海洋工程建设项目</w:t>
                  </w:r>
                </w:p>
              </w:tc>
              <w:tc>
                <w:tcPr>
                  <w:tcW w:w="905" w:type="dxa"/>
                  <w:tcBorders>
                    <w:top w:val="single" w:color="auto" w:sz="4" w:space="0"/>
                    <w:left w:val="single" w:color="auto" w:sz="4" w:space="0"/>
                    <w:bottom w:val="single" w:color="auto" w:sz="4" w:space="0"/>
                    <w:right w:val="nil"/>
                  </w:tcBorders>
                  <w:vAlign w:val="center"/>
                </w:tcPr>
                <w:p w14:paraId="7E694CD1">
                  <w:pPr>
                    <w:spacing w:line="240" w:lineRule="auto"/>
                    <w:jc w:val="center"/>
                    <w:rPr>
                      <w:color w:val="auto"/>
                      <w:sz w:val="21"/>
                      <w:szCs w:val="21"/>
                    </w:rPr>
                  </w:pPr>
                  <w:r>
                    <w:rPr>
                      <w:color w:val="auto"/>
                      <w:sz w:val="21"/>
                      <w:szCs w:val="21"/>
                    </w:rPr>
                    <w:t>否</w:t>
                  </w:r>
                </w:p>
              </w:tc>
            </w:tr>
            <w:tr w14:paraId="6A76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60" w:type="dxa"/>
                  <w:gridSpan w:val="4"/>
                  <w:tcBorders>
                    <w:top w:val="single" w:color="auto" w:sz="4" w:space="0"/>
                    <w:left w:val="nil"/>
                    <w:bottom w:val="single" w:color="auto" w:sz="12" w:space="0"/>
                    <w:right w:val="nil"/>
                  </w:tcBorders>
                  <w:vAlign w:val="center"/>
                </w:tcPr>
                <w:p w14:paraId="3FD85D0B">
                  <w:pPr>
                    <w:spacing w:line="240" w:lineRule="auto"/>
                    <w:rPr>
                      <w:color w:val="auto"/>
                      <w:sz w:val="21"/>
                      <w:szCs w:val="21"/>
                    </w:rPr>
                  </w:pPr>
                  <w:r>
                    <w:rPr>
                      <w:color w:val="auto"/>
                      <w:sz w:val="21"/>
                      <w:szCs w:val="21"/>
                    </w:rPr>
                    <w:t>注</w:t>
                  </w:r>
                  <w:r>
                    <w:rPr>
                      <w:rFonts w:hint="eastAsia"/>
                      <w:color w:val="auto"/>
                      <w:sz w:val="21"/>
                      <w:szCs w:val="21"/>
                    </w:rPr>
                    <w:t>：</w:t>
                  </w:r>
                  <w:r>
                    <w:rPr>
                      <w:color w:val="auto"/>
                      <w:sz w:val="21"/>
                      <w:szCs w:val="21"/>
                    </w:rPr>
                    <w:t>1.废气中有毒有害污染物指纳入《有毒有害大气污染物名录》的污染物</w:t>
                  </w:r>
                  <w:r>
                    <w:rPr>
                      <w:rFonts w:hint="eastAsia"/>
                      <w:color w:val="auto"/>
                      <w:sz w:val="21"/>
                      <w:szCs w:val="21"/>
                    </w:rPr>
                    <w:t>（</w:t>
                  </w:r>
                  <w:r>
                    <w:rPr>
                      <w:color w:val="auto"/>
                      <w:sz w:val="21"/>
                      <w:szCs w:val="21"/>
                    </w:rPr>
                    <w:t>不包括无排放标准的污染物</w:t>
                  </w:r>
                  <w:r>
                    <w:rPr>
                      <w:rFonts w:hint="eastAsia"/>
                      <w:color w:val="auto"/>
                      <w:sz w:val="21"/>
                      <w:szCs w:val="21"/>
                    </w:rPr>
                    <w:t>）</w:t>
                  </w:r>
                  <w:r>
                    <w:rPr>
                      <w:color w:val="auto"/>
                      <w:sz w:val="21"/>
                      <w:szCs w:val="21"/>
                    </w:rPr>
                    <w:t>。2.环境空气保护目标指自然保护区、</w:t>
                  </w:r>
                  <w:r>
                    <w:rPr>
                      <w:rFonts w:hint="eastAsia"/>
                      <w:color w:val="auto"/>
                      <w:sz w:val="21"/>
                      <w:szCs w:val="21"/>
                    </w:rPr>
                    <w:t>风景</w:t>
                  </w:r>
                  <w:r>
                    <w:rPr>
                      <w:color w:val="auto"/>
                      <w:sz w:val="21"/>
                      <w:szCs w:val="21"/>
                    </w:rPr>
                    <w:t>名胜区、居住区文化区和农村地区中人群较集中的区域。3.临界量及其计算方法可参考《建设项目环境风险评价技术导则》《HJ169》附录B、附录C。</w:t>
                  </w:r>
                </w:p>
              </w:tc>
            </w:tr>
          </w:tbl>
          <w:p w14:paraId="570BA8F5">
            <w:pPr>
              <w:autoSpaceDE w:val="0"/>
              <w:autoSpaceDN w:val="0"/>
              <w:adjustRightInd w:val="0"/>
              <w:snapToGrid w:val="0"/>
              <w:jc w:val="center"/>
              <w:rPr>
                <w:rFonts w:hint="eastAsia" w:ascii="宋体" w:hAnsi="宋体" w:cs="宋体"/>
                <w:color w:val="auto"/>
                <w:kern w:val="0"/>
                <w:szCs w:val="21"/>
              </w:rPr>
            </w:pPr>
          </w:p>
        </w:tc>
      </w:tr>
      <w:tr w14:paraId="0A789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vAlign w:val="center"/>
          </w:tcPr>
          <w:p w14:paraId="226FCBA2">
            <w:pPr>
              <w:autoSpaceDE w:val="0"/>
              <w:autoSpaceDN w:val="0"/>
              <w:adjustRightInd w:val="0"/>
              <w:snapToGrid w:val="0"/>
              <w:jc w:val="center"/>
              <w:rPr>
                <w:rFonts w:hint="eastAsia" w:ascii="宋体" w:hAnsi="宋体" w:cs="宋体"/>
                <w:color w:val="auto"/>
                <w:kern w:val="0"/>
              </w:rPr>
            </w:pPr>
            <w:r>
              <w:rPr>
                <w:rFonts w:hint="eastAsia" w:ascii="宋体" w:hAnsi="宋体" w:cs="宋体"/>
                <w:color w:val="auto"/>
              </w:rPr>
              <w:t>规划情况</w:t>
            </w:r>
          </w:p>
        </w:tc>
        <w:tc>
          <w:tcPr>
            <w:tcW w:w="6875" w:type="dxa"/>
            <w:gridSpan w:val="3"/>
            <w:vAlign w:val="center"/>
          </w:tcPr>
          <w:p w14:paraId="35E3DB7F">
            <w:pPr>
              <w:pStyle w:val="40"/>
              <w:spacing w:line="360" w:lineRule="auto"/>
              <w:jc w:val="both"/>
              <w:rPr>
                <w:b/>
                <w:bCs/>
                <w:color w:val="auto"/>
                <w:szCs w:val="24"/>
              </w:rPr>
            </w:pPr>
            <w:r>
              <w:rPr>
                <w:rFonts w:hint="eastAsia"/>
                <w:b/>
                <w:bCs/>
                <w:color w:val="auto"/>
                <w:szCs w:val="24"/>
              </w:rPr>
              <w:t>《福州高新区两园南单元控制性详细规划》，福州市规划设计研究院集团有限公司，2022年6月</w:t>
            </w:r>
          </w:p>
          <w:p w14:paraId="01686238">
            <w:pPr>
              <w:pStyle w:val="40"/>
              <w:spacing w:line="360" w:lineRule="auto"/>
              <w:jc w:val="both"/>
              <w:rPr>
                <w:color w:val="auto"/>
                <w:szCs w:val="24"/>
              </w:rPr>
            </w:pPr>
            <w:r>
              <w:rPr>
                <w:rFonts w:hint="eastAsia"/>
                <w:color w:val="auto"/>
                <w:szCs w:val="24"/>
              </w:rPr>
              <w:t>审批机关：福州市人民政府</w:t>
            </w:r>
          </w:p>
          <w:p w14:paraId="1C8CB1F9">
            <w:pPr>
              <w:pStyle w:val="40"/>
              <w:spacing w:line="360" w:lineRule="auto"/>
              <w:jc w:val="both"/>
              <w:rPr>
                <w:color w:val="auto"/>
                <w:szCs w:val="24"/>
              </w:rPr>
            </w:pPr>
            <w:r>
              <w:rPr>
                <w:rFonts w:hint="eastAsia"/>
                <w:color w:val="auto"/>
                <w:szCs w:val="24"/>
              </w:rPr>
              <w:t>审批文件名称及文号：无</w:t>
            </w:r>
          </w:p>
          <w:p w14:paraId="5C9456B4">
            <w:pPr>
              <w:rPr>
                <w:b/>
                <w:bCs/>
                <w:color w:val="auto"/>
              </w:rPr>
            </w:pPr>
            <w:r>
              <w:rPr>
                <w:rFonts w:hint="eastAsia"/>
                <w:b/>
                <w:bCs/>
                <w:color w:val="auto"/>
              </w:rPr>
              <w:t>《福州高新区国土空间总体规划（2021—2035年）》</w:t>
            </w:r>
          </w:p>
          <w:p w14:paraId="41CF140A">
            <w:pPr>
              <w:rPr>
                <w:color w:val="auto"/>
              </w:rPr>
            </w:pPr>
            <w:r>
              <w:rPr>
                <w:rFonts w:hint="eastAsia"/>
                <w:color w:val="auto"/>
              </w:rPr>
              <w:t>审批机关：福州市自然资源和规划局</w:t>
            </w:r>
          </w:p>
          <w:p w14:paraId="4040A14B">
            <w:pPr>
              <w:rPr>
                <w:color w:val="auto"/>
              </w:rPr>
            </w:pPr>
            <w:r>
              <w:rPr>
                <w:rFonts w:hint="eastAsia"/>
                <w:color w:val="auto"/>
              </w:rPr>
              <w:t>审批文件名称及文号：无</w:t>
            </w:r>
          </w:p>
        </w:tc>
      </w:tr>
      <w:tr w14:paraId="5AB07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95" w:type="dxa"/>
            <w:vAlign w:val="center"/>
          </w:tcPr>
          <w:p w14:paraId="4F209E4D">
            <w:pPr>
              <w:adjustRightInd w:val="0"/>
              <w:snapToGrid w:val="0"/>
              <w:jc w:val="center"/>
              <w:rPr>
                <w:rFonts w:hint="eastAsia" w:ascii="宋体" w:hAnsi="宋体" w:cs="宋体"/>
                <w:color w:val="auto"/>
              </w:rPr>
            </w:pPr>
            <w:r>
              <w:rPr>
                <w:rFonts w:hint="eastAsia" w:ascii="宋体" w:hAnsi="宋体" w:cs="宋体"/>
                <w:color w:val="auto"/>
              </w:rPr>
              <w:t>规划环境影响</w:t>
            </w:r>
          </w:p>
          <w:p w14:paraId="3165D14E">
            <w:pPr>
              <w:adjustRightInd w:val="0"/>
              <w:snapToGrid w:val="0"/>
              <w:jc w:val="center"/>
              <w:rPr>
                <w:rFonts w:hint="eastAsia" w:ascii="宋体" w:hAnsi="宋体" w:cs="宋体"/>
                <w:color w:val="auto"/>
                <w:kern w:val="0"/>
              </w:rPr>
            </w:pPr>
            <w:r>
              <w:rPr>
                <w:rFonts w:hint="eastAsia" w:ascii="宋体" w:hAnsi="宋体" w:cs="宋体"/>
                <w:color w:val="auto"/>
              </w:rPr>
              <w:t>评价情况</w:t>
            </w:r>
          </w:p>
        </w:tc>
        <w:tc>
          <w:tcPr>
            <w:tcW w:w="6875" w:type="dxa"/>
            <w:gridSpan w:val="3"/>
            <w:vAlign w:val="center"/>
          </w:tcPr>
          <w:p w14:paraId="2A1B754E">
            <w:pPr>
              <w:pStyle w:val="40"/>
              <w:spacing w:line="360" w:lineRule="auto"/>
              <w:jc w:val="both"/>
              <w:rPr>
                <w:b/>
                <w:bCs/>
                <w:color w:val="auto"/>
                <w:szCs w:val="24"/>
              </w:rPr>
            </w:pPr>
            <w:r>
              <w:rPr>
                <w:rFonts w:hint="eastAsia"/>
                <w:b/>
                <w:bCs/>
                <w:color w:val="auto"/>
                <w:szCs w:val="24"/>
              </w:rPr>
              <w:t>《福州市生物医药和机电产业园规划环境影响报告书》，福州市环境科学研究院，2011年4月</w:t>
            </w:r>
          </w:p>
          <w:p w14:paraId="7A6FEE40">
            <w:pPr>
              <w:pStyle w:val="40"/>
              <w:spacing w:line="360" w:lineRule="auto"/>
              <w:jc w:val="both"/>
              <w:rPr>
                <w:color w:val="auto"/>
                <w:szCs w:val="24"/>
              </w:rPr>
            </w:pPr>
            <w:r>
              <w:rPr>
                <w:rFonts w:hint="eastAsia"/>
                <w:color w:val="auto"/>
                <w:szCs w:val="24"/>
              </w:rPr>
              <w:t>审批机关：福州市环境保护局</w:t>
            </w:r>
          </w:p>
          <w:p w14:paraId="331400F1">
            <w:pPr>
              <w:pStyle w:val="40"/>
              <w:spacing w:line="360" w:lineRule="auto"/>
              <w:jc w:val="both"/>
              <w:rPr>
                <w:color w:val="auto"/>
                <w:szCs w:val="24"/>
              </w:rPr>
            </w:pPr>
            <w:r>
              <w:rPr>
                <w:rFonts w:hint="eastAsia"/>
                <w:color w:val="auto"/>
                <w:szCs w:val="24"/>
              </w:rPr>
              <w:t>审批文件名称及文号：《福州市生物医药和机电产业园规划环境影响报告书的审查意见》（榕环保〔2011〕204号）</w:t>
            </w:r>
          </w:p>
          <w:p w14:paraId="2174E269">
            <w:pPr>
              <w:rPr>
                <w:b/>
                <w:bCs/>
                <w:color w:val="auto"/>
              </w:rPr>
            </w:pPr>
            <w:r>
              <w:rPr>
                <w:rFonts w:hint="eastAsia"/>
                <w:b/>
                <w:bCs/>
                <w:color w:val="auto"/>
              </w:rPr>
              <w:t>《福州市生物医药和机电产业园规划环境影响跟踪评价报告书》，福建省环境保护设计院有限公司</w:t>
            </w:r>
          </w:p>
          <w:p w14:paraId="1C1EAD37">
            <w:pPr>
              <w:pStyle w:val="40"/>
              <w:spacing w:line="360" w:lineRule="auto"/>
              <w:jc w:val="both"/>
              <w:rPr>
                <w:color w:val="auto"/>
                <w:szCs w:val="24"/>
              </w:rPr>
            </w:pPr>
            <w:r>
              <w:rPr>
                <w:rFonts w:hint="eastAsia"/>
                <w:color w:val="auto"/>
                <w:szCs w:val="24"/>
              </w:rPr>
              <w:t>审批机关：福州市生态环境局</w:t>
            </w:r>
          </w:p>
          <w:p w14:paraId="5FE7CD01">
            <w:pPr>
              <w:rPr>
                <w:color w:val="auto"/>
              </w:rPr>
            </w:pPr>
            <w:r>
              <w:rPr>
                <w:rFonts w:hint="eastAsia"/>
                <w:color w:val="auto"/>
              </w:rPr>
              <w:t>审批文件名称及文号：无</w:t>
            </w:r>
          </w:p>
        </w:tc>
      </w:tr>
      <w:tr w14:paraId="6359F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95" w:type="dxa"/>
            <w:vAlign w:val="center"/>
          </w:tcPr>
          <w:p w14:paraId="3EEFF405">
            <w:pPr>
              <w:autoSpaceDE w:val="0"/>
              <w:autoSpaceDN w:val="0"/>
              <w:adjustRightInd w:val="0"/>
              <w:snapToGrid w:val="0"/>
              <w:jc w:val="center"/>
              <w:rPr>
                <w:rFonts w:hint="eastAsia" w:ascii="宋体" w:hAnsi="宋体" w:cs="宋体"/>
                <w:color w:val="auto"/>
                <w:kern w:val="0"/>
              </w:rPr>
            </w:pPr>
            <w:r>
              <w:rPr>
                <w:rFonts w:hint="eastAsia" w:ascii="宋体" w:hAnsi="宋体" w:cs="宋体"/>
                <w:color w:val="auto"/>
                <w:kern w:val="0"/>
              </w:rPr>
              <w:t>规划及规划环境</w:t>
            </w:r>
          </w:p>
          <w:p w14:paraId="16713EC8">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rPr>
              <w:t>影响评价符合性分析</w:t>
            </w:r>
          </w:p>
        </w:tc>
        <w:tc>
          <w:tcPr>
            <w:tcW w:w="6875" w:type="dxa"/>
            <w:gridSpan w:val="3"/>
            <w:vAlign w:val="center"/>
          </w:tcPr>
          <w:p w14:paraId="118245C4">
            <w:pPr>
              <w:pStyle w:val="3"/>
              <w:spacing w:before="0" w:after="0"/>
              <w:rPr>
                <w:color w:val="auto"/>
              </w:rPr>
            </w:pPr>
            <w:r>
              <w:rPr>
                <w:rFonts w:hint="eastAsia"/>
                <w:color w:val="auto"/>
              </w:rPr>
              <w:t>1.1与《福州高新区两园南单元控制性详细规划》符合性分析</w:t>
            </w:r>
          </w:p>
          <w:p w14:paraId="4DBB3224">
            <w:pPr>
              <w:pStyle w:val="39"/>
              <w:spacing w:before="0" w:beforeLines="0" w:after="0" w:afterLines="0"/>
              <w:ind w:firstLine="480" w:firstLineChars="200"/>
              <w:jc w:val="both"/>
              <w:rPr>
                <w:b w:val="0"/>
                <w:bCs/>
                <w:color w:val="auto"/>
              </w:rPr>
            </w:pPr>
            <w:r>
              <w:rPr>
                <w:rFonts w:hint="eastAsia"/>
                <w:b w:val="0"/>
                <w:bCs/>
                <w:color w:val="auto"/>
              </w:rPr>
              <w:t>（1）功能定位</w:t>
            </w:r>
          </w:p>
          <w:p w14:paraId="217F62ED">
            <w:pPr>
              <w:pStyle w:val="39"/>
              <w:spacing w:before="0" w:beforeLines="0" w:after="0" w:afterLines="0"/>
              <w:ind w:firstLine="480" w:firstLineChars="200"/>
              <w:jc w:val="both"/>
              <w:rPr>
                <w:b w:val="0"/>
                <w:bCs/>
                <w:color w:val="auto"/>
              </w:rPr>
            </w:pPr>
            <w:r>
              <w:rPr>
                <w:rFonts w:hint="eastAsia"/>
                <w:b w:val="0"/>
                <w:bCs/>
                <w:color w:val="auto"/>
              </w:rPr>
              <w:t>科学城的产业智造中心，生态环境良好的产业园区。</w:t>
            </w:r>
          </w:p>
          <w:p w14:paraId="2F02DB64">
            <w:pPr>
              <w:pStyle w:val="39"/>
              <w:spacing w:before="0" w:beforeLines="0" w:after="0" w:afterLines="0"/>
              <w:ind w:firstLine="480" w:firstLineChars="200"/>
              <w:jc w:val="both"/>
              <w:rPr>
                <w:b w:val="0"/>
                <w:bCs/>
                <w:color w:val="auto"/>
              </w:rPr>
            </w:pPr>
            <w:r>
              <w:rPr>
                <w:rFonts w:hint="eastAsia"/>
                <w:b w:val="0"/>
                <w:bCs/>
                <w:color w:val="auto"/>
              </w:rPr>
              <w:t>（2）规划布局</w:t>
            </w:r>
          </w:p>
          <w:p w14:paraId="1BA75523">
            <w:pPr>
              <w:pStyle w:val="39"/>
              <w:spacing w:before="0" w:beforeLines="0" w:after="0" w:afterLines="0"/>
              <w:ind w:firstLine="480" w:firstLineChars="200"/>
              <w:jc w:val="both"/>
              <w:rPr>
                <w:b w:val="0"/>
                <w:bCs/>
                <w:color w:val="auto"/>
              </w:rPr>
            </w:pPr>
            <w:r>
              <w:rPr>
                <w:rFonts w:hint="eastAsia"/>
                <w:b w:val="0"/>
                <w:bCs/>
                <w:color w:val="auto"/>
              </w:rPr>
              <w:t>本片区是科学城的产业智造区，规划用地以生物医药、光电、机械和仓储物流等产业功能为主导，结合规划地铁3号线，沿智慧大道两侧布设生物医药智造区、机电设备智造区、智能成套设备智造区、光电设备智造区和仓储物流服务区；结合3号线车辆段上盖开发，布设片区公共服务中心。</w:t>
            </w:r>
          </w:p>
          <w:p w14:paraId="7D79CFF7">
            <w:pPr>
              <w:pStyle w:val="39"/>
              <w:spacing w:before="0" w:beforeLines="0" w:after="0" w:afterLines="0"/>
              <w:ind w:firstLine="480" w:firstLineChars="200"/>
              <w:jc w:val="both"/>
              <w:rPr>
                <w:b w:val="0"/>
                <w:bCs/>
                <w:color w:val="auto"/>
              </w:rPr>
            </w:pPr>
            <w:r>
              <w:rPr>
                <w:rFonts w:hint="eastAsia"/>
                <w:b w:val="0"/>
                <w:bCs/>
                <w:color w:val="auto"/>
              </w:rPr>
              <w:t>（3）规划结构</w:t>
            </w:r>
          </w:p>
          <w:p w14:paraId="452C3609">
            <w:pPr>
              <w:pStyle w:val="39"/>
              <w:spacing w:before="0" w:beforeLines="0" w:after="0" w:afterLines="0"/>
              <w:ind w:firstLine="480" w:firstLineChars="200"/>
              <w:jc w:val="both"/>
              <w:rPr>
                <w:b w:val="0"/>
                <w:bCs/>
                <w:color w:val="auto"/>
              </w:rPr>
            </w:pPr>
            <w:r>
              <w:rPr>
                <w:rFonts w:hint="eastAsia"/>
                <w:b w:val="0"/>
                <w:bCs/>
                <w:color w:val="auto"/>
              </w:rPr>
              <w:t>本片区规划形成</w:t>
            </w:r>
            <w:r>
              <w:rPr>
                <w:rFonts w:hint="eastAsia"/>
                <w:b w:val="0"/>
                <w:bCs/>
                <w:color w:val="auto"/>
                <w:lang w:eastAsia="zh-CN"/>
              </w:rPr>
              <w:t>“</w:t>
            </w:r>
            <w:r>
              <w:rPr>
                <w:rFonts w:hint="eastAsia"/>
                <w:b w:val="0"/>
                <w:bCs/>
                <w:color w:val="auto"/>
              </w:rPr>
              <w:t>一轴、六区</w:t>
            </w:r>
            <w:r>
              <w:rPr>
                <w:rFonts w:hint="eastAsia"/>
                <w:b w:val="0"/>
                <w:bCs/>
                <w:color w:val="auto"/>
                <w:lang w:eastAsia="zh-CN"/>
              </w:rPr>
              <w:t>”</w:t>
            </w:r>
            <w:r>
              <w:rPr>
                <w:rFonts w:hint="eastAsia"/>
                <w:b w:val="0"/>
                <w:bCs/>
                <w:color w:val="auto"/>
              </w:rPr>
              <w:t>的空间布局结构。一轴：在智慧大道两侧，利用规划地铁3号线及优越的山水条件，打造智慧大道城市发展轴。六区：即六个功能片区，分别是：生物医药智造区、机电设备智造区、成套设备智造区、光电设备智造区和仓储物流服务区。</w:t>
            </w:r>
          </w:p>
          <w:p w14:paraId="4C21C21F">
            <w:pPr>
              <w:pStyle w:val="39"/>
              <w:spacing w:before="0" w:beforeLines="0" w:after="0" w:afterLines="0"/>
              <w:ind w:firstLine="480" w:firstLineChars="200"/>
              <w:jc w:val="both"/>
              <w:rPr>
                <w:b w:val="0"/>
                <w:bCs/>
                <w:color w:val="auto"/>
              </w:rPr>
            </w:pPr>
            <w:r>
              <w:rPr>
                <w:rFonts w:hint="eastAsia"/>
                <w:b w:val="0"/>
                <w:bCs/>
                <w:color w:val="auto"/>
              </w:rPr>
              <w:t>项目位于福建省闽侯县南屿镇智慧大道20号保利通信福州高新科技产业园13号楼，主要从事LED发光字、标识标牌生产，属于工业企业，根据业主提供不动产权证（闽（2022）闽侯县（G）不动产权第0010618号），项目所在地用途为工矿仓储用地-工业用地（具体见附件4），与《福州高新区两园南单元控制性详细规划》不冲突。</w:t>
            </w:r>
          </w:p>
          <w:p w14:paraId="46210AB5">
            <w:pPr>
              <w:pStyle w:val="3"/>
              <w:spacing w:before="0" w:after="0"/>
              <w:rPr>
                <w:bCs w:val="0"/>
                <w:color w:val="auto"/>
                <w:szCs w:val="21"/>
              </w:rPr>
            </w:pPr>
            <w:r>
              <w:rPr>
                <w:rFonts w:hint="eastAsia"/>
                <w:bCs w:val="0"/>
                <w:color w:val="auto"/>
                <w:szCs w:val="21"/>
              </w:rPr>
              <w:t>1.2与《福州市生物医药和机电产业园规划环境影响报告书》</w:t>
            </w:r>
            <w:r>
              <w:rPr>
                <w:rFonts w:hint="eastAsia"/>
                <w:bCs w:val="0"/>
                <w:color w:val="auto"/>
              </w:rPr>
              <w:t>符合性分析</w:t>
            </w:r>
          </w:p>
          <w:p w14:paraId="7CA4ADB9">
            <w:pPr>
              <w:pStyle w:val="39"/>
              <w:spacing w:before="0" w:beforeLines="0" w:after="0" w:afterLines="0"/>
              <w:ind w:firstLine="480" w:firstLineChars="200"/>
              <w:jc w:val="both"/>
              <w:rPr>
                <w:b w:val="0"/>
                <w:bCs/>
                <w:color w:val="auto"/>
              </w:rPr>
            </w:pPr>
            <w:r>
              <w:rPr>
                <w:rFonts w:hint="eastAsia"/>
                <w:b w:val="0"/>
                <w:bCs/>
                <w:color w:val="auto"/>
              </w:rPr>
              <w:t>《福州市生物医药和机电产业园规划环境影响报告书》中产业政策要求：生物医药产业：①在本规划区以新产品研发、一类、二类工业企业为主。②不推荐本规划园区建设实验动物房，严禁耗水量大的企业入驻。③限制产生恶臭的行业入驻。④引进企业清洁生产水平必须达到国内先进及以上水平。⑤对于化学制药、发酵药、原料药等重污染型的制药行业以及高耗能、高耗水、污染严重的企业建议福州市实行产业整合，有计划地引导进入福清江阴工业区入驻。机械电子产业：①不推荐引进排放酸性气体，如二氧化硫废气等企业入驻。②引进企业清洁生产水平必须达到国内先进及以上水平。③入园企业若配套电镀工艺，需按照福州市政府榕政综〔2007〕44号文件要求执行。</w:t>
            </w:r>
          </w:p>
          <w:p w14:paraId="54A98898">
            <w:pPr>
              <w:keepNext/>
              <w:keepLines/>
              <w:spacing w:line="240" w:lineRule="auto"/>
              <w:jc w:val="center"/>
              <w:rPr>
                <w:b/>
                <w:bCs/>
                <w:color w:val="auto"/>
              </w:rPr>
            </w:pPr>
            <w:r>
              <w:rPr>
                <w:rFonts w:hint="eastAsia"/>
                <w:b/>
                <w:bCs/>
                <w:color w:val="auto"/>
              </w:rPr>
              <w:t>表1.1-1  福州市生物医药和机电产业园推荐、不推荐产业明细</w:t>
            </w:r>
          </w:p>
          <w:tbl>
            <w:tblPr>
              <w:tblStyle w:val="30"/>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9"/>
              <w:gridCol w:w="2829"/>
              <w:gridCol w:w="2349"/>
            </w:tblGrid>
            <w:tr w14:paraId="6DFE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tcBorders>
                    <w:top w:val="single" w:color="auto" w:sz="12" w:space="0"/>
                    <w:left w:val="nil"/>
                  </w:tcBorders>
                  <w:vAlign w:val="center"/>
                </w:tcPr>
                <w:p w14:paraId="06EA08C3">
                  <w:pPr>
                    <w:pStyle w:val="40"/>
                    <w:rPr>
                      <w:color w:val="auto"/>
                      <w:sz w:val="21"/>
                      <w:szCs w:val="21"/>
                    </w:rPr>
                  </w:pPr>
                  <w:r>
                    <w:rPr>
                      <w:rFonts w:hint="eastAsia"/>
                      <w:color w:val="auto"/>
                      <w:sz w:val="21"/>
                      <w:szCs w:val="21"/>
                    </w:rPr>
                    <w:t>规划产业</w:t>
                  </w:r>
                </w:p>
              </w:tc>
              <w:tc>
                <w:tcPr>
                  <w:tcW w:w="2131" w:type="pct"/>
                  <w:tcBorders>
                    <w:top w:val="single" w:color="auto" w:sz="12" w:space="0"/>
                  </w:tcBorders>
                  <w:vAlign w:val="center"/>
                </w:tcPr>
                <w:p w14:paraId="5B5ED6A3">
                  <w:pPr>
                    <w:pStyle w:val="40"/>
                    <w:rPr>
                      <w:color w:val="auto"/>
                      <w:sz w:val="21"/>
                      <w:szCs w:val="21"/>
                    </w:rPr>
                  </w:pPr>
                  <w:r>
                    <w:rPr>
                      <w:rFonts w:hint="eastAsia"/>
                      <w:color w:val="auto"/>
                      <w:sz w:val="21"/>
                      <w:szCs w:val="21"/>
                    </w:rPr>
                    <w:t>产业小类</w:t>
                  </w:r>
                </w:p>
              </w:tc>
              <w:tc>
                <w:tcPr>
                  <w:tcW w:w="1768" w:type="pct"/>
                  <w:tcBorders>
                    <w:top w:val="single" w:color="auto" w:sz="12" w:space="0"/>
                    <w:right w:val="nil"/>
                  </w:tcBorders>
                  <w:vAlign w:val="center"/>
                </w:tcPr>
                <w:p w14:paraId="605D1516">
                  <w:pPr>
                    <w:pStyle w:val="40"/>
                    <w:rPr>
                      <w:color w:val="auto"/>
                      <w:sz w:val="21"/>
                      <w:szCs w:val="21"/>
                    </w:rPr>
                  </w:pPr>
                  <w:r>
                    <w:rPr>
                      <w:rFonts w:hint="eastAsia"/>
                      <w:color w:val="auto"/>
                      <w:sz w:val="21"/>
                      <w:szCs w:val="21"/>
                    </w:rPr>
                    <w:t>推荐产业</w:t>
                  </w:r>
                </w:p>
              </w:tc>
            </w:tr>
            <w:tr w14:paraId="7846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3"/>
                  <w:tcBorders>
                    <w:left w:val="nil"/>
                    <w:right w:val="nil"/>
                  </w:tcBorders>
                  <w:vAlign w:val="center"/>
                </w:tcPr>
                <w:p w14:paraId="65E75F77">
                  <w:pPr>
                    <w:pStyle w:val="40"/>
                    <w:rPr>
                      <w:color w:val="auto"/>
                      <w:sz w:val="21"/>
                      <w:szCs w:val="21"/>
                    </w:rPr>
                  </w:pPr>
                  <w:r>
                    <w:rPr>
                      <w:rFonts w:hint="eastAsia"/>
                      <w:color w:val="auto"/>
                      <w:sz w:val="21"/>
                      <w:szCs w:val="21"/>
                    </w:rPr>
                    <w:t>一、医药园产业</w:t>
                  </w:r>
                </w:p>
              </w:tc>
            </w:tr>
            <w:tr w14:paraId="5D69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vAlign w:val="center"/>
                </w:tcPr>
                <w:p w14:paraId="3C84F9F7">
                  <w:pPr>
                    <w:pStyle w:val="40"/>
                    <w:rPr>
                      <w:color w:val="auto"/>
                      <w:sz w:val="21"/>
                      <w:szCs w:val="21"/>
                    </w:rPr>
                  </w:pPr>
                  <w:r>
                    <w:rPr>
                      <w:rFonts w:hint="eastAsia"/>
                      <w:color w:val="auto"/>
                      <w:sz w:val="21"/>
                      <w:szCs w:val="21"/>
                    </w:rPr>
                    <w:t>医药研发</w:t>
                  </w:r>
                </w:p>
              </w:tc>
              <w:tc>
                <w:tcPr>
                  <w:tcW w:w="2131" w:type="pct"/>
                  <w:vAlign w:val="center"/>
                </w:tcPr>
                <w:p w14:paraId="547642FC">
                  <w:pPr>
                    <w:pStyle w:val="40"/>
                    <w:rPr>
                      <w:color w:val="auto"/>
                      <w:sz w:val="21"/>
                      <w:szCs w:val="21"/>
                    </w:rPr>
                  </w:pPr>
                  <w:r>
                    <w:rPr>
                      <w:rFonts w:hint="eastAsia"/>
                      <w:color w:val="auto"/>
                      <w:sz w:val="21"/>
                      <w:szCs w:val="21"/>
                    </w:rPr>
                    <w:t>基因工程药物</w:t>
                  </w:r>
                </w:p>
              </w:tc>
              <w:tc>
                <w:tcPr>
                  <w:tcW w:w="1768" w:type="pct"/>
                  <w:tcBorders>
                    <w:right w:val="nil"/>
                  </w:tcBorders>
                  <w:vAlign w:val="center"/>
                </w:tcPr>
                <w:p w14:paraId="57F4979C">
                  <w:pPr>
                    <w:pStyle w:val="40"/>
                    <w:rPr>
                      <w:color w:val="auto"/>
                      <w:sz w:val="21"/>
                      <w:szCs w:val="21"/>
                    </w:rPr>
                  </w:pPr>
                  <w:r>
                    <w:rPr>
                      <w:rFonts w:hint="eastAsia"/>
                      <w:color w:val="auto"/>
                      <w:sz w:val="21"/>
                      <w:szCs w:val="21"/>
                    </w:rPr>
                    <w:t>推荐基因工程药物</w:t>
                  </w:r>
                </w:p>
              </w:tc>
            </w:tr>
            <w:tr w14:paraId="4B75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2553BE47">
                  <w:pPr>
                    <w:pStyle w:val="40"/>
                    <w:rPr>
                      <w:color w:val="auto"/>
                      <w:sz w:val="21"/>
                      <w:szCs w:val="21"/>
                    </w:rPr>
                  </w:pPr>
                </w:p>
              </w:tc>
              <w:tc>
                <w:tcPr>
                  <w:tcW w:w="2131" w:type="pct"/>
                  <w:vAlign w:val="center"/>
                </w:tcPr>
                <w:p w14:paraId="18B77925">
                  <w:pPr>
                    <w:pStyle w:val="40"/>
                    <w:rPr>
                      <w:color w:val="auto"/>
                      <w:sz w:val="21"/>
                      <w:szCs w:val="21"/>
                    </w:rPr>
                  </w:pPr>
                  <w:r>
                    <w:rPr>
                      <w:rFonts w:hint="eastAsia"/>
                      <w:color w:val="auto"/>
                      <w:sz w:val="21"/>
                      <w:szCs w:val="21"/>
                    </w:rPr>
                    <w:t>疫苗</w:t>
                  </w:r>
                </w:p>
              </w:tc>
              <w:tc>
                <w:tcPr>
                  <w:tcW w:w="1768" w:type="pct"/>
                  <w:tcBorders>
                    <w:right w:val="nil"/>
                  </w:tcBorders>
                  <w:vAlign w:val="center"/>
                </w:tcPr>
                <w:p w14:paraId="51AF41A1">
                  <w:pPr>
                    <w:pStyle w:val="40"/>
                    <w:rPr>
                      <w:color w:val="auto"/>
                      <w:sz w:val="21"/>
                      <w:szCs w:val="21"/>
                    </w:rPr>
                  </w:pPr>
                  <w:r>
                    <w:rPr>
                      <w:rFonts w:hint="eastAsia"/>
                      <w:color w:val="auto"/>
                      <w:sz w:val="21"/>
                      <w:szCs w:val="21"/>
                    </w:rPr>
                    <w:t>推荐疫苗规模化生产</w:t>
                  </w:r>
                </w:p>
              </w:tc>
            </w:tr>
            <w:tr w14:paraId="5C86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79638160">
                  <w:pPr>
                    <w:pStyle w:val="40"/>
                    <w:rPr>
                      <w:color w:val="auto"/>
                      <w:sz w:val="21"/>
                      <w:szCs w:val="21"/>
                    </w:rPr>
                  </w:pPr>
                </w:p>
              </w:tc>
              <w:tc>
                <w:tcPr>
                  <w:tcW w:w="2131" w:type="pct"/>
                  <w:vAlign w:val="center"/>
                </w:tcPr>
                <w:p w14:paraId="79672C4B">
                  <w:pPr>
                    <w:pStyle w:val="40"/>
                    <w:rPr>
                      <w:color w:val="auto"/>
                      <w:sz w:val="21"/>
                      <w:szCs w:val="21"/>
                    </w:rPr>
                  </w:pPr>
                  <w:r>
                    <w:rPr>
                      <w:rFonts w:hint="eastAsia"/>
                      <w:color w:val="auto"/>
                      <w:sz w:val="21"/>
                      <w:szCs w:val="21"/>
                    </w:rPr>
                    <w:t>诊断试剂</w:t>
                  </w:r>
                </w:p>
              </w:tc>
              <w:tc>
                <w:tcPr>
                  <w:tcW w:w="1768" w:type="pct"/>
                  <w:tcBorders>
                    <w:right w:val="nil"/>
                  </w:tcBorders>
                  <w:vAlign w:val="center"/>
                </w:tcPr>
                <w:p w14:paraId="061B3329">
                  <w:pPr>
                    <w:pStyle w:val="40"/>
                    <w:rPr>
                      <w:color w:val="auto"/>
                      <w:sz w:val="21"/>
                      <w:szCs w:val="21"/>
                    </w:rPr>
                  </w:pPr>
                  <w:r>
                    <w:rPr>
                      <w:rFonts w:hint="eastAsia"/>
                      <w:color w:val="auto"/>
                      <w:sz w:val="21"/>
                      <w:szCs w:val="21"/>
                    </w:rPr>
                    <w:t>推荐诊断试剂规模化生产</w:t>
                  </w:r>
                </w:p>
              </w:tc>
            </w:tr>
            <w:tr w14:paraId="06FD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2753B039">
                  <w:pPr>
                    <w:pStyle w:val="40"/>
                    <w:rPr>
                      <w:color w:val="auto"/>
                      <w:sz w:val="21"/>
                      <w:szCs w:val="21"/>
                    </w:rPr>
                  </w:pPr>
                </w:p>
              </w:tc>
              <w:tc>
                <w:tcPr>
                  <w:tcW w:w="2131" w:type="pct"/>
                  <w:vAlign w:val="center"/>
                </w:tcPr>
                <w:p w14:paraId="509C4BB4">
                  <w:pPr>
                    <w:pStyle w:val="40"/>
                    <w:rPr>
                      <w:color w:val="auto"/>
                      <w:sz w:val="21"/>
                      <w:szCs w:val="21"/>
                    </w:rPr>
                  </w:pPr>
                  <w:r>
                    <w:rPr>
                      <w:rFonts w:hint="eastAsia"/>
                      <w:color w:val="auto"/>
                      <w:sz w:val="21"/>
                      <w:szCs w:val="21"/>
                    </w:rPr>
                    <w:t>生物医药分析仪器</w:t>
                  </w:r>
                </w:p>
              </w:tc>
              <w:tc>
                <w:tcPr>
                  <w:tcW w:w="1768" w:type="pct"/>
                  <w:tcBorders>
                    <w:right w:val="nil"/>
                  </w:tcBorders>
                  <w:vAlign w:val="center"/>
                </w:tcPr>
                <w:p w14:paraId="17111FCB">
                  <w:pPr>
                    <w:pStyle w:val="40"/>
                    <w:rPr>
                      <w:color w:val="auto"/>
                      <w:sz w:val="21"/>
                      <w:szCs w:val="21"/>
                    </w:rPr>
                  </w:pPr>
                  <w:r>
                    <w:rPr>
                      <w:rFonts w:hint="eastAsia"/>
                      <w:color w:val="auto"/>
                      <w:sz w:val="21"/>
                      <w:szCs w:val="21"/>
                    </w:rPr>
                    <w:t>推荐</w:t>
                  </w:r>
                </w:p>
              </w:tc>
            </w:tr>
            <w:tr w14:paraId="50F4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457F4A68">
                  <w:pPr>
                    <w:pStyle w:val="40"/>
                    <w:rPr>
                      <w:color w:val="auto"/>
                      <w:sz w:val="21"/>
                      <w:szCs w:val="21"/>
                    </w:rPr>
                  </w:pPr>
                </w:p>
              </w:tc>
              <w:tc>
                <w:tcPr>
                  <w:tcW w:w="2131" w:type="pct"/>
                  <w:vAlign w:val="center"/>
                </w:tcPr>
                <w:p w14:paraId="3F566374">
                  <w:pPr>
                    <w:pStyle w:val="40"/>
                    <w:rPr>
                      <w:color w:val="auto"/>
                      <w:sz w:val="21"/>
                      <w:szCs w:val="21"/>
                    </w:rPr>
                  </w:pPr>
                  <w:r>
                    <w:rPr>
                      <w:rFonts w:hint="eastAsia"/>
                      <w:color w:val="auto"/>
                      <w:sz w:val="21"/>
                      <w:szCs w:val="21"/>
                    </w:rPr>
                    <w:t>高端医药器械研发</w:t>
                  </w:r>
                </w:p>
              </w:tc>
              <w:tc>
                <w:tcPr>
                  <w:tcW w:w="1768" w:type="pct"/>
                  <w:tcBorders>
                    <w:right w:val="nil"/>
                  </w:tcBorders>
                  <w:vAlign w:val="center"/>
                </w:tcPr>
                <w:p w14:paraId="703233A7">
                  <w:pPr>
                    <w:pStyle w:val="40"/>
                    <w:rPr>
                      <w:color w:val="auto"/>
                      <w:sz w:val="21"/>
                      <w:szCs w:val="21"/>
                    </w:rPr>
                  </w:pPr>
                  <w:r>
                    <w:rPr>
                      <w:rFonts w:hint="eastAsia"/>
                      <w:color w:val="auto"/>
                      <w:sz w:val="21"/>
                      <w:szCs w:val="21"/>
                    </w:rPr>
                    <w:t>推荐</w:t>
                  </w:r>
                </w:p>
              </w:tc>
            </w:tr>
            <w:tr w14:paraId="258F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3"/>
                  <w:tcBorders>
                    <w:left w:val="nil"/>
                    <w:right w:val="nil"/>
                  </w:tcBorders>
                  <w:vAlign w:val="center"/>
                </w:tcPr>
                <w:p w14:paraId="4DA09C0A">
                  <w:pPr>
                    <w:pStyle w:val="40"/>
                    <w:rPr>
                      <w:color w:val="auto"/>
                      <w:sz w:val="21"/>
                      <w:szCs w:val="21"/>
                    </w:rPr>
                  </w:pPr>
                  <w:r>
                    <w:rPr>
                      <w:rFonts w:hint="eastAsia"/>
                      <w:color w:val="auto"/>
                      <w:sz w:val="21"/>
                      <w:szCs w:val="21"/>
                    </w:rPr>
                    <w:t>二、机电园产业</w:t>
                  </w:r>
                </w:p>
              </w:tc>
            </w:tr>
            <w:tr w14:paraId="283D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vAlign w:val="center"/>
                </w:tcPr>
                <w:p w14:paraId="7AA0E6D3">
                  <w:pPr>
                    <w:pStyle w:val="40"/>
                    <w:rPr>
                      <w:color w:val="auto"/>
                      <w:sz w:val="21"/>
                      <w:szCs w:val="21"/>
                    </w:rPr>
                  </w:pPr>
                  <w:r>
                    <w:rPr>
                      <w:rFonts w:hint="eastAsia"/>
                      <w:color w:val="auto"/>
                      <w:sz w:val="21"/>
                      <w:szCs w:val="21"/>
                    </w:rPr>
                    <w:t>光电产业</w:t>
                  </w:r>
                </w:p>
              </w:tc>
              <w:tc>
                <w:tcPr>
                  <w:tcW w:w="2131" w:type="pct"/>
                  <w:vAlign w:val="center"/>
                </w:tcPr>
                <w:p w14:paraId="09C425BD">
                  <w:pPr>
                    <w:pStyle w:val="40"/>
                    <w:rPr>
                      <w:color w:val="auto"/>
                      <w:sz w:val="21"/>
                      <w:szCs w:val="21"/>
                    </w:rPr>
                  </w:pPr>
                  <w:r>
                    <w:rPr>
                      <w:rFonts w:hint="eastAsia"/>
                      <w:color w:val="auto"/>
                      <w:sz w:val="21"/>
                      <w:szCs w:val="21"/>
                    </w:rPr>
                    <w:t>液晶、发光二极管显示屏</w:t>
                  </w:r>
                </w:p>
              </w:tc>
              <w:tc>
                <w:tcPr>
                  <w:tcW w:w="1768" w:type="pct"/>
                  <w:vMerge w:val="restart"/>
                  <w:tcBorders>
                    <w:right w:val="nil"/>
                  </w:tcBorders>
                  <w:vAlign w:val="center"/>
                </w:tcPr>
                <w:p w14:paraId="44E88B84">
                  <w:pPr>
                    <w:pStyle w:val="40"/>
                    <w:rPr>
                      <w:color w:val="auto"/>
                      <w:sz w:val="21"/>
                      <w:szCs w:val="21"/>
                    </w:rPr>
                  </w:pPr>
                  <w:r>
                    <w:rPr>
                      <w:rFonts w:hint="eastAsia"/>
                      <w:color w:val="auto"/>
                      <w:sz w:val="21"/>
                      <w:szCs w:val="21"/>
                      <w:highlight w:val="none"/>
                    </w:rPr>
                    <w:t>推荐，建议园区形成产业配置适宜的光电（LED）产业链</w:t>
                  </w:r>
                </w:p>
              </w:tc>
            </w:tr>
            <w:tr w14:paraId="2981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4D3C709D">
                  <w:pPr>
                    <w:pStyle w:val="40"/>
                    <w:rPr>
                      <w:color w:val="auto"/>
                      <w:sz w:val="21"/>
                      <w:szCs w:val="21"/>
                    </w:rPr>
                  </w:pPr>
                </w:p>
              </w:tc>
              <w:tc>
                <w:tcPr>
                  <w:tcW w:w="2131" w:type="pct"/>
                  <w:vAlign w:val="center"/>
                </w:tcPr>
                <w:p w14:paraId="22B91E70">
                  <w:pPr>
                    <w:pStyle w:val="40"/>
                    <w:rPr>
                      <w:color w:val="auto"/>
                      <w:sz w:val="21"/>
                      <w:szCs w:val="21"/>
                    </w:rPr>
                  </w:pPr>
                  <w:r>
                    <w:rPr>
                      <w:rFonts w:hint="eastAsia"/>
                      <w:color w:val="auto"/>
                      <w:sz w:val="21"/>
                      <w:szCs w:val="21"/>
                    </w:rPr>
                    <w:t>光电器件</w:t>
                  </w:r>
                </w:p>
              </w:tc>
              <w:tc>
                <w:tcPr>
                  <w:tcW w:w="1768" w:type="pct"/>
                  <w:vMerge w:val="continue"/>
                  <w:tcBorders>
                    <w:right w:val="nil"/>
                  </w:tcBorders>
                  <w:vAlign w:val="center"/>
                </w:tcPr>
                <w:p w14:paraId="32D17BA4">
                  <w:pPr>
                    <w:pStyle w:val="40"/>
                    <w:rPr>
                      <w:color w:val="auto"/>
                      <w:sz w:val="21"/>
                      <w:szCs w:val="21"/>
                    </w:rPr>
                  </w:pPr>
                </w:p>
              </w:tc>
            </w:tr>
            <w:tr w14:paraId="37A7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568E44AD">
                  <w:pPr>
                    <w:pStyle w:val="40"/>
                    <w:rPr>
                      <w:color w:val="auto"/>
                      <w:sz w:val="21"/>
                      <w:szCs w:val="21"/>
                    </w:rPr>
                  </w:pPr>
                </w:p>
              </w:tc>
              <w:tc>
                <w:tcPr>
                  <w:tcW w:w="2131" w:type="pct"/>
                  <w:vAlign w:val="center"/>
                </w:tcPr>
                <w:p w14:paraId="2AED7B5D">
                  <w:pPr>
                    <w:pStyle w:val="40"/>
                    <w:rPr>
                      <w:color w:val="auto"/>
                      <w:sz w:val="21"/>
                      <w:szCs w:val="21"/>
                    </w:rPr>
                  </w:pPr>
                  <w:r>
                    <w:rPr>
                      <w:rFonts w:hint="eastAsia"/>
                      <w:color w:val="auto"/>
                      <w:sz w:val="21"/>
                      <w:szCs w:val="21"/>
                    </w:rPr>
                    <w:t>激光产业</w:t>
                  </w:r>
                </w:p>
              </w:tc>
              <w:tc>
                <w:tcPr>
                  <w:tcW w:w="1768" w:type="pct"/>
                  <w:vMerge w:val="continue"/>
                  <w:tcBorders>
                    <w:right w:val="nil"/>
                  </w:tcBorders>
                  <w:vAlign w:val="center"/>
                </w:tcPr>
                <w:p w14:paraId="73A26271">
                  <w:pPr>
                    <w:pStyle w:val="40"/>
                    <w:rPr>
                      <w:color w:val="auto"/>
                      <w:sz w:val="21"/>
                      <w:szCs w:val="21"/>
                    </w:rPr>
                  </w:pPr>
                </w:p>
              </w:tc>
            </w:tr>
            <w:tr w14:paraId="2876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3168F303">
                  <w:pPr>
                    <w:pStyle w:val="40"/>
                    <w:rPr>
                      <w:color w:val="auto"/>
                      <w:sz w:val="21"/>
                      <w:szCs w:val="21"/>
                    </w:rPr>
                  </w:pPr>
                </w:p>
              </w:tc>
              <w:tc>
                <w:tcPr>
                  <w:tcW w:w="2131" w:type="pct"/>
                  <w:vAlign w:val="center"/>
                </w:tcPr>
                <w:p w14:paraId="223F9A73">
                  <w:pPr>
                    <w:pStyle w:val="40"/>
                    <w:rPr>
                      <w:color w:val="auto"/>
                      <w:sz w:val="21"/>
                      <w:szCs w:val="21"/>
                    </w:rPr>
                  </w:pPr>
                  <w:r>
                    <w:rPr>
                      <w:rFonts w:hint="eastAsia"/>
                      <w:color w:val="auto"/>
                      <w:sz w:val="21"/>
                      <w:szCs w:val="21"/>
                    </w:rPr>
                    <w:t>光学产业</w:t>
                  </w:r>
                </w:p>
              </w:tc>
              <w:tc>
                <w:tcPr>
                  <w:tcW w:w="1768" w:type="pct"/>
                  <w:vMerge w:val="continue"/>
                  <w:tcBorders>
                    <w:right w:val="nil"/>
                  </w:tcBorders>
                  <w:vAlign w:val="center"/>
                </w:tcPr>
                <w:p w14:paraId="7D14F7E1">
                  <w:pPr>
                    <w:pStyle w:val="40"/>
                    <w:rPr>
                      <w:color w:val="auto"/>
                      <w:sz w:val="21"/>
                      <w:szCs w:val="21"/>
                    </w:rPr>
                  </w:pPr>
                </w:p>
              </w:tc>
            </w:tr>
            <w:tr w14:paraId="02ED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tcBorders>
                  <w:vAlign w:val="center"/>
                </w:tcPr>
                <w:p w14:paraId="611650E3">
                  <w:pPr>
                    <w:pStyle w:val="40"/>
                    <w:rPr>
                      <w:color w:val="auto"/>
                      <w:sz w:val="21"/>
                      <w:szCs w:val="21"/>
                    </w:rPr>
                  </w:pPr>
                  <w:r>
                    <w:rPr>
                      <w:rFonts w:hint="eastAsia"/>
                      <w:color w:val="auto"/>
                      <w:sz w:val="21"/>
                      <w:szCs w:val="21"/>
                    </w:rPr>
                    <w:t>通信产业</w:t>
                  </w:r>
                </w:p>
              </w:tc>
              <w:tc>
                <w:tcPr>
                  <w:tcW w:w="2131" w:type="pct"/>
                  <w:vAlign w:val="center"/>
                </w:tcPr>
                <w:p w14:paraId="302A071B">
                  <w:pPr>
                    <w:pStyle w:val="40"/>
                    <w:rPr>
                      <w:color w:val="auto"/>
                      <w:sz w:val="21"/>
                      <w:szCs w:val="21"/>
                    </w:rPr>
                  </w:pPr>
                  <w:r>
                    <w:rPr>
                      <w:rFonts w:hint="eastAsia"/>
                      <w:color w:val="auto"/>
                      <w:sz w:val="21"/>
                      <w:szCs w:val="21"/>
                    </w:rPr>
                    <w:t>集成电路产业</w:t>
                  </w:r>
                </w:p>
              </w:tc>
              <w:tc>
                <w:tcPr>
                  <w:tcW w:w="1768" w:type="pct"/>
                  <w:vMerge w:val="continue"/>
                  <w:tcBorders>
                    <w:right w:val="nil"/>
                  </w:tcBorders>
                  <w:vAlign w:val="center"/>
                </w:tcPr>
                <w:p w14:paraId="575F6D33">
                  <w:pPr>
                    <w:pStyle w:val="40"/>
                    <w:rPr>
                      <w:color w:val="auto"/>
                      <w:sz w:val="21"/>
                      <w:szCs w:val="21"/>
                    </w:rPr>
                  </w:pPr>
                </w:p>
              </w:tc>
            </w:tr>
            <w:tr w14:paraId="0F57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5F21863D">
                  <w:pPr>
                    <w:pStyle w:val="40"/>
                    <w:rPr>
                      <w:color w:val="auto"/>
                      <w:sz w:val="21"/>
                      <w:szCs w:val="21"/>
                    </w:rPr>
                  </w:pPr>
                </w:p>
              </w:tc>
              <w:tc>
                <w:tcPr>
                  <w:tcW w:w="2131" w:type="pct"/>
                  <w:vAlign w:val="center"/>
                </w:tcPr>
                <w:p w14:paraId="2427B585">
                  <w:pPr>
                    <w:pStyle w:val="40"/>
                    <w:rPr>
                      <w:color w:val="auto"/>
                      <w:sz w:val="21"/>
                      <w:szCs w:val="21"/>
                    </w:rPr>
                  </w:pPr>
                  <w:r>
                    <w:rPr>
                      <w:rFonts w:hint="eastAsia"/>
                      <w:color w:val="auto"/>
                      <w:sz w:val="21"/>
                      <w:szCs w:val="21"/>
                    </w:rPr>
                    <w:t>计算机及外围设备</w:t>
                  </w:r>
                </w:p>
              </w:tc>
              <w:tc>
                <w:tcPr>
                  <w:tcW w:w="1768" w:type="pct"/>
                  <w:vMerge w:val="continue"/>
                  <w:tcBorders>
                    <w:right w:val="nil"/>
                  </w:tcBorders>
                  <w:vAlign w:val="center"/>
                </w:tcPr>
                <w:p w14:paraId="226B7441">
                  <w:pPr>
                    <w:pStyle w:val="40"/>
                    <w:rPr>
                      <w:color w:val="auto"/>
                      <w:sz w:val="21"/>
                      <w:szCs w:val="21"/>
                    </w:rPr>
                  </w:pPr>
                </w:p>
              </w:tc>
            </w:tr>
            <w:tr w14:paraId="2D60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left w:val="nil"/>
                  </w:tcBorders>
                  <w:vAlign w:val="center"/>
                </w:tcPr>
                <w:p w14:paraId="2EA05DC9">
                  <w:pPr>
                    <w:pStyle w:val="40"/>
                    <w:rPr>
                      <w:color w:val="auto"/>
                      <w:sz w:val="21"/>
                      <w:szCs w:val="21"/>
                    </w:rPr>
                  </w:pPr>
                </w:p>
              </w:tc>
              <w:tc>
                <w:tcPr>
                  <w:tcW w:w="2131" w:type="pct"/>
                  <w:vAlign w:val="center"/>
                </w:tcPr>
                <w:p w14:paraId="593AC0CF">
                  <w:pPr>
                    <w:pStyle w:val="40"/>
                    <w:rPr>
                      <w:color w:val="auto"/>
                      <w:sz w:val="21"/>
                      <w:szCs w:val="21"/>
                    </w:rPr>
                  </w:pPr>
                  <w:r>
                    <w:rPr>
                      <w:rFonts w:hint="eastAsia"/>
                      <w:color w:val="auto"/>
                      <w:sz w:val="21"/>
                      <w:szCs w:val="21"/>
                    </w:rPr>
                    <w:t>数字电子设备</w:t>
                  </w:r>
                </w:p>
              </w:tc>
              <w:tc>
                <w:tcPr>
                  <w:tcW w:w="1768" w:type="pct"/>
                  <w:vMerge w:val="continue"/>
                  <w:tcBorders>
                    <w:right w:val="nil"/>
                  </w:tcBorders>
                  <w:vAlign w:val="center"/>
                </w:tcPr>
                <w:p w14:paraId="3E03A868">
                  <w:pPr>
                    <w:pStyle w:val="40"/>
                    <w:rPr>
                      <w:color w:val="auto"/>
                      <w:sz w:val="21"/>
                      <w:szCs w:val="21"/>
                    </w:rPr>
                  </w:pPr>
                </w:p>
              </w:tc>
            </w:tr>
            <w:tr w14:paraId="6C3C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restart"/>
                  <w:tcBorders>
                    <w:left w:val="nil"/>
                    <w:bottom w:val="nil"/>
                  </w:tcBorders>
                  <w:vAlign w:val="center"/>
                </w:tcPr>
                <w:p w14:paraId="65EE820E">
                  <w:pPr>
                    <w:pStyle w:val="40"/>
                    <w:rPr>
                      <w:color w:val="auto"/>
                      <w:sz w:val="21"/>
                      <w:szCs w:val="21"/>
                    </w:rPr>
                  </w:pPr>
                  <w:r>
                    <w:rPr>
                      <w:rFonts w:hint="eastAsia"/>
                      <w:color w:val="auto"/>
                      <w:sz w:val="21"/>
                      <w:szCs w:val="21"/>
                    </w:rPr>
                    <w:t>智能型机械制造产业</w:t>
                  </w:r>
                </w:p>
              </w:tc>
              <w:tc>
                <w:tcPr>
                  <w:tcW w:w="2131" w:type="pct"/>
                  <w:tcBorders>
                    <w:bottom w:val="single" w:color="auto" w:sz="4" w:space="0"/>
                  </w:tcBorders>
                  <w:vAlign w:val="center"/>
                </w:tcPr>
                <w:p w14:paraId="0A005025">
                  <w:pPr>
                    <w:pStyle w:val="40"/>
                    <w:rPr>
                      <w:color w:val="auto"/>
                      <w:sz w:val="21"/>
                      <w:szCs w:val="21"/>
                    </w:rPr>
                  </w:pPr>
                  <w:r>
                    <w:rPr>
                      <w:rFonts w:hint="eastAsia"/>
                      <w:color w:val="auto"/>
                      <w:sz w:val="21"/>
                      <w:szCs w:val="21"/>
                    </w:rPr>
                    <w:t>智能电网成套设备及配套产业制造</w:t>
                  </w:r>
                </w:p>
              </w:tc>
              <w:tc>
                <w:tcPr>
                  <w:tcW w:w="1768" w:type="pct"/>
                  <w:vMerge w:val="restart"/>
                  <w:tcBorders>
                    <w:bottom w:val="single" w:color="auto" w:sz="12" w:space="0"/>
                    <w:right w:val="nil"/>
                  </w:tcBorders>
                  <w:vAlign w:val="center"/>
                </w:tcPr>
                <w:p w14:paraId="490F54FC">
                  <w:pPr>
                    <w:pStyle w:val="40"/>
                    <w:rPr>
                      <w:color w:val="auto"/>
                      <w:sz w:val="21"/>
                      <w:szCs w:val="21"/>
                    </w:rPr>
                  </w:pPr>
                  <w:r>
                    <w:rPr>
                      <w:rFonts w:hint="eastAsia"/>
                      <w:color w:val="auto"/>
                      <w:sz w:val="21"/>
                      <w:szCs w:val="21"/>
                    </w:rPr>
                    <w:t>推荐，建议园区形成产业配置适宜的机械制造产业集群</w:t>
                  </w:r>
                </w:p>
              </w:tc>
            </w:tr>
            <w:tr w14:paraId="521E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vAlign w:val="center"/>
                </w:tcPr>
                <w:p w14:paraId="5CB98387">
                  <w:pPr>
                    <w:pStyle w:val="40"/>
                    <w:rPr>
                      <w:color w:val="auto"/>
                      <w:sz w:val="21"/>
                      <w:szCs w:val="21"/>
                    </w:rPr>
                  </w:pPr>
                </w:p>
              </w:tc>
              <w:tc>
                <w:tcPr>
                  <w:tcW w:w="2131" w:type="pct"/>
                  <w:tcBorders>
                    <w:top w:val="single" w:color="auto" w:sz="4" w:space="0"/>
                    <w:bottom w:val="single" w:color="auto" w:sz="4" w:space="0"/>
                  </w:tcBorders>
                  <w:vAlign w:val="center"/>
                </w:tcPr>
                <w:p w14:paraId="53F7BEC3">
                  <w:pPr>
                    <w:pStyle w:val="40"/>
                    <w:rPr>
                      <w:color w:val="auto"/>
                      <w:sz w:val="21"/>
                      <w:szCs w:val="21"/>
                    </w:rPr>
                  </w:pPr>
                  <w:r>
                    <w:rPr>
                      <w:rFonts w:hint="eastAsia"/>
                      <w:color w:val="auto"/>
                      <w:sz w:val="21"/>
                      <w:szCs w:val="21"/>
                    </w:rPr>
                    <w:t>智能化仪表仪器制造</w:t>
                  </w:r>
                </w:p>
              </w:tc>
              <w:tc>
                <w:tcPr>
                  <w:tcW w:w="1768" w:type="pct"/>
                  <w:vMerge w:val="continue"/>
                  <w:tcBorders>
                    <w:top w:val="single" w:color="auto" w:sz="12" w:space="0"/>
                    <w:bottom w:val="single" w:color="auto" w:sz="12" w:space="0"/>
                    <w:right w:val="nil"/>
                    <w:tl2br w:val="nil"/>
                    <w:tr2bl w:val="nil"/>
                  </w:tcBorders>
                  <w:vAlign w:val="center"/>
                </w:tcPr>
                <w:p w14:paraId="625E2E2E">
                  <w:pPr>
                    <w:pStyle w:val="40"/>
                    <w:rPr>
                      <w:color w:val="auto"/>
                      <w:sz w:val="21"/>
                      <w:szCs w:val="21"/>
                    </w:rPr>
                  </w:pPr>
                </w:p>
              </w:tc>
            </w:tr>
            <w:tr w14:paraId="2784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vAlign w:val="center"/>
                </w:tcPr>
                <w:p w14:paraId="7AB11A1C">
                  <w:pPr>
                    <w:pStyle w:val="40"/>
                    <w:rPr>
                      <w:color w:val="auto"/>
                      <w:sz w:val="21"/>
                      <w:szCs w:val="21"/>
                    </w:rPr>
                  </w:pPr>
                </w:p>
              </w:tc>
              <w:tc>
                <w:tcPr>
                  <w:tcW w:w="2131" w:type="pct"/>
                  <w:tcBorders>
                    <w:top w:val="single" w:color="auto" w:sz="4" w:space="0"/>
                    <w:bottom w:val="single" w:color="auto" w:sz="4" w:space="0"/>
                  </w:tcBorders>
                  <w:vAlign w:val="center"/>
                </w:tcPr>
                <w:p w14:paraId="77439131">
                  <w:pPr>
                    <w:pStyle w:val="40"/>
                    <w:rPr>
                      <w:color w:val="auto"/>
                      <w:sz w:val="21"/>
                      <w:szCs w:val="21"/>
                    </w:rPr>
                  </w:pPr>
                  <w:r>
                    <w:rPr>
                      <w:rFonts w:hint="eastAsia"/>
                      <w:color w:val="auto"/>
                      <w:sz w:val="21"/>
                      <w:szCs w:val="21"/>
                    </w:rPr>
                    <w:t>数控机床产业</w:t>
                  </w:r>
                </w:p>
              </w:tc>
              <w:tc>
                <w:tcPr>
                  <w:tcW w:w="1768" w:type="pct"/>
                  <w:vMerge w:val="continue"/>
                  <w:tcBorders>
                    <w:top w:val="single" w:color="auto" w:sz="12" w:space="0"/>
                    <w:bottom w:val="single" w:color="auto" w:sz="12" w:space="0"/>
                    <w:right w:val="nil"/>
                    <w:tl2br w:val="nil"/>
                    <w:tr2bl w:val="nil"/>
                  </w:tcBorders>
                  <w:vAlign w:val="center"/>
                </w:tcPr>
                <w:p w14:paraId="7625E9BA">
                  <w:pPr>
                    <w:pStyle w:val="40"/>
                    <w:rPr>
                      <w:color w:val="auto"/>
                      <w:sz w:val="21"/>
                      <w:szCs w:val="21"/>
                    </w:rPr>
                  </w:pPr>
                </w:p>
              </w:tc>
            </w:tr>
            <w:tr w14:paraId="6A6F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vAlign w:val="center"/>
                </w:tcPr>
                <w:p w14:paraId="20038768">
                  <w:pPr>
                    <w:pStyle w:val="40"/>
                    <w:rPr>
                      <w:color w:val="auto"/>
                      <w:sz w:val="21"/>
                      <w:szCs w:val="21"/>
                    </w:rPr>
                  </w:pPr>
                </w:p>
              </w:tc>
              <w:tc>
                <w:tcPr>
                  <w:tcW w:w="2131" w:type="pct"/>
                  <w:tcBorders>
                    <w:top w:val="single" w:color="auto" w:sz="4" w:space="0"/>
                    <w:bottom w:val="single" w:color="auto" w:sz="4" w:space="0"/>
                  </w:tcBorders>
                  <w:vAlign w:val="center"/>
                </w:tcPr>
                <w:p w14:paraId="426E5C93">
                  <w:pPr>
                    <w:pStyle w:val="40"/>
                    <w:rPr>
                      <w:color w:val="auto"/>
                      <w:sz w:val="21"/>
                      <w:szCs w:val="21"/>
                    </w:rPr>
                  </w:pPr>
                  <w:r>
                    <w:rPr>
                      <w:rFonts w:hint="eastAsia"/>
                      <w:color w:val="auto"/>
                      <w:sz w:val="21"/>
                      <w:szCs w:val="21"/>
                    </w:rPr>
                    <w:t>工程机械、轨道交通运输装备</w:t>
                  </w:r>
                </w:p>
              </w:tc>
              <w:tc>
                <w:tcPr>
                  <w:tcW w:w="1768" w:type="pct"/>
                  <w:vMerge w:val="continue"/>
                  <w:tcBorders>
                    <w:top w:val="single" w:color="auto" w:sz="12" w:space="0"/>
                    <w:bottom w:val="single" w:color="auto" w:sz="12" w:space="0"/>
                    <w:right w:val="nil"/>
                    <w:tl2br w:val="nil"/>
                    <w:tr2bl w:val="nil"/>
                  </w:tcBorders>
                  <w:vAlign w:val="center"/>
                </w:tcPr>
                <w:p w14:paraId="1EE24B4C">
                  <w:pPr>
                    <w:pStyle w:val="40"/>
                    <w:rPr>
                      <w:color w:val="auto"/>
                      <w:sz w:val="21"/>
                      <w:szCs w:val="21"/>
                    </w:rPr>
                  </w:pPr>
                </w:p>
              </w:tc>
            </w:tr>
            <w:tr w14:paraId="0958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vAlign w:val="center"/>
                </w:tcPr>
                <w:p w14:paraId="4CA53765">
                  <w:pPr>
                    <w:pStyle w:val="40"/>
                    <w:rPr>
                      <w:color w:val="auto"/>
                      <w:sz w:val="21"/>
                      <w:szCs w:val="21"/>
                    </w:rPr>
                  </w:pPr>
                </w:p>
              </w:tc>
              <w:tc>
                <w:tcPr>
                  <w:tcW w:w="2131" w:type="pct"/>
                  <w:tcBorders>
                    <w:top w:val="single" w:color="auto" w:sz="4" w:space="0"/>
                    <w:bottom w:val="single" w:color="auto" w:sz="4" w:space="0"/>
                  </w:tcBorders>
                  <w:vAlign w:val="center"/>
                </w:tcPr>
                <w:p w14:paraId="794B0889">
                  <w:pPr>
                    <w:pStyle w:val="40"/>
                    <w:rPr>
                      <w:color w:val="auto"/>
                      <w:sz w:val="21"/>
                      <w:szCs w:val="21"/>
                    </w:rPr>
                  </w:pPr>
                  <w:r>
                    <w:rPr>
                      <w:rFonts w:hint="eastAsia"/>
                      <w:color w:val="auto"/>
                      <w:sz w:val="21"/>
                      <w:szCs w:val="21"/>
                    </w:rPr>
                    <w:t>港口机械、环保及清洁能源装备</w:t>
                  </w:r>
                </w:p>
              </w:tc>
              <w:tc>
                <w:tcPr>
                  <w:tcW w:w="1768" w:type="pct"/>
                  <w:vMerge w:val="continue"/>
                  <w:tcBorders>
                    <w:top w:val="single" w:color="auto" w:sz="12" w:space="0"/>
                    <w:bottom w:val="single" w:color="auto" w:sz="12" w:space="0"/>
                    <w:right w:val="nil"/>
                    <w:tl2br w:val="nil"/>
                    <w:tr2bl w:val="nil"/>
                  </w:tcBorders>
                  <w:vAlign w:val="center"/>
                </w:tcPr>
                <w:p w14:paraId="4E9370B8">
                  <w:pPr>
                    <w:pStyle w:val="40"/>
                    <w:rPr>
                      <w:color w:val="auto"/>
                      <w:sz w:val="21"/>
                      <w:szCs w:val="21"/>
                    </w:rPr>
                  </w:pPr>
                </w:p>
              </w:tc>
            </w:tr>
            <w:tr w14:paraId="10F2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nil"/>
                  </w:tcBorders>
                  <w:vAlign w:val="center"/>
                </w:tcPr>
                <w:p w14:paraId="17CC4F28">
                  <w:pPr>
                    <w:pStyle w:val="40"/>
                    <w:rPr>
                      <w:color w:val="auto"/>
                      <w:sz w:val="21"/>
                      <w:szCs w:val="21"/>
                    </w:rPr>
                  </w:pPr>
                </w:p>
              </w:tc>
              <w:tc>
                <w:tcPr>
                  <w:tcW w:w="2131" w:type="pct"/>
                  <w:tcBorders>
                    <w:top w:val="single" w:color="auto" w:sz="4" w:space="0"/>
                    <w:bottom w:val="single" w:color="auto" w:sz="4" w:space="0"/>
                  </w:tcBorders>
                  <w:vAlign w:val="center"/>
                </w:tcPr>
                <w:p w14:paraId="14057F62">
                  <w:pPr>
                    <w:pStyle w:val="40"/>
                    <w:rPr>
                      <w:color w:val="auto"/>
                      <w:sz w:val="21"/>
                      <w:szCs w:val="21"/>
                    </w:rPr>
                  </w:pPr>
                  <w:r>
                    <w:rPr>
                      <w:rFonts w:hint="eastAsia"/>
                      <w:color w:val="auto"/>
                      <w:sz w:val="21"/>
                      <w:szCs w:val="21"/>
                    </w:rPr>
                    <w:t>汽车和船舶零部件</w:t>
                  </w:r>
                </w:p>
              </w:tc>
              <w:tc>
                <w:tcPr>
                  <w:tcW w:w="1768" w:type="pct"/>
                  <w:vMerge w:val="continue"/>
                  <w:tcBorders>
                    <w:top w:val="single" w:color="auto" w:sz="12" w:space="0"/>
                    <w:bottom w:val="single" w:color="auto" w:sz="12" w:space="0"/>
                    <w:right w:val="nil"/>
                    <w:tl2br w:val="nil"/>
                    <w:tr2bl w:val="nil"/>
                  </w:tcBorders>
                  <w:vAlign w:val="center"/>
                </w:tcPr>
                <w:p w14:paraId="31F4A1E0">
                  <w:pPr>
                    <w:pStyle w:val="40"/>
                    <w:rPr>
                      <w:color w:val="auto"/>
                      <w:sz w:val="21"/>
                      <w:szCs w:val="21"/>
                    </w:rPr>
                  </w:pPr>
                </w:p>
              </w:tc>
            </w:tr>
            <w:tr w14:paraId="50FD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9" w:type="pct"/>
                  <w:vMerge w:val="continue"/>
                  <w:tcBorders>
                    <w:top w:val="nil"/>
                    <w:left w:val="nil"/>
                    <w:bottom w:val="single" w:color="auto" w:sz="12" w:space="0"/>
                  </w:tcBorders>
                  <w:vAlign w:val="center"/>
                </w:tcPr>
                <w:p w14:paraId="52C60C03">
                  <w:pPr>
                    <w:pStyle w:val="40"/>
                    <w:rPr>
                      <w:color w:val="auto"/>
                      <w:sz w:val="21"/>
                      <w:szCs w:val="21"/>
                    </w:rPr>
                  </w:pPr>
                </w:p>
              </w:tc>
              <w:tc>
                <w:tcPr>
                  <w:tcW w:w="2131" w:type="pct"/>
                  <w:tcBorders>
                    <w:top w:val="single" w:color="auto" w:sz="4" w:space="0"/>
                    <w:bottom w:val="single" w:color="auto" w:sz="12" w:space="0"/>
                  </w:tcBorders>
                  <w:vAlign w:val="center"/>
                </w:tcPr>
                <w:p w14:paraId="12C7B538">
                  <w:pPr>
                    <w:pStyle w:val="40"/>
                    <w:rPr>
                      <w:color w:val="auto"/>
                      <w:sz w:val="21"/>
                      <w:szCs w:val="21"/>
                    </w:rPr>
                  </w:pPr>
                  <w:r>
                    <w:rPr>
                      <w:rFonts w:hint="eastAsia"/>
                      <w:color w:val="auto"/>
                      <w:sz w:val="21"/>
                      <w:szCs w:val="21"/>
                    </w:rPr>
                    <w:t>智能化测量及自动控制装备制造业</w:t>
                  </w:r>
                </w:p>
              </w:tc>
              <w:tc>
                <w:tcPr>
                  <w:tcW w:w="1768" w:type="pct"/>
                  <w:vMerge w:val="continue"/>
                  <w:tcBorders>
                    <w:top w:val="single" w:color="auto" w:sz="12" w:space="0"/>
                    <w:bottom w:val="single" w:color="auto" w:sz="12" w:space="0"/>
                    <w:right w:val="nil"/>
                    <w:tl2br w:val="nil"/>
                    <w:tr2bl w:val="nil"/>
                  </w:tcBorders>
                  <w:vAlign w:val="center"/>
                </w:tcPr>
                <w:p w14:paraId="127FEEED">
                  <w:pPr>
                    <w:pStyle w:val="40"/>
                    <w:rPr>
                      <w:color w:val="auto"/>
                      <w:sz w:val="21"/>
                      <w:szCs w:val="21"/>
                    </w:rPr>
                  </w:pPr>
                </w:p>
              </w:tc>
            </w:tr>
          </w:tbl>
          <w:p w14:paraId="311AD981">
            <w:pPr>
              <w:keepNext/>
              <w:keepLines/>
              <w:overflowPunct w:val="0"/>
              <w:snapToGrid w:val="0"/>
              <w:ind w:firstLine="480" w:firstLineChars="200"/>
              <w:rPr>
                <w:color w:val="auto"/>
                <w:szCs w:val="28"/>
                <w:highlight w:val="none"/>
              </w:rPr>
            </w:pPr>
            <w:r>
              <w:rPr>
                <w:rFonts w:hint="eastAsia"/>
                <w:color w:val="auto"/>
                <w:szCs w:val="28"/>
              </w:rPr>
              <w:t>项目主要从</w:t>
            </w:r>
            <w:r>
              <w:rPr>
                <w:rFonts w:hint="eastAsia"/>
                <w:bCs/>
                <w:color w:val="auto"/>
              </w:rPr>
              <w:t>事LED发光字、标识标牌生产，</w:t>
            </w:r>
            <w:r>
              <w:rPr>
                <w:rFonts w:hint="eastAsia"/>
                <w:color w:val="auto"/>
                <w:szCs w:val="28"/>
              </w:rPr>
              <w:t>不属于福州市生物医药和机电产业园不推荐产业，同时项目生产工序过程中不产生酸性气体，且</w:t>
            </w:r>
            <w:r>
              <w:rPr>
                <w:rFonts w:hint="eastAsia"/>
                <w:color w:val="auto"/>
                <w:szCs w:val="28"/>
                <w:highlight w:val="none"/>
              </w:rPr>
              <w:t>不涉及电镀工艺，</w:t>
            </w:r>
            <w:r>
              <w:rPr>
                <w:rFonts w:hint="eastAsia"/>
                <w:color w:val="auto"/>
                <w:szCs w:val="28"/>
                <w:highlight w:val="none"/>
                <w:lang w:val="en-US" w:eastAsia="zh-CN"/>
              </w:rPr>
              <w:t>符合</w:t>
            </w:r>
            <w:r>
              <w:rPr>
                <w:rFonts w:hint="eastAsia"/>
                <w:color w:val="auto"/>
                <w:szCs w:val="28"/>
                <w:highlight w:val="none"/>
              </w:rPr>
              <w:t>园区规划要求。</w:t>
            </w:r>
          </w:p>
          <w:p w14:paraId="6E16F384">
            <w:pPr>
              <w:pStyle w:val="3"/>
              <w:spacing w:before="0" w:after="0"/>
              <w:rPr>
                <w:color w:val="auto"/>
                <w:highlight w:val="none"/>
              </w:rPr>
            </w:pPr>
            <w:r>
              <w:rPr>
                <w:rFonts w:hint="eastAsia"/>
                <w:color w:val="auto"/>
                <w:highlight w:val="none"/>
              </w:rPr>
              <w:t>1.3与《福州市生物医药和机电产业园规划环境影响跟踪评价报告书》符合性分析</w:t>
            </w:r>
          </w:p>
          <w:p w14:paraId="0188FE00">
            <w:pPr>
              <w:pStyle w:val="5"/>
              <w:ind w:firstLine="480"/>
              <w:rPr>
                <w:color w:val="auto"/>
                <w:highlight w:val="none"/>
              </w:rPr>
            </w:pPr>
            <w:r>
              <w:rPr>
                <w:rFonts w:hint="eastAsia"/>
                <w:color w:val="auto"/>
                <w:highlight w:val="none"/>
              </w:rPr>
              <w:t>根据《福州市生物医药和机电产业园规划环境影响跟踪评价报告书》，项目所在位置位于福州市生物医药和机电产业园规划空间范围内。</w:t>
            </w:r>
          </w:p>
          <w:p w14:paraId="7F8500F7">
            <w:pPr>
              <w:pStyle w:val="5"/>
              <w:ind w:firstLine="480"/>
              <w:rPr>
                <w:color w:val="auto"/>
              </w:rPr>
            </w:pPr>
            <w:r>
              <w:rPr>
                <w:rFonts w:hint="eastAsia"/>
                <w:color w:val="auto"/>
              </w:rPr>
              <w:t>（1）</w:t>
            </w:r>
            <w:r>
              <w:rPr>
                <w:color w:val="auto"/>
              </w:rPr>
              <w:t>产业定位</w:t>
            </w:r>
          </w:p>
          <w:p w14:paraId="2C830210">
            <w:pPr>
              <w:pStyle w:val="5"/>
              <w:ind w:firstLine="480"/>
              <w:rPr>
                <w:color w:val="auto"/>
              </w:rPr>
            </w:pPr>
            <w:r>
              <w:rPr>
                <w:color w:val="auto"/>
              </w:rPr>
              <w:t>以发展一类、二类工业为主，光电子信息、机械、生物医药技术为园区的主导产业。</w:t>
            </w:r>
          </w:p>
          <w:p w14:paraId="38F2E845">
            <w:pPr>
              <w:pStyle w:val="5"/>
              <w:ind w:firstLine="480"/>
              <w:rPr>
                <w:color w:val="auto"/>
              </w:rPr>
            </w:pPr>
            <w:r>
              <w:rPr>
                <w:rFonts w:hint="eastAsia"/>
                <w:color w:val="auto"/>
              </w:rPr>
              <w:t>（2）</w:t>
            </w:r>
            <w:r>
              <w:rPr>
                <w:color w:val="auto"/>
              </w:rPr>
              <w:t>产业布局</w:t>
            </w:r>
          </w:p>
          <w:p w14:paraId="59C56B58">
            <w:pPr>
              <w:pStyle w:val="5"/>
              <w:ind w:firstLine="480"/>
              <w:rPr>
                <w:color w:val="auto"/>
              </w:rPr>
            </w:pPr>
            <w:r>
              <w:rPr>
                <w:color w:val="auto"/>
              </w:rPr>
              <w:t>生物医药园主导产业为医药研发、中试、药剂制造、医疗器械制作等产业类型；包括基因工程药物、疫苗、诊断试剂、生物医药分析仪器、高端医药器械研发。机电产业园主导产业为科研型光电、通信产业、智能型机械制造产业等产业类型，包括光电产业（液晶、发光二极管显示屏、光电器件、激光产业、光学产业）；通信产业</w:t>
            </w:r>
            <w:r>
              <w:rPr>
                <w:rFonts w:hint="eastAsia"/>
                <w:color w:val="auto"/>
              </w:rPr>
              <w:t>（</w:t>
            </w:r>
            <w:r>
              <w:rPr>
                <w:color w:val="auto"/>
              </w:rPr>
              <w:t>集成电路产业\计算机及外围设备\数字电子设备</w:t>
            </w:r>
            <w:r>
              <w:rPr>
                <w:rFonts w:hint="eastAsia"/>
                <w:color w:val="auto"/>
              </w:rPr>
              <w:t>）；</w:t>
            </w:r>
            <w:r>
              <w:rPr>
                <w:color w:val="auto"/>
              </w:rPr>
              <w:t>智能型机械制造产业</w:t>
            </w:r>
            <w:r>
              <w:rPr>
                <w:rFonts w:hint="eastAsia"/>
                <w:color w:val="auto"/>
              </w:rPr>
              <w:t>（</w:t>
            </w:r>
            <w:r>
              <w:rPr>
                <w:color w:val="auto"/>
              </w:rPr>
              <w:t>智能电网成套设备及配套产业制造\智能化仪表仪器制造\数控机床产业\工程机械、轨道交通运输装备\港口机械、环保及清洁能源装备\汽车和船舶零部件\智能化测量及自动控制装备制造业</w:t>
            </w:r>
            <w:r>
              <w:rPr>
                <w:rFonts w:hint="eastAsia"/>
                <w:color w:val="auto"/>
              </w:rPr>
              <w:t>）。</w:t>
            </w:r>
          </w:p>
          <w:p w14:paraId="05B3E55D">
            <w:pPr>
              <w:pStyle w:val="5"/>
              <w:ind w:firstLine="480"/>
              <w:rPr>
                <w:color w:val="auto"/>
              </w:rPr>
            </w:pPr>
            <w:r>
              <w:rPr>
                <w:rFonts w:hint="eastAsia"/>
                <w:color w:val="auto"/>
                <w:szCs w:val="28"/>
              </w:rPr>
              <w:t>本项目主要从</w:t>
            </w:r>
            <w:r>
              <w:rPr>
                <w:rFonts w:hint="eastAsia"/>
                <w:bCs/>
                <w:color w:val="auto"/>
              </w:rPr>
              <w:t>事LED发光字、标识标牌生产，项目在采取合理的大气污染控制措施后对大气环境影响较小。因为项目与</w:t>
            </w:r>
            <w:r>
              <w:rPr>
                <w:rFonts w:hint="eastAsia"/>
                <w:color w:val="auto"/>
              </w:rPr>
              <w:t>跟踪评价报告书规划要求不相冲突。</w:t>
            </w:r>
          </w:p>
          <w:p w14:paraId="6172E4D1">
            <w:pPr>
              <w:pStyle w:val="3"/>
              <w:tabs>
                <w:tab w:val="left" w:pos="0"/>
              </w:tabs>
              <w:overflowPunct/>
              <w:snapToGrid/>
              <w:spacing w:before="0" w:after="0"/>
              <w:rPr>
                <w:color w:val="auto"/>
                <w:szCs w:val="28"/>
              </w:rPr>
            </w:pPr>
            <w:r>
              <w:rPr>
                <w:rFonts w:hint="eastAsia"/>
                <w:color w:val="auto"/>
                <w:szCs w:val="28"/>
              </w:rPr>
              <w:t>1.4与《</w:t>
            </w:r>
            <w:r>
              <w:rPr>
                <w:rFonts w:hint="eastAsia"/>
                <w:color w:val="auto"/>
              </w:rPr>
              <w:t>福州高新区国土空间总体规划（2021—2035年）</w:t>
            </w:r>
            <w:r>
              <w:rPr>
                <w:rFonts w:hint="eastAsia"/>
                <w:color w:val="auto"/>
                <w:szCs w:val="28"/>
              </w:rPr>
              <w:t>》，</w:t>
            </w:r>
            <w:r>
              <w:rPr>
                <w:rFonts w:hint="eastAsia"/>
                <w:color w:val="auto"/>
                <w:szCs w:val="28"/>
                <w:lang w:eastAsia="zh-CN"/>
              </w:rPr>
              <w:t>“</w:t>
            </w:r>
            <w:r>
              <w:rPr>
                <w:rFonts w:hint="eastAsia"/>
                <w:color w:val="auto"/>
                <w:szCs w:val="28"/>
              </w:rPr>
              <w:t>三区三线</w:t>
            </w:r>
            <w:r>
              <w:rPr>
                <w:rFonts w:hint="eastAsia"/>
                <w:color w:val="auto"/>
                <w:szCs w:val="28"/>
                <w:lang w:eastAsia="zh-CN"/>
              </w:rPr>
              <w:t>”</w:t>
            </w:r>
            <w:r>
              <w:rPr>
                <w:rFonts w:hint="eastAsia"/>
                <w:color w:val="auto"/>
                <w:szCs w:val="28"/>
              </w:rPr>
              <w:t>符合性分析</w:t>
            </w:r>
          </w:p>
          <w:p w14:paraId="0FC1236F">
            <w:pPr>
              <w:ind w:firstLine="480" w:firstLineChars="200"/>
              <w:rPr>
                <w:color w:val="auto"/>
              </w:rPr>
            </w:pPr>
            <w:r>
              <w:rPr>
                <w:rFonts w:hint="eastAsia"/>
                <w:color w:val="auto"/>
              </w:rPr>
              <w:t>《福州高新区国土空间总体规划（2021—2035年）》提出以</w:t>
            </w:r>
            <w:r>
              <w:rPr>
                <w:rFonts w:hint="eastAsia"/>
                <w:color w:val="auto"/>
                <w:lang w:eastAsia="zh-CN"/>
              </w:rPr>
              <w:t>“</w:t>
            </w:r>
            <w:r>
              <w:rPr>
                <w:rFonts w:hint="eastAsia"/>
                <w:color w:val="auto"/>
              </w:rPr>
              <w:t>山海廊道联通和流域治理</w:t>
            </w:r>
            <w:r>
              <w:rPr>
                <w:rFonts w:hint="eastAsia"/>
                <w:color w:val="auto"/>
                <w:lang w:eastAsia="zh-CN"/>
              </w:rPr>
              <w:t>”</w:t>
            </w:r>
            <w:r>
              <w:rPr>
                <w:rFonts w:hint="eastAsia"/>
                <w:color w:val="auto"/>
              </w:rPr>
              <w:t>筑牢生态本底，以</w:t>
            </w:r>
            <w:r>
              <w:rPr>
                <w:rFonts w:hint="eastAsia"/>
                <w:color w:val="auto"/>
                <w:lang w:eastAsia="zh-CN"/>
              </w:rPr>
              <w:t>“</w:t>
            </w:r>
            <w:r>
              <w:rPr>
                <w:rFonts w:hint="eastAsia"/>
                <w:color w:val="auto"/>
              </w:rPr>
              <w:t>多向开放和创新转化</w:t>
            </w:r>
            <w:r>
              <w:rPr>
                <w:rFonts w:hint="eastAsia"/>
                <w:color w:val="auto"/>
                <w:lang w:eastAsia="zh-CN"/>
              </w:rPr>
              <w:t>”</w:t>
            </w:r>
            <w:r>
              <w:rPr>
                <w:rFonts w:hint="eastAsia"/>
                <w:color w:val="auto"/>
              </w:rPr>
              <w:t>增强中心城市功能，以</w:t>
            </w:r>
            <w:r>
              <w:rPr>
                <w:rFonts w:hint="eastAsia"/>
                <w:color w:val="auto"/>
                <w:lang w:eastAsia="zh-CN"/>
              </w:rPr>
              <w:t>“</w:t>
            </w:r>
            <w:r>
              <w:rPr>
                <w:rFonts w:hint="eastAsia"/>
                <w:color w:val="auto"/>
              </w:rPr>
              <w:t>陆海联动与福州主城区-福州新区-平潭综合实验区协同</w:t>
            </w:r>
            <w:r>
              <w:rPr>
                <w:rFonts w:hint="eastAsia"/>
                <w:color w:val="auto"/>
                <w:lang w:eastAsia="zh-CN"/>
              </w:rPr>
              <w:t>”</w:t>
            </w:r>
            <w:r>
              <w:rPr>
                <w:rFonts w:hint="eastAsia"/>
                <w:color w:val="auto"/>
              </w:rPr>
              <w:t>优化空间格局，以</w:t>
            </w:r>
            <w:r>
              <w:rPr>
                <w:rFonts w:hint="eastAsia"/>
                <w:color w:val="auto"/>
                <w:lang w:eastAsia="zh-CN"/>
              </w:rPr>
              <w:t>“</w:t>
            </w:r>
            <w:r>
              <w:rPr>
                <w:rFonts w:hint="eastAsia"/>
                <w:color w:val="auto"/>
              </w:rPr>
              <w:t>文化彰显与宜居品质建设</w:t>
            </w:r>
            <w:r>
              <w:rPr>
                <w:rFonts w:hint="eastAsia"/>
                <w:color w:val="auto"/>
                <w:lang w:eastAsia="zh-CN"/>
              </w:rPr>
              <w:t>”</w:t>
            </w:r>
            <w:r>
              <w:rPr>
                <w:rFonts w:hint="eastAsia"/>
                <w:color w:val="auto"/>
              </w:rPr>
              <w:t>提升城市吸引力，构建全域开发保护新框架。</w:t>
            </w:r>
          </w:p>
          <w:p w14:paraId="7F791650">
            <w:pPr>
              <w:ind w:firstLine="480" w:firstLineChars="200"/>
              <w:rPr>
                <w:color w:val="auto"/>
                <w:szCs w:val="28"/>
              </w:rPr>
            </w:pPr>
            <w:r>
              <w:rPr>
                <w:rFonts w:hint="eastAsia"/>
                <w:color w:val="auto"/>
              </w:rPr>
              <w:t>根据福州市域国土空间控制线规划图</w:t>
            </w:r>
            <w:r>
              <w:rPr>
                <w:rFonts w:hint="eastAsia"/>
                <w:color w:val="auto"/>
                <w:highlight w:val="none"/>
              </w:rPr>
              <w:t>，</w:t>
            </w:r>
            <w:r>
              <w:rPr>
                <w:color w:val="auto"/>
                <w:szCs w:val="20"/>
                <w:highlight w:val="none"/>
              </w:rPr>
              <w:t>项目</w:t>
            </w:r>
            <w:r>
              <w:rPr>
                <w:rFonts w:hint="eastAsia"/>
                <w:color w:val="auto"/>
                <w:szCs w:val="20"/>
                <w:highlight w:val="none"/>
              </w:rPr>
              <w:t>所在位置属于城镇开发边界，</w:t>
            </w:r>
            <w:r>
              <w:rPr>
                <w:rFonts w:hint="eastAsia"/>
                <w:color w:val="auto"/>
                <w:highlight w:val="none"/>
              </w:rPr>
              <w:t>不属于陆域生态保护红线，不属于海洋生态保护红线。项目</w:t>
            </w:r>
            <w:r>
              <w:rPr>
                <w:color w:val="auto"/>
                <w:szCs w:val="20"/>
                <w:highlight w:val="none"/>
              </w:rPr>
              <w:t>用地范围内不占用</w:t>
            </w:r>
            <w:r>
              <w:rPr>
                <w:rFonts w:hint="eastAsia"/>
                <w:color w:val="auto"/>
                <w:szCs w:val="20"/>
                <w:highlight w:val="none"/>
                <w:lang w:eastAsia="zh-CN"/>
              </w:rPr>
              <w:t>“</w:t>
            </w:r>
            <w:r>
              <w:rPr>
                <w:color w:val="auto"/>
                <w:szCs w:val="20"/>
                <w:highlight w:val="none"/>
              </w:rPr>
              <w:t>三区三线</w:t>
            </w:r>
            <w:r>
              <w:rPr>
                <w:rFonts w:hint="eastAsia"/>
                <w:color w:val="auto"/>
                <w:szCs w:val="20"/>
                <w:highlight w:val="none"/>
                <w:lang w:eastAsia="zh-CN"/>
              </w:rPr>
              <w:t>”</w:t>
            </w:r>
            <w:r>
              <w:rPr>
                <w:color w:val="auto"/>
                <w:szCs w:val="20"/>
              </w:rPr>
              <w:t>规划的永久基本农田，对基本农田的保有率无影响，不占用</w:t>
            </w:r>
            <w:r>
              <w:rPr>
                <w:rFonts w:hint="eastAsia"/>
                <w:color w:val="auto"/>
                <w:szCs w:val="20"/>
                <w:lang w:eastAsia="zh-CN"/>
              </w:rPr>
              <w:t>“</w:t>
            </w:r>
            <w:r>
              <w:rPr>
                <w:color w:val="auto"/>
                <w:szCs w:val="20"/>
              </w:rPr>
              <w:t>三区三线</w:t>
            </w:r>
            <w:r>
              <w:rPr>
                <w:rFonts w:hint="eastAsia"/>
                <w:color w:val="auto"/>
                <w:szCs w:val="20"/>
                <w:lang w:eastAsia="zh-CN"/>
              </w:rPr>
              <w:t>”</w:t>
            </w:r>
            <w:r>
              <w:rPr>
                <w:color w:val="auto"/>
                <w:szCs w:val="20"/>
              </w:rPr>
              <w:t>成果划定的生态保护红线区，用地属于工业用地，能够符合城镇集中建设区的功能定位。项目与</w:t>
            </w:r>
            <w:r>
              <w:rPr>
                <w:rFonts w:hint="eastAsia"/>
                <w:color w:val="auto"/>
                <w:szCs w:val="20"/>
                <w:lang w:eastAsia="zh-CN"/>
              </w:rPr>
              <w:t>“</w:t>
            </w:r>
            <w:r>
              <w:rPr>
                <w:color w:val="auto"/>
                <w:szCs w:val="20"/>
              </w:rPr>
              <w:t>三区三线</w:t>
            </w:r>
            <w:r>
              <w:rPr>
                <w:rFonts w:hint="eastAsia"/>
                <w:color w:val="auto"/>
                <w:szCs w:val="20"/>
                <w:lang w:eastAsia="zh-CN"/>
              </w:rPr>
              <w:t>”</w:t>
            </w:r>
            <w:r>
              <w:rPr>
                <w:color w:val="auto"/>
                <w:szCs w:val="20"/>
              </w:rPr>
              <w:t>的要求不冲突</w:t>
            </w:r>
            <w:r>
              <w:rPr>
                <w:rFonts w:hint="eastAsia"/>
                <w:color w:val="auto"/>
                <w:szCs w:val="20"/>
              </w:rPr>
              <w:t>，</w:t>
            </w:r>
            <w:r>
              <w:rPr>
                <w:color w:val="auto"/>
                <w:szCs w:val="20"/>
              </w:rPr>
              <w:t>因此，项目符合国土空间规划。</w:t>
            </w:r>
          </w:p>
        </w:tc>
      </w:tr>
      <w:tr w14:paraId="33BF3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5" w:type="dxa"/>
            <w:vAlign w:val="center"/>
          </w:tcPr>
          <w:p w14:paraId="0D347B06">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rPr>
              <w:t>其他符合性分析</w:t>
            </w:r>
          </w:p>
        </w:tc>
        <w:tc>
          <w:tcPr>
            <w:tcW w:w="6875" w:type="dxa"/>
            <w:gridSpan w:val="3"/>
            <w:vAlign w:val="center"/>
          </w:tcPr>
          <w:p w14:paraId="31604D3A">
            <w:pPr>
              <w:pStyle w:val="3"/>
              <w:spacing w:before="0" w:after="0"/>
              <w:rPr>
                <w:color w:val="auto"/>
              </w:rPr>
            </w:pPr>
            <w:r>
              <w:rPr>
                <w:rFonts w:hint="eastAsia"/>
                <w:color w:val="auto"/>
              </w:rPr>
              <w:t>1.5产业政策符合性分析</w:t>
            </w:r>
          </w:p>
          <w:p w14:paraId="567F7ED0">
            <w:pPr>
              <w:pStyle w:val="5"/>
              <w:ind w:firstLine="480"/>
              <w:rPr>
                <w:color w:val="auto"/>
              </w:rPr>
            </w:pPr>
            <w:r>
              <w:rPr>
                <w:color w:val="auto"/>
              </w:rPr>
              <w:t>项目为《国民经济分类及行业代码》（GB/T4754-2017）中</w:t>
            </w:r>
            <w:r>
              <w:rPr>
                <w:rFonts w:hint="eastAsia"/>
                <w:color w:val="auto"/>
                <w:lang w:eastAsia="zh-CN"/>
              </w:rPr>
              <w:t>“</w:t>
            </w:r>
            <w:r>
              <w:rPr>
                <w:color w:val="auto"/>
              </w:rPr>
              <w:t>交通及公共管理用金属标牌制造（C3394）、其他未列明金属制品制造（C3399）、塑料零件及其他塑料制品制造（C2929）</w:t>
            </w:r>
            <w:r>
              <w:rPr>
                <w:rFonts w:hint="eastAsia"/>
                <w:color w:val="auto"/>
                <w:lang w:eastAsia="zh-CN"/>
              </w:rPr>
              <w:t>”</w:t>
            </w:r>
            <w:r>
              <w:rPr>
                <w:color w:val="auto"/>
              </w:rPr>
              <w:t>项目</w:t>
            </w:r>
            <w:r>
              <w:rPr>
                <w:rFonts w:hint="eastAsia"/>
                <w:color w:val="auto"/>
              </w:rPr>
              <w:t>。</w:t>
            </w:r>
            <w:r>
              <w:rPr>
                <w:color w:val="auto"/>
              </w:rPr>
              <w:t>根据《产业结构调整指导目录（2024年本）》，项目产品、生产工艺及设备均不属于产业政策中的限制和淘汰类，符合国家产业政策。</w:t>
            </w:r>
          </w:p>
          <w:p w14:paraId="7430DC1C">
            <w:pPr>
              <w:pStyle w:val="5"/>
              <w:ind w:firstLine="480"/>
              <w:rPr>
                <w:color w:val="auto"/>
              </w:rPr>
            </w:pPr>
            <w:r>
              <w:rPr>
                <w:color w:val="auto"/>
              </w:rPr>
              <w:t>项目已经取得福州高新区经济发展局的备案，备案号为</w:t>
            </w:r>
            <w:r>
              <w:rPr>
                <w:rFonts w:hint="eastAsia"/>
                <w:color w:val="auto"/>
              </w:rPr>
              <w:t>闽发改备[2025]A140107号（详见附件6）</w:t>
            </w:r>
            <w:r>
              <w:rPr>
                <w:color w:val="auto"/>
              </w:rPr>
              <w:t>，符合国家产业政策。</w:t>
            </w:r>
          </w:p>
          <w:p w14:paraId="11790341">
            <w:pPr>
              <w:pStyle w:val="3"/>
              <w:spacing w:before="0" w:after="0"/>
              <w:rPr>
                <w:color w:val="auto"/>
              </w:rPr>
            </w:pPr>
            <w:r>
              <w:rPr>
                <w:rFonts w:hint="eastAsia"/>
                <w:color w:val="auto"/>
              </w:rPr>
              <w:t>1.6项目用地规划符合性分析</w:t>
            </w:r>
          </w:p>
          <w:p w14:paraId="6A7E896F">
            <w:pPr>
              <w:pStyle w:val="5"/>
              <w:ind w:firstLine="480"/>
              <w:rPr>
                <w:color w:val="auto"/>
              </w:rPr>
            </w:pPr>
            <w:r>
              <w:rPr>
                <w:rFonts w:hint="eastAsia"/>
                <w:color w:val="auto"/>
              </w:rPr>
              <w:t>项目位于福建省闽侯县南屿镇智慧大道20号保利通信福州高新科技产业园13号楼，</w:t>
            </w:r>
            <w:r>
              <w:rPr>
                <w:rFonts w:hint="eastAsia"/>
                <w:color w:val="auto"/>
                <w:szCs w:val="28"/>
              </w:rPr>
              <w:t>主要从</w:t>
            </w:r>
            <w:r>
              <w:rPr>
                <w:rFonts w:hint="eastAsia"/>
                <w:bCs/>
                <w:color w:val="auto"/>
              </w:rPr>
              <w:t>事LED发光字、标识标牌生产，为工业企业，</w:t>
            </w:r>
            <w:r>
              <w:rPr>
                <w:rFonts w:cs="Times New Roman"/>
                <w:bCs/>
                <w:color w:val="auto"/>
                <w:szCs w:val="32"/>
              </w:rPr>
              <w:t>检索《限制用地项目目录》（2012年本）和《禁止用地项目目录》（2012年本），不属于以上目录中的项目。</w:t>
            </w:r>
            <w:r>
              <w:rPr>
                <w:rFonts w:hint="eastAsia" w:cs="Times New Roman"/>
                <w:color w:val="auto"/>
              </w:rPr>
              <w:t>根据业主提供不动产权证</w:t>
            </w:r>
            <w:r>
              <w:rPr>
                <w:rFonts w:hint="eastAsia"/>
                <w:color w:val="auto"/>
              </w:rPr>
              <w:t>（闽（2022）闽侯县（G）不动产权第0010618号，具体见附件4），</w:t>
            </w:r>
            <w:r>
              <w:rPr>
                <w:rFonts w:hint="eastAsia" w:cs="Times New Roman"/>
                <w:color w:val="auto"/>
              </w:rPr>
              <w:t>项目所在地属于</w:t>
            </w:r>
            <w:r>
              <w:rPr>
                <w:rFonts w:hint="eastAsia"/>
                <w:color w:val="auto"/>
              </w:rPr>
              <w:t>工矿仓储用地-工业用地。</w:t>
            </w:r>
            <w:r>
              <w:rPr>
                <w:rFonts w:hint="eastAsia" w:cs="Times New Roman"/>
                <w:color w:val="auto"/>
              </w:rPr>
              <w:t>在充分落实好各项环保措施的前提下，项目建设对周边环境影响不大，符合土地利用规划</w:t>
            </w:r>
            <w:r>
              <w:rPr>
                <w:rFonts w:hint="eastAsia"/>
                <w:color w:val="auto"/>
              </w:rPr>
              <w:t>。</w:t>
            </w:r>
          </w:p>
          <w:p w14:paraId="136B69B4">
            <w:pPr>
              <w:pStyle w:val="3"/>
              <w:spacing w:before="0" w:after="0"/>
              <w:rPr>
                <w:color w:val="auto"/>
              </w:rPr>
            </w:pPr>
            <w:r>
              <w:rPr>
                <w:rFonts w:hint="eastAsia"/>
                <w:color w:val="auto"/>
              </w:rPr>
              <w:t>1.7环境功能区划符合性分析</w:t>
            </w:r>
          </w:p>
          <w:p w14:paraId="1AC2D3F8">
            <w:pPr>
              <w:pStyle w:val="45"/>
              <w:ind w:firstLine="480"/>
              <w:rPr>
                <w:rFonts w:cs="Times New Roman"/>
                <w:color w:val="auto"/>
              </w:rPr>
            </w:pPr>
            <w:r>
              <w:rPr>
                <w:rFonts w:hint="eastAsia" w:cs="Times New Roman"/>
                <w:color w:val="auto"/>
              </w:rPr>
              <w:t>（1）废气</w:t>
            </w:r>
          </w:p>
          <w:p w14:paraId="3F4A7FB3">
            <w:pPr>
              <w:pStyle w:val="45"/>
              <w:ind w:firstLine="480"/>
              <w:rPr>
                <w:rFonts w:cs="Times New Roman"/>
                <w:color w:val="auto"/>
              </w:rPr>
            </w:pPr>
            <w:r>
              <w:rPr>
                <w:rFonts w:cs="Times New Roman"/>
                <w:color w:val="auto"/>
              </w:rPr>
              <w:t>项目运营期环境空气污染排放源强很低，对周围环境空气不会产生显著影响，符合《环境空气质量标准》</w:t>
            </w:r>
            <w:r>
              <w:rPr>
                <w:rFonts w:hint="eastAsia"/>
                <w:color w:val="auto"/>
              </w:rPr>
              <w:t>（</w:t>
            </w:r>
            <w:r>
              <w:rPr>
                <w:rFonts w:cs="Times New Roman"/>
                <w:color w:val="auto"/>
              </w:rPr>
              <w:t>GB3095-2012</w:t>
            </w:r>
            <w:r>
              <w:rPr>
                <w:rFonts w:hint="eastAsia"/>
                <w:color w:val="auto"/>
              </w:rPr>
              <w:t>）</w:t>
            </w:r>
            <w:r>
              <w:rPr>
                <w:rFonts w:cs="Times New Roman"/>
                <w:color w:val="auto"/>
              </w:rPr>
              <w:t>及其修改单中二级标准</w:t>
            </w:r>
            <w:r>
              <w:rPr>
                <w:rFonts w:hint="eastAsia" w:cs="Times New Roman"/>
                <w:color w:val="auto"/>
              </w:rPr>
              <w:t>的要求。</w:t>
            </w:r>
          </w:p>
          <w:p w14:paraId="2811CF1E">
            <w:pPr>
              <w:pStyle w:val="45"/>
              <w:ind w:firstLine="480"/>
              <w:rPr>
                <w:rFonts w:cs="Times New Roman"/>
                <w:color w:val="auto"/>
              </w:rPr>
            </w:pPr>
            <w:r>
              <w:rPr>
                <w:rFonts w:hint="eastAsia" w:cs="Times New Roman"/>
                <w:color w:val="auto"/>
              </w:rPr>
              <w:t>（2）废水</w:t>
            </w:r>
          </w:p>
          <w:p w14:paraId="4E438A9D">
            <w:pPr>
              <w:pStyle w:val="45"/>
              <w:ind w:firstLine="480"/>
              <w:rPr>
                <w:rFonts w:cs="Times New Roman"/>
                <w:color w:val="auto"/>
              </w:rPr>
            </w:pPr>
            <w:r>
              <w:rPr>
                <w:rFonts w:hint="eastAsia"/>
                <w:color w:val="auto"/>
                <w:kern w:val="2"/>
                <w:szCs w:val="24"/>
              </w:rPr>
              <w:t>项目</w:t>
            </w:r>
            <w:r>
              <w:rPr>
                <w:rFonts w:cs="Times New Roman"/>
                <w:color w:val="auto"/>
              </w:rPr>
              <w:t>职工生活污水</w:t>
            </w:r>
            <w:r>
              <w:rPr>
                <w:rFonts w:hint="eastAsia" w:cs="Times New Roman"/>
                <w:color w:val="auto"/>
              </w:rPr>
              <w:t>经化粪池预处理达标后接入市政污水管网，由</w:t>
            </w:r>
            <w:r>
              <w:rPr>
                <w:rFonts w:hint="eastAsia" w:cs="Times New Roman"/>
                <w:color w:val="auto"/>
                <w:szCs w:val="20"/>
              </w:rPr>
              <w:t>大学城污水处理厂集中</w:t>
            </w:r>
            <w:r>
              <w:rPr>
                <w:rFonts w:hint="eastAsia" w:cs="Times New Roman"/>
                <w:color w:val="auto"/>
              </w:rPr>
              <w:t>处理。因此，项目污水对周边水体环境造成影响较小。</w:t>
            </w:r>
          </w:p>
          <w:p w14:paraId="10298546">
            <w:pPr>
              <w:pStyle w:val="45"/>
              <w:ind w:firstLine="480"/>
              <w:rPr>
                <w:rFonts w:cs="Times New Roman"/>
                <w:color w:val="auto"/>
              </w:rPr>
            </w:pPr>
            <w:r>
              <w:rPr>
                <w:rFonts w:hint="eastAsia" w:cs="Times New Roman"/>
                <w:color w:val="auto"/>
              </w:rPr>
              <w:t>（3）噪声</w:t>
            </w:r>
          </w:p>
          <w:p w14:paraId="23EA98E9">
            <w:pPr>
              <w:pStyle w:val="45"/>
              <w:ind w:firstLine="480"/>
              <w:rPr>
                <w:rFonts w:cs="Times New Roman"/>
                <w:color w:val="auto"/>
              </w:rPr>
            </w:pPr>
            <w:r>
              <w:rPr>
                <w:rFonts w:cs="Times New Roman"/>
                <w:color w:val="auto"/>
              </w:rPr>
              <w:t>项目在采取一定的噪声污染防治措施后，项目产生的噪声不会对周围环境产生显著影响，项目所在区域的环境</w:t>
            </w:r>
            <w:r>
              <w:rPr>
                <w:rFonts w:hint="eastAsia" w:cs="Times New Roman"/>
                <w:color w:val="auto"/>
              </w:rPr>
              <w:t>可满足《声环境质量标准》（</w:t>
            </w:r>
            <w:r>
              <w:rPr>
                <w:rFonts w:cs="Times New Roman"/>
                <w:color w:val="auto"/>
              </w:rPr>
              <w:t>GB3096-2008</w:t>
            </w:r>
            <w:r>
              <w:rPr>
                <w:rFonts w:hint="eastAsia" w:cs="Times New Roman"/>
                <w:color w:val="auto"/>
              </w:rPr>
              <w:t>）的3类标准。</w:t>
            </w:r>
            <w:r>
              <w:rPr>
                <w:rFonts w:cs="Times New Roman"/>
                <w:color w:val="auto"/>
              </w:rPr>
              <w:t>因此，项目建设符合环境功能规划。</w:t>
            </w:r>
          </w:p>
          <w:p w14:paraId="79F8EB3F">
            <w:pPr>
              <w:pStyle w:val="3"/>
              <w:spacing w:before="0" w:after="0"/>
              <w:rPr>
                <w:color w:val="auto"/>
              </w:rPr>
            </w:pPr>
            <w:r>
              <w:rPr>
                <w:rFonts w:hint="eastAsia"/>
                <w:color w:val="auto"/>
              </w:rPr>
              <w:t>1.8项目与周边相容性符合性分析</w:t>
            </w:r>
          </w:p>
          <w:p w14:paraId="5D65D076">
            <w:pPr>
              <w:pStyle w:val="5"/>
              <w:ind w:firstLine="480"/>
              <w:rPr>
                <w:color w:val="auto"/>
                <w:kern w:val="0"/>
              </w:rPr>
            </w:pPr>
            <w:r>
              <w:rPr>
                <w:rFonts w:hint="eastAsia"/>
                <w:color w:val="auto"/>
              </w:rPr>
              <w:t>项目位于福建省闽侯县南屿镇智慧大道20号保利通信福州高新科技产业园13号楼，项目周边环境以工业用地为主，交通便利</w:t>
            </w:r>
            <w:r>
              <w:rPr>
                <w:rFonts w:hint="eastAsia"/>
                <w:color w:val="auto"/>
                <w:kern w:val="0"/>
              </w:rPr>
              <w:t>。</w:t>
            </w:r>
            <w:r>
              <w:rPr>
                <w:color w:val="auto"/>
              </w:rPr>
              <w:t>项目周边环境示意图详见附图</w:t>
            </w:r>
            <w:r>
              <w:rPr>
                <w:rFonts w:hint="eastAsia"/>
                <w:color w:val="auto"/>
              </w:rPr>
              <w:t>2</w:t>
            </w:r>
            <w:r>
              <w:rPr>
                <w:color w:val="auto"/>
              </w:rPr>
              <w:t>，项目周边环境现状拍摄图详见附图</w:t>
            </w:r>
            <w:r>
              <w:rPr>
                <w:rFonts w:hint="eastAsia"/>
                <w:color w:val="auto"/>
              </w:rPr>
              <w:t>3。</w:t>
            </w:r>
          </w:p>
          <w:p w14:paraId="25FB3362">
            <w:pPr>
              <w:pStyle w:val="5"/>
              <w:ind w:firstLine="480"/>
              <w:rPr>
                <w:color w:val="auto"/>
              </w:rPr>
            </w:pPr>
            <w:r>
              <w:rPr>
                <w:rFonts w:hint="eastAsia"/>
                <w:color w:val="auto"/>
              </w:rPr>
              <w:t>在采取综合有效的防治措施确保其产生的各项污染物指标均能达到所要求的排放标准，减小污染物排放量，减轻对周围环境的污染，运营过程中对周边敏感目标影响较小，建设单位在落实本报告提出的各项环保措施的基础上，对周围环境的影响则可以控制在允许范围内。因此项目与周边环境相容。</w:t>
            </w:r>
          </w:p>
          <w:p w14:paraId="30EEFB63">
            <w:pPr>
              <w:pStyle w:val="3"/>
              <w:spacing w:before="0" w:after="0"/>
              <w:rPr>
                <w:color w:val="auto"/>
              </w:rPr>
            </w:pPr>
            <w:r>
              <w:rPr>
                <w:rFonts w:hint="eastAsia"/>
                <w:color w:val="auto"/>
              </w:rPr>
              <w:t>1.9与福州市生态环境分区管控的要求符合性分析</w:t>
            </w:r>
          </w:p>
          <w:p w14:paraId="5B2ED510">
            <w:pPr>
              <w:autoSpaceDE w:val="0"/>
              <w:autoSpaceDN w:val="0"/>
              <w:adjustRightInd w:val="0"/>
              <w:snapToGrid w:val="0"/>
              <w:ind w:firstLine="480" w:firstLineChars="200"/>
              <w:rPr>
                <w:color w:val="auto"/>
                <w:kern w:val="0"/>
              </w:rPr>
            </w:pPr>
            <w:r>
              <w:rPr>
                <w:color w:val="auto"/>
                <w:kern w:val="0"/>
              </w:rPr>
              <w:t>根据</w:t>
            </w:r>
            <w:r>
              <w:rPr>
                <w:rFonts w:hint="eastAsia"/>
                <w:color w:val="auto"/>
                <w:kern w:val="0"/>
              </w:rPr>
              <w:t>《福州市人民政府办公厅关于印发〈福州市生态环境分区管控方案（2023年更新）〉的通知》（榕政办规〔2024〕20号）</w:t>
            </w:r>
            <w:r>
              <w:rPr>
                <w:rFonts w:ascii="宋体" w:hAnsi="宋体" w:cs="宋体"/>
                <w:color w:val="auto"/>
              </w:rPr>
              <w:t>相关内容，项目</w:t>
            </w:r>
            <w:r>
              <w:rPr>
                <w:rFonts w:hint="eastAsia" w:ascii="宋体" w:hAnsi="宋体" w:cs="宋体"/>
                <w:color w:val="auto"/>
              </w:rPr>
              <w:t>与福州市生态环境分区管控的要求符合性分析</w:t>
            </w:r>
            <w:r>
              <w:rPr>
                <w:rFonts w:ascii="宋体" w:hAnsi="宋体" w:cs="宋体"/>
                <w:color w:val="auto"/>
              </w:rPr>
              <w:t>如下：</w:t>
            </w:r>
          </w:p>
          <w:p w14:paraId="2EB0A752">
            <w:pPr>
              <w:autoSpaceDE w:val="0"/>
              <w:autoSpaceDN w:val="0"/>
              <w:adjustRightInd w:val="0"/>
              <w:snapToGrid w:val="0"/>
              <w:ind w:firstLine="482" w:firstLineChars="200"/>
              <w:jc w:val="left"/>
              <w:rPr>
                <w:b/>
                <w:bCs/>
                <w:color w:val="auto"/>
                <w:kern w:val="0"/>
              </w:rPr>
            </w:pPr>
            <w:r>
              <w:rPr>
                <w:rFonts w:hint="eastAsia"/>
                <w:b/>
                <w:bCs/>
                <w:color w:val="auto"/>
                <w:kern w:val="0"/>
              </w:rPr>
              <w:t>（1）与</w:t>
            </w:r>
            <w:r>
              <w:rPr>
                <w:b/>
                <w:bCs/>
                <w:color w:val="auto"/>
                <w:kern w:val="0"/>
              </w:rPr>
              <w:t>生态保护红线</w:t>
            </w:r>
            <w:r>
              <w:rPr>
                <w:rFonts w:hint="eastAsia"/>
                <w:b/>
                <w:bCs/>
                <w:color w:val="auto"/>
                <w:kern w:val="0"/>
              </w:rPr>
              <w:t>的符合性分析</w:t>
            </w:r>
          </w:p>
          <w:p w14:paraId="4A0FCCD4">
            <w:pPr>
              <w:autoSpaceDE w:val="0"/>
              <w:autoSpaceDN w:val="0"/>
              <w:adjustRightInd w:val="0"/>
              <w:snapToGrid w:val="0"/>
              <w:ind w:firstLine="480" w:firstLineChars="200"/>
              <w:rPr>
                <w:color w:val="auto"/>
              </w:rPr>
            </w:pPr>
            <w:r>
              <w:rPr>
                <w:color w:val="auto"/>
              </w:rPr>
              <w:t>完整利用福建省</w:t>
            </w:r>
            <w:r>
              <w:rPr>
                <w:rFonts w:hint="eastAsia"/>
                <w:color w:val="auto"/>
                <w:lang w:eastAsia="zh-CN"/>
              </w:rPr>
              <w:t>“</w:t>
            </w:r>
            <w:r>
              <w:rPr>
                <w:color w:val="auto"/>
              </w:rPr>
              <w:t>三区三线</w:t>
            </w:r>
            <w:r>
              <w:rPr>
                <w:rFonts w:hint="eastAsia"/>
                <w:color w:val="auto"/>
                <w:lang w:eastAsia="zh-CN"/>
              </w:rPr>
              <w:t>”</w:t>
            </w:r>
            <w:r>
              <w:rPr>
                <w:color w:val="auto"/>
              </w:rPr>
              <w:t>生态保护红线划定成果，福州市生态保护红线划定面积为5082.05平方千米，其中陆域面积为2410.32平方千米，海域面积为2671.73平方千米。生态保护红线最终面积以省政府发布结果为准。</w:t>
            </w:r>
          </w:p>
          <w:p w14:paraId="5B31CB43">
            <w:pPr>
              <w:autoSpaceDE w:val="0"/>
              <w:autoSpaceDN w:val="0"/>
              <w:adjustRightInd w:val="0"/>
              <w:snapToGrid w:val="0"/>
              <w:ind w:firstLine="480" w:firstLineChars="200"/>
              <w:rPr>
                <w:color w:val="auto"/>
                <w:kern w:val="0"/>
              </w:rPr>
            </w:pPr>
            <w:r>
              <w:rPr>
                <w:color w:val="auto"/>
                <w:kern w:val="0"/>
              </w:rPr>
              <w:t>项目</w:t>
            </w:r>
            <w:r>
              <w:rPr>
                <w:rFonts w:hint="eastAsia"/>
                <w:color w:val="auto"/>
                <w:kern w:val="0"/>
              </w:rPr>
              <w:t>位于</w:t>
            </w:r>
            <w:r>
              <w:rPr>
                <w:rFonts w:hint="eastAsia"/>
                <w:color w:val="auto"/>
                <w:szCs w:val="32"/>
              </w:rPr>
              <w:t>福建省闽侯县南屿镇智慧大道20号保利通信福州高新科技产业园13号楼</w:t>
            </w:r>
            <w:r>
              <w:rPr>
                <w:color w:val="auto"/>
                <w:kern w:val="0"/>
              </w:rPr>
              <w:t>，所在区域属于</w:t>
            </w:r>
            <w:r>
              <w:rPr>
                <w:rFonts w:hint="eastAsia"/>
                <w:color w:val="auto"/>
                <w:kern w:val="0"/>
              </w:rPr>
              <w:t>工业</w:t>
            </w:r>
            <w:r>
              <w:rPr>
                <w:color w:val="auto"/>
                <w:kern w:val="0"/>
              </w:rPr>
              <w:t>用地</w:t>
            </w:r>
            <w:r>
              <w:rPr>
                <w:rFonts w:hint="eastAsia"/>
                <w:color w:val="auto"/>
                <w:kern w:val="0"/>
              </w:rPr>
              <w:t>。</w:t>
            </w:r>
            <w:r>
              <w:rPr>
                <w:rFonts w:ascii="宋体" w:hAnsi="宋体" w:cs="宋体"/>
                <w:color w:val="auto"/>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w:t>
            </w:r>
            <w:r>
              <w:rPr>
                <w:color w:val="auto"/>
                <w:kern w:val="0"/>
              </w:rPr>
              <w:t>因此，项目建设符合生态保护红线控制要求。</w:t>
            </w:r>
          </w:p>
          <w:p w14:paraId="204FB8E9">
            <w:pPr>
              <w:autoSpaceDE w:val="0"/>
              <w:autoSpaceDN w:val="0"/>
              <w:adjustRightInd w:val="0"/>
              <w:snapToGrid w:val="0"/>
              <w:ind w:firstLine="482" w:firstLineChars="200"/>
              <w:rPr>
                <w:b/>
                <w:bCs/>
                <w:color w:val="auto"/>
                <w:kern w:val="0"/>
              </w:rPr>
            </w:pPr>
            <w:r>
              <w:rPr>
                <w:rFonts w:hint="eastAsia"/>
                <w:b/>
                <w:bCs/>
                <w:color w:val="auto"/>
                <w:kern w:val="0"/>
              </w:rPr>
              <w:t>（2）与</w:t>
            </w:r>
            <w:r>
              <w:rPr>
                <w:b/>
                <w:bCs/>
                <w:color w:val="auto"/>
                <w:kern w:val="0"/>
              </w:rPr>
              <w:t>环境质量底线</w:t>
            </w:r>
            <w:r>
              <w:rPr>
                <w:rFonts w:hint="eastAsia"/>
                <w:b/>
                <w:bCs/>
                <w:color w:val="auto"/>
                <w:kern w:val="0"/>
              </w:rPr>
              <w:t>的符合性分析</w:t>
            </w:r>
          </w:p>
          <w:p w14:paraId="2D7587E1">
            <w:pPr>
              <w:autoSpaceDE w:val="0"/>
              <w:autoSpaceDN w:val="0"/>
              <w:adjustRightInd w:val="0"/>
              <w:snapToGrid w:val="0"/>
              <w:ind w:firstLine="480" w:firstLineChars="200"/>
              <w:rPr>
                <w:color w:val="auto"/>
                <w:kern w:val="0"/>
              </w:rPr>
            </w:pPr>
            <w:r>
              <w:rPr>
                <w:rFonts w:hint="eastAsia" w:ascii="宋体" w:hAnsi="宋体" w:cs="宋体"/>
                <w:color w:val="auto"/>
                <w:kern w:val="0"/>
              </w:rPr>
              <w:t>①</w:t>
            </w:r>
            <w:r>
              <w:rPr>
                <w:color w:val="auto"/>
                <w:kern w:val="0"/>
              </w:rPr>
              <w:t>水环境质量底线</w:t>
            </w:r>
          </w:p>
          <w:p w14:paraId="10EA9649">
            <w:pPr>
              <w:autoSpaceDE w:val="0"/>
              <w:autoSpaceDN w:val="0"/>
              <w:adjustRightInd w:val="0"/>
              <w:snapToGrid w:val="0"/>
              <w:ind w:firstLine="480" w:firstLineChars="200"/>
              <w:rPr>
                <w:color w:val="auto"/>
              </w:rPr>
            </w:pPr>
            <w:r>
              <w:rPr>
                <w:color w:val="auto"/>
              </w:rPr>
              <w:t>水环境质量底线目标为：到2025年，国省控断面水质优良（达到或优于Ⅲ类）比例总体达927.78%；县级以上集中式饮用水水源水质达标率达100%。到2035年，国省控断面水质优良（达到或优于Ⅲ类）比例总体达到100%；生态系统实现良性循环。</w:t>
            </w:r>
          </w:p>
          <w:p w14:paraId="1294364E">
            <w:pPr>
              <w:autoSpaceDE w:val="0"/>
              <w:autoSpaceDN w:val="0"/>
              <w:adjustRightInd w:val="0"/>
              <w:snapToGrid w:val="0"/>
              <w:ind w:firstLine="480" w:firstLineChars="200"/>
              <w:rPr>
                <w:color w:val="auto"/>
                <w:kern w:val="0"/>
              </w:rPr>
            </w:pPr>
            <w:r>
              <w:rPr>
                <w:rFonts w:hint="eastAsia" w:cs="宋体"/>
                <w:color w:val="auto"/>
              </w:rPr>
              <w:t>项目</w:t>
            </w:r>
            <w:r>
              <w:rPr>
                <w:color w:val="auto"/>
              </w:rPr>
              <w:t>职工生活污水</w:t>
            </w:r>
            <w:r>
              <w:rPr>
                <w:rFonts w:hint="eastAsia"/>
                <w:color w:val="auto"/>
              </w:rPr>
              <w:t>经化粪池预处理达标后接入市政污水管网，由</w:t>
            </w:r>
            <w:r>
              <w:rPr>
                <w:rFonts w:hint="eastAsia"/>
                <w:color w:val="auto"/>
                <w:szCs w:val="20"/>
              </w:rPr>
              <w:t>大学城污水处理厂集中</w:t>
            </w:r>
            <w:r>
              <w:rPr>
                <w:rFonts w:hint="eastAsia"/>
                <w:color w:val="auto"/>
              </w:rPr>
              <w:t>处理。</w:t>
            </w:r>
            <w:r>
              <w:rPr>
                <w:rFonts w:ascii="宋体" w:hAnsi="宋体" w:cs="宋体"/>
                <w:color w:val="auto"/>
              </w:rPr>
              <w:t>因此，项目建设不会突破区域水环境质量底线。</w:t>
            </w:r>
          </w:p>
          <w:p w14:paraId="5AF40243">
            <w:pPr>
              <w:autoSpaceDE w:val="0"/>
              <w:autoSpaceDN w:val="0"/>
              <w:adjustRightInd w:val="0"/>
              <w:snapToGrid w:val="0"/>
              <w:ind w:firstLine="480" w:firstLineChars="200"/>
              <w:jc w:val="left"/>
              <w:rPr>
                <w:color w:val="auto"/>
                <w:kern w:val="0"/>
              </w:rPr>
            </w:pPr>
            <w:r>
              <w:rPr>
                <w:rFonts w:hint="eastAsia" w:ascii="宋体" w:hAnsi="宋体" w:cs="宋体"/>
                <w:color w:val="auto"/>
                <w:kern w:val="0"/>
              </w:rPr>
              <w:t>②</w:t>
            </w:r>
            <w:r>
              <w:rPr>
                <w:color w:val="auto"/>
                <w:kern w:val="0"/>
              </w:rPr>
              <w:t>大气环境质量底线</w:t>
            </w:r>
          </w:p>
          <w:p w14:paraId="5E079975">
            <w:pPr>
              <w:autoSpaceDE w:val="0"/>
              <w:autoSpaceDN w:val="0"/>
              <w:adjustRightInd w:val="0"/>
              <w:snapToGrid w:val="0"/>
              <w:ind w:firstLine="480" w:firstLineChars="200"/>
              <w:rPr>
                <w:color w:val="auto"/>
                <w:kern w:val="0"/>
              </w:rPr>
            </w:pPr>
            <w:r>
              <w:rPr>
                <w:color w:val="auto"/>
                <w:kern w:val="0"/>
              </w:rPr>
              <w:t>到2025年，环境空气质量持续改善，细颗粒物（PM</w:t>
            </w:r>
            <w:r>
              <w:rPr>
                <w:color w:val="auto"/>
                <w:kern w:val="0"/>
                <w:vertAlign w:val="subscript"/>
              </w:rPr>
              <w:t>2.5</w:t>
            </w:r>
            <w:r>
              <w:rPr>
                <w:color w:val="auto"/>
                <w:kern w:val="0"/>
              </w:rPr>
              <w:t>）年均浓度降至18.6μg/m</w:t>
            </w:r>
            <w:r>
              <w:rPr>
                <w:color w:val="auto"/>
                <w:kern w:val="0"/>
                <w:vertAlign w:val="superscript"/>
              </w:rPr>
              <w:t>3</w:t>
            </w:r>
            <w:r>
              <w:rPr>
                <w:color w:val="auto"/>
                <w:kern w:val="0"/>
              </w:rPr>
              <w:t>。到2035年，县级城市细颗粒物（PM</w:t>
            </w:r>
            <w:r>
              <w:rPr>
                <w:color w:val="auto"/>
                <w:kern w:val="0"/>
                <w:vertAlign w:val="subscript"/>
              </w:rPr>
              <w:t>2.5</w:t>
            </w:r>
            <w:r>
              <w:rPr>
                <w:color w:val="auto"/>
                <w:kern w:val="0"/>
              </w:rPr>
              <w:t>）年均浓度小于15μg/m</w:t>
            </w:r>
            <w:r>
              <w:rPr>
                <w:color w:val="auto"/>
                <w:kern w:val="0"/>
                <w:vertAlign w:val="superscript"/>
              </w:rPr>
              <w:t>3</w:t>
            </w:r>
            <w:r>
              <w:rPr>
                <w:color w:val="auto"/>
                <w:kern w:val="0"/>
              </w:rPr>
              <w:t>，最终指标值以省下达指标为准。</w:t>
            </w:r>
          </w:p>
          <w:p w14:paraId="64970487">
            <w:pPr>
              <w:autoSpaceDE w:val="0"/>
              <w:autoSpaceDN w:val="0"/>
              <w:adjustRightInd w:val="0"/>
              <w:snapToGrid w:val="0"/>
              <w:ind w:firstLine="480" w:firstLineChars="200"/>
              <w:rPr>
                <w:color w:val="auto"/>
                <w:kern w:val="0"/>
              </w:rPr>
            </w:pPr>
            <w:r>
              <w:rPr>
                <w:rFonts w:hint="eastAsia" w:ascii="宋体" w:hAnsi="宋体" w:cs="宋体"/>
                <w:color w:val="auto"/>
              </w:rPr>
              <w:t>项目生产过程产生废气均设置有相应的收集和处理措施，保证处理废气能够达到相应的排放标准后达标排放，</w:t>
            </w:r>
            <w:r>
              <w:rPr>
                <w:rFonts w:ascii="宋体" w:hAnsi="宋体" w:cs="宋体"/>
                <w:color w:val="auto"/>
              </w:rPr>
              <w:t>符合大气环境质量底线要求。</w:t>
            </w:r>
          </w:p>
          <w:p w14:paraId="1095A5E2">
            <w:pPr>
              <w:autoSpaceDE w:val="0"/>
              <w:autoSpaceDN w:val="0"/>
              <w:adjustRightInd w:val="0"/>
              <w:snapToGrid w:val="0"/>
              <w:ind w:firstLine="480" w:firstLineChars="200"/>
              <w:rPr>
                <w:color w:val="auto"/>
                <w:kern w:val="0"/>
              </w:rPr>
            </w:pPr>
            <w:r>
              <w:rPr>
                <w:rFonts w:hint="eastAsia" w:ascii="宋体" w:hAnsi="宋体" w:cs="宋体"/>
                <w:color w:val="auto"/>
                <w:kern w:val="0"/>
              </w:rPr>
              <w:t>③</w:t>
            </w:r>
            <w:r>
              <w:rPr>
                <w:rFonts w:ascii="宋体" w:hAnsi="宋体" w:cs="宋体"/>
                <w:color w:val="auto"/>
              </w:rPr>
              <w:t>土壤环境风险防控底线</w:t>
            </w:r>
          </w:p>
          <w:p w14:paraId="580985B9">
            <w:pPr>
              <w:pStyle w:val="46"/>
              <w:widowControl w:val="0"/>
              <w:ind w:firstLine="480" w:firstLineChars="200"/>
              <w:jc w:val="both"/>
              <w:rPr>
                <w:color w:val="auto"/>
                <w:szCs w:val="24"/>
              </w:rPr>
            </w:pPr>
            <w:r>
              <w:rPr>
                <w:b w:val="0"/>
                <w:bCs/>
                <w:color w:val="auto"/>
                <w:szCs w:val="24"/>
              </w:rPr>
              <w:t>到2025年，受污染耕地安全利用率达到95%</w:t>
            </w:r>
            <w:r>
              <w:rPr>
                <w:rFonts w:hint="eastAsia"/>
                <w:b w:val="0"/>
                <w:bCs/>
                <w:color w:val="auto"/>
                <w:szCs w:val="24"/>
              </w:rPr>
              <w:t>（</w:t>
            </w:r>
            <w:r>
              <w:rPr>
                <w:b w:val="0"/>
                <w:bCs/>
                <w:color w:val="auto"/>
                <w:szCs w:val="24"/>
              </w:rPr>
              <w:t>含</w:t>
            </w:r>
            <w:r>
              <w:rPr>
                <w:rFonts w:hint="eastAsia"/>
                <w:b w:val="0"/>
                <w:bCs/>
                <w:color w:val="auto"/>
                <w:szCs w:val="24"/>
              </w:rPr>
              <w:t>）</w:t>
            </w:r>
            <w:r>
              <w:rPr>
                <w:b w:val="0"/>
                <w:bCs/>
                <w:color w:val="auto"/>
                <w:szCs w:val="24"/>
              </w:rPr>
              <w:t>以上，重点建设用地安全利用率得到有效保障，重点行业企业用地优先管控名录地块风险管控率达到95%</w:t>
            </w:r>
            <w:r>
              <w:rPr>
                <w:rFonts w:hint="eastAsia"/>
                <w:b w:val="0"/>
                <w:bCs/>
                <w:color w:val="auto"/>
                <w:szCs w:val="24"/>
              </w:rPr>
              <w:t>（</w:t>
            </w:r>
            <w:r>
              <w:rPr>
                <w:b w:val="0"/>
                <w:bCs/>
                <w:color w:val="auto"/>
                <w:szCs w:val="24"/>
              </w:rPr>
              <w:t>含</w:t>
            </w:r>
            <w:r>
              <w:rPr>
                <w:rFonts w:hint="eastAsia"/>
                <w:b w:val="0"/>
                <w:bCs/>
                <w:color w:val="auto"/>
                <w:szCs w:val="24"/>
              </w:rPr>
              <w:t>）</w:t>
            </w:r>
            <w:r>
              <w:rPr>
                <w:b w:val="0"/>
                <w:bCs/>
                <w:color w:val="auto"/>
                <w:szCs w:val="24"/>
              </w:rPr>
              <w:t>以上，开垦耕地土壤污染调查覆盖率达90%以上，畜禽粪污综合利用率预期达95%</w:t>
            </w:r>
            <w:r>
              <w:rPr>
                <w:rFonts w:hint="eastAsia"/>
                <w:b w:val="0"/>
                <w:bCs/>
                <w:color w:val="auto"/>
                <w:szCs w:val="24"/>
              </w:rPr>
              <w:t>（</w:t>
            </w:r>
            <w:r>
              <w:rPr>
                <w:b w:val="0"/>
                <w:bCs/>
                <w:color w:val="auto"/>
                <w:szCs w:val="24"/>
              </w:rPr>
              <w:t>含</w:t>
            </w:r>
            <w:r>
              <w:rPr>
                <w:rFonts w:hint="eastAsia"/>
                <w:b w:val="0"/>
                <w:bCs/>
                <w:color w:val="auto"/>
                <w:szCs w:val="24"/>
              </w:rPr>
              <w:t>）</w:t>
            </w:r>
            <w:r>
              <w:rPr>
                <w:b w:val="0"/>
                <w:bCs/>
                <w:color w:val="auto"/>
                <w:szCs w:val="24"/>
              </w:rPr>
              <w:t>以上。到2035年，全市土壤环境质量稳中向好，农用地和建设用地土壤环境得到有效保障，土壤环境风险得到全面管控。</w:t>
            </w:r>
          </w:p>
          <w:p w14:paraId="005BF403">
            <w:pPr>
              <w:autoSpaceDE w:val="0"/>
              <w:autoSpaceDN w:val="0"/>
              <w:adjustRightInd w:val="0"/>
              <w:snapToGrid w:val="0"/>
              <w:ind w:firstLine="480" w:firstLineChars="200"/>
              <w:rPr>
                <w:rFonts w:hint="eastAsia" w:ascii="宋体" w:hAnsi="宋体" w:cs="宋体"/>
                <w:color w:val="auto"/>
              </w:rPr>
            </w:pPr>
            <w:r>
              <w:rPr>
                <w:rFonts w:hint="eastAsia"/>
                <w:color w:val="auto"/>
              </w:rPr>
              <w:t>项目利用已建厂房进行生产，</w:t>
            </w:r>
            <w:r>
              <w:rPr>
                <w:color w:val="auto"/>
              </w:rPr>
              <w:t>用地属性</w:t>
            </w:r>
            <w:r>
              <w:rPr>
                <w:rFonts w:hint="eastAsia"/>
                <w:color w:val="auto"/>
              </w:rPr>
              <w:t>为工业</w:t>
            </w:r>
            <w:r>
              <w:rPr>
                <w:color w:val="auto"/>
              </w:rPr>
              <w:t>用地，场地为已平整并硬化后的场地，</w:t>
            </w:r>
            <w:r>
              <w:rPr>
                <w:rFonts w:hint="eastAsia"/>
                <w:color w:val="auto"/>
              </w:rPr>
              <w:t>生产过程不排放持久性污染物，</w:t>
            </w:r>
            <w:r>
              <w:rPr>
                <w:rFonts w:ascii="宋体" w:hAnsi="宋体" w:cs="宋体"/>
                <w:color w:val="auto"/>
              </w:rPr>
              <w:t>不存在土壤环境风险，符合土壤环境风险防控底线要求。</w:t>
            </w:r>
          </w:p>
          <w:p w14:paraId="62ACB67C">
            <w:pPr>
              <w:autoSpaceDE w:val="0"/>
              <w:autoSpaceDN w:val="0"/>
              <w:adjustRightInd w:val="0"/>
              <w:snapToGrid w:val="0"/>
              <w:ind w:firstLine="480" w:firstLineChars="200"/>
              <w:rPr>
                <w:color w:val="auto"/>
              </w:rPr>
            </w:pPr>
            <w:r>
              <w:rPr>
                <w:color w:val="auto"/>
                <w:kern w:val="0"/>
              </w:rPr>
              <w:t>综合分析，</w:t>
            </w:r>
            <w:r>
              <w:rPr>
                <w:bCs/>
                <w:color w:val="auto"/>
                <w:kern w:val="0"/>
              </w:rPr>
              <w:t>项</w:t>
            </w:r>
            <w:r>
              <w:rPr>
                <w:color w:val="auto"/>
                <w:kern w:val="0"/>
              </w:rPr>
              <w:t>目建设不会突破当地环境质量底线。</w:t>
            </w:r>
          </w:p>
          <w:p w14:paraId="16E19103">
            <w:pPr>
              <w:autoSpaceDE w:val="0"/>
              <w:autoSpaceDN w:val="0"/>
              <w:adjustRightInd w:val="0"/>
              <w:snapToGrid w:val="0"/>
              <w:ind w:firstLine="482" w:firstLineChars="200"/>
              <w:rPr>
                <w:b/>
                <w:bCs/>
                <w:color w:val="auto"/>
                <w:kern w:val="0"/>
              </w:rPr>
            </w:pPr>
            <w:r>
              <w:rPr>
                <w:rFonts w:hint="eastAsia"/>
                <w:b/>
                <w:bCs/>
                <w:color w:val="auto"/>
                <w:kern w:val="0"/>
              </w:rPr>
              <w:t>（3）与</w:t>
            </w:r>
            <w:r>
              <w:rPr>
                <w:b/>
                <w:bCs/>
                <w:color w:val="auto"/>
                <w:kern w:val="0"/>
              </w:rPr>
              <w:t>资源利用上线</w:t>
            </w:r>
            <w:r>
              <w:rPr>
                <w:rFonts w:hint="eastAsia"/>
                <w:b/>
                <w:bCs/>
                <w:color w:val="auto"/>
                <w:kern w:val="0"/>
              </w:rPr>
              <w:t>的符合性分析</w:t>
            </w:r>
          </w:p>
          <w:p w14:paraId="6684D968">
            <w:pPr>
              <w:autoSpaceDE w:val="0"/>
              <w:autoSpaceDN w:val="0"/>
              <w:adjustRightInd w:val="0"/>
              <w:snapToGrid w:val="0"/>
              <w:ind w:firstLine="480" w:firstLineChars="200"/>
              <w:rPr>
                <w:color w:val="auto"/>
                <w:kern w:val="0"/>
              </w:rPr>
            </w:pPr>
            <w:r>
              <w:rPr>
                <w:rFonts w:hint="eastAsia" w:ascii="宋体" w:hAnsi="宋体" w:cs="宋体"/>
                <w:color w:val="auto"/>
                <w:kern w:val="0"/>
              </w:rPr>
              <w:t>①</w:t>
            </w:r>
            <w:r>
              <w:rPr>
                <w:color w:val="auto"/>
                <w:kern w:val="0"/>
              </w:rPr>
              <w:t>水资源利用上线</w:t>
            </w:r>
          </w:p>
          <w:p w14:paraId="11956943">
            <w:pPr>
              <w:autoSpaceDE w:val="0"/>
              <w:autoSpaceDN w:val="0"/>
              <w:adjustRightInd w:val="0"/>
              <w:snapToGrid w:val="0"/>
              <w:ind w:firstLine="480" w:firstLineChars="200"/>
              <w:rPr>
                <w:color w:val="auto"/>
              </w:rPr>
            </w:pPr>
            <w:r>
              <w:rPr>
                <w:color w:val="auto"/>
              </w:rPr>
              <w:t>到2025年，全市总用水量目标值为28亿立方米，万元工业增加值用水量达到12立方米、万元GDP用水量达到19立方米、农田灌溉有效利用系数达到0.586。2035年指标以省人民政府下达为准。</w:t>
            </w:r>
          </w:p>
          <w:p w14:paraId="2BF3FA32">
            <w:pPr>
              <w:autoSpaceDE w:val="0"/>
              <w:autoSpaceDN w:val="0"/>
              <w:adjustRightInd w:val="0"/>
              <w:snapToGrid w:val="0"/>
              <w:ind w:firstLine="480" w:firstLineChars="200"/>
              <w:rPr>
                <w:color w:val="auto"/>
                <w:kern w:val="0"/>
              </w:rPr>
            </w:pPr>
            <w:r>
              <w:rPr>
                <w:bCs/>
                <w:color w:val="auto"/>
                <w:kern w:val="0"/>
              </w:rPr>
              <w:t>项目</w:t>
            </w:r>
            <w:r>
              <w:rPr>
                <w:color w:val="auto"/>
                <w:kern w:val="0"/>
              </w:rPr>
              <w:t>运营期用水来源于市政给水，与福州市水资源利用上线管控要求相符。</w:t>
            </w:r>
          </w:p>
          <w:p w14:paraId="49D2153F">
            <w:pPr>
              <w:autoSpaceDE w:val="0"/>
              <w:autoSpaceDN w:val="0"/>
              <w:adjustRightInd w:val="0"/>
              <w:snapToGrid w:val="0"/>
              <w:ind w:firstLine="480" w:firstLineChars="200"/>
              <w:rPr>
                <w:color w:val="auto"/>
                <w:kern w:val="0"/>
              </w:rPr>
            </w:pPr>
            <w:r>
              <w:rPr>
                <w:rFonts w:hint="eastAsia" w:ascii="宋体" w:hAnsi="宋体" w:cs="宋体"/>
                <w:color w:val="auto"/>
                <w:kern w:val="0"/>
              </w:rPr>
              <w:t>②</w:t>
            </w:r>
            <w:r>
              <w:rPr>
                <w:color w:val="auto"/>
                <w:kern w:val="0"/>
              </w:rPr>
              <w:t>土地资源利用上线</w:t>
            </w:r>
          </w:p>
          <w:p w14:paraId="1B85FDDC">
            <w:pPr>
              <w:autoSpaceDE w:val="0"/>
              <w:autoSpaceDN w:val="0"/>
              <w:adjustRightInd w:val="0"/>
              <w:snapToGrid w:val="0"/>
              <w:ind w:firstLine="480" w:firstLineChars="200"/>
              <w:rPr>
                <w:color w:val="auto"/>
                <w:kern w:val="0"/>
              </w:rPr>
            </w:pPr>
            <w:r>
              <w:rPr>
                <w:color w:val="auto"/>
                <w:kern w:val="0"/>
              </w:rPr>
              <w:t>到2025年，耕地保有量达到947.53平方千米，基本农田保护面积达到844.82平方千米。2035年指标与2025年保持一致。</w:t>
            </w:r>
          </w:p>
          <w:p w14:paraId="7E68B0F1">
            <w:pPr>
              <w:autoSpaceDE w:val="0"/>
              <w:autoSpaceDN w:val="0"/>
              <w:adjustRightInd w:val="0"/>
              <w:snapToGrid w:val="0"/>
              <w:ind w:firstLine="480" w:firstLineChars="200"/>
              <w:rPr>
                <w:color w:val="auto"/>
                <w:kern w:val="0"/>
              </w:rPr>
            </w:pPr>
            <w:r>
              <w:rPr>
                <w:color w:val="auto"/>
                <w:kern w:val="0"/>
              </w:rPr>
              <w:t>根据</w:t>
            </w:r>
            <w:r>
              <w:rPr>
                <w:rFonts w:hint="eastAsia"/>
                <w:color w:val="auto"/>
                <w:kern w:val="0"/>
              </w:rPr>
              <w:t>《福州市人民政府办公厅关于印发〈福州市生态环境分区管控方案（2023年更新）〉的通知》（榕政办规〔2024〕20号）</w:t>
            </w:r>
            <w:r>
              <w:rPr>
                <w:color w:val="auto"/>
                <w:kern w:val="0"/>
              </w:rPr>
              <w:t>，衔接《福州市国土空间总体规划》（2021-2035），项目用地性质为</w:t>
            </w:r>
            <w:r>
              <w:rPr>
                <w:rFonts w:hint="eastAsia"/>
                <w:color w:val="auto"/>
                <w:kern w:val="0"/>
              </w:rPr>
              <w:t>工业</w:t>
            </w:r>
            <w:r>
              <w:rPr>
                <w:color w:val="auto"/>
                <w:kern w:val="0"/>
              </w:rPr>
              <w:t>用地，与城市总体规划相符，项目符合土地资源利用上线管控要求。</w:t>
            </w:r>
          </w:p>
          <w:p w14:paraId="11590D75">
            <w:pPr>
              <w:autoSpaceDE w:val="0"/>
              <w:autoSpaceDN w:val="0"/>
              <w:adjustRightInd w:val="0"/>
              <w:snapToGrid w:val="0"/>
              <w:ind w:firstLine="480" w:firstLineChars="200"/>
              <w:rPr>
                <w:color w:val="auto"/>
                <w:kern w:val="0"/>
              </w:rPr>
            </w:pPr>
            <w:r>
              <w:rPr>
                <w:rFonts w:hint="eastAsia" w:ascii="宋体" w:hAnsi="宋体" w:cs="宋体"/>
                <w:color w:val="auto"/>
                <w:kern w:val="0"/>
              </w:rPr>
              <w:t>③</w:t>
            </w:r>
            <w:r>
              <w:rPr>
                <w:color w:val="auto"/>
                <w:kern w:val="0"/>
              </w:rPr>
              <w:t>能源资源利用上线</w:t>
            </w:r>
          </w:p>
          <w:p w14:paraId="2065F761">
            <w:pPr>
              <w:autoSpaceDE w:val="0"/>
              <w:autoSpaceDN w:val="0"/>
              <w:adjustRightInd w:val="0"/>
              <w:snapToGrid w:val="0"/>
              <w:ind w:firstLine="480" w:firstLineChars="200"/>
              <w:rPr>
                <w:color w:val="auto"/>
              </w:rPr>
            </w:pPr>
            <w:r>
              <w:rPr>
                <w:color w:val="auto"/>
              </w:rPr>
              <w:t>到2025年，单位地区生产总值二氧化碳排放降低率达到19.5%，单位地区生产总值能源消耗降低率达到14%，非化石能源占一次能源消费比例达到32%。2035年指标以省人民政府下达为准。</w:t>
            </w:r>
          </w:p>
          <w:p w14:paraId="02D00EB9">
            <w:pPr>
              <w:autoSpaceDE w:val="0"/>
              <w:autoSpaceDN w:val="0"/>
              <w:adjustRightInd w:val="0"/>
              <w:snapToGrid w:val="0"/>
              <w:ind w:firstLine="480" w:firstLineChars="200"/>
              <w:rPr>
                <w:color w:val="auto"/>
                <w:kern w:val="0"/>
              </w:rPr>
            </w:pPr>
            <w:r>
              <w:rPr>
                <w:rFonts w:ascii="宋体" w:hAnsi="宋体" w:cs="宋体"/>
                <w:color w:val="auto"/>
              </w:rPr>
              <w:t>项目用水、用电为区域集中供应，项目运行过程通过内部管理、设备选择、原辅材料的选用和管理、废物回收利用、污染治理等多方面采取合理可行的防治措施，以</w:t>
            </w:r>
            <w:r>
              <w:rPr>
                <w:rFonts w:hint="eastAsia" w:ascii="宋体" w:hAnsi="宋体" w:cs="宋体"/>
                <w:color w:val="auto"/>
                <w:lang w:eastAsia="zh-CN"/>
              </w:rPr>
              <w:t>“</w:t>
            </w:r>
            <w:r>
              <w:rPr>
                <w:rFonts w:ascii="宋体" w:hAnsi="宋体" w:cs="宋体"/>
                <w:color w:val="auto"/>
              </w:rPr>
              <w:t>节能、降耗、减污</w:t>
            </w:r>
            <w:r>
              <w:rPr>
                <w:rFonts w:hint="eastAsia" w:ascii="宋体" w:hAnsi="宋体" w:cs="宋体"/>
                <w:color w:val="auto"/>
                <w:lang w:eastAsia="zh-CN"/>
              </w:rPr>
              <w:t>”</w:t>
            </w:r>
            <w:r>
              <w:rPr>
                <w:rFonts w:ascii="宋体" w:hAnsi="宋体" w:cs="宋体"/>
                <w:color w:val="auto"/>
              </w:rPr>
              <w:t>为目标，有效</w:t>
            </w:r>
            <w:r>
              <w:rPr>
                <w:rFonts w:hint="eastAsia" w:ascii="宋体" w:hAnsi="宋体" w:cs="宋体"/>
                <w:color w:val="auto"/>
              </w:rPr>
              <w:t>地</w:t>
            </w:r>
            <w:r>
              <w:rPr>
                <w:rFonts w:ascii="宋体" w:hAnsi="宋体" w:cs="宋体"/>
                <w:color w:val="auto"/>
              </w:rPr>
              <w:t>控制污染。项目的水、电等资源利用</w:t>
            </w:r>
            <w:r>
              <w:rPr>
                <w:color w:val="auto"/>
                <w:kern w:val="0"/>
              </w:rPr>
              <w:t>与福州市能源资源利用上线要求相符。</w:t>
            </w:r>
          </w:p>
          <w:p w14:paraId="02D17174">
            <w:pPr>
              <w:autoSpaceDE w:val="0"/>
              <w:autoSpaceDN w:val="0"/>
              <w:adjustRightInd w:val="0"/>
              <w:snapToGrid w:val="0"/>
              <w:ind w:firstLine="482" w:firstLineChars="200"/>
              <w:rPr>
                <w:b/>
                <w:bCs/>
                <w:color w:val="auto"/>
                <w:kern w:val="0"/>
              </w:rPr>
            </w:pPr>
            <w:r>
              <w:rPr>
                <w:rFonts w:hint="eastAsia"/>
                <w:b/>
                <w:bCs/>
                <w:color w:val="auto"/>
                <w:kern w:val="0"/>
              </w:rPr>
              <w:t>（4）</w:t>
            </w:r>
            <w:r>
              <w:rPr>
                <w:b/>
                <w:bCs/>
                <w:color w:val="auto"/>
                <w:kern w:val="0"/>
              </w:rPr>
              <w:t>生态环境准入清单</w:t>
            </w:r>
          </w:p>
          <w:p w14:paraId="37FA22FF">
            <w:pPr>
              <w:pStyle w:val="5"/>
              <w:ind w:firstLine="480"/>
              <w:rPr>
                <w:color w:val="auto"/>
              </w:rPr>
            </w:pPr>
            <w:r>
              <w:rPr>
                <w:rFonts w:cs="Times New Roman"/>
                <w:color w:val="auto"/>
                <w:kern w:val="0"/>
              </w:rPr>
              <w:t>项目</w:t>
            </w:r>
            <w:r>
              <w:rPr>
                <w:color w:val="auto"/>
              </w:rPr>
              <w:t>未列入《福建省第一批国家重点生态功能区县（市）产业准入负面清单（试行）》，未列入《市场准入负面清单（2020年版）》禁止准入类。</w:t>
            </w:r>
          </w:p>
          <w:p w14:paraId="121D4F6D">
            <w:pPr>
              <w:widowControl/>
              <w:adjustRightInd w:val="0"/>
              <w:snapToGrid w:val="0"/>
              <w:ind w:firstLine="480" w:firstLineChars="200"/>
              <w:jc w:val="left"/>
              <w:rPr>
                <w:color w:val="auto"/>
                <w:kern w:val="0"/>
                <w:lang w:bidi="ar"/>
              </w:rPr>
            </w:pPr>
            <w:r>
              <w:rPr>
                <w:rFonts w:hint="eastAsia"/>
                <w:color w:val="auto"/>
                <w:lang w:bidi="ar"/>
              </w:rPr>
              <w:t>根据《福州市人民政府办公厅关于印发〈福州市生态环境分区管控方案（2023年更新）〉的通知》（榕政办规〔2024〕20号）中对</w:t>
            </w:r>
            <w:r>
              <w:rPr>
                <w:rFonts w:hint="eastAsia"/>
                <w:color w:val="auto"/>
                <w:lang w:eastAsia="zh-CN" w:bidi="ar"/>
              </w:rPr>
              <w:t>“</w:t>
            </w:r>
            <w:r>
              <w:rPr>
                <w:rFonts w:hint="eastAsia"/>
                <w:color w:val="auto"/>
                <w:lang w:bidi="ar"/>
              </w:rPr>
              <w:t>生态分区管控的要求</w:t>
            </w:r>
            <w:r>
              <w:rPr>
                <w:rFonts w:hint="eastAsia"/>
                <w:color w:val="auto"/>
                <w:lang w:eastAsia="zh-CN" w:bidi="ar"/>
              </w:rPr>
              <w:t>”</w:t>
            </w:r>
            <w:r>
              <w:rPr>
                <w:rFonts w:hint="eastAsia"/>
                <w:color w:val="auto"/>
                <w:lang w:bidi="ar"/>
              </w:rPr>
              <w:t>，</w:t>
            </w:r>
            <w:r>
              <w:rPr>
                <w:color w:val="auto"/>
                <w:kern w:val="0"/>
                <w:lang w:bidi="ar"/>
              </w:rPr>
              <w:t>符合性分析详见表1</w:t>
            </w:r>
            <w:r>
              <w:rPr>
                <w:rFonts w:hint="eastAsia"/>
                <w:color w:val="auto"/>
                <w:kern w:val="0"/>
                <w:lang w:bidi="ar"/>
              </w:rPr>
              <w:t>.9</w:t>
            </w:r>
            <w:r>
              <w:rPr>
                <w:color w:val="auto"/>
                <w:kern w:val="0"/>
                <w:lang w:bidi="ar"/>
              </w:rPr>
              <w:t>-</w:t>
            </w:r>
            <w:r>
              <w:rPr>
                <w:rFonts w:hint="eastAsia"/>
                <w:color w:val="auto"/>
                <w:kern w:val="0"/>
                <w:lang w:bidi="ar"/>
              </w:rPr>
              <w:t>1，</w:t>
            </w:r>
            <w:r>
              <w:rPr>
                <w:color w:val="auto"/>
                <w:kern w:val="0"/>
                <w:lang w:bidi="ar"/>
              </w:rPr>
              <w:t>表1</w:t>
            </w:r>
            <w:r>
              <w:rPr>
                <w:rFonts w:hint="eastAsia"/>
                <w:color w:val="auto"/>
                <w:kern w:val="0"/>
                <w:lang w:bidi="ar"/>
              </w:rPr>
              <w:t>.9</w:t>
            </w:r>
            <w:r>
              <w:rPr>
                <w:color w:val="auto"/>
                <w:kern w:val="0"/>
                <w:lang w:bidi="ar"/>
              </w:rPr>
              <w:t>-</w:t>
            </w:r>
            <w:r>
              <w:rPr>
                <w:rFonts w:hint="eastAsia"/>
                <w:color w:val="auto"/>
                <w:kern w:val="0"/>
                <w:lang w:bidi="ar"/>
              </w:rPr>
              <w:t>2</w:t>
            </w:r>
            <w:r>
              <w:rPr>
                <w:color w:val="auto"/>
                <w:kern w:val="0"/>
                <w:lang w:bidi="ar"/>
              </w:rPr>
              <w:t>。</w:t>
            </w:r>
          </w:p>
          <w:p w14:paraId="097CBCAD">
            <w:pPr>
              <w:widowControl/>
              <w:spacing w:line="240" w:lineRule="auto"/>
              <w:jc w:val="center"/>
              <w:rPr>
                <w:color w:val="auto"/>
              </w:rPr>
            </w:pPr>
            <w:r>
              <w:rPr>
                <w:rFonts w:hint="eastAsia"/>
                <w:b/>
                <w:bCs/>
                <w:color w:val="auto"/>
              </w:rPr>
              <w:t>表1.9-1  项目与福州市生态环境整体准入要求符合性分析</w:t>
            </w:r>
          </w:p>
          <w:tbl>
            <w:tblPr>
              <w:tblStyle w:val="30"/>
              <w:tblW w:w="67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7"/>
              <w:gridCol w:w="3862"/>
              <w:gridCol w:w="1773"/>
            </w:tblGrid>
            <w:tr w14:paraId="17BC3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tblHeader/>
              </w:trPr>
              <w:tc>
                <w:tcPr>
                  <w:tcW w:w="608" w:type="pct"/>
                  <w:vAlign w:val="center"/>
                </w:tcPr>
                <w:p w14:paraId="115EF58B">
                  <w:pPr>
                    <w:pStyle w:val="47"/>
                    <w:adjustRightInd w:val="0"/>
                    <w:snapToGrid w:val="0"/>
                    <w:spacing w:line="240" w:lineRule="auto"/>
                    <w:rPr>
                      <w:bCs/>
                      <w:color w:val="auto"/>
                      <w:szCs w:val="21"/>
                    </w:rPr>
                  </w:pPr>
                  <w:r>
                    <w:rPr>
                      <w:bCs/>
                      <w:color w:val="auto"/>
                      <w:szCs w:val="21"/>
                    </w:rPr>
                    <w:t>适用范围</w:t>
                  </w:r>
                </w:p>
              </w:tc>
              <w:tc>
                <w:tcPr>
                  <w:tcW w:w="3085" w:type="pct"/>
                  <w:gridSpan w:val="2"/>
                  <w:vAlign w:val="center"/>
                </w:tcPr>
                <w:p w14:paraId="02FE8DEC">
                  <w:pPr>
                    <w:pStyle w:val="47"/>
                    <w:adjustRightInd w:val="0"/>
                    <w:snapToGrid w:val="0"/>
                    <w:spacing w:line="240" w:lineRule="auto"/>
                    <w:rPr>
                      <w:bCs/>
                      <w:color w:val="auto"/>
                      <w:szCs w:val="21"/>
                    </w:rPr>
                  </w:pPr>
                  <w:r>
                    <w:rPr>
                      <w:bCs/>
                      <w:color w:val="auto"/>
                      <w:szCs w:val="21"/>
                    </w:rPr>
                    <w:t>准入要求</w:t>
                  </w:r>
                </w:p>
              </w:tc>
              <w:tc>
                <w:tcPr>
                  <w:tcW w:w="1306" w:type="pct"/>
                  <w:vAlign w:val="center"/>
                </w:tcPr>
                <w:p w14:paraId="7A974197">
                  <w:pPr>
                    <w:pStyle w:val="47"/>
                    <w:adjustRightInd w:val="0"/>
                    <w:snapToGrid w:val="0"/>
                    <w:spacing w:line="240" w:lineRule="auto"/>
                    <w:rPr>
                      <w:bCs/>
                      <w:color w:val="auto"/>
                      <w:szCs w:val="21"/>
                    </w:rPr>
                  </w:pPr>
                  <w:r>
                    <w:rPr>
                      <w:bCs/>
                      <w:color w:val="auto"/>
                      <w:szCs w:val="21"/>
                    </w:rPr>
                    <w:t>符合性分析</w:t>
                  </w:r>
                </w:p>
              </w:tc>
            </w:tr>
            <w:tr w14:paraId="63540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restart"/>
                  <w:vAlign w:val="center"/>
                </w:tcPr>
                <w:p w14:paraId="2B1034DA">
                  <w:pPr>
                    <w:pStyle w:val="47"/>
                    <w:adjustRightInd w:val="0"/>
                    <w:snapToGrid w:val="0"/>
                    <w:spacing w:line="240" w:lineRule="auto"/>
                    <w:rPr>
                      <w:bCs/>
                      <w:color w:val="auto"/>
                      <w:szCs w:val="21"/>
                    </w:rPr>
                  </w:pPr>
                  <w:r>
                    <w:rPr>
                      <w:bCs/>
                      <w:color w:val="auto"/>
                      <w:szCs w:val="21"/>
                    </w:rPr>
                    <w:t>陆域</w:t>
                  </w:r>
                </w:p>
              </w:tc>
              <w:tc>
                <w:tcPr>
                  <w:tcW w:w="241" w:type="pct"/>
                  <w:vMerge w:val="restart"/>
                  <w:vAlign w:val="center"/>
                </w:tcPr>
                <w:p w14:paraId="27C84FA3">
                  <w:pPr>
                    <w:pStyle w:val="47"/>
                    <w:adjustRightInd w:val="0"/>
                    <w:snapToGrid w:val="0"/>
                    <w:spacing w:line="240" w:lineRule="auto"/>
                    <w:jc w:val="both"/>
                    <w:rPr>
                      <w:bCs/>
                      <w:color w:val="auto"/>
                      <w:szCs w:val="21"/>
                    </w:rPr>
                  </w:pPr>
                  <w:r>
                    <w:rPr>
                      <w:bCs/>
                      <w:color w:val="auto"/>
                      <w:szCs w:val="21"/>
                    </w:rPr>
                    <w:t>空间布局约束</w:t>
                  </w:r>
                </w:p>
              </w:tc>
              <w:tc>
                <w:tcPr>
                  <w:tcW w:w="2843" w:type="pct"/>
                  <w:vAlign w:val="center"/>
                </w:tcPr>
                <w:p w14:paraId="4AA3DBC8">
                  <w:pPr>
                    <w:pStyle w:val="47"/>
                    <w:adjustRightInd w:val="0"/>
                    <w:snapToGrid w:val="0"/>
                    <w:spacing w:line="288" w:lineRule="auto"/>
                    <w:jc w:val="both"/>
                    <w:rPr>
                      <w:b/>
                      <w:color w:val="auto"/>
                      <w:szCs w:val="21"/>
                    </w:rPr>
                  </w:pPr>
                  <w:r>
                    <w:rPr>
                      <w:b/>
                      <w:color w:val="auto"/>
                      <w:szCs w:val="21"/>
                    </w:rPr>
                    <w:t>一、优先保护单元中的生态保护红线</w:t>
                  </w:r>
                </w:p>
                <w:p w14:paraId="0B337102">
                  <w:pPr>
                    <w:pStyle w:val="47"/>
                    <w:adjustRightInd w:val="0"/>
                    <w:snapToGrid w:val="0"/>
                    <w:spacing w:line="288" w:lineRule="auto"/>
                    <w:jc w:val="both"/>
                    <w:rPr>
                      <w:bCs/>
                      <w:color w:val="auto"/>
                      <w:szCs w:val="21"/>
                    </w:rPr>
                  </w:pPr>
                  <w:r>
                    <w:rPr>
                      <w:bCs/>
                      <w:color w:val="auto"/>
                      <w:szCs w:val="21"/>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4F831C0A">
                  <w:pPr>
                    <w:pStyle w:val="47"/>
                    <w:adjustRightInd w:val="0"/>
                    <w:snapToGrid w:val="0"/>
                    <w:spacing w:line="288" w:lineRule="auto"/>
                    <w:jc w:val="both"/>
                    <w:rPr>
                      <w:bCs/>
                      <w:color w:val="auto"/>
                      <w:szCs w:val="21"/>
                    </w:rPr>
                  </w:pPr>
                  <w:r>
                    <w:rPr>
                      <w:bCs/>
                      <w:color w:val="auto"/>
                      <w:szCs w:val="21"/>
                    </w:rPr>
                    <w:t>（1）管护巡护、保护执法、科学研究、调查监测、测绘导航、防灾减灾救灾、军事国防、疫情防控等活动及相关的必要设施修筑。</w:t>
                  </w:r>
                </w:p>
                <w:p w14:paraId="73D77BF4">
                  <w:pPr>
                    <w:pStyle w:val="47"/>
                    <w:adjustRightInd w:val="0"/>
                    <w:snapToGrid w:val="0"/>
                    <w:spacing w:line="288" w:lineRule="auto"/>
                    <w:jc w:val="both"/>
                    <w:rPr>
                      <w:bCs/>
                      <w:color w:val="auto"/>
                      <w:szCs w:val="21"/>
                    </w:rPr>
                  </w:pPr>
                  <w:r>
                    <w:rPr>
                      <w:bCs/>
                      <w:color w:val="auto"/>
                      <w:szCs w:val="21"/>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CBB350E">
                  <w:pPr>
                    <w:pStyle w:val="47"/>
                    <w:adjustRightInd w:val="0"/>
                    <w:snapToGrid w:val="0"/>
                    <w:spacing w:line="288" w:lineRule="auto"/>
                    <w:jc w:val="both"/>
                    <w:rPr>
                      <w:bCs/>
                      <w:color w:val="auto"/>
                      <w:szCs w:val="21"/>
                    </w:rPr>
                  </w:pPr>
                  <w:r>
                    <w:rPr>
                      <w:bCs/>
                      <w:color w:val="auto"/>
                      <w:szCs w:val="21"/>
                    </w:rPr>
                    <w:t>（3）经依法批准的考古调查发掘、古生物化石调查发掘、标本采集和文物保护活动。</w:t>
                  </w:r>
                </w:p>
                <w:p w14:paraId="24EF25D7">
                  <w:pPr>
                    <w:pStyle w:val="47"/>
                    <w:adjustRightInd w:val="0"/>
                    <w:snapToGrid w:val="0"/>
                    <w:spacing w:line="288" w:lineRule="auto"/>
                    <w:jc w:val="both"/>
                    <w:rPr>
                      <w:bCs/>
                      <w:color w:val="auto"/>
                      <w:szCs w:val="21"/>
                    </w:rPr>
                  </w:pPr>
                  <w:r>
                    <w:rPr>
                      <w:bCs/>
                      <w:color w:val="auto"/>
                      <w:szCs w:val="21"/>
                    </w:rPr>
                    <w:t>（4）按规定对人工商品林进行抚育采伐，或以提升森林质量、优化栖息地、建设生物防火隔离带等为目的的树种更新，依法开展的竹林采伐经营。</w:t>
                  </w:r>
                </w:p>
                <w:p w14:paraId="058B7516">
                  <w:pPr>
                    <w:pStyle w:val="47"/>
                    <w:adjustRightInd w:val="0"/>
                    <w:snapToGrid w:val="0"/>
                    <w:spacing w:line="288" w:lineRule="auto"/>
                    <w:jc w:val="both"/>
                    <w:rPr>
                      <w:bCs/>
                      <w:color w:val="auto"/>
                      <w:szCs w:val="21"/>
                    </w:rPr>
                  </w:pPr>
                  <w:r>
                    <w:rPr>
                      <w:bCs/>
                      <w:color w:val="auto"/>
                      <w:szCs w:val="21"/>
                    </w:rPr>
                    <w:t>（5）不破坏生态功能的适度参观旅游、科普宣教及符合相关规划的配套性服务设施和相关的必要公共设施建设及维护。</w:t>
                  </w:r>
                </w:p>
                <w:p w14:paraId="52178783">
                  <w:pPr>
                    <w:pStyle w:val="47"/>
                    <w:adjustRightInd w:val="0"/>
                    <w:snapToGrid w:val="0"/>
                    <w:spacing w:line="288" w:lineRule="auto"/>
                    <w:jc w:val="both"/>
                    <w:rPr>
                      <w:bCs/>
                      <w:color w:val="auto"/>
                      <w:szCs w:val="21"/>
                    </w:rPr>
                  </w:pPr>
                  <w:r>
                    <w:rPr>
                      <w:bCs/>
                      <w:color w:val="auto"/>
                      <w:szCs w:val="21"/>
                    </w:rPr>
                    <w:t>（6）必须且无法避让、符合县级以上国土空间规划的线性基础设施、通讯和防洪、供水设施建设和船舶航行、航道疏浚清淤等活动；已有的合法水利、交通运输等设施运行维护改造。</w:t>
                  </w:r>
                </w:p>
                <w:p w14:paraId="6BB6811B">
                  <w:pPr>
                    <w:pStyle w:val="47"/>
                    <w:adjustRightInd w:val="0"/>
                    <w:snapToGrid w:val="0"/>
                    <w:spacing w:line="288" w:lineRule="auto"/>
                    <w:jc w:val="both"/>
                    <w:rPr>
                      <w:bCs/>
                      <w:color w:val="auto"/>
                      <w:szCs w:val="21"/>
                    </w:rPr>
                  </w:pPr>
                  <w:r>
                    <w:rPr>
                      <w:bCs/>
                      <w:color w:val="auto"/>
                      <w:szCs w:val="21"/>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383E4D0">
                  <w:pPr>
                    <w:pStyle w:val="47"/>
                    <w:adjustRightInd w:val="0"/>
                    <w:snapToGrid w:val="0"/>
                    <w:spacing w:line="288" w:lineRule="auto"/>
                    <w:jc w:val="both"/>
                    <w:rPr>
                      <w:bCs/>
                      <w:color w:val="auto"/>
                      <w:szCs w:val="21"/>
                    </w:rPr>
                  </w:pPr>
                  <w:r>
                    <w:rPr>
                      <w:bCs/>
                      <w:color w:val="auto"/>
                      <w:szCs w:val="21"/>
                    </w:rPr>
                    <w:t>（8）依据县级以上国土空间规划和生态保护修复专项规划开展的生态修复。</w:t>
                  </w:r>
                </w:p>
                <w:p w14:paraId="05EDF115">
                  <w:pPr>
                    <w:pStyle w:val="47"/>
                    <w:adjustRightInd w:val="0"/>
                    <w:snapToGrid w:val="0"/>
                    <w:spacing w:line="288" w:lineRule="auto"/>
                    <w:jc w:val="both"/>
                    <w:rPr>
                      <w:bCs/>
                      <w:color w:val="auto"/>
                      <w:szCs w:val="21"/>
                    </w:rPr>
                  </w:pPr>
                  <w:r>
                    <w:rPr>
                      <w:bCs/>
                      <w:color w:val="auto"/>
                      <w:szCs w:val="21"/>
                    </w:rPr>
                    <w:t>（9）法律法规规定允许的其他人为活动。</w:t>
                  </w:r>
                </w:p>
                <w:p w14:paraId="14466D3A">
                  <w:pPr>
                    <w:pStyle w:val="47"/>
                    <w:adjustRightInd w:val="0"/>
                    <w:snapToGrid w:val="0"/>
                    <w:spacing w:line="288" w:lineRule="auto"/>
                    <w:jc w:val="both"/>
                    <w:rPr>
                      <w:bCs/>
                      <w:color w:val="auto"/>
                      <w:szCs w:val="21"/>
                    </w:rPr>
                  </w:pPr>
                  <w:r>
                    <w:rPr>
                      <w:bCs/>
                      <w:color w:val="auto"/>
                      <w:szCs w:val="21"/>
                    </w:rPr>
                    <w:t>2.依据《福建省自然资源厅福建省生态环境厅福建省林业局关于进一步加强生态保护红线监管的通知（试行）》（闽自然资发〔2023〕56号），允许占用生态保护红线的重大项目范围：</w:t>
                  </w:r>
                </w:p>
                <w:p w14:paraId="6CD8FF31">
                  <w:pPr>
                    <w:pStyle w:val="47"/>
                    <w:adjustRightInd w:val="0"/>
                    <w:snapToGrid w:val="0"/>
                    <w:spacing w:line="288" w:lineRule="auto"/>
                    <w:jc w:val="both"/>
                    <w:rPr>
                      <w:bCs/>
                      <w:color w:val="auto"/>
                      <w:szCs w:val="21"/>
                    </w:rPr>
                  </w:pPr>
                  <w:r>
                    <w:rPr>
                      <w:bCs/>
                      <w:color w:val="auto"/>
                      <w:szCs w:val="21"/>
                    </w:rPr>
                    <w:t>（1）党中央、国务院发布文件或批准规划中明确具体名称的项目和国务院批准的项目。</w:t>
                  </w:r>
                </w:p>
                <w:p w14:paraId="5BC2F2AF">
                  <w:pPr>
                    <w:pStyle w:val="47"/>
                    <w:adjustRightInd w:val="0"/>
                    <w:snapToGrid w:val="0"/>
                    <w:spacing w:line="288" w:lineRule="auto"/>
                    <w:jc w:val="both"/>
                    <w:rPr>
                      <w:bCs/>
                      <w:color w:val="auto"/>
                      <w:szCs w:val="21"/>
                    </w:rPr>
                  </w:pPr>
                  <w:r>
                    <w:rPr>
                      <w:bCs/>
                      <w:color w:val="auto"/>
                      <w:szCs w:val="21"/>
                    </w:rPr>
                    <w:t>（2）中央军委及其有关部门批准的军事国防项目。</w:t>
                  </w:r>
                </w:p>
                <w:p w14:paraId="60E51563">
                  <w:pPr>
                    <w:pStyle w:val="47"/>
                    <w:adjustRightInd w:val="0"/>
                    <w:snapToGrid w:val="0"/>
                    <w:spacing w:line="288" w:lineRule="auto"/>
                    <w:jc w:val="both"/>
                    <w:rPr>
                      <w:bCs/>
                      <w:color w:val="auto"/>
                      <w:szCs w:val="21"/>
                    </w:rPr>
                  </w:pPr>
                  <w:r>
                    <w:rPr>
                      <w:bCs/>
                      <w:color w:val="auto"/>
                      <w:szCs w:val="21"/>
                    </w:rPr>
                    <w:t>（3）国家级规划（指国务院及其有关部门正式颁布）明确的交通、水利项目。</w:t>
                  </w:r>
                </w:p>
                <w:p w14:paraId="4F7273CB">
                  <w:pPr>
                    <w:pStyle w:val="47"/>
                    <w:adjustRightInd w:val="0"/>
                    <w:snapToGrid w:val="0"/>
                    <w:spacing w:line="288" w:lineRule="auto"/>
                    <w:jc w:val="both"/>
                    <w:rPr>
                      <w:bCs/>
                      <w:color w:val="auto"/>
                      <w:szCs w:val="21"/>
                    </w:rPr>
                  </w:pPr>
                  <w:r>
                    <w:rPr>
                      <w:bCs/>
                      <w:color w:val="auto"/>
                      <w:szCs w:val="21"/>
                    </w:rPr>
                    <w:t>（4）国家级规划明确的电网项目，国家级规划明确的且符合国家产业政策的能源矿产勘查开采、油气管线、水电、核电项目。</w:t>
                  </w:r>
                </w:p>
                <w:p w14:paraId="74D1241C">
                  <w:pPr>
                    <w:pStyle w:val="47"/>
                    <w:adjustRightInd w:val="0"/>
                    <w:snapToGrid w:val="0"/>
                    <w:spacing w:line="288" w:lineRule="auto"/>
                    <w:jc w:val="both"/>
                    <w:rPr>
                      <w:bCs/>
                      <w:color w:val="auto"/>
                      <w:szCs w:val="21"/>
                    </w:rPr>
                  </w:pPr>
                  <w:r>
                    <w:rPr>
                      <w:bCs/>
                      <w:color w:val="auto"/>
                      <w:szCs w:val="21"/>
                    </w:rPr>
                    <w:t>（5）为贯彻落实党中央、国务院重大决策部署，国务院投资主管部门或国务院投资主管部门会同有关部门确认的交通、能源、水利等基础设施项目。</w:t>
                  </w:r>
                </w:p>
                <w:p w14:paraId="16633F8F">
                  <w:pPr>
                    <w:pStyle w:val="47"/>
                    <w:adjustRightInd w:val="0"/>
                    <w:snapToGrid w:val="0"/>
                    <w:spacing w:line="288" w:lineRule="auto"/>
                    <w:jc w:val="both"/>
                    <w:rPr>
                      <w:bCs/>
                      <w:color w:val="auto"/>
                      <w:szCs w:val="21"/>
                    </w:rPr>
                  </w:pPr>
                  <w:r>
                    <w:rPr>
                      <w:bCs/>
                      <w:color w:val="auto"/>
                      <w:szCs w:val="21"/>
                    </w:rPr>
                    <w:t>（6）按照国家重大项目用地保障工作机制要求，国家发展改革委会同有关部门确认的需中央加大建设用地保障力度，确实难以避让的国家重大项目。</w:t>
                  </w:r>
                </w:p>
              </w:tc>
              <w:tc>
                <w:tcPr>
                  <w:tcW w:w="1306" w:type="pct"/>
                  <w:vAlign w:val="center"/>
                </w:tcPr>
                <w:p w14:paraId="788A0E50">
                  <w:pPr>
                    <w:pStyle w:val="47"/>
                    <w:adjustRightInd w:val="0"/>
                    <w:snapToGrid w:val="0"/>
                    <w:spacing w:line="240" w:lineRule="auto"/>
                    <w:jc w:val="both"/>
                    <w:rPr>
                      <w:bCs/>
                      <w:color w:val="auto"/>
                      <w:szCs w:val="21"/>
                    </w:rPr>
                  </w:pPr>
                  <w:r>
                    <w:rPr>
                      <w:bCs/>
                      <w:color w:val="auto"/>
                      <w:szCs w:val="21"/>
                    </w:rPr>
                    <w:t>项目主要从事LED发光字、标识标牌生产，位于</w:t>
                  </w:r>
                  <w:r>
                    <w:rPr>
                      <w:rFonts w:hint="eastAsia"/>
                      <w:bCs/>
                      <w:color w:val="auto"/>
                      <w:szCs w:val="21"/>
                    </w:rPr>
                    <w:t>福建省闽侯县南屿镇智慧大道20号保利通信福州高新科技产业园13号楼</w:t>
                  </w:r>
                  <w:r>
                    <w:rPr>
                      <w:bCs/>
                      <w:color w:val="auto"/>
                      <w:szCs w:val="21"/>
                    </w:rPr>
                    <w:t>，不涉及优先保护单元中的生态保护红线</w:t>
                  </w:r>
                </w:p>
              </w:tc>
            </w:tr>
            <w:tr w14:paraId="5DA7D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vAlign w:val="center"/>
                </w:tcPr>
                <w:p w14:paraId="2A18192D">
                  <w:pPr>
                    <w:pStyle w:val="47"/>
                    <w:rPr>
                      <w:bCs/>
                      <w:color w:val="auto"/>
                      <w:szCs w:val="21"/>
                    </w:rPr>
                  </w:pPr>
                </w:p>
              </w:tc>
              <w:tc>
                <w:tcPr>
                  <w:tcW w:w="241" w:type="pct"/>
                  <w:vMerge w:val="continue"/>
                  <w:vAlign w:val="center"/>
                </w:tcPr>
                <w:p w14:paraId="798A943B">
                  <w:pPr>
                    <w:pStyle w:val="47"/>
                    <w:rPr>
                      <w:bCs/>
                      <w:color w:val="auto"/>
                      <w:szCs w:val="21"/>
                    </w:rPr>
                  </w:pPr>
                </w:p>
              </w:tc>
              <w:tc>
                <w:tcPr>
                  <w:tcW w:w="2843" w:type="pct"/>
                  <w:vAlign w:val="center"/>
                </w:tcPr>
                <w:p w14:paraId="5465A72D">
                  <w:pPr>
                    <w:pStyle w:val="47"/>
                    <w:adjustRightInd w:val="0"/>
                    <w:snapToGrid w:val="0"/>
                    <w:spacing w:line="288" w:lineRule="auto"/>
                    <w:jc w:val="both"/>
                    <w:rPr>
                      <w:b/>
                      <w:color w:val="auto"/>
                      <w:szCs w:val="21"/>
                    </w:rPr>
                  </w:pPr>
                  <w:r>
                    <w:rPr>
                      <w:b/>
                      <w:color w:val="auto"/>
                      <w:szCs w:val="21"/>
                    </w:rPr>
                    <w:t>二、优先保护单元中的一般生态空间</w:t>
                  </w:r>
                </w:p>
                <w:p w14:paraId="5ACB3A0B">
                  <w:pPr>
                    <w:pStyle w:val="47"/>
                    <w:adjustRightInd w:val="0"/>
                    <w:snapToGrid w:val="0"/>
                    <w:spacing w:line="288" w:lineRule="auto"/>
                    <w:jc w:val="both"/>
                    <w:rPr>
                      <w:bCs/>
                      <w:color w:val="auto"/>
                      <w:szCs w:val="21"/>
                    </w:rPr>
                  </w:pPr>
                  <w:r>
                    <w:rPr>
                      <w:bCs/>
                      <w:color w:val="auto"/>
                      <w:szCs w:val="21"/>
                    </w:rPr>
                    <w:t>1.一般生态空间以保护和修复生态环境、提供生态产品和服务为首要任务，因地制宜地发展不影响主体功能定位的适宜产业。</w:t>
                  </w:r>
                </w:p>
                <w:p w14:paraId="417EA9E3">
                  <w:pPr>
                    <w:pStyle w:val="47"/>
                    <w:adjustRightInd w:val="0"/>
                    <w:snapToGrid w:val="0"/>
                    <w:spacing w:line="288" w:lineRule="auto"/>
                    <w:jc w:val="both"/>
                    <w:rPr>
                      <w:bCs/>
                      <w:color w:val="auto"/>
                      <w:szCs w:val="21"/>
                    </w:rPr>
                  </w:pPr>
                  <w:r>
                    <w:rPr>
                      <w:bCs/>
                      <w:color w:val="auto"/>
                      <w:szCs w:val="21"/>
                    </w:rPr>
                    <w:t>2.一般生态空间内未纳入生态保护红线的饮用水水源保护区等各类法定保护地，其管控要求依照相关法律法规执行。</w:t>
                  </w:r>
                </w:p>
                <w:p w14:paraId="334846E7">
                  <w:pPr>
                    <w:pStyle w:val="47"/>
                    <w:adjustRightInd w:val="0"/>
                    <w:snapToGrid w:val="0"/>
                    <w:spacing w:line="288" w:lineRule="auto"/>
                    <w:jc w:val="both"/>
                    <w:rPr>
                      <w:bCs/>
                      <w:color w:val="auto"/>
                      <w:szCs w:val="21"/>
                    </w:rPr>
                  </w:pPr>
                  <w:r>
                    <w:rPr>
                      <w:bCs/>
                      <w:color w:val="auto"/>
                      <w:szCs w:val="21"/>
                    </w:rPr>
                    <w:t>3.一般生态空间内现有合法的水泥厂、矿山开发等生产性设施及生活垃圾处置等民生工程予以保留，应按照法律法规要求落实污染防治和生态保护措施，避免对生态功能造成破坏。</w:t>
                  </w:r>
                </w:p>
              </w:tc>
              <w:tc>
                <w:tcPr>
                  <w:tcW w:w="1306" w:type="pct"/>
                  <w:vAlign w:val="center"/>
                </w:tcPr>
                <w:p w14:paraId="76D4D2CC">
                  <w:pPr>
                    <w:pStyle w:val="47"/>
                    <w:adjustRightInd w:val="0"/>
                    <w:snapToGrid w:val="0"/>
                    <w:spacing w:line="240" w:lineRule="auto"/>
                    <w:jc w:val="both"/>
                    <w:rPr>
                      <w:bCs/>
                      <w:color w:val="auto"/>
                      <w:szCs w:val="21"/>
                    </w:rPr>
                  </w:pPr>
                  <w:r>
                    <w:rPr>
                      <w:bCs/>
                      <w:color w:val="auto"/>
                      <w:szCs w:val="21"/>
                    </w:rPr>
                    <w:t>项目位于</w:t>
                  </w:r>
                  <w:r>
                    <w:rPr>
                      <w:rFonts w:hint="eastAsia"/>
                      <w:bCs/>
                      <w:color w:val="auto"/>
                      <w:szCs w:val="21"/>
                    </w:rPr>
                    <w:t>福建省闽侯县南屿镇智慧大道20号保利通信福州高新科技产业园13号楼</w:t>
                  </w:r>
                  <w:r>
                    <w:rPr>
                      <w:bCs/>
                      <w:color w:val="auto"/>
                      <w:szCs w:val="21"/>
                    </w:rPr>
                    <w:t>，不涉及优先保护单元中的一般生态空间</w:t>
                  </w:r>
                </w:p>
              </w:tc>
            </w:tr>
            <w:tr w14:paraId="1CAA3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vAlign w:val="center"/>
                </w:tcPr>
                <w:p w14:paraId="0AC485EF">
                  <w:pPr>
                    <w:pStyle w:val="47"/>
                    <w:rPr>
                      <w:bCs/>
                      <w:color w:val="auto"/>
                      <w:szCs w:val="21"/>
                    </w:rPr>
                  </w:pPr>
                </w:p>
              </w:tc>
              <w:tc>
                <w:tcPr>
                  <w:tcW w:w="241" w:type="pct"/>
                  <w:vMerge w:val="continue"/>
                  <w:vAlign w:val="center"/>
                </w:tcPr>
                <w:p w14:paraId="3052E4F6">
                  <w:pPr>
                    <w:pStyle w:val="47"/>
                    <w:rPr>
                      <w:bCs/>
                      <w:color w:val="auto"/>
                      <w:szCs w:val="21"/>
                    </w:rPr>
                  </w:pPr>
                </w:p>
              </w:tc>
              <w:tc>
                <w:tcPr>
                  <w:tcW w:w="2843" w:type="pct"/>
                  <w:vAlign w:val="center"/>
                </w:tcPr>
                <w:p w14:paraId="7726819D">
                  <w:pPr>
                    <w:widowControl/>
                    <w:adjustRightInd w:val="0"/>
                    <w:snapToGrid w:val="0"/>
                    <w:spacing w:line="288" w:lineRule="auto"/>
                    <w:rPr>
                      <w:b/>
                      <w:color w:val="auto"/>
                      <w:sz w:val="21"/>
                      <w:szCs w:val="21"/>
                    </w:rPr>
                  </w:pPr>
                  <w:r>
                    <w:rPr>
                      <w:b/>
                      <w:color w:val="auto"/>
                      <w:sz w:val="21"/>
                      <w:szCs w:val="21"/>
                    </w:rPr>
                    <w:t>三、其它要求</w:t>
                  </w:r>
                </w:p>
                <w:p w14:paraId="1B47527B">
                  <w:pPr>
                    <w:widowControl/>
                    <w:adjustRightInd w:val="0"/>
                    <w:snapToGrid w:val="0"/>
                    <w:spacing w:line="288" w:lineRule="auto"/>
                    <w:rPr>
                      <w:color w:val="auto"/>
                      <w:sz w:val="21"/>
                      <w:szCs w:val="21"/>
                    </w:rPr>
                  </w:pPr>
                  <w:r>
                    <w:rPr>
                      <w:color w:val="auto"/>
                      <w:sz w:val="21"/>
                      <w:szCs w:val="21"/>
                    </w:rPr>
                    <w:t>1.福州市石化中上游项目重点在福州江阴港城经济区、可门港经济区化工新材料产业园布局。</w:t>
                  </w:r>
                </w:p>
                <w:p w14:paraId="1A3408A2">
                  <w:pPr>
                    <w:widowControl/>
                    <w:adjustRightInd w:val="0"/>
                    <w:snapToGrid w:val="0"/>
                    <w:spacing w:line="288" w:lineRule="auto"/>
                    <w:rPr>
                      <w:color w:val="auto"/>
                      <w:sz w:val="21"/>
                      <w:szCs w:val="21"/>
                    </w:rPr>
                  </w:pPr>
                  <w:r>
                    <w:rPr>
                      <w:color w:val="auto"/>
                      <w:sz w:val="21"/>
                      <w:szCs w:val="21"/>
                    </w:rPr>
                    <w:t>2.禁止在闽江马尾罗星塔以上流域范围新、扩建制革项目，严控新（扩）建植物制浆、印染、合成革及人造革、电镀项目。</w:t>
                  </w:r>
                </w:p>
                <w:p w14:paraId="593C016C">
                  <w:pPr>
                    <w:widowControl/>
                    <w:adjustRightInd w:val="0"/>
                    <w:snapToGrid w:val="0"/>
                    <w:spacing w:line="288" w:lineRule="auto"/>
                    <w:rPr>
                      <w:color w:val="auto"/>
                      <w:sz w:val="21"/>
                      <w:szCs w:val="21"/>
                    </w:rPr>
                  </w:pPr>
                  <w:r>
                    <w:rPr>
                      <w:color w:val="auto"/>
                      <w:sz w:val="21"/>
                      <w:szCs w:val="21"/>
                    </w:rPr>
                    <w:t>3.禁止在通风廊道和主导风向的上风向布局大气重污染企业，推进建成区大气重污染企业搬迁或升级改造、环境风险企业搬迁或关闭退出。</w:t>
                  </w:r>
                </w:p>
                <w:p w14:paraId="6E0F6C84">
                  <w:pPr>
                    <w:widowControl/>
                    <w:adjustRightInd w:val="0"/>
                    <w:snapToGrid w:val="0"/>
                    <w:spacing w:line="288" w:lineRule="auto"/>
                    <w:rPr>
                      <w:color w:val="auto"/>
                      <w:sz w:val="21"/>
                      <w:szCs w:val="21"/>
                    </w:rPr>
                  </w:pPr>
                  <w:r>
                    <w:rPr>
                      <w:color w:val="auto"/>
                      <w:sz w:val="21"/>
                      <w:szCs w:val="21"/>
                    </w:rPr>
                    <w:t>4.禁止新、改、扩建生产高VOCs含量有机溶剂型涂料、油墨和胶黏剂的项目。</w:t>
                  </w:r>
                </w:p>
                <w:p w14:paraId="60C2ED73">
                  <w:pPr>
                    <w:widowControl/>
                    <w:adjustRightInd w:val="0"/>
                    <w:snapToGrid w:val="0"/>
                    <w:spacing w:line="288" w:lineRule="auto"/>
                    <w:rPr>
                      <w:color w:val="auto"/>
                      <w:sz w:val="21"/>
                      <w:szCs w:val="21"/>
                    </w:rPr>
                  </w:pPr>
                  <w:r>
                    <w:rPr>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14:paraId="311C4B64">
                  <w:pPr>
                    <w:widowControl/>
                    <w:adjustRightInd w:val="0"/>
                    <w:snapToGrid w:val="0"/>
                    <w:spacing w:line="288" w:lineRule="auto"/>
                    <w:rPr>
                      <w:color w:val="auto"/>
                      <w:kern w:val="0"/>
                      <w:sz w:val="21"/>
                      <w:szCs w:val="21"/>
                    </w:rPr>
                  </w:pPr>
                  <w:r>
                    <w:rPr>
                      <w:color w:val="auto"/>
                      <w:sz w:val="21"/>
                      <w:szCs w:val="21"/>
                    </w:rPr>
                    <w:t>6.新建、扩建的涉及重点重金属污染物</w:t>
                  </w:r>
                  <w:r>
                    <w:rPr>
                      <w:color w:val="auto"/>
                      <w:sz w:val="21"/>
                      <w:szCs w:val="21"/>
                      <w:vertAlign w:val="superscript"/>
                    </w:rPr>
                    <w:t>［1］</w:t>
                  </w:r>
                  <w:r>
                    <w:rPr>
                      <w:color w:val="auto"/>
                      <w:sz w:val="21"/>
                      <w:szCs w:val="21"/>
                    </w:rPr>
                    <w:t>的有色金属冶炼、电</w:t>
                  </w:r>
                  <w:r>
                    <w:rPr>
                      <w:color w:val="auto"/>
                      <w:kern w:val="0"/>
                      <w:sz w:val="21"/>
                      <w:szCs w:val="21"/>
                    </w:rPr>
                    <w:t>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25850369">
                  <w:pPr>
                    <w:widowControl/>
                    <w:adjustRightInd w:val="0"/>
                    <w:snapToGrid w:val="0"/>
                    <w:spacing w:line="288" w:lineRule="auto"/>
                    <w:rPr>
                      <w:color w:val="auto"/>
                      <w:sz w:val="21"/>
                      <w:szCs w:val="21"/>
                    </w:rPr>
                  </w:pPr>
                  <w:r>
                    <w:rPr>
                      <w:color w:val="auto"/>
                      <w:sz w:val="21"/>
                      <w:szCs w:val="21"/>
                    </w:rPr>
                    <w:t>7.禁止在流域上游新建、扩建重污染企业和项目。</w:t>
                  </w:r>
                </w:p>
                <w:p w14:paraId="7AE0A2F1">
                  <w:pPr>
                    <w:widowControl/>
                    <w:adjustRightInd w:val="0"/>
                    <w:snapToGrid w:val="0"/>
                    <w:spacing w:line="288" w:lineRule="auto"/>
                    <w:rPr>
                      <w:color w:val="auto"/>
                      <w:sz w:val="21"/>
                      <w:szCs w:val="21"/>
                    </w:rPr>
                  </w:pPr>
                  <w:r>
                    <w:rPr>
                      <w:color w:val="auto"/>
                      <w:sz w:val="21"/>
                      <w:szCs w:val="21"/>
                    </w:rPr>
                    <w:t>8.重要敏感水体及富营养化湖库生态缓冲带除相关政府部门批准的科学研究活动外，禁止其它可能对保护区构成危害或不良影响的大规模生产、建设活动。</w:t>
                  </w:r>
                </w:p>
                <w:p w14:paraId="16D7E28D">
                  <w:pPr>
                    <w:widowControl/>
                    <w:adjustRightInd w:val="0"/>
                    <w:snapToGrid w:val="0"/>
                    <w:spacing w:line="288" w:lineRule="auto"/>
                    <w:rPr>
                      <w:color w:val="auto"/>
                      <w:sz w:val="21"/>
                      <w:szCs w:val="21"/>
                    </w:rPr>
                  </w:pPr>
                  <w:r>
                    <w:rPr>
                      <w:color w:val="auto"/>
                      <w:sz w:val="21"/>
                      <w:szCs w:val="21"/>
                    </w:rPr>
                    <w:t>9.新、改、扩建煤电、钢铁、建材、石化、化工等</w:t>
                  </w:r>
                  <w:r>
                    <w:rPr>
                      <w:rFonts w:hint="eastAsia"/>
                      <w:color w:val="auto"/>
                      <w:sz w:val="21"/>
                      <w:szCs w:val="21"/>
                      <w:lang w:eastAsia="zh-CN"/>
                    </w:rPr>
                    <w:t>“</w:t>
                  </w:r>
                  <w:r>
                    <w:rPr>
                      <w:color w:val="auto"/>
                      <w:sz w:val="21"/>
                      <w:szCs w:val="21"/>
                    </w:rPr>
                    <w:t>两高</w:t>
                  </w:r>
                  <w:r>
                    <w:rPr>
                      <w:rFonts w:hint="eastAsia"/>
                      <w:color w:val="auto"/>
                      <w:sz w:val="21"/>
                      <w:szCs w:val="21"/>
                      <w:lang w:eastAsia="zh-CN"/>
                    </w:rPr>
                    <w:t>”</w:t>
                  </w:r>
                  <w:r>
                    <w:rPr>
                      <w:color w:val="auto"/>
                      <w:sz w:val="21"/>
                      <w:szCs w:val="21"/>
                    </w:rPr>
                    <w:t>项目，严格落实国家、省、市产业规划、产业政策、</w:t>
                  </w:r>
                  <w:r>
                    <w:rPr>
                      <w:rFonts w:hint="eastAsia"/>
                      <w:color w:val="auto"/>
                      <w:sz w:val="21"/>
                      <w:szCs w:val="21"/>
                      <w:lang w:eastAsia="zh-CN"/>
                    </w:rPr>
                    <w:t>“</w:t>
                  </w:r>
                  <w:r>
                    <w:rPr>
                      <w:color w:val="auto"/>
                      <w:sz w:val="21"/>
                      <w:szCs w:val="21"/>
                    </w:rPr>
                    <w:t>三线一单</w:t>
                  </w:r>
                  <w:r>
                    <w:rPr>
                      <w:rFonts w:hint="eastAsia"/>
                      <w:color w:val="auto"/>
                      <w:sz w:val="21"/>
                      <w:szCs w:val="21"/>
                      <w:lang w:eastAsia="zh-CN"/>
                    </w:rPr>
                    <w:t>”</w:t>
                  </w:r>
                  <w:r>
                    <w:rPr>
                      <w:color w:val="auto"/>
                      <w:sz w:val="21"/>
                      <w:szCs w:val="21"/>
                    </w:rPr>
                    <w:t>、规划环评，以及产能置换、煤炭消费减量替代、区域污染削减等相关要求。</w:t>
                  </w:r>
                </w:p>
                <w:p w14:paraId="731AFD62">
                  <w:pPr>
                    <w:pStyle w:val="47"/>
                    <w:adjustRightInd w:val="0"/>
                    <w:snapToGrid w:val="0"/>
                    <w:spacing w:line="288" w:lineRule="auto"/>
                    <w:jc w:val="both"/>
                    <w:rPr>
                      <w:bCs/>
                      <w:color w:val="auto"/>
                      <w:szCs w:val="21"/>
                    </w:rPr>
                  </w:pPr>
                  <w:r>
                    <w:rPr>
                      <w:bCs/>
                      <w:color w:val="auto"/>
                      <w:szCs w:val="21"/>
                    </w:rPr>
                    <w:t>10.单元内涉及永久基本农田的，应按照《福建省基本农田保护条例》（2010年修正本）、《国土资源部关于全面实行永久</w:t>
                  </w:r>
                  <w:r>
                    <w:rPr>
                      <w:rFonts w:hint="eastAsia"/>
                      <w:bCs/>
                      <w:color w:val="auto"/>
                      <w:szCs w:val="21"/>
                    </w:rPr>
                    <w:t>基本</w:t>
                  </w:r>
                  <w:r>
                    <w:rPr>
                      <w:bCs/>
                      <w:color w:val="auto"/>
                      <w:szCs w:val="21"/>
                    </w:rPr>
                    <w:t>农田特殊保护的通知》（国土资规〔2018〕1号</w:t>
                  </w:r>
                  <w:r>
                    <w:rPr>
                      <w:bCs/>
                      <w:color w:val="auto"/>
                      <w:kern w:val="0"/>
                      <w:szCs w:val="21"/>
                    </w:rPr>
                    <w:t>）、《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306" w:type="pct"/>
                  <w:vAlign w:val="center"/>
                </w:tcPr>
                <w:p w14:paraId="691B4496">
                  <w:pPr>
                    <w:pStyle w:val="47"/>
                    <w:adjustRightInd w:val="0"/>
                    <w:snapToGrid w:val="0"/>
                    <w:spacing w:line="240" w:lineRule="auto"/>
                    <w:jc w:val="both"/>
                    <w:rPr>
                      <w:rFonts w:hint="eastAsia"/>
                      <w:bCs/>
                      <w:color w:val="auto"/>
                      <w:szCs w:val="21"/>
                      <w:lang w:val="en-US" w:eastAsia="zh-CN"/>
                    </w:rPr>
                  </w:pPr>
                  <w:r>
                    <w:rPr>
                      <w:bCs/>
                      <w:color w:val="auto"/>
                      <w:szCs w:val="21"/>
                    </w:rPr>
                    <w:t>项目主要从事LED发光字、标识标牌生产</w:t>
                  </w:r>
                </w:p>
                <w:p w14:paraId="0D096396">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1.项目不属于石化项目。</w:t>
                  </w:r>
                </w:p>
                <w:p w14:paraId="34149DDB">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2.项目不属于制革项目，也不属于植物制浆、印染、合成革及人造革、电镀项目。</w:t>
                  </w:r>
                </w:p>
                <w:p w14:paraId="02E85BE7">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3.项目废气经处理后可达标排放，不属于大气重污染企业。</w:t>
                  </w:r>
                </w:p>
                <w:p w14:paraId="206428F3">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4.项目不属于生产高VOCs含量有机溶剂型涂料、油墨和胶黏剂的项目。</w:t>
                  </w:r>
                </w:p>
                <w:p w14:paraId="1A1ABC55">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5.项目不属于建陶行业。</w:t>
                  </w:r>
                </w:p>
                <w:p w14:paraId="352EF6E7">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6.项目不涉及重点重金属污染物排放，不属于低端落后产能项目，不涉及使用汞的电石法（聚）氯乙烯生产工艺，不属于电镀企业。</w:t>
                  </w:r>
                </w:p>
                <w:p w14:paraId="1567E11E">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7.项目不属于重污染企业和项目。</w:t>
                  </w:r>
                </w:p>
                <w:p w14:paraId="43B72FE4">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8.项目不位于重要敏感水体及富营养化湖库生态缓冲带。</w:t>
                  </w:r>
                </w:p>
                <w:p w14:paraId="6DCF1D3C">
                  <w:pPr>
                    <w:pStyle w:val="47"/>
                    <w:adjustRightInd w:val="0"/>
                    <w:snapToGrid w:val="0"/>
                    <w:spacing w:line="240" w:lineRule="auto"/>
                    <w:jc w:val="both"/>
                    <w:rPr>
                      <w:rFonts w:hint="eastAsia"/>
                      <w:bCs/>
                      <w:color w:val="auto"/>
                      <w:szCs w:val="21"/>
                      <w:lang w:val="en-US" w:eastAsia="zh-CN"/>
                    </w:rPr>
                  </w:pPr>
                  <w:r>
                    <w:rPr>
                      <w:rFonts w:hint="eastAsia"/>
                      <w:bCs/>
                      <w:color w:val="auto"/>
                      <w:szCs w:val="21"/>
                      <w:lang w:val="en-US" w:eastAsia="zh-CN"/>
                    </w:rPr>
                    <w:t>9.项目不属于煤电、钢铁、建材、石化、化工等“两高”项目。</w:t>
                  </w:r>
                </w:p>
                <w:p w14:paraId="6DB54D21">
                  <w:pPr>
                    <w:pStyle w:val="47"/>
                    <w:adjustRightInd w:val="0"/>
                    <w:snapToGrid w:val="0"/>
                    <w:spacing w:line="240" w:lineRule="auto"/>
                    <w:jc w:val="both"/>
                    <w:rPr>
                      <w:bCs/>
                      <w:color w:val="auto"/>
                      <w:szCs w:val="21"/>
                    </w:rPr>
                  </w:pPr>
                  <w:r>
                    <w:rPr>
                      <w:rFonts w:hint="eastAsia"/>
                      <w:bCs/>
                      <w:color w:val="auto"/>
                      <w:szCs w:val="21"/>
                      <w:lang w:val="en-US" w:eastAsia="zh-CN"/>
                    </w:rPr>
                    <w:t>10.项目用地不涉及永久基本农田、防风固沙林、农田保护林。</w:t>
                  </w:r>
                </w:p>
              </w:tc>
            </w:tr>
            <w:tr w14:paraId="47DCD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restart"/>
                  <w:vAlign w:val="center"/>
                </w:tcPr>
                <w:p w14:paraId="482BE4A8">
                  <w:pPr>
                    <w:pStyle w:val="47"/>
                    <w:rPr>
                      <w:bCs/>
                      <w:color w:val="auto"/>
                      <w:szCs w:val="21"/>
                    </w:rPr>
                  </w:pPr>
                </w:p>
              </w:tc>
              <w:tc>
                <w:tcPr>
                  <w:tcW w:w="241" w:type="pct"/>
                  <w:vAlign w:val="center"/>
                </w:tcPr>
                <w:p w14:paraId="56EFCBCF">
                  <w:pPr>
                    <w:pStyle w:val="47"/>
                    <w:rPr>
                      <w:bCs/>
                      <w:color w:val="auto"/>
                      <w:szCs w:val="21"/>
                    </w:rPr>
                  </w:pPr>
                  <w:r>
                    <w:rPr>
                      <w:bCs/>
                      <w:color w:val="auto"/>
                      <w:szCs w:val="21"/>
                    </w:rPr>
                    <w:t>污染物排放管控</w:t>
                  </w:r>
                </w:p>
              </w:tc>
              <w:tc>
                <w:tcPr>
                  <w:tcW w:w="2843" w:type="pct"/>
                  <w:vAlign w:val="center"/>
                </w:tcPr>
                <w:p w14:paraId="486AA8AE">
                  <w:pPr>
                    <w:pStyle w:val="47"/>
                    <w:adjustRightInd w:val="0"/>
                    <w:snapToGrid w:val="0"/>
                    <w:spacing w:line="288" w:lineRule="auto"/>
                    <w:jc w:val="both"/>
                    <w:rPr>
                      <w:bCs/>
                      <w:color w:val="auto"/>
                      <w:kern w:val="0"/>
                      <w:szCs w:val="21"/>
                      <w:highlight w:val="none"/>
                    </w:rPr>
                  </w:pPr>
                  <w:r>
                    <w:rPr>
                      <w:bCs/>
                      <w:color w:val="auto"/>
                      <w:kern w:val="0"/>
                      <w:szCs w:val="21"/>
                      <w:highlight w:val="none"/>
                    </w:rPr>
                    <w:t>1.工业类新（改、扩）建项目新增主要污染物（水污染物化学需氧量、氨氮和大气污染物二氧化硫、氮氧化物）排放总量指标应符合区域环境质量和总量控制要求，立足于通过</w:t>
                  </w:r>
                  <w:r>
                    <w:rPr>
                      <w:rFonts w:hint="eastAsia"/>
                      <w:bCs/>
                      <w:color w:val="auto"/>
                      <w:kern w:val="0"/>
                      <w:szCs w:val="21"/>
                      <w:highlight w:val="none"/>
                      <w:lang w:eastAsia="zh-CN"/>
                    </w:rPr>
                    <w:t>“</w:t>
                  </w:r>
                  <w:r>
                    <w:rPr>
                      <w:bCs/>
                      <w:color w:val="auto"/>
                      <w:kern w:val="0"/>
                      <w:szCs w:val="21"/>
                      <w:highlight w:val="none"/>
                    </w:rPr>
                    <w:t>以新带老</w:t>
                  </w:r>
                  <w:r>
                    <w:rPr>
                      <w:rFonts w:hint="eastAsia"/>
                      <w:bCs/>
                      <w:color w:val="auto"/>
                      <w:kern w:val="0"/>
                      <w:szCs w:val="21"/>
                      <w:highlight w:val="none"/>
                      <w:lang w:eastAsia="zh-CN"/>
                    </w:rPr>
                    <w:t>”</w:t>
                  </w:r>
                  <w:r>
                    <w:rPr>
                      <w:bCs/>
                      <w:color w:val="auto"/>
                      <w:kern w:val="0"/>
                      <w:szCs w:val="21"/>
                      <w:highlight w:val="none"/>
                    </w:rPr>
                    <w:t>、削减存量，努力实现区域、企业自身总量平衡。总量指标来源、审核和监督管理按照</w:t>
                  </w:r>
                  <w:r>
                    <w:rPr>
                      <w:rFonts w:hint="eastAsia"/>
                      <w:bCs/>
                      <w:color w:val="auto"/>
                      <w:kern w:val="0"/>
                      <w:szCs w:val="21"/>
                      <w:highlight w:val="none"/>
                      <w:lang w:eastAsia="zh-CN"/>
                    </w:rPr>
                    <w:t>“</w:t>
                  </w:r>
                  <w:r>
                    <w:rPr>
                      <w:bCs/>
                      <w:color w:val="auto"/>
                      <w:kern w:val="0"/>
                      <w:szCs w:val="21"/>
                      <w:highlight w:val="none"/>
                    </w:rPr>
                    <w:t>榕环保综〔2017〕90号</w:t>
                  </w:r>
                  <w:r>
                    <w:rPr>
                      <w:rFonts w:hint="eastAsia"/>
                      <w:bCs/>
                      <w:color w:val="auto"/>
                      <w:kern w:val="0"/>
                      <w:szCs w:val="21"/>
                      <w:highlight w:val="none"/>
                      <w:lang w:eastAsia="zh-CN"/>
                    </w:rPr>
                    <w:t>”</w:t>
                  </w:r>
                  <w:r>
                    <w:rPr>
                      <w:bCs/>
                      <w:color w:val="auto"/>
                      <w:kern w:val="0"/>
                      <w:szCs w:val="21"/>
                      <w:highlight w:val="none"/>
                    </w:rPr>
                    <w:t>等相关文件执行。</w:t>
                  </w:r>
                </w:p>
                <w:p w14:paraId="3ED5E4F1">
                  <w:pPr>
                    <w:pStyle w:val="47"/>
                    <w:adjustRightInd w:val="0"/>
                    <w:snapToGrid w:val="0"/>
                    <w:spacing w:line="288" w:lineRule="auto"/>
                    <w:jc w:val="both"/>
                    <w:rPr>
                      <w:bCs/>
                      <w:color w:val="auto"/>
                      <w:kern w:val="0"/>
                      <w:szCs w:val="21"/>
                      <w:highlight w:val="none"/>
                    </w:rPr>
                  </w:pPr>
                  <w:r>
                    <w:rPr>
                      <w:bCs/>
                      <w:color w:val="auto"/>
                      <w:kern w:val="0"/>
                      <w:szCs w:val="21"/>
                      <w:highlight w:val="none"/>
                    </w:rPr>
                    <w:t>2.新、改、扩建涉VOCs排放项目污染物排放量应满足《福州市</w:t>
                  </w:r>
                  <w:r>
                    <w:rPr>
                      <w:rFonts w:hint="eastAsia"/>
                      <w:bCs/>
                      <w:color w:val="auto"/>
                      <w:kern w:val="0"/>
                      <w:szCs w:val="21"/>
                      <w:highlight w:val="none"/>
                      <w:lang w:eastAsia="zh-CN"/>
                    </w:rPr>
                    <w:t>“</w:t>
                  </w:r>
                  <w:r>
                    <w:rPr>
                      <w:bCs/>
                      <w:color w:val="auto"/>
                      <w:kern w:val="0"/>
                      <w:szCs w:val="21"/>
                      <w:highlight w:val="none"/>
                    </w:rPr>
                    <w:t>十四五</w:t>
                  </w:r>
                  <w:r>
                    <w:rPr>
                      <w:rFonts w:hint="eastAsia"/>
                      <w:bCs/>
                      <w:color w:val="auto"/>
                      <w:kern w:val="0"/>
                      <w:szCs w:val="21"/>
                      <w:highlight w:val="none"/>
                      <w:lang w:eastAsia="zh-CN"/>
                    </w:rPr>
                    <w:t>”</w:t>
                  </w:r>
                  <w:r>
                    <w:rPr>
                      <w:bCs/>
                      <w:color w:val="auto"/>
                      <w:kern w:val="0"/>
                      <w:szCs w:val="21"/>
                      <w:highlight w:val="none"/>
                    </w:rPr>
                    <w:t xml:space="preserve">空气质量持续改善计划》（榕环保综〔2023〕40号），应从源头加强控制，使用低（无）VOCs含量的原辅材料。 </w:t>
                  </w:r>
                </w:p>
                <w:p w14:paraId="2EBCC133">
                  <w:pPr>
                    <w:pStyle w:val="47"/>
                    <w:adjustRightInd w:val="0"/>
                    <w:snapToGrid w:val="0"/>
                    <w:spacing w:line="288" w:lineRule="auto"/>
                    <w:jc w:val="both"/>
                    <w:rPr>
                      <w:bCs/>
                      <w:color w:val="auto"/>
                      <w:kern w:val="0"/>
                      <w:szCs w:val="21"/>
                      <w:highlight w:val="none"/>
                    </w:rPr>
                  </w:pPr>
                  <w:r>
                    <w:rPr>
                      <w:bCs/>
                      <w:color w:val="auto"/>
                      <w:kern w:val="0"/>
                      <w:szCs w:val="21"/>
                      <w:highlight w:val="none"/>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A4C9E97">
                  <w:pPr>
                    <w:pStyle w:val="47"/>
                    <w:adjustRightInd w:val="0"/>
                    <w:snapToGrid w:val="0"/>
                    <w:spacing w:line="288" w:lineRule="auto"/>
                    <w:jc w:val="both"/>
                    <w:rPr>
                      <w:bCs/>
                      <w:color w:val="auto"/>
                      <w:kern w:val="0"/>
                      <w:szCs w:val="21"/>
                      <w:highlight w:val="none"/>
                    </w:rPr>
                  </w:pPr>
                  <w:r>
                    <w:rPr>
                      <w:bCs/>
                      <w:color w:val="auto"/>
                      <w:kern w:val="0"/>
                      <w:szCs w:val="21"/>
                      <w:highlight w:val="none"/>
                    </w:rPr>
                    <w:t>4.氟化工、印染、电镀等行业企业实行水污染物特别排放限值。</w:t>
                  </w:r>
                </w:p>
                <w:p w14:paraId="086CD143">
                  <w:pPr>
                    <w:pStyle w:val="47"/>
                    <w:adjustRightInd w:val="0"/>
                    <w:snapToGrid w:val="0"/>
                    <w:spacing w:line="288" w:lineRule="auto"/>
                    <w:jc w:val="both"/>
                    <w:rPr>
                      <w:bCs/>
                      <w:color w:val="auto"/>
                      <w:kern w:val="0"/>
                      <w:szCs w:val="21"/>
                      <w:highlight w:val="none"/>
                    </w:rPr>
                  </w:pPr>
                  <w:r>
                    <w:rPr>
                      <w:bCs/>
                      <w:color w:val="auto"/>
                      <w:kern w:val="0"/>
                      <w:szCs w:val="21"/>
                      <w:highlight w:val="none"/>
                    </w:rPr>
                    <w:t>5.新、改、扩建重点行业</w:t>
                  </w:r>
                  <w:r>
                    <w:rPr>
                      <w:bCs/>
                      <w:color w:val="auto"/>
                      <w:kern w:val="0"/>
                      <w:szCs w:val="21"/>
                      <w:highlight w:val="none"/>
                      <w:vertAlign w:val="superscript"/>
                    </w:rPr>
                    <w:t>［2］</w:t>
                  </w:r>
                  <w:r>
                    <w:rPr>
                      <w:bCs/>
                      <w:color w:val="auto"/>
                      <w:kern w:val="0"/>
                      <w:szCs w:val="21"/>
                      <w:highlight w:val="none"/>
                    </w:rPr>
                    <w:t>建设项目要遵循重点重金属污染物排放</w:t>
                  </w:r>
                  <w:r>
                    <w:rPr>
                      <w:rFonts w:hint="eastAsia"/>
                      <w:bCs/>
                      <w:color w:val="auto"/>
                      <w:kern w:val="0"/>
                      <w:szCs w:val="21"/>
                      <w:highlight w:val="none"/>
                      <w:lang w:eastAsia="zh-CN"/>
                    </w:rPr>
                    <w:t>“</w:t>
                  </w:r>
                  <w:r>
                    <w:rPr>
                      <w:bCs/>
                      <w:color w:val="auto"/>
                      <w:kern w:val="0"/>
                      <w:szCs w:val="21"/>
                      <w:highlight w:val="none"/>
                    </w:rPr>
                    <w:t>等量替代</w:t>
                  </w:r>
                  <w:r>
                    <w:rPr>
                      <w:rFonts w:hint="eastAsia"/>
                      <w:bCs/>
                      <w:color w:val="auto"/>
                      <w:kern w:val="0"/>
                      <w:szCs w:val="21"/>
                      <w:highlight w:val="none"/>
                      <w:lang w:eastAsia="zh-CN"/>
                    </w:rPr>
                    <w:t>”</w:t>
                  </w:r>
                  <w:r>
                    <w:rPr>
                      <w:bCs/>
                      <w:color w:val="auto"/>
                      <w:kern w:val="0"/>
                      <w:szCs w:val="21"/>
                      <w:highlight w:val="none"/>
                    </w:rPr>
                    <w:t>原则，总量来源原则上应是同一重点行业内的削减量，当同一重点行业无法满足时可从其他重点行业调剂。</w:t>
                  </w:r>
                </w:p>
                <w:p w14:paraId="51A4B8FA">
                  <w:pPr>
                    <w:pStyle w:val="47"/>
                    <w:adjustRightInd w:val="0"/>
                    <w:snapToGrid w:val="0"/>
                    <w:spacing w:line="288" w:lineRule="auto"/>
                    <w:jc w:val="both"/>
                    <w:rPr>
                      <w:bCs/>
                      <w:color w:val="auto"/>
                      <w:kern w:val="0"/>
                      <w:szCs w:val="21"/>
                      <w:highlight w:val="none"/>
                    </w:rPr>
                  </w:pPr>
                  <w:r>
                    <w:rPr>
                      <w:bCs/>
                      <w:color w:val="auto"/>
                      <w:kern w:val="0"/>
                      <w:szCs w:val="21"/>
                      <w:highlight w:val="none"/>
                    </w:rPr>
                    <w:t>6.每小时35（含）—65蒸吨燃煤锅炉和位于县级及以上城市建成区内保留的燃煤、燃油、燃生物质锅炉，原则上2024年底前必须全面实现超低排放。</w:t>
                  </w:r>
                </w:p>
                <w:p w14:paraId="37592D28">
                  <w:pPr>
                    <w:pStyle w:val="47"/>
                    <w:adjustRightInd w:val="0"/>
                    <w:snapToGrid w:val="0"/>
                    <w:spacing w:line="288" w:lineRule="auto"/>
                    <w:jc w:val="both"/>
                    <w:rPr>
                      <w:bCs/>
                      <w:color w:val="auto"/>
                      <w:kern w:val="0"/>
                      <w:szCs w:val="21"/>
                      <w:highlight w:val="none"/>
                    </w:rPr>
                  </w:pPr>
                  <w:r>
                    <w:rPr>
                      <w:bCs/>
                      <w:color w:val="auto"/>
                      <w:kern w:val="0"/>
                      <w:szCs w:val="21"/>
                      <w:highlight w:val="none"/>
                    </w:rPr>
                    <w:t>7.水泥行业新改扩建项目严格对照超低排放、能效标杆水平建设实施；现有项目超低排放改造应按文件（闽环规〔2023〕2号）的时限要求分步推进，2025年底前全面完成</w:t>
                  </w:r>
                  <w:r>
                    <w:rPr>
                      <w:bCs/>
                      <w:color w:val="auto"/>
                      <w:kern w:val="0"/>
                      <w:szCs w:val="21"/>
                      <w:highlight w:val="none"/>
                      <w:vertAlign w:val="superscript"/>
                    </w:rPr>
                    <w:t>［3］［4］</w:t>
                  </w:r>
                  <w:r>
                    <w:rPr>
                      <w:bCs/>
                      <w:color w:val="auto"/>
                      <w:kern w:val="0"/>
                      <w:szCs w:val="21"/>
                      <w:highlight w:val="none"/>
                    </w:rPr>
                    <w:t>。</w:t>
                  </w:r>
                </w:p>
                <w:p w14:paraId="7326254E">
                  <w:pPr>
                    <w:pStyle w:val="47"/>
                    <w:adjustRightInd w:val="0"/>
                    <w:snapToGrid w:val="0"/>
                    <w:spacing w:line="288" w:lineRule="auto"/>
                    <w:jc w:val="both"/>
                    <w:rPr>
                      <w:bCs/>
                      <w:color w:val="auto"/>
                      <w:kern w:val="0"/>
                      <w:szCs w:val="21"/>
                      <w:highlight w:val="none"/>
                    </w:rPr>
                  </w:pPr>
                  <w:r>
                    <w:rPr>
                      <w:bCs/>
                      <w:color w:val="auto"/>
                      <w:kern w:val="0"/>
                      <w:szCs w:val="21"/>
                      <w:highlight w:val="none"/>
                    </w:rPr>
                    <w:t>8.化工园区新建项目实施</w:t>
                  </w:r>
                  <w:r>
                    <w:rPr>
                      <w:rFonts w:hint="eastAsia"/>
                      <w:bCs/>
                      <w:color w:val="auto"/>
                      <w:kern w:val="0"/>
                      <w:szCs w:val="21"/>
                      <w:highlight w:val="none"/>
                      <w:lang w:eastAsia="zh-CN"/>
                    </w:rPr>
                    <w:t>“</w:t>
                  </w:r>
                  <w:r>
                    <w:rPr>
                      <w:bCs/>
                      <w:color w:val="auto"/>
                      <w:kern w:val="0"/>
                      <w:szCs w:val="21"/>
                      <w:highlight w:val="none"/>
                    </w:rPr>
                    <w:t>禁限控</w:t>
                  </w:r>
                  <w:r>
                    <w:rPr>
                      <w:rFonts w:hint="eastAsia"/>
                      <w:bCs/>
                      <w:color w:val="auto"/>
                      <w:kern w:val="0"/>
                      <w:szCs w:val="21"/>
                      <w:highlight w:val="none"/>
                      <w:lang w:eastAsia="zh-CN"/>
                    </w:rPr>
                    <w:t>”</w:t>
                  </w:r>
                  <w:r>
                    <w:rPr>
                      <w:bCs/>
                      <w:color w:val="auto"/>
                      <w:kern w:val="0"/>
                      <w:szCs w:val="21"/>
                      <w:highlight w:val="none"/>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306" w:type="pct"/>
                  <w:vAlign w:val="center"/>
                </w:tcPr>
                <w:p w14:paraId="6F5CA839">
                  <w:pPr>
                    <w:pStyle w:val="47"/>
                    <w:adjustRightInd w:val="0"/>
                    <w:snapToGrid w:val="0"/>
                    <w:spacing w:line="288" w:lineRule="auto"/>
                    <w:jc w:val="both"/>
                    <w:rPr>
                      <w:rFonts w:hint="eastAsia"/>
                      <w:bCs/>
                      <w:color w:val="auto"/>
                      <w:szCs w:val="21"/>
                      <w:highlight w:val="none"/>
                      <w:lang w:val="en-US" w:eastAsia="zh-CN"/>
                    </w:rPr>
                  </w:pPr>
                  <w:r>
                    <w:rPr>
                      <w:rFonts w:hint="eastAsia"/>
                      <w:bCs/>
                      <w:color w:val="auto"/>
                      <w:szCs w:val="21"/>
                      <w:highlight w:val="none"/>
                      <w:lang w:val="en-US" w:eastAsia="zh-CN"/>
                    </w:rPr>
                    <w:t>1.项目生产废水循环使用，不外排；生活污水通过化粪池处理后纳入市政污水管网，由大学城污水处理厂集中处理，排放总量指标应符合区域环境质量和总量控制要求。</w:t>
                  </w:r>
                </w:p>
                <w:p w14:paraId="19721002">
                  <w:pPr>
                    <w:pStyle w:val="47"/>
                    <w:adjustRightInd w:val="0"/>
                    <w:snapToGrid w:val="0"/>
                    <w:spacing w:line="288" w:lineRule="auto"/>
                    <w:jc w:val="both"/>
                    <w:rPr>
                      <w:rFonts w:hint="eastAsia"/>
                      <w:bCs/>
                      <w:color w:val="auto"/>
                      <w:szCs w:val="21"/>
                      <w:highlight w:val="none"/>
                      <w:lang w:val="en-US" w:eastAsia="zh-CN"/>
                    </w:rPr>
                  </w:pPr>
                  <w:r>
                    <w:rPr>
                      <w:rFonts w:hint="eastAsia"/>
                      <w:bCs/>
                      <w:color w:val="auto"/>
                      <w:szCs w:val="21"/>
                      <w:highlight w:val="none"/>
                      <w:lang w:val="en-US" w:eastAsia="zh-CN"/>
                    </w:rPr>
                    <w:t>2.</w:t>
                  </w:r>
                  <w:r>
                    <w:rPr>
                      <w:rFonts w:hint="default" w:ascii="Times New Roman" w:hAnsi="Times New Roman" w:eastAsia="宋体" w:cs="Times New Roman"/>
                      <w:bCs/>
                      <w:color w:val="auto"/>
                      <w:kern w:val="0"/>
                      <w:sz w:val="21"/>
                      <w:szCs w:val="21"/>
                      <w:highlight w:val="none"/>
                      <w:lang w:val="en-US" w:eastAsia="zh-CN"/>
                    </w:rPr>
                    <w:t>项目使用低VOCs含量原辅材料，且使用量较少</w:t>
                  </w:r>
                  <w:r>
                    <w:rPr>
                      <w:rFonts w:hint="eastAsia" w:ascii="Times New Roman" w:hAnsi="Times New Roman" w:eastAsia="宋体" w:cs="Times New Roman"/>
                      <w:bCs/>
                      <w:color w:val="auto"/>
                      <w:kern w:val="0"/>
                      <w:sz w:val="21"/>
                      <w:szCs w:val="21"/>
                      <w:highlight w:val="none"/>
                      <w:lang w:val="en-US" w:eastAsia="zh-CN"/>
                    </w:rPr>
                    <w:t>，</w:t>
                  </w:r>
                  <w:r>
                    <w:rPr>
                      <w:rFonts w:hint="eastAsia"/>
                      <w:bCs/>
                      <w:color w:val="auto"/>
                      <w:szCs w:val="21"/>
                      <w:highlight w:val="none"/>
                      <w:lang w:val="en-US" w:eastAsia="zh-CN"/>
                    </w:rPr>
                    <w:t>对周边环境影响较小，符合污染物排放管控。</w:t>
                  </w:r>
                </w:p>
                <w:p w14:paraId="026E86B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lang w:val="en-US"/>
                    </w:rPr>
                  </w:pPr>
                  <w:r>
                    <w:rPr>
                      <w:rFonts w:hint="default"/>
                      <w:color w:val="auto"/>
                      <w:sz w:val="21"/>
                      <w:szCs w:val="21"/>
                      <w:highlight w:val="none"/>
                      <w:lang w:val="en-US" w:eastAsia="zh-CN"/>
                    </w:rPr>
                    <w:t>3-4.项目不涉及钢铁、水泥、平板玻璃、有色金属冶炼、化工、氟化工、印染、电镀等行业；5.项目不涉及重金属污染物排放；6-8.项目不涉及锅炉使用，不涉及水泥及化工行业，且项目所在地不属于化工园区。</w:t>
                  </w:r>
                </w:p>
              </w:tc>
            </w:tr>
            <w:tr w14:paraId="26E1A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8" w:type="pct"/>
                  <w:vMerge w:val="continue"/>
                  <w:vAlign w:val="center"/>
                </w:tcPr>
                <w:p w14:paraId="7ECFD9AD">
                  <w:pPr>
                    <w:pStyle w:val="47"/>
                    <w:rPr>
                      <w:bCs/>
                      <w:color w:val="auto"/>
                      <w:szCs w:val="21"/>
                    </w:rPr>
                  </w:pPr>
                </w:p>
              </w:tc>
              <w:tc>
                <w:tcPr>
                  <w:tcW w:w="241" w:type="pct"/>
                  <w:vAlign w:val="center"/>
                </w:tcPr>
                <w:p w14:paraId="06DECDBE">
                  <w:pPr>
                    <w:pStyle w:val="47"/>
                    <w:adjustRightInd w:val="0"/>
                    <w:snapToGrid w:val="0"/>
                    <w:spacing w:line="240" w:lineRule="auto"/>
                    <w:rPr>
                      <w:bCs/>
                      <w:color w:val="auto"/>
                      <w:szCs w:val="21"/>
                    </w:rPr>
                  </w:pPr>
                  <w:r>
                    <w:rPr>
                      <w:bCs/>
                      <w:color w:val="auto"/>
                      <w:szCs w:val="21"/>
                    </w:rPr>
                    <w:t>资源开发效率要求</w:t>
                  </w:r>
                </w:p>
              </w:tc>
              <w:tc>
                <w:tcPr>
                  <w:tcW w:w="2843" w:type="pct"/>
                  <w:vAlign w:val="center"/>
                </w:tcPr>
                <w:p w14:paraId="2C87AA4C">
                  <w:pPr>
                    <w:pStyle w:val="47"/>
                    <w:adjustRightInd w:val="0"/>
                    <w:snapToGrid w:val="0"/>
                    <w:spacing w:line="288" w:lineRule="auto"/>
                    <w:jc w:val="both"/>
                    <w:rPr>
                      <w:bCs/>
                      <w:color w:val="auto"/>
                      <w:kern w:val="0"/>
                      <w:szCs w:val="21"/>
                    </w:rPr>
                  </w:pPr>
                  <w:r>
                    <w:rPr>
                      <w:bCs/>
                      <w:color w:val="auto"/>
                      <w:kern w:val="0"/>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6B9CE8E5">
                  <w:pPr>
                    <w:pStyle w:val="47"/>
                    <w:adjustRightInd w:val="0"/>
                    <w:snapToGrid w:val="0"/>
                    <w:spacing w:line="288" w:lineRule="auto"/>
                    <w:jc w:val="both"/>
                    <w:rPr>
                      <w:bCs/>
                      <w:color w:val="auto"/>
                      <w:kern w:val="0"/>
                      <w:szCs w:val="21"/>
                    </w:rPr>
                  </w:pPr>
                  <w:r>
                    <w:rPr>
                      <w:bCs/>
                      <w:color w:val="auto"/>
                      <w:kern w:val="0"/>
                      <w:szCs w:val="21"/>
                    </w:rPr>
                    <w:t>2.按照</w:t>
                  </w:r>
                  <w:r>
                    <w:rPr>
                      <w:rFonts w:hint="eastAsia"/>
                      <w:bCs/>
                      <w:color w:val="auto"/>
                      <w:kern w:val="0"/>
                      <w:szCs w:val="21"/>
                      <w:lang w:eastAsia="zh-CN"/>
                    </w:rPr>
                    <w:t>“</w:t>
                  </w:r>
                  <w:r>
                    <w:rPr>
                      <w:bCs/>
                      <w:color w:val="auto"/>
                      <w:kern w:val="0"/>
                      <w:szCs w:val="21"/>
                    </w:rPr>
                    <w:t>提气、转电、控煤</w:t>
                  </w:r>
                  <w:r>
                    <w:rPr>
                      <w:rFonts w:hint="eastAsia"/>
                      <w:bCs/>
                      <w:color w:val="auto"/>
                      <w:kern w:val="0"/>
                      <w:szCs w:val="21"/>
                      <w:lang w:eastAsia="zh-CN"/>
                    </w:rPr>
                    <w:t>”</w:t>
                  </w:r>
                  <w:r>
                    <w:rPr>
                      <w:bCs/>
                      <w:color w:val="auto"/>
                      <w:kern w:val="0"/>
                      <w:szCs w:val="21"/>
                    </w:rPr>
                    <w:t>的发展思路，推动陶瓷行业进一步优化用能结构，实现能源消费清洁低碳化。</w:t>
                  </w:r>
                </w:p>
              </w:tc>
              <w:tc>
                <w:tcPr>
                  <w:tcW w:w="1306" w:type="pct"/>
                  <w:vAlign w:val="center"/>
                </w:tcPr>
                <w:p w14:paraId="7D9F775F">
                  <w:pPr>
                    <w:pStyle w:val="47"/>
                    <w:adjustRightInd w:val="0"/>
                    <w:snapToGrid w:val="0"/>
                    <w:spacing w:line="288" w:lineRule="auto"/>
                    <w:jc w:val="both"/>
                    <w:rPr>
                      <w:bCs/>
                      <w:color w:val="auto"/>
                      <w:szCs w:val="21"/>
                    </w:rPr>
                  </w:pPr>
                  <w:r>
                    <w:rPr>
                      <w:bCs/>
                      <w:color w:val="auto"/>
                      <w:szCs w:val="21"/>
                    </w:rPr>
                    <w:t>1.项目不涉及燃煤、燃油、燃生物质等高污染燃料锅炉的使用；</w:t>
                  </w:r>
                </w:p>
                <w:p w14:paraId="69B38426">
                  <w:pPr>
                    <w:pStyle w:val="47"/>
                    <w:adjustRightInd w:val="0"/>
                    <w:snapToGrid w:val="0"/>
                    <w:spacing w:line="288" w:lineRule="auto"/>
                    <w:jc w:val="both"/>
                    <w:rPr>
                      <w:bCs/>
                      <w:color w:val="auto"/>
                      <w:szCs w:val="21"/>
                    </w:rPr>
                  </w:pPr>
                  <w:r>
                    <w:rPr>
                      <w:bCs/>
                      <w:color w:val="auto"/>
                      <w:szCs w:val="21"/>
                    </w:rPr>
                    <w:t>2.项目不属于陶瓷行业</w:t>
                  </w:r>
                </w:p>
              </w:tc>
            </w:tr>
          </w:tbl>
          <w:p w14:paraId="39543047">
            <w:pPr>
              <w:pStyle w:val="49"/>
              <w:widowControl w:val="0"/>
              <w:spacing w:line="240" w:lineRule="auto"/>
              <w:ind w:firstLine="0" w:firstLineChars="0"/>
              <w:jc w:val="center"/>
              <w:rPr>
                <w:b/>
                <w:color w:val="auto"/>
                <w:szCs w:val="21"/>
              </w:rPr>
            </w:pPr>
            <w:r>
              <w:rPr>
                <w:b/>
                <w:bCs/>
                <w:color w:val="auto"/>
              </w:rPr>
              <w:t>表1</w:t>
            </w:r>
            <w:r>
              <w:rPr>
                <w:rFonts w:hint="eastAsia"/>
                <w:b/>
                <w:bCs/>
                <w:color w:val="auto"/>
              </w:rPr>
              <w:t>.9</w:t>
            </w:r>
            <w:r>
              <w:rPr>
                <w:b/>
                <w:bCs/>
                <w:color w:val="auto"/>
              </w:rPr>
              <w:t>-</w:t>
            </w:r>
            <w:r>
              <w:rPr>
                <w:rFonts w:hint="eastAsia"/>
                <w:b/>
                <w:bCs/>
                <w:color w:val="auto"/>
              </w:rPr>
              <w:t>2</w:t>
            </w:r>
            <w:r>
              <w:rPr>
                <w:b/>
                <w:bCs/>
                <w:color w:val="auto"/>
              </w:rPr>
              <w:t xml:space="preserve">  项目与</w:t>
            </w:r>
            <w:r>
              <w:rPr>
                <w:rFonts w:hint="eastAsia"/>
                <w:b/>
                <w:bCs/>
                <w:color w:val="auto"/>
              </w:rPr>
              <w:t>高新区</w:t>
            </w:r>
            <w:r>
              <w:rPr>
                <w:b/>
                <w:bCs/>
                <w:color w:val="auto"/>
              </w:rPr>
              <w:t>生态环境准入清单符合性分析</w:t>
            </w:r>
          </w:p>
          <w:tbl>
            <w:tblPr>
              <w:tblStyle w:val="30"/>
              <w:tblW w:w="68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55"/>
              <w:gridCol w:w="463"/>
              <w:gridCol w:w="535"/>
              <w:gridCol w:w="2747"/>
              <w:gridCol w:w="1450"/>
              <w:gridCol w:w="575"/>
            </w:tblGrid>
            <w:tr w14:paraId="7068A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02" w:type="dxa"/>
                  <w:tcBorders>
                    <w:tl2br w:val="nil"/>
                    <w:tr2bl w:val="nil"/>
                  </w:tcBorders>
                  <w:vAlign w:val="center"/>
                </w:tcPr>
                <w:p w14:paraId="6DCCF5B9">
                  <w:pPr>
                    <w:pStyle w:val="40"/>
                    <w:rPr>
                      <w:color w:val="auto"/>
                      <w:sz w:val="21"/>
                      <w:szCs w:val="21"/>
                    </w:rPr>
                  </w:pPr>
                  <w:r>
                    <w:rPr>
                      <w:color w:val="auto"/>
                      <w:sz w:val="21"/>
                      <w:szCs w:val="21"/>
                    </w:rPr>
                    <w:t>环境管控单元编码</w:t>
                  </w:r>
                </w:p>
              </w:tc>
              <w:tc>
                <w:tcPr>
                  <w:tcW w:w="355" w:type="dxa"/>
                  <w:tcBorders>
                    <w:tl2br w:val="nil"/>
                    <w:tr2bl w:val="nil"/>
                  </w:tcBorders>
                  <w:vAlign w:val="center"/>
                </w:tcPr>
                <w:p w14:paraId="6AFBA38E">
                  <w:pPr>
                    <w:pStyle w:val="40"/>
                    <w:ind w:right="-50" w:rightChars="-21"/>
                    <w:rPr>
                      <w:color w:val="auto"/>
                      <w:sz w:val="21"/>
                      <w:szCs w:val="21"/>
                    </w:rPr>
                  </w:pPr>
                  <w:r>
                    <w:rPr>
                      <w:color w:val="auto"/>
                      <w:sz w:val="21"/>
                      <w:szCs w:val="21"/>
                    </w:rPr>
                    <w:t>环境管控单元名称</w:t>
                  </w:r>
                </w:p>
              </w:tc>
              <w:tc>
                <w:tcPr>
                  <w:tcW w:w="463" w:type="dxa"/>
                  <w:tcBorders>
                    <w:tl2br w:val="nil"/>
                    <w:tr2bl w:val="nil"/>
                  </w:tcBorders>
                  <w:vAlign w:val="center"/>
                </w:tcPr>
                <w:p w14:paraId="52BE6769">
                  <w:pPr>
                    <w:pStyle w:val="40"/>
                    <w:jc w:val="both"/>
                    <w:rPr>
                      <w:color w:val="auto"/>
                      <w:sz w:val="21"/>
                      <w:szCs w:val="21"/>
                    </w:rPr>
                  </w:pPr>
                  <w:r>
                    <w:rPr>
                      <w:color w:val="auto"/>
                      <w:sz w:val="21"/>
                      <w:szCs w:val="21"/>
                    </w:rPr>
                    <w:t>管控单元类别</w:t>
                  </w:r>
                </w:p>
              </w:tc>
              <w:tc>
                <w:tcPr>
                  <w:tcW w:w="3282" w:type="dxa"/>
                  <w:gridSpan w:val="2"/>
                  <w:tcBorders>
                    <w:tl2br w:val="nil"/>
                    <w:tr2bl w:val="nil"/>
                  </w:tcBorders>
                  <w:vAlign w:val="center"/>
                </w:tcPr>
                <w:p w14:paraId="6D92057A">
                  <w:pPr>
                    <w:pStyle w:val="40"/>
                    <w:rPr>
                      <w:color w:val="auto"/>
                      <w:sz w:val="21"/>
                      <w:szCs w:val="21"/>
                    </w:rPr>
                  </w:pPr>
                  <w:r>
                    <w:rPr>
                      <w:color w:val="auto"/>
                      <w:sz w:val="21"/>
                      <w:szCs w:val="21"/>
                    </w:rPr>
                    <w:t>管控要求</w:t>
                  </w:r>
                </w:p>
              </w:tc>
              <w:tc>
                <w:tcPr>
                  <w:tcW w:w="1450" w:type="dxa"/>
                  <w:tcBorders>
                    <w:tl2br w:val="nil"/>
                    <w:tr2bl w:val="nil"/>
                  </w:tcBorders>
                  <w:vAlign w:val="center"/>
                </w:tcPr>
                <w:p w14:paraId="15E90D76">
                  <w:pPr>
                    <w:pStyle w:val="40"/>
                    <w:rPr>
                      <w:color w:val="auto"/>
                      <w:sz w:val="21"/>
                      <w:szCs w:val="21"/>
                    </w:rPr>
                  </w:pPr>
                  <w:r>
                    <w:rPr>
                      <w:color w:val="auto"/>
                      <w:sz w:val="21"/>
                      <w:szCs w:val="21"/>
                    </w:rPr>
                    <w:t>项目情况</w:t>
                  </w:r>
                </w:p>
              </w:tc>
              <w:tc>
                <w:tcPr>
                  <w:tcW w:w="575" w:type="dxa"/>
                  <w:tcBorders>
                    <w:tl2br w:val="nil"/>
                    <w:tr2bl w:val="nil"/>
                  </w:tcBorders>
                  <w:vAlign w:val="center"/>
                </w:tcPr>
                <w:p w14:paraId="28B63053">
                  <w:pPr>
                    <w:pStyle w:val="40"/>
                    <w:rPr>
                      <w:color w:val="auto"/>
                      <w:sz w:val="21"/>
                      <w:szCs w:val="21"/>
                    </w:rPr>
                  </w:pPr>
                  <w:r>
                    <w:rPr>
                      <w:color w:val="auto"/>
                      <w:sz w:val="21"/>
                      <w:szCs w:val="21"/>
                    </w:rPr>
                    <w:t>符合性</w:t>
                  </w:r>
                </w:p>
              </w:tc>
            </w:tr>
            <w:tr w14:paraId="0B949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6" w:hRule="atLeast"/>
                <w:jc w:val="center"/>
              </w:trPr>
              <w:tc>
                <w:tcPr>
                  <w:tcW w:w="702" w:type="dxa"/>
                  <w:vMerge w:val="restart"/>
                  <w:tcBorders>
                    <w:tl2br w:val="nil"/>
                    <w:tr2bl w:val="nil"/>
                  </w:tcBorders>
                  <w:vAlign w:val="center"/>
                </w:tcPr>
                <w:p w14:paraId="7AABCE5A">
                  <w:pPr>
                    <w:pStyle w:val="40"/>
                    <w:rPr>
                      <w:color w:val="auto"/>
                      <w:sz w:val="21"/>
                      <w:szCs w:val="21"/>
                    </w:rPr>
                  </w:pPr>
                  <w:r>
                    <w:rPr>
                      <w:rFonts w:hint="eastAsia"/>
                      <w:color w:val="auto"/>
                      <w:sz w:val="21"/>
                      <w:szCs w:val="21"/>
                    </w:rPr>
                    <w:t>ZH35012120002</w:t>
                  </w:r>
                </w:p>
              </w:tc>
              <w:tc>
                <w:tcPr>
                  <w:tcW w:w="355" w:type="dxa"/>
                  <w:vMerge w:val="restart"/>
                  <w:tcBorders>
                    <w:tl2br w:val="nil"/>
                    <w:tr2bl w:val="nil"/>
                  </w:tcBorders>
                  <w:vAlign w:val="center"/>
                </w:tcPr>
                <w:p w14:paraId="2C183D2C">
                  <w:pPr>
                    <w:pStyle w:val="40"/>
                    <w:rPr>
                      <w:color w:val="auto"/>
                      <w:sz w:val="21"/>
                      <w:szCs w:val="21"/>
                    </w:rPr>
                  </w:pPr>
                  <w:r>
                    <w:rPr>
                      <w:color w:val="auto"/>
                      <w:sz w:val="21"/>
                      <w:szCs w:val="21"/>
                    </w:rPr>
                    <w:t>福州市生物医药和机电产业园</w:t>
                  </w:r>
                </w:p>
              </w:tc>
              <w:tc>
                <w:tcPr>
                  <w:tcW w:w="463" w:type="dxa"/>
                  <w:vMerge w:val="restart"/>
                  <w:tcBorders>
                    <w:tl2br w:val="nil"/>
                    <w:tr2bl w:val="nil"/>
                  </w:tcBorders>
                  <w:vAlign w:val="center"/>
                </w:tcPr>
                <w:p w14:paraId="38EF78CF">
                  <w:pPr>
                    <w:pStyle w:val="40"/>
                    <w:jc w:val="both"/>
                    <w:rPr>
                      <w:color w:val="auto"/>
                      <w:sz w:val="21"/>
                      <w:szCs w:val="21"/>
                    </w:rPr>
                  </w:pPr>
                  <w:r>
                    <w:rPr>
                      <w:color w:val="auto"/>
                      <w:sz w:val="21"/>
                      <w:szCs w:val="21"/>
                    </w:rPr>
                    <w:t>重点管控单元</w:t>
                  </w:r>
                </w:p>
              </w:tc>
              <w:tc>
                <w:tcPr>
                  <w:tcW w:w="535" w:type="dxa"/>
                  <w:tcBorders>
                    <w:tl2br w:val="nil"/>
                    <w:tr2bl w:val="nil"/>
                  </w:tcBorders>
                  <w:vAlign w:val="center"/>
                </w:tcPr>
                <w:p w14:paraId="55FA5D0A">
                  <w:pPr>
                    <w:pStyle w:val="50"/>
                    <w:tabs>
                      <w:tab w:val="left" w:pos="-2848"/>
                    </w:tabs>
                    <w:rPr>
                      <w:color w:val="auto"/>
                      <w:szCs w:val="21"/>
                    </w:rPr>
                  </w:pPr>
                  <w:r>
                    <w:rPr>
                      <w:color w:val="auto"/>
                      <w:szCs w:val="21"/>
                    </w:rPr>
                    <w:t>空间布局约束</w:t>
                  </w:r>
                </w:p>
              </w:tc>
              <w:tc>
                <w:tcPr>
                  <w:tcW w:w="2747" w:type="dxa"/>
                  <w:tcBorders>
                    <w:tl2br w:val="nil"/>
                    <w:tr2bl w:val="nil"/>
                  </w:tcBorders>
                  <w:vAlign w:val="center"/>
                </w:tcPr>
                <w:p w14:paraId="00D0192F">
                  <w:pPr>
                    <w:spacing w:line="288" w:lineRule="auto"/>
                    <w:rPr>
                      <w:color w:val="auto"/>
                      <w:sz w:val="21"/>
                      <w:szCs w:val="21"/>
                    </w:rPr>
                  </w:pPr>
                  <w:r>
                    <w:rPr>
                      <w:rFonts w:hint="eastAsia"/>
                      <w:color w:val="auto"/>
                      <w:sz w:val="21"/>
                      <w:szCs w:val="21"/>
                    </w:rPr>
                    <w:t>1.除配套的久策气体项目和国电金山分布式能源站项目外，禁止其他化工和能源项目入园。</w:t>
                  </w:r>
                </w:p>
                <w:p w14:paraId="4A62DDAA">
                  <w:pPr>
                    <w:spacing w:line="288" w:lineRule="auto"/>
                    <w:rPr>
                      <w:color w:val="auto"/>
                      <w:sz w:val="21"/>
                      <w:szCs w:val="21"/>
                    </w:rPr>
                  </w:pPr>
                  <w:r>
                    <w:rPr>
                      <w:rFonts w:hint="eastAsia"/>
                      <w:color w:val="auto"/>
                      <w:sz w:val="21"/>
                      <w:szCs w:val="21"/>
                    </w:rPr>
                    <w:t>2.生物医药产业限制产生恶臭的行业入驻；禁止引入水污染严重型产业。</w:t>
                  </w:r>
                </w:p>
                <w:p w14:paraId="4DDEA870">
                  <w:pPr>
                    <w:spacing w:line="288" w:lineRule="auto"/>
                    <w:rPr>
                      <w:color w:val="auto"/>
                      <w:kern w:val="0"/>
                      <w:sz w:val="21"/>
                      <w:szCs w:val="21"/>
                    </w:rPr>
                  </w:pPr>
                  <w:r>
                    <w:rPr>
                      <w:rFonts w:hint="eastAsia"/>
                      <w:color w:val="auto"/>
                      <w:sz w:val="21"/>
                      <w:szCs w:val="21"/>
                    </w:rPr>
                    <w:t>3.居住用地周边禁止布局潜在废气扰民的建设项目。</w:t>
                  </w:r>
                </w:p>
              </w:tc>
              <w:tc>
                <w:tcPr>
                  <w:tcW w:w="1450" w:type="dxa"/>
                  <w:tcBorders>
                    <w:tl2br w:val="nil"/>
                    <w:tr2bl w:val="nil"/>
                  </w:tcBorders>
                  <w:vAlign w:val="center"/>
                </w:tcPr>
                <w:p w14:paraId="71F0A248">
                  <w:pPr>
                    <w:spacing w:line="288" w:lineRule="auto"/>
                    <w:rPr>
                      <w:color w:val="auto"/>
                      <w:sz w:val="21"/>
                      <w:szCs w:val="21"/>
                    </w:rPr>
                  </w:pPr>
                  <w:r>
                    <w:rPr>
                      <w:rFonts w:hint="eastAsia"/>
                      <w:color w:val="auto"/>
                      <w:sz w:val="21"/>
                      <w:szCs w:val="21"/>
                    </w:rPr>
                    <w:t>项目不涉及化工、能源、恶臭、水污染重型、潜在废气扰民。符合</w:t>
                  </w:r>
                </w:p>
                <w:p w14:paraId="378E9CF1">
                  <w:pPr>
                    <w:pStyle w:val="50"/>
                    <w:tabs>
                      <w:tab w:val="left" w:pos="-2848"/>
                    </w:tabs>
                    <w:spacing w:line="288" w:lineRule="auto"/>
                    <w:jc w:val="both"/>
                    <w:rPr>
                      <w:color w:val="auto"/>
                      <w:szCs w:val="21"/>
                    </w:rPr>
                  </w:pPr>
                </w:p>
              </w:tc>
              <w:tc>
                <w:tcPr>
                  <w:tcW w:w="575" w:type="dxa"/>
                  <w:tcBorders>
                    <w:tl2br w:val="nil"/>
                    <w:tr2bl w:val="nil"/>
                  </w:tcBorders>
                  <w:vAlign w:val="center"/>
                </w:tcPr>
                <w:p w14:paraId="75279BE5">
                  <w:pPr>
                    <w:pStyle w:val="50"/>
                    <w:tabs>
                      <w:tab w:val="left" w:pos="-2848"/>
                    </w:tabs>
                    <w:rPr>
                      <w:color w:val="auto"/>
                      <w:szCs w:val="21"/>
                    </w:rPr>
                  </w:pPr>
                  <w:r>
                    <w:rPr>
                      <w:color w:val="auto"/>
                      <w:szCs w:val="21"/>
                    </w:rPr>
                    <w:t>符合</w:t>
                  </w:r>
                </w:p>
              </w:tc>
            </w:tr>
            <w:tr w14:paraId="6A084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2" w:type="dxa"/>
                  <w:vMerge w:val="continue"/>
                  <w:tcBorders>
                    <w:tl2br w:val="nil"/>
                    <w:tr2bl w:val="nil"/>
                  </w:tcBorders>
                  <w:vAlign w:val="center"/>
                </w:tcPr>
                <w:p w14:paraId="5DAF4D79">
                  <w:pPr>
                    <w:pStyle w:val="40"/>
                    <w:rPr>
                      <w:color w:val="auto"/>
                      <w:sz w:val="21"/>
                      <w:szCs w:val="21"/>
                    </w:rPr>
                  </w:pPr>
                </w:p>
              </w:tc>
              <w:tc>
                <w:tcPr>
                  <w:tcW w:w="355" w:type="dxa"/>
                  <w:vMerge w:val="continue"/>
                  <w:tcBorders>
                    <w:tl2br w:val="nil"/>
                    <w:tr2bl w:val="nil"/>
                  </w:tcBorders>
                  <w:vAlign w:val="center"/>
                </w:tcPr>
                <w:p w14:paraId="293BF805">
                  <w:pPr>
                    <w:pStyle w:val="40"/>
                    <w:rPr>
                      <w:color w:val="auto"/>
                      <w:sz w:val="21"/>
                      <w:szCs w:val="21"/>
                    </w:rPr>
                  </w:pPr>
                </w:p>
              </w:tc>
              <w:tc>
                <w:tcPr>
                  <w:tcW w:w="463" w:type="dxa"/>
                  <w:vMerge w:val="continue"/>
                  <w:tcBorders>
                    <w:tl2br w:val="nil"/>
                    <w:tr2bl w:val="nil"/>
                  </w:tcBorders>
                  <w:vAlign w:val="center"/>
                </w:tcPr>
                <w:p w14:paraId="7CA6A238">
                  <w:pPr>
                    <w:pStyle w:val="40"/>
                    <w:rPr>
                      <w:color w:val="auto"/>
                      <w:sz w:val="21"/>
                      <w:szCs w:val="21"/>
                    </w:rPr>
                  </w:pPr>
                </w:p>
              </w:tc>
              <w:tc>
                <w:tcPr>
                  <w:tcW w:w="535" w:type="dxa"/>
                  <w:tcBorders>
                    <w:tl2br w:val="nil"/>
                    <w:tr2bl w:val="nil"/>
                  </w:tcBorders>
                  <w:vAlign w:val="center"/>
                </w:tcPr>
                <w:p w14:paraId="1FAA2659">
                  <w:pPr>
                    <w:pStyle w:val="50"/>
                    <w:tabs>
                      <w:tab w:val="left" w:pos="-2848"/>
                    </w:tabs>
                    <w:rPr>
                      <w:color w:val="auto"/>
                      <w:szCs w:val="21"/>
                    </w:rPr>
                  </w:pPr>
                  <w:r>
                    <w:rPr>
                      <w:color w:val="auto"/>
                      <w:szCs w:val="21"/>
                    </w:rPr>
                    <w:t>污染物排放管控</w:t>
                  </w:r>
                </w:p>
              </w:tc>
              <w:tc>
                <w:tcPr>
                  <w:tcW w:w="2747" w:type="dxa"/>
                  <w:tcBorders>
                    <w:tl2br w:val="nil"/>
                    <w:tr2bl w:val="nil"/>
                  </w:tcBorders>
                  <w:vAlign w:val="center"/>
                </w:tcPr>
                <w:p w14:paraId="5D8DDC4D">
                  <w:pPr>
                    <w:pStyle w:val="50"/>
                    <w:tabs>
                      <w:tab w:val="left" w:pos="-2848"/>
                    </w:tabs>
                    <w:spacing w:line="288" w:lineRule="auto"/>
                    <w:jc w:val="both"/>
                    <w:rPr>
                      <w:color w:val="auto"/>
                      <w:szCs w:val="21"/>
                    </w:rPr>
                  </w:pPr>
                  <w:r>
                    <w:rPr>
                      <w:color w:val="auto"/>
                      <w:szCs w:val="21"/>
                    </w:rPr>
                    <w:t>落实新增VOCs排放总量控制要求。</w:t>
                  </w:r>
                </w:p>
                <w:p w14:paraId="26496A1D">
                  <w:pPr>
                    <w:pStyle w:val="50"/>
                    <w:tabs>
                      <w:tab w:val="left" w:pos="-2848"/>
                    </w:tabs>
                    <w:spacing w:line="288" w:lineRule="auto"/>
                    <w:jc w:val="both"/>
                    <w:rPr>
                      <w:color w:val="auto"/>
                      <w:szCs w:val="21"/>
                    </w:rPr>
                  </w:pPr>
                </w:p>
              </w:tc>
              <w:tc>
                <w:tcPr>
                  <w:tcW w:w="1450" w:type="dxa"/>
                  <w:tcBorders>
                    <w:tl2br w:val="nil"/>
                    <w:tr2bl w:val="nil"/>
                  </w:tcBorders>
                  <w:vAlign w:val="center"/>
                </w:tcPr>
                <w:p w14:paraId="6978A2D7">
                  <w:pPr>
                    <w:pStyle w:val="50"/>
                    <w:tabs>
                      <w:tab w:val="left" w:pos="-2848"/>
                    </w:tabs>
                    <w:spacing w:line="288" w:lineRule="auto"/>
                    <w:jc w:val="both"/>
                    <w:rPr>
                      <w:color w:val="auto"/>
                      <w:szCs w:val="21"/>
                    </w:rPr>
                  </w:pPr>
                  <w:r>
                    <w:rPr>
                      <w:rFonts w:hint="eastAsia"/>
                      <w:color w:val="auto"/>
                      <w:szCs w:val="21"/>
                    </w:rPr>
                    <w:t>项目涉及VOCs排放，实行区域内倍量替代。符合</w:t>
                  </w:r>
                </w:p>
              </w:tc>
              <w:tc>
                <w:tcPr>
                  <w:tcW w:w="575" w:type="dxa"/>
                  <w:tcBorders>
                    <w:tl2br w:val="nil"/>
                    <w:tr2bl w:val="nil"/>
                  </w:tcBorders>
                  <w:vAlign w:val="center"/>
                </w:tcPr>
                <w:p w14:paraId="540BF6CF">
                  <w:pPr>
                    <w:pStyle w:val="50"/>
                    <w:tabs>
                      <w:tab w:val="left" w:pos="-2848"/>
                    </w:tabs>
                    <w:rPr>
                      <w:color w:val="auto"/>
                      <w:szCs w:val="21"/>
                    </w:rPr>
                  </w:pPr>
                  <w:r>
                    <w:rPr>
                      <w:color w:val="auto"/>
                      <w:szCs w:val="21"/>
                    </w:rPr>
                    <w:t>符合</w:t>
                  </w:r>
                </w:p>
              </w:tc>
            </w:tr>
            <w:tr w14:paraId="76E40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2" w:type="dxa"/>
                  <w:vMerge w:val="continue"/>
                  <w:tcBorders>
                    <w:tl2br w:val="nil"/>
                    <w:tr2bl w:val="nil"/>
                  </w:tcBorders>
                  <w:vAlign w:val="center"/>
                </w:tcPr>
                <w:p w14:paraId="59D27207">
                  <w:pPr>
                    <w:pStyle w:val="40"/>
                    <w:rPr>
                      <w:color w:val="auto"/>
                      <w:sz w:val="21"/>
                      <w:szCs w:val="21"/>
                    </w:rPr>
                  </w:pPr>
                </w:p>
              </w:tc>
              <w:tc>
                <w:tcPr>
                  <w:tcW w:w="355" w:type="dxa"/>
                  <w:vMerge w:val="continue"/>
                  <w:tcBorders>
                    <w:tl2br w:val="nil"/>
                    <w:tr2bl w:val="nil"/>
                  </w:tcBorders>
                  <w:vAlign w:val="center"/>
                </w:tcPr>
                <w:p w14:paraId="796D54BA">
                  <w:pPr>
                    <w:pStyle w:val="40"/>
                    <w:rPr>
                      <w:color w:val="auto"/>
                      <w:sz w:val="21"/>
                      <w:szCs w:val="21"/>
                    </w:rPr>
                  </w:pPr>
                </w:p>
              </w:tc>
              <w:tc>
                <w:tcPr>
                  <w:tcW w:w="463" w:type="dxa"/>
                  <w:vMerge w:val="continue"/>
                  <w:tcBorders>
                    <w:tl2br w:val="nil"/>
                    <w:tr2bl w:val="nil"/>
                  </w:tcBorders>
                  <w:vAlign w:val="center"/>
                </w:tcPr>
                <w:p w14:paraId="725849C5">
                  <w:pPr>
                    <w:pStyle w:val="40"/>
                    <w:rPr>
                      <w:color w:val="auto"/>
                      <w:sz w:val="21"/>
                      <w:szCs w:val="21"/>
                    </w:rPr>
                  </w:pPr>
                </w:p>
              </w:tc>
              <w:tc>
                <w:tcPr>
                  <w:tcW w:w="535" w:type="dxa"/>
                  <w:tcBorders>
                    <w:tl2br w:val="nil"/>
                    <w:tr2bl w:val="nil"/>
                  </w:tcBorders>
                  <w:vAlign w:val="center"/>
                </w:tcPr>
                <w:p w14:paraId="4013017A">
                  <w:pPr>
                    <w:pStyle w:val="50"/>
                    <w:tabs>
                      <w:tab w:val="left" w:pos="-2848"/>
                    </w:tabs>
                    <w:rPr>
                      <w:color w:val="auto"/>
                      <w:szCs w:val="21"/>
                    </w:rPr>
                  </w:pPr>
                  <w:r>
                    <w:rPr>
                      <w:color w:val="auto"/>
                      <w:szCs w:val="21"/>
                    </w:rPr>
                    <w:t>环境风险防控</w:t>
                  </w:r>
                </w:p>
              </w:tc>
              <w:tc>
                <w:tcPr>
                  <w:tcW w:w="2747" w:type="dxa"/>
                  <w:tcBorders>
                    <w:tl2br w:val="nil"/>
                    <w:tr2bl w:val="nil"/>
                  </w:tcBorders>
                  <w:vAlign w:val="center"/>
                </w:tcPr>
                <w:p w14:paraId="342C895A">
                  <w:pPr>
                    <w:spacing w:line="288" w:lineRule="auto"/>
                    <w:rPr>
                      <w:color w:val="auto"/>
                      <w:sz w:val="21"/>
                      <w:szCs w:val="21"/>
                    </w:rPr>
                  </w:pPr>
                  <w:r>
                    <w:rPr>
                      <w:rFonts w:hint="eastAsia"/>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14:paraId="2B9E07FB">
                  <w:pPr>
                    <w:spacing w:line="288" w:lineRule="auto"/>
                    <w:rPr>
                      <w:color w:val="auto"/>
                      <w:sz w:val="21"/>
                      <w:szCs w:val="21"/>
                    </w:rPr>
                  </w:pPr>
                  <w:r>
                    <w:rPr>
                      <w:rFonts w:hint="eastAsia"/>
                      <w:color w:val="auto"/>
                      <w:sz w:val="21"/>
                      <w:szCs w:val="21"/>
                    </w:rPr>
                    <w:t>2.应采取有效措施防止园区建设对区域地下水、土壤造成污染。</w:t>
                  </w:r>
                </w:p>
              </w:tc>
              <w:tc>
                <w:tcPr>
                  <w:tcW w:w="1450" w:type="dxa"/>
                  <w:tcBorders>
                    <w:tl2br w:val="nil"/>
                    <w:tr2bl w:val="nil"/>
                  </w:tcBorders>
                  <w:vAlign w:val="center"/>
                </w:tcPr>
                <w:p w14:paraId="68A4EA31">
                  <w:pPr>
                    <w:pStyle w:val="50"/>
                    <w:tabs>
                      <w:tab w:val="left" w:pos="-2848"/>
                    </w:tabs>
                    <w:spacing w:line="288" w:lineRule="auto"/>
                    <w:jc w:val="both"/>
                    <w:rPr>
                      <w:color w:val="auto"/>
                      <w:szCs w:val="21"/>
                    </w:rPr>
                  </w:pPr>
                  <w:r>
                    <w:rPr>
                      <w:rFonts w:hint="eastAsia"/>
                      <w:color w:val="auto"/>
                      <w:szCs w:val="21"/>
                    </w:rPr>
                    <w:t>建立健全环境风险防控体系，采取有效措施防止园区建设对区域地下水、土壤造成污染。符合</w:t>
                  </w:r>
                </w:p>
              </w:tc>
              <w:tc>
                <w:tcPr>
                  <w:tcW w:w="575" w:type="dxa"/>
                  <w:tcBorders>
                    <w:tl2br w:val="nil"/>
                    <w:tr2bl w:val="nil"/>
                  </w:tcBorders>
                  <w:vAlign w:val="center"/>
                </w:tcPr>
                <w:p w14:paraId="19B95AFB">
                  <w:pPr>
                    <w:pStyle w:val="50"/>
                    <w:tabs>
                      <w:tab w:val="left" w:pos="-2848"/>
                    </w:tabs>
                    <w:rPr>
                      <w:color w:val="auto"/>
                      <w:szCs w:val="21"/>
                    </w:rPr>
                  </w:pPr>
                  <w:r>
                    <w:rPr>
                      <w:color w:val="auto"/>
                      <w:szCs w:val="21"/>
                    </w:rPr>
                    <w:t>符合</w:t>
                  </w:r>
                </w:p>
              </w:tc>
            </w:tr>
          </w:tbl>
          <w:p w14:paraId="2521553D">
            <w:pPr>
              <w:pStyle w:val="49"/>
              <w:widowControl w:val="0"/>
              <w:ind w:firstLine="480"/>
              <w:jc w:val="both"/>
              <w:rPr>
                <w:color w:val="auto"/>
              </w:rPr>
            </w:pPr>
            <w:r>
              <w:rPr>
                <w:color w:val="auto"/>
              </w:rPr>
              <w:t>综上所述，项目建设符合《福州市人民政府办公厅关于印发〈福州市生态环境分区管控方案（2023年更新）〉的通知》（榕政办规〔2024〕20号）中相关要求。</w:t>
            </w:r>
          </w:p>
          <w:p w14:paraId="0ACFD869">
            <w:pPr>
              <w:pStyle w:val="3"/>
              <w:spacing w:before="0" w:after="0"/>
              <w:rPr>
                <w:color w:val="auto"/>
                <w:szCs w:val="28"/>
              </w:rPr>
            </w:pPr>
            <w:r>
              <w:rPr>
                <w:rFonts w:hint="eastAsia"/>
                <w:color w:val="auto"/>
                <w:szCs w:val="28"/>
              </w:rPr>
              <w:t>1.10与挥发性有机物污染防治相关政策符合性分析</w:t>
            </w:r>
          </w:p>
          <w:p w14:paraId="62ADE00D">
            <w:pPr>
              <w:keepNext/>
              <w:keepLines/>
              <w:ind w:firstLine="480" w:firstLineChars="200"/>
              <w:rPr>
                <w:color w:val="auto"/>
              </w:rPr>
            </w:pPr>
            <w:r>
              <w:rPr>
                <w:rFonts w:hint="eastAsia"/>
                <w:color w:val="auto"/>
              </w:rPr>
              <w:t>（1）《重点行业挥发性有机物综合治理方案》</w:t>
            </w:r>
          </w:p>
          <w:p w14:paraId="43793D7F">
            <w:pPr>
              <w:pStyle w:val="39"/>
              <w:spacing w:before="0" w:beforeLines="0" w:after="0" w:afterLines="0" w:line="240" w:lineRule="auto"/>
              <w:rPr>
                <w:color w:val="auto"/>
              </w:rPr>
            </w:pPr>
            <w:r>
              <w:rPr>
                <w:rFonts w:hint="eastAsia"/>
                <w:color w:val="auto"/>
              </w:rPr>
              <w:t>表1.10-1  项目与《重点行业挥发性有机物综合治理方案》的符合性分析</w:t>
            </w:r>
          </w:p>
          <w:tbl>
            <w:tblPr>
              <w:tblStyle w:val="30"/>
              <w:tblW w:w="669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1"/>
              <w:gridCol w:w="3466"/>
              <w:gridCol w:w="1618"/>
              <w:gridCol w:w="718"/>
            </w:tblGrid>
            <w:tr w14:paraId="156B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891" w:type="dxa"/>
                  <w:tcBorders>
                    <w:top w:val="single" w:color="auto" w:sz="12" w:space="0"/>
                    <w:left w:val="nil"/>
                  </w:tcBorders>
                  <w:vAlign w:val="center"/>
                </w:tcPr>
                <w:p w14:paraId="1D3904C2">
                  <w:pPr>
                    <w:pStyle w:val="40"/>
                    <w:spacing w:line="288" w:lineRule="auto"/>
                    <w:rPr>
                      <w:color w:val="auto"/>
                      <w:sz w:val="21"/>
                      <w:szCs w:val="21"/>
                    </w:rPr>
                  </w:pPr>
                  <w:r>
                    <w:rPr>
                      <w:rFonts w:hint="eastAsia"/>
                      <w:color w:val="auto"/>
                      <w:sz w:val="21"/>
                      <w:szCs w:val="21"/>
                    </w:rPr>
                    <w:t>源项</w:t>
                  </w:r>
                </w:p>
              </w:tc>
              <w:tc>
                <w:tcPr>
                  <w:tcW w:w="3466" w:type="dxa"/>
                  <w:tcBorders>
                    <w:top w:val="single" w:color="auto" w:sz="12" w:space="0"/>
                  </w:tcBorders>
                  <w:vAlign w:val="center"/>
                </w:tcPr>
                <w:p w14:paraId="2F78553A">
                  <w:pPr>
                    <w:pStyle w:val="40"/>
                    <w:spacing w:line="288" w:lineRule="auto"/>
                    <w:rPr>
                      <w:color w:val="auto"/>
                      <w:sz w:val="21"/>
                      <w:szCs w:val="21"/>
                    </w:rPr>
                  </w:pPr>
                  <w:r>
                    <w:rPr>
                      <w:rFonts w:hint="eastAsia"/>
                      <w:color w:val="auto"/>
                      <w:sz w:val="21"/>
                      <w:szCs w:val="21"/>
                    </w:rPr>
                    <w:t>检查要点</w:t>
                  </w:r>
                </w:p>
              </w:tc>
              <w:tc>
                <w:tcPr>
                  <w:tcW w:w="1618" w:type="dxa"/>
                  <w:tcBorders>
                    <w:top w:val="single" w:color="auto" w:sz="12" w:space="0"/>
                  </w:tcBorders>
                  <w:vAlign w:val="center"/>
                </w:tcPr>
                <w:p w14:paraId="366A683D">
                  <w:pPr>
                    <w:pStyle w:val="40"/>
                    <w:spacing w:line="288" w:lineRule="auto"/>
                    <w:rPr>
                      <w:color w:val="auto"/>
                      <w:sz w:val="21"/>
                      <w:szCs w:val="21"/>
                    </w:rPr>
                  </w:pPr>
                  <w:r>
                    <w:rPr>
                      <w:rFonts w:hint="eastAsia"/>
                      <w:color w:val="auto"/>
                      <w:sz w:val="21"/>
                      <w:szCs w:val="21"/>
                    </w:rPr>
                    <w:t>项目情况</w:t>
                  </w:r>
                </w:p>
              </w:tc>
              <w:tc>
                <w:tcPr>
                  <w:tcW w:w="718" w:type="dxa"/>
                  <w:tcBorders>
                    <w:top w:val="single" w:color="auto" w:sz="12" w:space="0"/>
                    <w:right w:val="nil"/>
                  </w:tcBorders>
                  <w:vAlign w:val="center"/>
                </w:tcPr>
                <w:p w14:paraId="2B2DC1A8">
                  <w:pPr>
                    <w:pStyle w:val="40"/>
                    <w:spacing w:line="288" w:lineRule="auto"/>
                    <w:rPr>
                      <w:color w:val="auto"/>
                      <w:sz w:val="21"/>
                      <w:szCs w:val="21"/>
                    </w:rPr>
                  </w:pPr>
                  <w:r>
                    <w:rPr>
                      <w:rFonts w:hint="eastAsia"/>
                      <w:color w:val="auto"/>
                      <w:sz w:val="21"/>
                      <w:szCs w:val="21"/>
                    </w:rPr>
                    <w:t>符合性</w:t>
                  </w:r>
                </w:p>
              </w:tc>
            </w:tr>
            <w:tr w14:paraId="033E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trPr>
              <w:tc>
                <w:tcPr>
                  <w:tcW w:w="891" w:type="dxa"/>
                  <w:tcBorders>
                    <w:left w:val="nil"/>
                  </w:tcBorders>
                  <w:vAlign w:val="center"/>
                </w:tcPr>
                <w:p w14:paraId="45FF0537">
                  <w:pPr>
                    <w:pStyle w:val="40"/>
                    <w:spacing w:line="288" w:lineRule="auto"/>
                    <w:rPr>
                      <w:color w:val="auto"/>
                      <w:sz w:val="21"/>
                      <w:szCs w:val="21"/>
                    </w:rPr>
                  </w:pPr>
                  <w:r>
                    <w:rPr>
                      <w:rFonts w:hint="eastAsia"/>
                      <w:color w:val="auto"/>
                      <w:sz w:val="21"/>
                      <w:szCs w:val="21"/>
                    </w:rPr>
                    <w:t>VOCs物料储存</w:t>
                  </w:r>
                </w:p>
              </w:tc>
              <w:tc>
                <w:tcPr>
                  <w:tcW w:w="3466" w:type="dxa"/>
                  <w:vAlign w:val="center"/>
                </w:tcPr>
                <w:p w14:paraId="6377EDD6">
                  <w:pPr>
                    <w:pStyle w:val="40"/>
                    <w:spacing w:line="288" w:lineRule="auto"/>
                    <w:jc w:val="both"/>
                    <w:rPr>
                      <w:color w:val="auto"/>
                      <w:sz w:val="21"/>
                      <w:szCs w:val="21"/>
                    </w:rPr>
                  </w:pPr>
                  <w:r>
                    <w:rPr>
                      <w:rFonts w:hint="eastAsia"/>
                      <w:color w:val="auto"/>
                      <w:sz w:val="21"/>
                      <w:szCs w:val="21"/>
                    </w:rPr>
                    <w:t>1.容器或包装袋在非取用状态时是否加盖、封口，保持密闭；盛装过VOCs物料的废包装容器是否加盖密闭。</w:t>
                  </w:r>
                </w:p>
                <w:p w14:paraId="0AEC294D">
                  <w:pPr>
                    <w:pStyle w:val="40"/>
                    <w:spacing w:line="288" w:lineRule="auto"/>
                    <w:jc w:val="both"/>
                    <w:rPr>
                      <w:color w:val="auto"/>
                      <w:sz w:val="21"/>
                      <w:szCs w:val="21"/>
                    </w:rPr>
                  </w:pPr>
                  <w:r>
                    <w:rPr>
                      <w:rFonts w:hint="eastAsia"/>
                      <w:color w:val="auto"/>
                      <w:sz w:val="21"/>
                      <w:szCs w:val="21"/>
                    </w:rPr>
                    <w:t>2.容器或包装袋是否存放于室内，或存放于设置有雨棚、遮阳和防渗设施的专用场地。</w:t>
                  </w:r>
                </w:p>
              </w:tc>
              <w:tc>
                <w:tcPr>
                  <w:tcW w:w="1618" w:type="dxa"/>
                  <w:vAlign w:val="center"/>
                </w:tcPr>
                <w:p w14:paraId="20F91A6F">
                  <w:pPr>
                    <w:pStyle w:val="40"/>
                    <w:spacing w:line="288" w:lineRule="auto"/>
                    <w:jc w:val="both"/>
                    <w:rPr>
                      <w:color w:val="auto"/>
                      <w:sz w:val="21"/>
                      <w:szCs w:val="21"/>
                    </w:rPr>
                  </w:pPr>
                  <w:r>
                    <w:rPr>
                      <w:rFonts w:hint="eastAsia"/>
                      <w:color w:val="auto"/>
                      <w:sz w:val="21"/>
                      <w:szCs w:val="21"/>
                    </w:rPr>
                    <w:t>VOCs物料放在有加盖、封口的容器内，保持密闭；容器放于室内</w:t>
                  </w:r>
                </w:p>
              </w:tc>
              <w:tc>
                <w:tcPr>
                  <w:tcW w:w="718" w:type="dxa"/>
                  <w:tcBorders>
                    <w:right w:val="nil"/>
                  </w:tcBorders>
                  <w:vAlign w:val="center"/>
                </w:tcPr>
                <w:p w14:paraId="0F77D54A">
                  <w:pPr>
                    <w:pStyle w:val="40"/>
                    <w:spacing w:line="288" w:lineRule="auto"/>
                    <w:rPr>
                      <w:color w:val="auto"/>
                      <w:sz w:val="21"/>
                      <w:szCs w:val="21"/>
                    </w:rPr>
                  </w:pPr>
                  <w:r>
                    <w:rPr>
                      <w:rFonts w:hint="eastAsia"/>
                      <w:color w:val="auto"/>
                      <w:sz w:val="21"/>
                      <w:szCs w:val="21"/>
                    </w:rPr>
                    <w:t>符合</w:t>
                  </w:r>
                </w:p>
              </w:tc>
            </w:tr>
            <w:tr w14:paraId="445C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9" w:hRule="atLeast"/>
              </w:trPr>
              <w:tc>
                <w:tcPr>
                  <w:tcW w:w="891" w:type="dxa"/>
                  <w:tcBorders>
                    <w:left w:val="nil"/>
                  </w:tcBorders>
                  <w:vAlign w:val="center"/>
                </w:tcPr>
                <w:p w14:paraId="05D83A27">
                  <w:pPr>
                    <w:pStyle w:val="40"/>
                    <w:spacing w:line="288" w:lineRule="auto"/>
                    <w:rPr>
                      <w:color w:val="auto"/>
                      <w:sz w:val="21"/>
                      <w:szCs w:val="21"/>
                    </w:rPr>
                  </w:pPr>
                  <w:r>
                    <w:rPr>
                      <w:rFonts w:hint="eastAsia"/>
                      <w:color w:val="auto"/>
                      <w:sz w:val="21"/>
                      <w:szCs w:val="21"/>
                    </w:rPr>
                    <w:t>有组织VOCs排放</w:t>
                  </w:r>
                </w:p>
              </w:tc>
              <w:tc>
                <w:tcPr>
                  <w:tcW w:w="3466" w:type="dxa"/>
                  <w:vAlign w:val="center"/>
                </w:tcPr>
                <w:p w14:paraId="533BAF1A">
                  <w:pPr>
                    <w:pStyle w:val="40"/>
                    <w:spacing w:line="288" w:lineRule="auto"/>
                    <w:jc w:val="both"/>
                    <w:rPr>
                      <w:color w:val="auto"/>
                      <w:sz w:val="21"/>
                      <w:szCs w:val="21"/>
                    </w:rPr>
                  </w:pPr>
                  <w:r>
                    <w:rPr>
                      <w:rFonts w:hint="eastAsia"/>
                      <w:color w:val="auto"/>
                      <w:sz w:val="21"/>
                      <w:szCs w:val="21"/>
                    </w:rPr>
                    <w:t>1.VOCs排放浓度是否稳定达标。</w:t>
                  </w:r>
                </w:p>
                <w:p w14:paraId="33B96D7A">
                  <w:pPr>
                    <w:pStyle w:val="40"/>
                    <w:spacing w:line="288" w:lineRule="auto"/>
                    <w:jc w:val="both"/>
                    <w:rPr>
                      <w:color w:val="auto"/>
                      <w:sz w:val="21"/>
                      <w:szCs w:val="21"/>
                    </w:rPr>
                  </w:pPr>
                  <w:r>
                    <w:rPr>
                      <w:rFonts w:hint="eastAsia"/>
                      <w:color w:val="auto"/>
                      <w:sz w:val="21"/>
                      <w:szCs w:val="21"/>
                    </w:rPr>
                    <w:t>2.车间或生产设施收集排放的废气，VOCs初始排放速率大于等于3千克/小时、重点区域大于等于2千克/小时的，VOCs治理效率是否符合要求；采用的原辅材料符合国家有关低VOCs含量产品规定的除外。</w:t>
                  </w:r>
                </w:p>
                <w:p w14:paraId="6BA9A13B">
                  <w:pPr>
                    <w:pStyle w:val="40"/>
                    <w:spacing w:line="288" w:lineRule="auto"/>
                    <w:jc w:val="both"/>
                    <w:rPr>
                      <w:color w:val="auto"/>
                      <w:sz w:val="21"/>
                      <w:szCs w:val="21"/>
                    </w:rPr>
                  </w:pPr>
                  <w:r>
                    <w:rPr>
                      <w:rFonts w:hint="eastAsia"/>
                      <w:color w:val="auto"/>
                      <w:sz w:val="21"/>
                      <w:szCs w:val="21"/>
                    </w:rPr>
                    <w:t>3.是否安装自动监控设施，自动监控设施是否正常运行，是否与生态环境部门联网。</w:t>
                  </w:r>
                </w:p>
              </w:tc>
              <w:tc>
                <w:tcPr>
                  <w:tcW w:w="1618" w:type="dxa"/>
                  <w:vAlign w:val="center"/>
                </w:tcPr>
                <w:p w14:paraId="659B5250">
                  <w:pPr>
                    <w:pStyle w:val="40"/>
                    <w:spacing w:line="288" w:lineRule="auto"/>
                    <w:jc w:val="both"/>
                    <w:rPr>
                      <w:color w:val="auto"/>
                      <w:sz w:val="21"/>
                      <w:szCs w:val="21"/>
                    </w:rPr>
                  </w:pPr>
                  <w:r>
                    <w:rPr>
                      <w:rFonts w:hint="eastAsia"/>
                      <w:color w:val="auto"/>
                      <w:sz w:val="21"/>
                      <w:szCs w:val="21"/>
                    </w:rPr>
                    <w:t>项目VOCs排放浓度能稳定达标，排放速率均小于2kg/h，治理效率符合要求</w:t>
                  </w:r>
                </w:p>
              </w:tc>
              <w:tc>
                <w:tcPr>
                  <w:tcW w:w="718" w:type="dxa"/>
                  <w:tcBorders>
                    <w:right w:val="nil"/>
                  </w:tcBorders>
                  <w:vAlign w:val="center"/>
                </w:tcPr>
                <w:p w14:paraId="12B1A6E6">
                  <w:pPr>
                    <w:pStyle w:val="40"/>
                    <w:spacing w:line="288" w:lineRule="auto"/>
                    <w:rPr>
                      <w:color w:val="auto"/>
                      <w:sz w:val="21"/>
                      <w:szCs w:val="21"/>
                    </w:rPr>
                  </w:pPr>
                  <w:r>
                    <w:rPr>
                      <w:rFonts w:hint="eastAsia"/>
                      <w:color w:val="auto"/>
                      <w:sz w:val="21"/>
                      <w:szCs w:val="21"/>
                    </w:rPr>
                    <w:t>符合</w:t>
                  </w:r>
                </w:p>
              </w:tc>
            </w:tr>
            <w:tr w14:paraId="07E3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trPr>
              <w:tc>
                <w:tcPr>
                  <w:tcW w:w="891" w:type="dxa"/>
                  <w:tcBorders>
                    <w:left w:val="nil"/>
                    <w:bottom w:val="single" w:color="auto" w:sz="12" w:space="0"/>
                  </w:tcBorders>
                  <w:vAlign w:val="center"/>
                </w:tcPr>
                <w:p w14:paraId="2C708480">
                  <w:pPr>
                    <w:pStyle w:val="40"/>
                    <w:spacing w:line="288" w:lineRule="auto"/>
                    <w:rPr>
                      <w:color w:val="auto"/>
                      <w:sz w:val="21"/>
                      <w:szCs w:val="21"/>
                    </w:rPr>
                  </w:pPr>
                  <w:r>
                    <w:rPr>
                      <w:rFonts w:hint="eastAsia"/>
                      <w:color w:val="auto"/>
                      <w:sz w:val="21"/>
                      <w:szCs w:val="21"/>
                    </w:rPr>
                    <w:t>废气治理设施</w:t>
                  </w:r>
                </w:p>
              </w:tc>
              <w:tc>
                <w:tcPr>
                  <w:tcW w:w="3466" w:type="dxa"/>
                  <w:tcBorders>
                    <w:bottom w:val="single" w:color="auto" w:sz="12" w:space="0"/>
                  </w:tcBorders>
                  <w:vAlign w:val="center"/>
                </w:tcPr>
                <w:p w14:paraId="7397E855">
                  <w:pPr>
                    <w:pStyle w:val="40"/>
                    <w:wordWrap w:val="0"/>
                    <w:spacing w:line="288" w:lineRule="auto"/>
                    <w:jc w:val="both"/>
                    <w:rPr>
                      <w:color w:val="auto"/>
                      <w:sz w:val="21"/>
                      <w:szCs w:val="21"/>
                      <w:highlight w:val="none"/>
                    </w:rPr>
                  </w:pPr>
                  <w:r>
                    <w:rPr>
                      <w:rFonts w:hint="eastAsia"/>
                      <w:color w:val="auto"/>
                      <w:sz w:val="21"/>
                      <w:szCs w:val="21"/>
                      <w:highlight w:val="none"/>
                    </w:rPr>
                    <w:t>4.吸附剂种类及填装情况。</w:t>
                  </w:r>
                </w:p>
                <w:p w14:paraId="25B8E9CF">
                  <w:pPr>
                    <w:pStyle w:val="40"/>
                    <w:wordWrap w:val="0"/>
                    <w:spacing w:line="288" w:lineRule="auto"/>
                    <w:jc w:val="both"/>
                    <w:rPr>
                      <w:color w:val="auto"/>
                      <w:sz w:val="21"/>
                      <w:szCs w:val="21"/>
                      <w:highlight w:val="none"/>
                    </w:rPr>
                  </w:pPr>
                  <w:r>
                    <w:rPr>
                      <w:rFonts w:hint="eastAsia"/>
                      <w:color w:val="auto"/>
                      <w:sz w:val="21"/>
                      <w:szCs w:val="21"/>
                      <w:highlight w:val="none"/>
                    </w:rPr>
                    <w:t>5.一次性吸附剂更换时间和更换量。</w:t>
                  </w:r>
                </w:p>
                <w:p w14:paraId="41EE7773">
                  <w:pPr>
                    <w:pStyle w:val="40"/>
                    <w:wordWrap w:val="0"/>
                    <w:spacing w:line="288" w:lineRule="auto"/>
                    <w:jc w:val="both"/>
                    <w:rPr>
                      <w:color w:val="auto"/>
                      <w:sz w:val="21"/>
                      <w:szCs w:val="21"/>
                      <w:highlight w:val="none"/>
                    </w:rPr>
                  </w:pPr>
                  <w:r>
                    <w:rPr>
                      <w:rFonts w:hint="eastAsia"/>
                      <w:color w:val="auto"/>
                      <w:sz w:val="21"/>
                      <w:szCs w:val="21"/>
                      <w:highlight w:val="none"/>
                    </w:rPr>
                    <w:t>6.再生型吸附剂再生周期、更换情况。</w:t>
                  </w:r>
                </w:p>
                <w:p w14:paraId="74695B07">
                  <w:pPr>
                    <w:pStyle w:val="40"/>
                    <w:wordWrap w:val="0"/>
                    <w:spacing w:line="288" w:lineRule="auto"/>
                    <w:jc w:val="both"/>
                    <w:rPr>
                      <w:color w:val="auto"/>
                      <w:sz w:val="21"/>
                      <w:szCs w:val="21"/>
                      <w:highlight w:val="none"/>
                    </w:rPr>
                  </w:pPr>
                  <w:r>
                    <w:rPr>
                      <w:rFonts w:hint="eastAsia"/>
                      <w:color w:val="auto"/>
                      <w:sz w:val="21"/>
                      <w:szCs w:val="21"/>
                      <w:highlight w:val="none"/>
                    </w:rPr>
                    <w:t>7.废吸附剂储存、处置情况。</w:t>
                  </w:r>
                </w:p>
              </w:tc>
              <w:tc>
                <w:tcPr>
                  <w:tcW w:w="1618" w:type="dxa"/>
                  <w:tcBorders>
                    <w:bottom w:val="single" w:color="auto" w:sz="12" w:space="0"/>
                  </w:tcBorders>
                  <w:vAlign w:val="center"/>
                </w:tcPr>
                <w:p w14:paraId="08D61D19">
                  <w:pPr>
                    <w:pStyle w:val="40"/>
                    <w:wordWrap w:val="0"/>
                    <w:spacing w:line="288" w:lineRule="auto"/>
                    <w:jc w:val="both"/>
                    <w:rPr>
                      <w:color w:val="auto"/>
                      <w:sz w:val="21"/>
                      <w:szCs w:val="21"/>
                      <w:highlight w:val="none"/>
                    </w:rPr>
                  </w:pPr>
                  <w:r>
                    <w:rPr>
                      <w:rFonts w:hint="eastAsia"/>
                      <w:color w:val="auto"/>
                      <w:sz w:val="21"/>
                      <w:szCs w:val="21"/>
                      <w:highlight w:val="none"/>
                    </w:rPr>
                    <w:t>项目有机废气采用颗粒活性炭作为吸附剂，其碘值不宜低于800mg/g，更换时间和更换量依照环评设计执行，废活性炭存放于危险废物贮存间中，定期委托有资质的单位进行处置</w:t>
                  </w:r>
                </w:p>
              </w:tc>
              <w:tc>
                <w:tcPr>
                  <w:tcW w:w="718" w:type="dxa"/>
                  <w:tcBorders>
                    <w:bottom w:val="single" w:color="auto" w:sz="12" w:space="0"/>
                    <w:right w:val="nil"/>
                  </w:tcBorders>
                  <w:vAlign w:val="center"/>
                </w:tcPr>
                <w:p w14:paraId="1926FDCF">
                  <w:pPr>
                    <w:pStyle w:val="40"/>
                    <w:spacing w:line="288" w:lineRule="auto"/>
                    <w:rPr>
                      <w:color w:val="auto"/>
                      <w:sz w:val="21"/>
                      <w:szCs w:val="21"/>
                    </w:rPr>
                  </w:pPr>
                  <w:r>
                    <w:rPr>
                      <w:rFonts w:hint="eastAsia"/>
                      <w:color w:val="auto"/>
                      <w:sz w:val="21"/>
                      <w:szCs w:val="21"/>
                    </w:rPr>
                    <w:t>符合</w:t>
                  </w:r>
                </w:p>
              </w:tc>
            </w:tr>
          </w:tbl>
          <w:p w14:paraId="441A0BDF">
            <w:pPr>
              <w:keepNext/>
              <w:keepLines/>
              <w:ind w:firstLine="480" w:firstLineChars="200"/>
              <w:rPr>
                <w:bCs/>
                <w:color w:val="auto"/>
                <w:szCs w:val="32"/>
              </w:rPr>
            </w:pPr>
            <w:r>
              <w:rPr>
                <w:rFonts w:hint="eastAsia"/>
                <w:bCs/>
                <w:color w:val="auto"/>
                <w:szCs w:val="32"/>
              </w:rPr>
              <w:t>（2）《福建省2020年挥发性有机污染物治理攻坚实施方案》</w:t>
            </w:r>
          </w:p>
          <w:p w14:paraId="3646437A">
            <w:pPr>
              <w:pStyle w:val="39"/>
              <w:spacing w:before="0" w:beforeLines="0" w:after="0" w:afterLines="0" w:line="240" w:lineRule="auto"/>
              <w:rPr>
                <w:color w:val="auto"/>
              </w:rPr>
            </w:pPr>
            <w:r>
              <w:rPr>
                <w:rFonts w:hint="eastAsia"/>
                <w:color w:val="auto"/>
              </w:rPr>
              <w:t>表1.10-2  项目与《福建省2020年挥发性有机污染物治理攻坚实施方案》重点任务表符合性分析</w:t>
            </w:r>
          </w:p>
          <w:tbl>
            <w:tblPr>
              <w:tblStyle w:val="30"/>
              <w:tblW w:w="6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4"/>
              <w:gridCol w:w="2384"/>
              <w:gridCol w:w="2528"/>
              <w:gridCol w:w="663"/>
            </w:tblGrid>
            <w:tr w14:paraId="4469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014" w:type="dxa"/>
                  <w:tcBorders>
                    <w:top w:val="single" w:color="auto" w:sz="12" w:space="0"/>
                    <w:left w:val="nil"/>
                  </w:tcBorders>
                  <w:vAlign w:val="center"/>
                </w:tcPr>
                <w:p w14:paraId="40977484">
                  <w:pPr>
                    <w:pStyle w:val="40"/>
                    <w:spacing w:line="288" w:lineRule="auto"/>
                    <w:rPr>
                      <w:color w:val="auto"/>
                      <w:sz w:val="21"/>
                      <w:szCs w:val="21"/>
                    </w:rPr>
                  </w:pPr>
                  <w:r>
                    <w:rPr>
                      <w:rFonts w:hint="eastAsia"/>
                      <w:color w:val="auto"/>
                      <w:sz w:val="21"/>
                      <w:szCs w:val="21"/>
                    </w:rPr>
                    <w:t>重点任务</w:t>
                  </w:r>
                </w:p>
              </w:tc>
              <w:tc>
                <w:tcPr>
                  <w:tcW w:w="2384" w:type="dxa"/>
                  <w:tcBorders>
                    <w:top w:val="single" w:color="auto" w:sz="12" w:space="0"/>
                  </w:tcBorders>
                  <w:vAlign w:val="center"/>
                </w:tcPr>
                <w:p w14:paraId="0D5DB397">
                  <w:pPr>
                    <w:pStyle w:val="40"/>
                    <w:spacing w:line="288" w:lineRule="auto"/>
                    <w:rPr>
                      <w:color w:val="auto"/>
                      <w:sz w:val="21"/>
                      <w:szCs w:val="21"/>
                    </w:rPr>
                  </w:pPr>
                  <w:r>
                    <w:rPr>
                      <w:rFonts w:hint="eastAsia"/>
                      <w:color w:val="auto"/>
                      <w:sz w:val="21"/>
                      <w:szCs w:val="21"/>
                    </w:rPr>
                    <w:t>内容</w:t>
                  </w:r>
                </w:p>
              </w:tc>
              <w:tc>
                <w:tcPr>
                  <w:tcW w:w="2528" w:type="dxa"/>
                  <w:tcBorders>
                    <w:top w:val="single" w:color="auto" w:sz="12" w:space="0"/>
                  </w:tcBorders>
                  <w:vAlign w:val="center"/>
                </w:tcPr>
                <w:p w14:paraId="5EBF4DD8">
                  <w:pPr>
                    <w:pStyle w:val="40"/>
                    <w:spacing w:line="288" w:lineRule="auto"/>
                    <w:rPr>
                      <w:color w:val="auto"/>
                      <w:sz w:val="21"/>
                      <w:szCs w:val="21"/>
                    </w:rPr>
                  </w:pPr>
                  <w:r>
                    <w:rPr>
                      <w:rFonts w:hint="eastAsia"/>
                      <w:color w:val="auto"/>
                      <w:sz w:val="21"/>
                      <w:szCs w:val="21"/>
                    </w:rPr>
                    <w:t>项目内容</w:t>
                  </w:r>
                </w:p>
              </w:tc>
              <w:tc>
                <w:tcPr>
                  <w:tcW w:w="663" w:type="dxa"/>
                  <w:tcBorders>
                    <w:top w:val="single" w:color="auto" w:sz="12" w:space="0"/>
                    <w:right w:val="nil"/>
                  </w:tcBorders>
                  <w:vAlign w:val="center"/>
                </w:tcPr>
                <w:p w14:paraId="6C1A34D4">
                  <w:pPr>
                    <w:pStyle w:val="40"/>
                    <w:spacing w:line="288" w:lineRule="auto"/>
                    <w:rPr>
                      <w:color w:val="auto"/>
                      <w:sz w:val="21"/>
                      <w:szCs w:val="21"/>
                    </w:rPr>
                  </w:pPr>
                  <w:r>
                    <w:rPr>
                      <w:rFonts w:hint="eastAsia"/>
                      <w:color w:val="auto"/>
                      <w:sz w:val="21"/>
                      <w:szCs w:val="21"/>
                    </w:rPr>
                    <w:t>符合性</w:t>
                  </w:r>
                </w:p>
              </w:tc>
            </w:tr>
            <w:tr w14:paraId="33ED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1" w:hRule="atLeast"/>
                <w:jc w:val="center"/>
              </w:trPr>
              <w:tc>
                <w:tcPr>
                  <w:tcW w:w="1014" w:type="dxa"/>
                  <w:tcBorders>
                    <w:left w:val="nil"/>
                  </w:tcBorders>
                  <w:vAlign w:val="center"/>
                </w:tcPr>
                <w:p w14:paraId="20AB07D7">
                  <w:pPr>
                    <w:pStyle w:val="40"/>
                    <w:spacing w:line="288" w:lineRule="auto"/>
                    <w:rPr>
                      <w:color w:val="auto"/>
                      <w:sz w:val="21"/>
                      <w:szCs w:val="21"/>
                    </w:rPr>
                  </w:pPr>
                  <w:r>
                    <w:rPr>
                      <w:color w:val="auto"/>
                      <w:sz w:val="21"/>
                      <w:szCs w:val="21"/>
                    </w:rPr>
                    <w:t>大力推进源头替代，有效减少VOC</w:t>
                  </w:r>
                  <w:r>
                    <w:rPr>
                      <w:rFonts w:hint="eastAsia"/>
                      <w:color w:val="auto"/>
                      <w:sz w:val="21"/>
                      <w:szCs w:val="21"/>
                    </w:rPr>
                    <w:t>s</w:t>
                  </w:r>
                  <w:r>
                    <w:rPr>
                      <w:color w:val="auto"/>
                      <w:sz w:val="21"/>
                      <w:szCs w:val="21"/>
                    </w:rPr>
                    <w:t>产生</w:t>
                  </w:r>
                </w:p>
              </w:tc>
              <w:tc>
                <w:tcPr>
                  <w:tcW w:w="2384" w:type="dxa"/>
                  <w:vAlign w:val="center"/>
                </w:tcPr>
                <w:p w14:paraId="5C58838B">
                  <w:pPr>
                    <w:pStyle w:val="40"/>
                    <w:spacing w:line="288" w:lineRule="auto"/>
                    <w:jc w:val="both"/>
                    <w:rPr>
                      <w:color w:val="auto"/>
                      <w:sz w:val="21"/>
                      <w:szCs w:val="21"/>
                    </w:rPr>
                  </w:pPr>
                  <w:r>
                    <w:rPr>
                      <w:color w:val="auto"/>
                      <w:sz w:val="21"/>
                      <w:szCs w:val="21"/>
                    </w:rPr>
                    <w:t>企业应建立原辅材料台账，记录VOC</w:t>
                  </w:r>
                  <w:r>
                    <w:rPr>
                      <w:rFonts w:hint="eastAsia"/>
                      <w:color w:val="auto"/>
                      <w:sz w:val="21"/>
                      <w:szCs w:val="21"/>
                    </w:rPr>
                    <w:t>s</w:t>
                  </w:r>
                  <w:r>
                    <w:rPr>
                      <w:color w:val="auto"/>
                      <w:sz w:val="21"/>
                      <w:szCs w:val="21"/>
                    </w:rPr>
                    <w:t>原辅材料名称、成分、VOC</w:t>
                  </w:r>
                  <w:r>
                    <w:rPr>
                      <w:rFonts w:hint="eastAsia"/>
                      <w:color w:val="auto"/>
                      <w:sz w:val="21"/>
                      <w:szCs w:val="21"/>
                    </w:rPr>
                    <w:t>s</w:t>
                  </w:r>
                  <w:r>
                    <w:rPr>
                      <w:color w:val="auto"/>
                      <w:sz w:val="21"/>
                      <w:szCs w:val="21"/>
                    </w:rPr>
                    <w:t>含量、采购量、使用量、库存量、回收方式、回收信息等信息，并保存相关证明材料。</w:t>
                  </w:r>
                </w:p>
              </w:tc>
              <w:tc>
                <w:tcPr>
                  <w:tcW w:w="2528" w:type="dxa"/>
                  <w:vAlign w:val="center"/>
                </w:tcPr>
                <w:p w14:paraId="4ABB4D6D">
                  <w:pPr>
                    <w:pStyle w:val="40"/>
                    <w:spacing w:line="288" w:lineRule="auto"/>
                    <w:jc w:val="both"/>
                    <w:rPr>
                      <w:color w:val="auto"/>
                      <w:sz w:val="21"/>
                      <w:szCs w:val="21"/>
                    </w:rPr>
                  </w:pPr>
                  <w:r>
                    <w:rPr>
                      <w:color w:val="auto"/>
                      <w:sz w:val="21"/>
                      <w:szCs w:val="21"/>
                    </w:rPr>
                    <w:t>企业</w:t>
                  </w:r>
                  <w:r>
                    <w:rPr>
                      <w:rFonts w:hint="eastAsia"/>
                      <w:color w:val="auto"/>
                      <w:sz w:val="21"/>
                      <w:szCs w:val="21"/>
                    </w:rPr>
                    <w:t>建设完成后严格落实</w:t>
                  </w:r>
                  <w:r>
                    <w:rPr>
                      <w:color w:val="auto"/>
                      <w:sz w:val="21"/>
                      <w:szCs w:val="21"/>
                    </w:rPr>
                    <w:t>建立原辅材料台账，记录VOC</w:t>
                  </w:r>
                  <w:r>
                    <w:rPr>
                      <w:rFonts w:hint="eastAsia"/>
                      <w:color w:val="auto"/>
                      <w:sz w:val="21"/>
                      <w:szCs w:val="21"/>
                    </w:rPr>
                    <w:t>s</w:t>
                  </w:r>
                  <w:r>
                    <w:rPr>
                      <w:color w:val="auto"/>
                      <w:sz w:val="21"/>
                      <w:szCs w:val="21"/>
                    </w:rPr>
                    <w:t>原辅材料名称、成分等信息，并在厂区内存档。</w:t>
                  </w:r>
                </w:p>
              </w:tc>
              <w:tc>
                <w:tcPr>
                  <w:tcW w:w="663" w:type="dxa"/>
                  <w:tcBorders>
                    <w:right w:val="nil"/>
                  </w:tcBorders>
                  <w:vAlign w:val="center"/>
                </w:tcPr>
                <w:p w14:paraId="0E9637F3">
                  <w:pPr>
                    <w:pStyle w:val="40"/>
                    <w:spacing w:line="288" w:lineRule="auto"/>
                    <w:rPr>
                      <w:color w:val="auto"/>
                      <w:sz w:val="21"/>
                      <w:szCs w:val="21"/>
                    </w:rPr>
                  </w:pPr>
                  <w:r>
                    <w:rPr>
                      <w:rFonts w:hint="eastAsia"/>
                      <w:color w:val="auto"/>
                      <w:sz w:val="21"/>
                      <w:szCs w:val="21"/>
                    </w:rPr>
                    <w:t>符合</w:t>
                  </w:r>
                </w:p>
              </w:tc>
            </w:tr>
            <w:tr w14:paraId="614F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5" w:hRule="atLeast"/>
                <w:jc w:val="center"/>
              </w:trPr>
              <w:tc>
                <w:tcPr>
                  <w:tcW w:w="1014" w:type="dxa"/>
                  <w:tcBorders>
                    <w:left w:val="nil"/>
                  </w:tcBorders>
                  <w:vAlign w:val="center"/>
                </w:tcPr>
                <w:p w14:paraId="2C149C2E">
                  <w:pPr>
                    <w:pStyle w:val="40"/>
                    <w:spacing w:line="288" w:lineRule="auto"/>
                    <w:rPr>
                      <w:color w:val="auto"/>
                      <w:sz w:val="21"/>
                      <w:szCs w:val="21"/>
                    </w:rPr>
                  </w:pPr>
                  <w:r>
                    <w:rPr>
                      <w:color w:val="auto"/>
                      <w:sz w:val="21"/>
                      <w:szCs w:val="21"/>
                    </w:rPr>
                    <w:t>全面落实标准要求，强化无组织排放控制</w:t>
                  </w:r>
                </w:p>
              </w:tc>
              <w:tc>
                <w:tcPr>
                  <w:tcW w:w="2384" w:type="dxa"/>
                  <w:vAlign w:val="center"/>
                </w:tcPr>
                <w:p w14:paraId="2DB85FC3">
                  <w:pPr>
                    <w:pStyle w:val="40"/>
                    <w:spacing w:line="288" w:lineRule="auto"/>
                    <w:jc w:val="both"/>
                    <w:rPr>
                      <w:color w:val="auto"/>
                      <w:sz w:val="21"/>
                      <w:szCs w:val="21"/>
                      <w:highlight w:val="none"/>
                    </w:rPr>
                  </w:pPr>
                  <w:r>
                    <w:rPr>
                      <w:color w:val="auto"/>
                      <w:sz w:val="21"/>
                      <w:szCs w:val="21"/>
                      <w:highlight w:val="none"/>
                    </w:rPr>
                    <w:t>加强含VOC</w:t>
                  </w:r>
                  <w:r>
                    <w:rPr>
                      <w:rFonts w:hint="eastAsia"/>
                      <w:color w:val="auto"/>
                      <w:sz w:val="21"/>
                      <w:szCs w:val="21"/>
                      <w:highlight w:val="none"/>
                    </w:rPr>
                    <w:t>s</w:t>
                  </w:r>
                  <w:r>
                    <w:rPr>
                      <w:color w:val="auto"/>
                      <w:sz w:val="21"/>
                      <w:szCs w:val="21"/>
                      <w:highlight w:val="none"/>
                    </w:rPr>
                    <w:t>物料全方位、全链条、全环节密闭管理。储存环节应采用密闭容器、包装袋、高效密封储罐、封闭式储库、料仓等。装卸、转移和输送环节应采用密闭管道或密闭容器、罐车等。生产和使用环节应采用密闭设备，或在密闭车间中操作并有效收集废气，或进行局部气体收集。</w:t>
                  </w:r>
                </w:p>
              </w:tc>
              <w:tc>
                <w:tcPr>
                  <w:tcW w:w="2528" w:type="dxa"/>
                  <w:vAlign w:val="center"/>
                </w:tcPr>
                <w:p w14:paraId="153E8785">
                  <w:pPr>
                    <w:pStyle w:val="40"/>
                    <w:spacing w:line="288" w:lineRule="auto"/>
                    <w:jc w:val="both"/>
                    <w:rPr>
                      <w:color w:val="auto"/>
                      <w:sz w:val="21"/>
                      <w:szCs w:val="21"/>
                      <w:highlight w:val="none"/>
                    </w:rPr>
                  </w:pPr>
                  <w:r>
                    <w:rPr>
                      <w:color w:val="auto"/>
                      <w:sz w:val="21"/>
                      <w:szCs w:val="21"/>
                      <w:highlight w:val="none"/>
                    </w:rPr>
                    <w:t>项目采用的</w:t>
                  </w:r>
                  <w:r>
                    <w:rPr>
                      <w:rFonts w:hint="eastAsia"/>
                      <w:color w:val="auto"/>
                      <w:sz w:val="21"/>
                      <w:szCs w:val="21"/>
                      <w:highlight w:val="none"/>
                    </w:rPr>
                    <w:t>VOCs物料</w:t>
                  </w:r>
                  <w:r>
                    <w:rPr>
                      <w:color w:val="auto"/>
                      <w:sz w:val="21"/>
                      <w:szCs w:val="21"/>
                      <w:highlight w:val="none"/>
                    </w:rPr>
                    <w:t>储存过程采用</w:t>
                  </w:r>
                  <w:r>
                    <w:rPr>
                      <w:rFonts w:hint="eastAsia"/>
                      <w:color w:val="auto"/>
                      <w:sz w:val="21"/>
                      <w:szCs w:val="21"/>
                      <w:highlight w:val="none"/>
                    </w:rPr>
                    <w:t>密封包装袋容器</w:t>
                  </w:r>
                  <w:r>
                    <w:rPr>
                      <w:color w:val="auto"/>
                      <w:sz w:val="21"/>
                      <w:szCs w:val="21"/>
                      <w:highlight w:val="none"/>
                    </w:rPr>
                    <w:t>保存；</w:t>
                  </w:r>
                  <w:r>
                    <w:rPr>
                      <w:rFonts w:hint="eastAsia"/>
                      <w:color w:val="auto"/>
                      <w:sz w:val="21"/>
                      <w:szCs w:val="21"/>
                      <w:highlight w:val="none"/>
                    </w:rPr>
                    <w:t>项目</w:t>
                  </w:r>
                  <w:r>
                    <w:rPr>
                      <w:rFonts w:hint="eastAsia"/>
                      <w:color w:val="auto"/>
                      <w:sz w:val="21"/>
                      <w:szCs w:val="21"/>
                      <w:highlight w:val="none"/>
                      <w:lang w:val="en-US" w:eastAsia="zh-CN"/>
                    </w:rPr>
                    <w:t>生产过程中</w:t>
                  </w:r>
                  <w:r>
                    <w:rPr>
                      <w:color w:val="auto"/>
                      <w:sz w:val="21"/>
                      <w:szCs w:val="21"/>
                      <w:highlight w:val="none"/>
                    </w:rPr>
                    <w:t>产生的有机废气</w:t>
                  </w:r>
                  <w:r>
                    <w:rPr>
                      <w:rFonts w:hint="eastAsia"/>
                      <w:color w:val="auto"/>
                      <w:sz w:val="21"/>
                      <w:szCs w:val="21"/>
                      <w:highlight w:val="none"/>
                      <w:lang w:val="en-US" w:eastAsia="zh-CN"/>
                    </w:rPr>
                    <w:t>通过密闭负压收集，</w:t>
                  </w:r>
                  <w:r>
                    <w:rPr>
                      <w:color w:val="auto"/>
                      <w:sz w:val="21"/>
                      <w:szCs w:val="21"/>
                      <w:highlight w:val="none"/>
                    </w:rPr>
                    <w:t>采用</w:t>
                  </w:r>
                  <w:r>
                    <w:rPr>
                      <w:rFonts w:hint="eastAsia"/>
                      <w:color w:val="auto"/>
                      <w:sz w:val="21"/>
                      <w:szCs w:val="21"/>
                      <w:highlight w:val="none"/>
                      <w:lang w:eastAsia="zh-CN"/>
                    </w:rPr>
                    <w:t>“</w:t>
                  </w:r>
                  <w:r>
                    <w:rPr>
                      <w:rFonts w:hint="eastAsia"/>
                      <w:color w:val="auto"/>
                      <w:sz w:val="21"/>
                      <w:szCs w:val="21"/>
                      <w:highlight w:val="none"/>
                      <w:lang w:val="en-US" w:eastAsia="zh-CN"/>
                    </w:rPr>
                    <w:t>干式过滤+</w:t>
                  </w:r>
                  <w:r>
                    <w:rPr>
                      <w:rFonts w:hint="eastAsia"/>
                      <w:color w:val="auto"/>
                      <w:sz w:val="21"/>
                      <w:szCs w:val="21"/>
                      <w:highlight w:val="none"/>
                    </w:rPr>
                    <w:t>二级活性炭吸附装置</w:t>
                  </w:r>
                  <w:r>
                    <w:rPr>
                      <w:rFonts w:hint="eastAsia"/>
                      <w:color w:val="auto"/>
                      <w:sz w:val="21"/>
                      <w:szCs w:val="21"/>
                      <w:highlight w:val="none"/>
                      <w:lang w:eastAsia="zh-CN"/>
                    </w:rPr>
                    <w:t>”</w:t>
                  </w:r>
                  <w:r>
                    <w:rPr>
                      <w:rFonts w:hint="eastAsia"/>
                      <w:color w:val="auto"/>
                      <w:sz w:val="21"/>
                      <w:szCs w:val="21"/>
                      <w:highlight w:val="none"/>
                    </w:rPr>
                    <w:t>处理达标后引至22m高的排气筒排放</w:t>
                  </w:r>
                </w:p>
              </w:tc>
              <w:tc>
                <w:tcPr>
                  <w:tcW w:w="663" w:type="dxa"/>
                  <w:tcBorders>
                    <w:right w:val="nil"/>
                  </w:tcBorders>
                  <w:vAlign w:val="center"/>
                </w:tcPr>
                <w:p w14:paraId="1AE1BE54">
                  <w:pPr>
                    <w:pStyle w:val="40"/>
                    <w:spacing w:line="288" w:lineRule="auto"/>
                    <w:rPr>
                      <w:color w:val="auto"/>
                      <w:sz w:val="21"/>
                      <w:szCs w:val="21"/>
                    </w:rPr>
                  </w:pPr>
                  <w:r>
                    <w:rPr>
                      <w:rFonts w:hint="eastAsia"/>
                      <w:color w:val="auto"/>
                      <w:sz w:val="21"/>
                      <w:szCs w:val="21"/>
                    </w:rPr>
                    <w:t>符合</w:t>
                  </w:r>
                </w:p>
              </w:tc>
            </w:tr>
            <w:tr w14:paraId="32B0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1014" w:type="dxa"/>
                  <w:vMerge w:val="restart"/>
                  <w:tcBorders>
                    <w:left w:val="nil"/>
                  </w:tcBorders>
                  <w:vAlign w:val="center"/>
                </w:tcPr>
                <w:p w14:paraId="3C68E1AD">
                  <w:pPr>
                    <w:pStyle w:val="40"/>
                    <w:spacing w:line="288" w:lineRule="auto"/>
                    <w:rPr>
                      <w:color w:val="auto"/>
                      <w:sz w:val="21"/>
                      <w:szCs w:val="21"/>
                    </w:rPr>
                  </w:pPr>
                  <w:r>
                    <w:rPr>
                      <w:color w:val="auto"/>
                      <w:sz w:val="21"/>
                      <w:szCs w:val="21"/>
                    </w:rPr>
                    <w:t>聚焦治污设施</w:t>
                  </w:r>
                  <w:r>
                    <w:rPr>
                      <w:rFonts w:hint="eastAsia"/>
                      <w:color w:val="auto"/>
                      <w:sz w:val="21"/>
                      <w:szCs w:val="21"/>
                      <w:lang w:eastAsia="zh-CN"/>
                    </w:rPr>
                    <w:t>“</w:t>
                  </w:r>
                  <w:r>
                    <w:rPr>
                      <w:rFonts w:hint="eastAsia"/>
                      <w:color w:val="auto"/>
                      <w:sz w:val="21"/>
                      <w:szCs w:val="21"/>
                    </w:rPr>
                    <w:t>三率</w:t>
                  </w:r>
                  <w:r>
                    <w:rPr>
                      <w:rFonts w:hint="eastAsia"/>
                      <w:color w:val="auto"/>
                      <w:sz w:val="21"/>
                      <w:szCs w:val="21"/>
                      <w:lang w:eastAsia="zh-CN"/>
                    </w:rPr>
                    <w:t>”</w:t>
                  </w:r>
                  <w:r>
                    <w:rPr>
                      <w:color w:val="auto"/>
                      <w:sz w:val="21"/>
                      <w:szCs w:val="21"/>
                    </w:rPr>
                    <w:t>，提升综合治理效率</w:t>
                  </w:r>
                </w:p>
              </w:tc>
              <w:tc>
                <w:tcPr>
                  <w:tcW w:w="2384" w:type="dxa"/>
                  <w:vAlign w:val="center"/>
                </w:tcPr>
                <w:p w14:paraId="1EA68304">
                  <w:pPr>
                    <w:pStyle w:val="40"/>
                    <w:spacing w:line="288" w:lineRule="auto"/>
                    <w:jc w:val="both"/>
                    <w:rPr>
                      <w:color w:val="auto"/>
                      <w:sz w:val="21"/>
                      <w:szCs w:val="21"/>
                    </w:rPr>
                  </w:pPr>
                  <w:r>
                    <w:rPr>
                      <w:color w:val="auto"/>
                      <w:sz w:val="21"/>
                      <w:szCs w:val="21"/>
                    </w:rPr>
                    <w:t>推进建设适宜高效的治污设施。企业新建治污设施或对现有治污设施实施改造，应依据排放废气的浓度、组分、风量，温度、湿度、压力，以及生产工况等，合理选择治理技术。</w:t>
                  </w:r>
                </w:p>
              </w:tc>
              <w:tc>
                <w:tcPr>
                  <w:tcW w:w="2528" w:type="dxa"/>
                  <w:vAlign w:val="center"/>
                </w:tcPr>
                <w:p w14:paraId="74FCE9C5">
                  <w:pPr>
                    <w:pStyle w:val="40"/>
                    <w:spacing w:line="288" w:lineRule="auto"/>
                    <w:jc w:val="both"/>
                    <w:rPr>
                      <w:color w:val="auto"/>
                      <w:sz w:val="21"/>
                      <w:szCs w:val="21"/>
                    </w:rPr>
                  </w:pPr>
                  <w:r>
                    <w:rPr>
                      <w:rFonts w:hint="eastAsia"/>
                      <w:color w:val="auto"/>
                      <w:sz w:val="21"/>
                      <w:szCs w:val="21"/>
                    </w:rPr>
                    <w:t>有机废气经密闭车间负压收集后通过</w:t>
                  </w:r>
                  <w:r>
                    <w:rPr>
                      <w:rFonts w:hint="eastAsia"/>
                      <w:color w:val="auto"/>
                      <w:sz w:val="21"/>
                      <w:szCs w:val="21"/>
                      <w:lang w:eastAsia="zh-CN"/>
                    </w:rPr>
                    <w:t>“</w:t>
                  </w:r>
                  <w:r>
                    <w:rPr>
                      <w:rFonts w:hint="eastAsia"/>
                      <w:color w:val="auto"/>
                      <w:sz w:val="21"/>
                      <w:szCs w:val="21"/>
                      <w:lang w:val="en-US" w:eastAsia="zh-CN"/>
                    </w:rPr>
                    <w:t>干式过滤+</w:t>
                  </w:r>
                  <w:r>
                    <w:rPr>
                      <w:rFonts w:hint="eastAsia"/>
                      <w:color w:val="auto"/>
                      <w:sz w:val="21"/>
                      <w:szCs w:val="21"/>
                    </w:rPr>
                    <w:t>二级活性炭吸附装置</w:t>
                  </w:r>
                  <w:r>
                    <w:rPr>
                      <w:rFonts w:hint="eastAsia"/>
                      <w:color w:val="auto"/>
                      <w:sz w:val="21"/>
                      <w:szCs w:val="21"/>
                      <w:lang w:eastAsia="zh-CN"/>
                    </w:rPr>
                    <w:t>”</w:t>
                  </w:r>
                  <w:r>
                    <w:rPr>
                      <w:rFonts w:hint="eastAsia"/>
                      <w:color w:val="auto"/>
                      <w:sz w:val="21"/>
                      <w:szCs w:val="21"/>
                    </w:rPr>
                    <w:t>处理达标后引至</w:t>
                  </w:r>
                  <w:r>
                    <w:rPr>
                      <w:rFonts w:hint="eastAsia"/>
                      <w:color w:val="auto"/>
                      <w:sz w:val="21"/>
                      <w:szCs w:val="21"/>
                      <w:highlight w:val="none"/>
                    </w:rPr>
                    <w:t>22m</w:t>
                  </w:r>
                  <w:r>
                    <w:rPr>
                      <w:rFonts w:hint="eastAsia"/>
                      <w:color w:val="auto"/>
                      <w:sz w:val="21"/>
                      <w:szCs w:val="21"/>
                    </w:rPr>
                    <w:t>高的排气筒排放</w:t>
                  </w:r>
                </w:p>
              </w:tc>
              <w:tc>
                <w:tcPr>
                  <w:tcW w:w="663" w:type="dxa"/>
                  <w:tcBorders>
                    <w:right w:val="nil"/>
                  </w:tcBorders>
                  <w:vAlign w:val="center"/>
                </w:tcPr>
                <w:p w14:paraId="25A1290C">
                  <w:pPr>
                    <w:pStyle w:val="40"/>
                    <w:spacing w:line="288" w:lineRule="auto"/>
                    <w:rPr>
                      <w:color w:val="auto"/>
                      <w:sz w:val="21"/>
                      <w:szCs w:val="21"/>
                    </w:rPr>
                  </w:pPr>
                  <w:r>
                    <w:rPr>
                      <w:rFonts w:hint="eastAsia"/>
                      <w:color w:val="auto"/>
                      <w:sz w:val="21"/>
                      <w:szCs w:val="21"/>
                    </w:rPr>
                    <w:t>符合</w:t>
                  </w:r>
                </w:p>
              </w:tc>
            </w:tr>
            <w:tr w14:paraId="70CC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9" w:hRule="atLeast"/>
                <w:jc w:val="center"/>
              </w:trPr>
              <w:tc>
                <w:tcPr>
                  <w:tcW w:w="1014" w:type="dxa"/>
                  <w:vMerge w:val="continue"/>
                  <w:tcBorders>
                    <w:left w:val="nil"/>
                    <w:bottom w:val="single" w:color="auto" w:sz="12" w:space="0"/>
                  </w:tcBorders>
                  <w:vAlign w:val="center"/>
                </w:tcPr>
                <w:p w14:paraId="379A0F11">
                  <w:pPr>
                    <w:pStyle w:val="40"/>
                    <w:rPr>
                      <w:color w:val="auto"/>
                      <w:sz w:val="21"/>
                      <w:szCs w:val="21"/>
                    </w:rPr>
                  </w:pPr>
                </w:p>
              </w:tc>
              <w:tc>
                <w:tcPr>
                  <w:tcW w:w="2384" w:type="dxa"/>
                  <w:tcBorders>
                    <w:bottom w:val="single" w:color="auto" w:sz="12" w:space="0"/>
                  </w:tcBorders>
                  <w:vAlign w:val="center"/>
                </w:tcPr>
                <w:p w14:paraId="2C40C4C9">
                  <w:pPr>
                    <w:pStyle w:val="40"/>
                    <w:spacing w:line="288" w:lineRule="auto"/>
                    <w:jc w:val="both"/>
                    <w:rPr>
                      <w:color w:val="auto"/>
                      <w:sz w:val="21"/>
                      <w:szCs w:val="21"/>
                    </w:rPr>
                  </w:pPr>
                  <w:r>
                    <w:rPr>
                      <w:color w:val="auto"/>
                      <w:sz w:val="21"/>
                      <w:szCs w:val="21"/>
                    </w:rPr>
                    <w:t>按照与生产设备</w:t>
                  </w:r>
                  <w:r>
                    <w:rPr>
                      <w:rFonts w:hint="eastAsia"/>
                      <w:color w:val="auto"/>
                      <w:sz w:val="21"/>
                      <w:szCs w:val="21"/>
                      <w:lang w:eastAsia="zh-CN"/>
                    </w:rPr>
                    <w:t>“</w:t>
                  </w:r>
                  <w:r>
                    <w:rPr>
                      <w:color w:val="auto"/>
                      <w:sz w:val="21"/>
                      <w:szCs w:val="21"/>
                    </w:rPr>
                    <w:t>同启同停</w:t>
                  </w:r>
                  <w:r>
                    <w:rPr>
                      <w:rFonts w:hint="eastAsia"/>
                      <w:color w:val="auto"/>
                      <w:sz w:val="21"/>
                      <w:szCs w:val="21"/>
                      <w:lang w:eastAsia="zh-CN"/>
                    </w:rPr>
                    <w:t>”</w:t>
                  </w:r>
                  <w:r>
                    <w:rPr>
                      <w:color w:val="auto"/>
                      <w:sz w:val="21"/>
                      <w:szCs w:val="21"/>
                    </w:rPr>
                    <w:t>的原则提升治理设施运行效率。根据处理工艺要求，在处理设施达到正常运行条件后方可启动生产设备，在生产设备停止、残留VOC</w:t>
                  </w:r>
                  <w:r>
                    <w:rPr>
                      <w:rFonts w:hint="eastAsia"/>
                      <w:color w:val="auto"/>
                      <w:sz w:val="21"/>
                      <w:szCs w:val="21"/>
                    </w:rPr>
                    <w:t>s</w:t>
                  </w:r>
                  <w:r>
                    <w:rPr>
                      <w:color w:val="auto"/>
                      <w:sz w:val="21"/>
                      <w:szCs w:val="21"/>
                    </w:rPr>
                    <w:t>废气收集处理完毕后，方可停运处理设施。VOC</w:t>
                  </w:r>
                  <w:r>
                    <w:rPr>
                      <w:rFonts w:hint="eastAsia"/>
                      <w:color w:val="auto"/>
                      <w:sz w:val="21"/>
                      <w:szCs w:val="21"/>
                    </w:rPr>
                    <w:t>s</w:t>
                  </w:r>
                  <w:r>
                    <w:rPr>
                      <w:color w:val="auto"/>
                      <w:sz w:val="21"/>
                      <w:szCs w:val="21"/>
                    </w:rPr>
                    <w:t>废气处理系统发生故障或检修时，对应生产工艺设备应停止运行，待检修完毕后投入使用。</w:t>
                  </w:r>
                </w:p>
              </w:tc>
              <w:tc>
                <w:tcPr>
                  <w:tcW w:w="2528" w:type="dxa"/>
                  <w:tcBorders>
                    <w:bottom w:val="single" w:color="auto" w:sz="12" w:space="0"/>
                  </w:tcBorders>
                  <w:vAlign w:val="center"/>
                </w:tcPr>
                <w:p w14:paraId="4BCA230B">
                  <w:pPr>
                    <w:pStyle w:val="40"/>
                    <w:spacing w:line="288" w:lineRule="auto"/>
                    <w:jc w:val="both"/>
                    <w:rPr>
                      <w:color w:val="auto"/>
                      <w:sz w:val="21"/>
                      <w:szCs w:val="21"/>
                    </w:rPr>
                  </w:pPr>
                  <w:r>
                    <w:rPr>
                      <w:color w:val="auto"/>
                      <w:sz w:val="21"/>
                      <w:szCs w:val="21"/>
                    </w:rPr>
                    <w:t>项目废气收集治理设施与生产设备同启同停，定期检修设备，设施故障时待检修完毕再共同投入使用。</w:t>
                  </w:r>
                </w:p>
              </w:tc>
              <w:tc>
                <w:tcPr>
                  <w:tcW w:w="663" w:type="dxa"/>
                  <w:tcBorders>
                    <w:bottom w:val="single" w:color="auto" w:sz="12" w:space="0"/>
                    <w:right w:val="nil"/>
                  </w:tcBorders>
                  <w:vAlign w:val="center"/>
                </w:tcPr>
                <w:p w14:paraId="24AF368A">
                  <w:pPr>
                    <w:pStyle w:val="40"/>
                    <w:spacing w:line="288" w:lineRule="auto"/>
                    <w:rPr>
                      <w:color w:val="auto"/>
                      <w:sz w:val="21"/>
                      <w:szCs w:val="21"/>
                    </w:rPr>
                  </w:pPr>
                  <w:r>
                    <w:rPr>
                      <w:rFonts w:hint="eastAsia"/>
                      <w:color w:val="auto"/>
                      <w:sz w:val="21"/>
                      <w:szCs w:val="21"/>
                    </w:rPr>
                    <w:t>符合</w:t>
                  </w:r>
                </w:p>
              </w:tc>
            </w:tr>
          </w:tbl>
          <w:p w14:paraId="5D72F155">
            <w:pPr>
              <w:keepNext/>
              <w:keepLines/>
              <w:ind w:firstLine="480" w:firstLineChars="200"/>
              <w:rPr>
                <w:color w:val="auto"/>
                <w:szCs w:val="32"/>
              </w:rPr>
            </w:pPr>
            <w:r>
              <w:rPr>
                <w:rFonts w:hint="eastAsia"/>
                <w:color w:val="auto"/>
                <w:szCs w:val="32"/>
              </w:rPr>
              <w:t>（3）</w:t>
            </w:r>
            <w:r>
              <w:rPr>
                <w:rFonts w:hint="eastAsia"/>
                <w:color w:val="auto"/>
              </w:rPr>
              <w:t>《福州市</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节能减排综合工作实施方案》</w:t>
            </w:r>
          </w:p>
          <w:p w14:paraId="1DA13D0C">
            <w:pPr>
              <w:pStyle w:val="39"/>
              <w:spacing w:before="0" w:beforeLines="0" w:after="0" w:afterLines="0" w:line="240" w:lineRule="auto"/>
              <w:rPr>
                <w:color w:val="auto"/>
              </w:rPr>
            </w:pPr>
            <w:r>
              <w:rPr>
                <w:rFonts w:hint="eastAsia"/>
                <w:color w:val="auto"/>
              </w:rPr>
              <w:t>表1.10-3  项目与《福州市</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节能减排综合工作实施方案》符合性分析</w:t>
            </w:r>
          </w:p>
          <w:tbl>
            <w:tblPr>
              <w:tblStyle w:val="30"/>
              <w:tblW w:w="48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9"/>
              <w:gridCol w:w="3026"/>
              <w:gridCol w:w="1684"/>
              <w:gridCol w:w="548"/>
            </w:tblGrid>
            <w:tr w14:paraId="37D9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909" w:type="pct"/>
                  <w:tcBorders>
                    <w:top w:val="single" w:color="auto" w:sz="12" w:space="0"/>
                    <w:left w:val="nil"/>
                  </w:tcBorders>
                  <w:vAlign w:val="center"/>
                </w:tcPr>
                <w:p w14:paraId="4DAFAFCE">
                  <w:pPr>
                    <w:pStyle w:val="40"/>
                    <w:spacing w:line="288" w:lineRule="auto"/>
                    <w:rPr>
                      <w:color w:val="auto"/>
                      <w:sz w:val="21"/>
                      <w:szCs w:val="21"/>
                    </w:rPr>
                  </w:pPr>
                  <w:r>
                    <w:rPr>
                      <w:color w:val="auto"/>
                      <w:sz w:val="21"/>
                      <w:szCs w:val="21"/>
                    </w:rPr>
                    <w:t>相关文件名称</w:t>
                  </w:r>
                </w:p>
              </w:tc>
              <w:tc>
                <w:tcPr>
                  <w:tcW w:w="2353" w:type="pct"/>
                  <w:tcBorders>
                    <w:top w:val="single" w:color="auto" w:sz="12" w:space="0"/>
                  </w:tcBorders>
                  <w:vAlign w:val="center"/>
                </w:tcPr>
                <w:p w14:paraId="67F83F62">
                  <w:pPr>
                    <w:pStyle w:val="40"/>
                    <w:spacing w:line="288" w:lineRule="auto"/>
                    <w:rPr>
                      <w:color w:val="auto"/>
                      <w:sz w:val="21"/>
                      <w:szCs w:val="21"/>
                    </w:rPr>
                  </w:pPr>
                  <w:r>
                    <w:rPr>
                      <w:color w:val="auto"/>
                      <w:sz w:val="21"/>
                      <w:szCs w:val="21"/>
                    </w:rPr>
                    <w:t>相关内容</w:t>
                  </w:r>
                </w:p>
              </w:tc>
              <w:tc>
                <w:tcPr>
                  <w:tcW w:w="1310" w:type="pct"/>
                  <w:tcBorders>
                    <w:top w:val="single" w:color="auto" w:sz="12" w:space="0"/>
                  </w:tcBorders>
                  <w:vAlign w:val="center"/>
                </w:tcPr>
                <w:p w14:paraId="39A492BB">
                  <w:pPr>
                    <w:pStyle w:val="40"/>
                    <w:spacing w:line="288" w:lineRule="auto"/>
                    <w:rPr>
                      <w:color w:val="auto"/>
                      <w:sz w:val="21"/>
                      <w:szCs w:val="21"/>
                    </w:rPr>
                  </w:pPr>
                  <w:r>
                    <w:rPr>
                      <w:rFonts w:hint="eastAsia"/>
                      <w:color w:val="auto"/>
                      <w:sz w:val="21"/>
                      <w:szCs w:val="21"/>
                    </w:rPr>
                    <w:t>项目内容</w:t>
                  </w:r>
                </w:p>
              </w:tc>
              <w:tc>
                <w:tcPr>
                  <w:tcW w:w="426" w:type="pct"/>
                  <w:tcBorders>
                    <w:top w:val="single" w:color="auto" w:sz="12" w:space="0"/>
                    <w:right w:val="nil"/>
                  </w:tcBorders>
                  <w:vAlign w:val="center"/>
                </w:tcPr>
                <w:p w14:paraId="799DDAA2">
                  <w:pPr>
                    <w:pStyle w:val="40"/>
                    <w:spacing w:line="288" w:lineRule="auto"/>
                    <w:rPr>
                      <w:color w:val="auto"/>
                      <w:sz w:val="21"/>
                      <w:szCs w:val="21"/>
                    </w:rPr>
                  </w:pPr>
                  <w:r>
                    <w:rPr>
                      <w:rFonts w:hint="eastAsia"/>
                      <w:color w:val="auto"/>
                      <w:sz w:val="21"/>
                      <w:szCs w:val="21"/>
                    </w:rPr>
                    <w:t>符合性</w:t>
                  </w:r>
                </w:p>
              </w:tc>
            </w:tr>
            <w:tr w14:paraId="77B0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909" w:type="pct"/>
                  <w:tcBorders>
                    <w:left w:val="nil"/>
                    <w:bottom w:val="single" w:color="auto" w:sz="12" w:space="0"/>
                  </w:tcBorders>
                  <w:vAlign w:val="center"/>
                </w:tcPr>
                <w:p w14:paraId="3AF712E6">
                  <w:pPr>
                    <w:pStyle w:val="40"/>
                    <w:spacing w:line="288" w:lineRule="auto"/>
                    <w:rPr>
                      <w:color w:val="auto"/>
                      <w:sz w:val="21"/>
                      <w:szCs w:val="21"/>
                    </w:rPr>
                  </w:pPr>
                  <w:r>
                    <w:rPr>
                      <w:rFonts w:hint="eastAsia"/>
                      <w:color w:val="auto"/>
                      <w:sz w:val="21"/>
                      <w:szCs w:val="21"/>
                    </w:rPr>
                    <w:t>《福州市</w:t>
                  </w:r>
                  <w:r>
                    <w:rPr>
                      <w:rFonts w:hint="eastAsia"/>
                      <w:color w:val="auto"/>
                      <w:sz w:val="21"/>
                      <w:szCs w:val="21"/>
                      <w:lang w:eastAsia="zh-CN"/>
                    </w:rPr>
                    <w:t>“</w:t>
                  </w:r>
                  <w:r>
                    <w:rPr>
                      <w:rFonts w:hint="eastAsia"/>
                      <w:color w:val="auto"/>
                      <w:sz w:val="21"/>
                      <w:szCs w:val="21"/>
                    </w:rPr>
                    <w:t>十四五</w:t>
                  </w:r>
                  <w:r>
                    <w:rPr>
                      <w:rFonts w:hint="eastAsia"/>
                      <w:color w:val="auto"/>
                      <w:sz w:val="21"/>
                      <w:szCs w:val="21"/>
                      <w:lang w:eastAsia="zh-CN"/>
                    </w:rPr>
                    <w:t>”</w:t>
                  </w:r>
                  <w:r>
                    <w:rPr>
                      <w:rFonts w:hint="eastAsia"/>
                      <w:color w:val="auto"/>
                      <w:sz w:val="21"/>
                      <w:szCs w:val="21"/>
                    </w:rPr>
                    <w:t>节能减排综合工作实施方案》榕政办〔2022〕127号</w:t>
                  </w:r>
                </w:p>
                <w:p w14:paraId="721067E3">
                  <w:pPr>
                    <w:pStyle w:val="40"/>
                    <w:spacing w:line="288" w:lineRule="auto"/>
                    <w:rPr>
                      <w:color w:val="auto"/>
                      <w:sz w:val="21"/>
                      <w:szCs w:val="21"/>
                    </w:rPr>
                  </w:pPr>
                </w:p>
              </w:tc>
              <w:tc>
                <w:tcPr>
                  <w:tcW w:w="2353" w:type="pct"/>
                  <w:tcBorders>
                    <w:bottom w:val="single" w:color="auto" w:sz="12" w:space="0"/>
                  </w:tcBorders>
                  <w:vAlign w:val="center"/>
                </w:tcPr>
                <w:p w14:paraId="70E03381">
                  <w:pPr>
                    <w:pStyle w:val="40"/>
                    <w:spacing w:line="288" w:lineRule="auto"/>
                    <w:rPr>
                      <w:color w:val="auto"/>
                      <w:sz w:val="21"/>
                      <w:szCs w:val="21"/>
                    </w:rPr>
                  </w:pPr>
                  <w:r>
                    <w:rPr>
                      <w:rFonts w:hint="eastAsia"/>
                      <w:color w:val="auto"/>
                      <w:sz w:val="21"/>
                      <w:szCs w:val="21"/>
                    </w:rPr>
                    <w:t>实行新建项目挥发性有机物排放区域内1.2及以上倍量替代。VOCs年排放量大于5吨的新建项目投运前应安装VOCs在线监控设备，并接入市生态云平台。</w:t>
                  </w:r>
                </w:p>
              </w:tc>
              <w:tc>
                <w:tcPr>
                  <w:tcW w:w="1310" w:type="pct"/>
                  <w:tcBorders>
                    <w:bottom w:val="single" w:color="auto" w:sz="12" w:space="0"/>
                  </w:tcBorders>
                  <w:vAlign w:val="center"/>
                </w:tcPr>
                <w:p w14:paraId="6424E2CF">
                  <w:pPr>
                    <w:pStyle w:val="40"/>
                    <w:spacing w:line="288" w:lineRule="auto"/>
                    <w:rPr>
                      <w:color w:val="auto"/>
                      <w:sz w:val="21"/>
                      <w:szCs w:val="21"/>
                    </w:rPr>
                  </w:pPr>
                  <w:r>
                    <w:rPr>
                      <w:rFonts w:hint="default"/>
                      <w:color w:val="auto"/>
                      <w:sz w:val="21"/>
                      <w:szCs w:val="21"/>
                      <w:lang w:eastAsia="zh-CN"/>
                    </w:rPr>
                    <w:t>项目使用低VOCs含量的原辅材料；项目VOCs排放拟实行区域内倍量替代，</w:t>
                  </w:r>
                  <w:r>
                    <w:rPr>
                      <w:rFonts w:hint="default"/>
                      <w:color w:val="auto"/>
                      <w:sz w:val="21"/>
                      <w:szCs w:val="21"/>
                    </w:rPr>
                    <w:t>VOCs年排放量</w:t>
                  </w:r>
                  <w:r>
                    <w:rPr>
                      <w:rFonts w:hint="default"/>
                      <w:color w:val="auto"/>
                      <w:sz w:val="21"/>
                      <w:szCs w:val="21"/>
                      <w:lang w:eastAsia="zh-CN"/>
                    </w:rPr>
                    <w:t>小于</w:t>
                  </w:r>
                  <w:r>
                    <w:rPr>
                      <w:rFonts w:hint="eastAsia"/>
                      <w:color w:val="auto"/>
                      <w:sz w:val="21"/>
                      <w:szCs w:val="21"/>
                      <w:lang w:val="en-US" w:eastAsia="zh-CN"/>
                    </w:rPr>
                    <w:t>5</w:t>
                  </w:r>
                  <w:r>
                    <w:rPr>
                      <w:rFonts w:hint="default"/>
                      <w:color w:val="auto"/>
                      <w:sz w:val="21"/>
                      <w:szCs w:val="21"/>
                    </w:rPr>
                    <w:t>吨</w:t>
                  </w:r>
                  <w:r>
                    <w:rPr>
                      <w:rFonts w:hint="default"/>
                      <w:color w:val="auto"/>
                      <w:sz w:val="21"/>
                      <w:szCs w:val="21"/>
                      <w:lang w:eastAsia="zh-CN"/>
                    </w:rPr>
                    <w:t>，无需安装</w:t>
                  </w:r>
                  <w:r>
                    <w:rPr>
                      <w:rFonts w:hint="default"/>
                      <w:color w:val="auto"/>
                      <w:sz w:val="21"/>
                      <w:szCs w:val="21"/>
                    </w:rPr>
                    <w:t>VOCs在线监控设备</w:t>
                  </w:r>
                  <w:r>
                    <w:rPr>
                      <w:rFonts w:hint="default"/>
                      <w:color w:val="auto"/>
                      <w:sz w:val="21"/>
                      <w:szCs w:val="21"/>
                      <w:lang w:eastAsia="zh-CN"/>
                    </w:rPr>
                    <w:t>。</w:t>
                  </w:r>
                </w:p>
              </w:tc>
              <w:tc>
                <w:tcPr>
                  <w:tcW w:w="426" w:type="pct"/>
                  <w:tcBorders>
                    <w:bottom w:val="single" w:color="auto" w:sz="12" w:space="0"/>
                    <w:right w:val="nil"/>
                  </w:tcBorders>
                  <w:vAlign w:val="center"/>
                </w:tcPr>
                <w:p w14:paraId="761DFE48">
                  <w:pPr>
                    <w:pStyle w:val="40"/>
                    <w:spacing w:line="288" w:lineRule="auto"/>
                    <w:rPr>
                      <w:color w:val="auto"/>
                      <w:sz w:val="21"/>
                      <w:szCs w:val="21"/>
                    </w:rPr>
                  </w:pPr>
                  <w:r>
                    <w:rPr>
                      <w:rFonts w:hint="eastAsia"/>
                      <w:color w:val="auto"/>
                      <w:sz w:val="21"/>
                      <w:szCs w:val="21"/>
                    </w:rPr>
                    <w:t>符合</w:t>
                  </w:r>
                </w:p>
              </w:tc>
            </w:tr>
          </w:tbl>
          <w:p w14:paraId="5BF06C12">
            <w:pPr>
              <w:keepNext/>
              <w:keepLines/>
              <w:ind w:firstLine="480" w:firstLineChars="200"/>
              <w:rPr>
                <w:bCs/>
                <w:color w:val="auto"/>
                <w:szCs w:val="32"/>
              </w:rPr>
            </w:pPr>
            <w:r>
              <w:rPr>
                <w:rFonts w:hint="eastAsia"/>
                <w:bCs/>
                <w:color w:val="auto"/>
                <w:szCs w:val="32"/>
              </w:rPr>
              <w:t>（4）《福建省重点行业挥发性有机物污染防治工作方案》</w:t>
            </w:r>
          </w:p>
          <w:p w14:paraId="316ED711">
            <w:pPr>
              <w:pStyle w:val="39"/>
              <w:spacing w:before="0" w:beforeLines="0" w:after="0" w:afterLines="0" w:line="240" w:lineRule="auto"/>
              <w:rPr>
                <w:color w:val="auto"/>
              </w:rPr>
            </w:pPr>
            <w:r>
              <w:rPr>
                <w:rFonts w:hint="eastAsia"/>
                <w:color w:val="auto"/>
              </w:rPr>
              <w:t>表1.10-4  项目与《福建省重点行业挥发性有机物污染防治工作方案》符合性分析</w:t>
            </w:r>
          </w:p>
          <w:tbl>
            <w:tblPr>
              <w:tblStyle w:val="30"/>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2"/>
              <w:gridCol w:w="3376"/>
              <w:gridCol w:w="1500"/>
              <w:gridCol w:w="652"/>
            </w:tblGrid>
            <w:tr w14:paraId="3D4B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60" w:type="pct"/>
                  <w:tcBorders>
                    <w:top w:val="single" w:color="auto" w:sz="12" w:space="0"/>
                    <w:left w:val="nil"/>
                  </w:tcBorders>
                  <w:vAlign w:val="center"/>
                </w:tcPr>
                <w:p w14:paraId="043D6991">
                  <w:pPr>
                    <w:pStyle w:val="40"/>
                    <w:spacing w:line="288" w:lineRule="auto"/>
                    <w:rPr>
                      <w:color w:val="auto"/>
                      <w:sz w:val="21"/>
                      <w:szCs w:val="21"/>
                    </w:rPr>
                  </w:pPr>
                  <w:r>
                    <w:rPr>
                      <w:color w:val="auto"/>
                      <w:sz w:val="21"/>
                      <w:szCs w:val="21"/>
                    </w:rPr>
                    <w:t>相关文件名称</w:t>
                  </w:r>
                </w:p>
              </w:tc>
              <w:tc>
                <w:tcPr>
                  <w:tcW w:w="2588" w:type="pct"/>
                  <w:tcBorders>
                    <w:top w:val="single" w:color="auto" w:sz="12" w:space="0"/>
                  </w:tcBorders>
                  <w:vAlign w:val="center"/>
                </w:tcPr>
                <w:p w14:paraId="4307909B">
                  <w:pPr>
                    <w:pStyle w:val="40"/>
                    <w:spacing w:line="288" w:lineRule="auto"/>
                    <w:rPr>
                      <w:color w:val="auto"/>
                      <w:sz w:val="21"/>
                      <w:szCs w:val="21"/>
                    </w:rPr>
                  </w:pPr>
                  <w:r>
                    <w:rPr>
                      <w:color w:val="auto"/>
                      <w:sz w:val="21"/>
                      <w:szCs w:val="21"/>
                    </w:rPr>
                    <w:t>相关内容</w:t>
                  </w:r>
                </w:p>
              </w:tc>
              <w:tc>
                <w:tcPr>
                  <w:tcW w:w="1150" w:type="pct"/>
                  <w:tcBorders>
                    <w:top w:val="single" w:color="auto" w:sz="12" w:space="0"/>
                  </w:tcBorders>
                  <w:vAlign w:val="center"/>
                </w:tcPr>
                <w:p w14:paraId="1443553D">
                  <w:pPr>
                    <w:pStyle w:val="40"/>
                    <w:spacing w:line="288" w:lineRule="auto"/>
                    <w:rPr>
                      <w:color w:val="auto"/>
                      <w:sz w:val="21"/>
                      <w:szCs w:val="21"/>
                    </w:rPr>
                  </w:pPr>
                  <w:r>
                    <w:rPr>
                      <w:rFonts w:hint="eastAsia"/>
                      <w:color w:val="auto"/>
                      <w:sz w:val="21"/>
                      <w:szCs w:val="21"/>
                    </w:rPr>
                    <w:t>项目内容</w:t>
                  </w:r>
                </w:p>
              </w:tc>
              <w:tc>
                <w:tcPr>
                  <w:tcW w:w="500" w:type="pct"/>
                  <w:tcBorders>
                    <w:top w:val="single" w:color="auto" w:sz="12" w:space="0"/>
                    <w:right w:val="nil"/>
                  </w:tcBorders>
                  <w:vAlign w:val="center"/>
                </w:tcPr>
                <w:p w14:paraId="7629D136">
                  <w:pPr>
                    <w:pStyle w:val="40"/>
                    <w:spacing w:line="288" w:lineRule="auto"/>
                    <w:rPr>
                      <w:color w:val="auto"/>
                      <w:sz w:val="21"/>
                      <w:szCs w:val="21"/>
                    </w:rPr>
                  </w:pPr>
                  <w:r>
                    <w:rPr>
                      <w:rFonts w:hint="eastAsia"/>
                      <w:color w:val="auto"/>
                      <w:sz w:val="21"/>
                      <w:szCs w:val="21"/>
                    </w:rPr>
                    <w:t>符合性</w:t>
                  </w:r>
                </w:p>
              </w:tc>
            </w:tr>
            <w:tr w14:paraId="7E4E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60" w:type="pct"/>
                  <w:tcBorders>
                    <w:left w:val="nil"/>
                    <w:bottom w:val="single" w:color="auto" w:sz="12" w:space="0"/>
                  </w:tcBorders>
                  <w:vAlign w:val="center"/>
                </w:tcPr>
                <w:p w14:paraId="24BB8825">
                  <w:pPr>
                    <w:pStyle w:val="40"/>
                    <w:spacing w:line="288" w:lineRule="auto"/>
                    <w:rPr>
                      <w:color w:val="auto"/>
                      <w:sz w:val="21"/>
                      <w:szCs w:val="21"/>
                    </w:rPr>
                  </w:pPr>
                  <w:r>
                    <w:rPr>
                      <w:color w:val="auto"/>
                      <w:sz w:val="21"/>
                      <w:szCs w:val="21"/>
                    </w:rPr>
                    <w:t>福建省重点行业挥发性有机物污染防治工作方案</w:t>
                  </w:r>
                </w:p>
              </w:tc>
              <w:tc>
                <w:tcPr>
                  <w:tcW w:w="2588" w:type="pct"/>
                  <w:tcBorders>
                    <w:bottom w:val="single" w:color="auto" w:sz="12" w:space="0"/>
                  </w:tcBorders>
                  <w:vAlign w:val="center"/>
                </w:tcPr>
                <w:p w14:paraId="4962B108">
                  <w:pPr>
                    <w:pStyle w:val="40"/>
                    <w:spacing w:line="288" w:lineRule="auto"/>
                    <w:jc w:val="both"/>
                    <w:rPr>
                      <w:color w:val="auto"/>
                      <w:sz w:val="21"/>
                      <w:szCs w:val="21"/>
                      <w:highlight w:val="none"/>
                    </w:rPr>
                  </w:pPr>
                  <w:r>
                    <w:rPr>
                      <w:color w:val="auto"/>
                      <w:sz w:val="21"/>
                      <w:szCs w:val="21"/>
                      <w:highlight w:val="none"/>
                    </w:rPr>
                    <w:t>二、主要任务</w:t>
                  </w:r>
                </w:p>
                <w:p w14:paraId="6A2E6595">
                  <w:pPr>
                    <w:pStyle w:val="40"/>
                    <w:spacing w:line="288" w:lineRule="auto"/>
                    <w:jc w:val="both"/>
                    <w:rPr>
                      <w:color w:val="auto"/>
                      <w:sz w:val="21"/>
                      <w:szCs w:val="21"/>
                      <w:highlight w:val="none"/>
                    </w:rPr>
                  </w:pPr>
                  <w:r>
                    <w:rPr>
                      <w:color w:val="auto"/>
                      <w:sz w:val="21"/>
                      <w:szCs w:val="21"/>
                      <w:highlight w:val="none"/>
                    </w:rPr>
                    <w:t>（一）严格环境准入</w:t>
                  </w:r>
                </w:p>
                <w:p w14:paraId="10FBF1A1">
                  <w:pPr>
                    <w:pStyle w:val="40"/>
                    <w:spacing w:line="288" w:lineRule="auto"/>
                    <w:jc w:val="both"/>
                    <w:rPr>
                      <w:color w:val="auto"/>
                      <w:sz w:val="21"/>
                      <w:szCs w:val="21"/>
                      <w:highlight w:val="none"/>
                    </w:rPr>
                  </w:pPr>
                  <w:r>
                    <w:rPr>
                      <w:color w:val="auto"/>
                      <w:sz w:val="21"/>
                      <w:szCs w:val="21"/>
                      <w:highlight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2C716191">
                  <w:pPr>
                    <w:pStyle w:val="40"/>
                    <w:spacing w:line="288" w:lineRule="auto"/>
                    <w:jc w:val="both"/>
                    <w:rPr>
                      <w:color w:val="auto"/>
                      <w:sz w:val="21"/>
                      <w:szCs w:val="21"/>
                      <w:highlight w:val="none"/>
                    </w:rPr>
                  </w:pPr>
                  <w:r>
                    <w:rPr>
                      <w:color w:val="auto"/>
                      <w:sz w:val="21"/>
                      <w:szCs w:val="21"/>
                      <w:highlight w:val="none"/>
                    </w:rPr>
                    <w:t>（二）大力推进清洁生产</w:t>
                  </w:r>
                </w:p>
                <w:p w14:paraId="14B8B45F">
                  <w:pPr>
                    <w:pStyle w:val="40"/>
                    <w:spacing w:line="288" w:lineRule="auto"/>
                    <w:jc w:val="both"/>
                    <w:rPr>
                      <w:color w:val="auto"/>
                      <w:sz w:val="21"/>
                      <w:szCs w:val="21"/>
                      <w:highlight w:val="none"/>
                    </w:rPr>
                  </w:pPr>
                  <w:r>
                    <w:rPr>
                      <w:color w:val="auto"/>
                      <w:sz w:val="21"/>
                      <w:szCs w:val="21"/>
                      <w:highlight w:val="none"/>
                    </w:rPr>
                    <w:t>……在重点行业大力倡导环境标志产品生产及使用，尤其是水性涂料的生产和使用，从源头控制VOCs排放。</w:t>
                  </w:r>
                </w:p>
              </w:tc>
              <w:tc>
                <w:tcPr>
                  <w:tcW w:w="1150" w:type="pct"/>
                  <w:tcBorders>
                    <w:bottom w:val="single" w:color="auto" w:sz="12" w:space="0"/>
                  </w:tcBorders>
                  <w:vAlign w:val="center"/>
                </w:tcPr>
                <w:p w14:paraId="0CEC58F0">
                  <w:pPr>
                    <w:pStyle w:val="40"/>
                    <w:spacing w:line="288" w:lineRule="auto"/>
                    <w:jc w:val="both"/>
                    <w:rPr>
                      <w:color w:val="auto"/>
                      <w:sz w:val="21"/>
                      <w:szCs w:val="21"/>
                      <w:highlight w:val="none"/>
                    </w:rPr>
                  </w:pPr>
                  <w:r>
                    <w:rPr>
                      <w:rFonts w:hint="default"/>
                      <w:color w:val="auto"/>
                      <w:sz w:val="21"/>
                      <w:szCs w:val="21"/>
                      <w:highlight w:val="none"/>
                      <w:lang w:eastAsia="zh-CN"/>
                    </w:rPr>
                    <w:t>项目主要从事LED发光字、标识标牌生产</w:t>
                  </w:r>
                  <w:r>
                    <w:rPr>
                      <w:rFonts w:hint="eastAsia"/>
                      <w:color w:val="auto"/>
                      <w:sz w:val="21"/>
                      <w:szCs w:val="21"/>
                      <w:highlight w:val="none"/>
                      <w:lang w:eastAsia="zh-CN"/>
                    </w:rPr>
                    <w:t>，</w:t>
                  </w:r>
                  <w:r>
                    <w:rPr>
                      <w:rFonts w:hint="eastAsia"/>
                      <w:color w:val="auto"/>
                      <w:sz w:val="21"/>
                      <w:szCs w:val="21"/>
                      <w:highlight w:val="none"/>
                      <w:lang w:val="en-US" w:eastAsia="zh-CN"/>
                    </w:rPr>
                    <w:t>不属于石化、化工、包装印刷、工业涂装等高VOCs排放建设项目；</w:t>
                  </w:r>
                  <w:r>
                    <w:rPr>
                      <w:rFonts w:hint="default"/>
                      <w:color w:val="auto"/>
                      <w:sz w:val="21"/>
                      <w:szCs w:val="21"/>
                      <w:highlight w:val="none"/>
                      <w:lang w:eastAsia="zh-CN"/>
                    </w:rPr>
                    <w:t>项目使用低VOCs含量的原辅材料</w:t>
                  </w:r>
                  <w:r>
                    <w:rPr>
                      <w:rFonts w:hint="eastAsia"/>
                      <w:color w:val="auto"/>
                      <w:sz w:val="21"/>
                      <w:szCs w:val="21"/>
                      <w:highlight w:val="none"/>
                      <w:lang w:eastAsia="zh-CN"/>
                    </w:rPr>
                    <w:t>，</w:t>
                  </w:r>
                  <w:r>
                    <w:rPr>
                      <w:rFonts w:hint="eastAsia"/>
                      <w:color w:val="auto"/>
                      <w:sz w:val="21"/>
                      <w:szCs w:val="21"/>
                      <w:highlight w:val="none"/>
                      <w:lang w:val="en-US" w:eastAsia="zh-CN"/>
                    </w:rPr>
                    <w:t>产生的</w:t>
                  </w:r>
                  <w:r>
                    <w:rPr>
                      <w:rFonts w:hint="eastAsia"/>
                      <w:color w:val="auto"/>
                      <w:sz w:val="21"/>
                      <w:szCs w:val="21"/>
                      <w:highlight w:val="none"/>
                    </w:rPr>
                    <w:t>有机废气经密闭车间负压收集后通过</w:t>
                  </w:r>
                  <w:r>
                    <w:rPr>
                      <w:rFonts w:hint="eastAsia"/>
                      <w:color w:val="auto"/>
                      <w:sz w:val="21"/>
                      <w:szCs w:val="21"/>
                      <w:highlight w:val="none"/>
                      <w:lang w:eastAsia="zh-CN"/>
                    </w:rPr>
                    <w:t>“</w:t>
                  </w:r>
                  <w:r>
                    <w:rPr>
                      <w:rFonts w:hint="eastAsia"/>
                      <w:color w:val="auto"/>
                      <w:sz w:val="21"/>
                      <w:szCs w:val="21"/>
                      <w:highlight w:val="none"/>
                    </w:rPr>
                    <w:t>干式过滤+二级活性炭吸附装置</w:t>
                  </w:r>
                  <w:r>
                    <w:rPr>
                      <w:rFonts w:hint="eastAsia"/>
                      <w:color w:val="auto"/>
                      <w:sz w:val="21"/>
                      <w:szCs w:val="21"/>
                      <w:highlight w:val="none"/>
                      <w:lang w:eastAsia="zh-CN"/>
                    </w:rPr>
                    <w:t>”</w:t>
                  </w:r>
                  <w:r>
                    <w:rPr>
                      <w:rFonts w:hint="eastAsia"/>
                      <w:color w:val="auto"/>
                      <w:sz w:val="21"/>
                      <w:szCs w:val="21"/>
                      <w:highlight w:val="none"/>
                    </w:rPr>
                    <w:t>处理达标后引至22m高的排气筒（DA001）排放</w:t>
                  </w:r>
                </w:p>
              </w:tc>
              <w:tc>
                <w:tcPr>
                  <w:tcW w:w="500" w:type="pct"/>
                  <w:tcBorders>
                    <w:bottom w:val="single" w:color="auto" w:sz="12" w:space="0"/>
                    <w:right w:val="nil"/>
                  </w:tcBorders>
                  <w:vAlign w:val="center"/>
                </w:tcPr>
                <w:p w14:paraId="621C9A0B">
                  <w:pPr>
                    <w:pStyle w:val="40"/>
                    <w:spacing w:line="288" w:lineRule="auto"/>
                    <w:rPr>
                      <w:color w:val="auto"/>
                      <w:sz w:val="21"/>
                      <w:szCs w:val="21"/>
                    </w:rPr>
                  </w:pPr>
                  <w:r>
                    <w:rPr>
                      <w:rFonts w:hint="eastAsia"/>
                      <w:color w:val="auto"/>
                      <w:sz w:val="21"/>
                      <w:szCs w:val="21"/>
                    </w:rPr>
                    <w:t>符合</w:t>
                  </w:r>
                </w:p>
              </w:tc>
            </w:tr>
          </w:tbl>
          <w:p w14:paraId="41B7658A">
            <w:pPr>
              <w:pStyle w:val="5"/>
              <w:ind w:firstLine="480"/>
              <w:rPr>
                <w:color w:val="auto"/>
              </w:rPr>
            </w:pPr>
            <w:r>
              <w:rPr>
                <w:color w:val="auto"/>
              </w:rPr>
              <w:t>综上所述，项目通过有效的污染防治措施后，挥发性有机物能够得到合理</w:t>
            </w:r>
            <w:r>
              <w:rPr>
                <w:rFonts w:hint="eastAsia"/>
                <w:color w:val="auto"/>
              </w:rPr>
              <w:t>地</w:t>
            </w:r>
            <w:r>
              <w:rPr>
                <w:color w:val="auto"/>
              </w:rPr>
              <w:t>控制，符合挥发性有机物污染防治的相关政策的要求。</w:t>
            </w:r>
          </w:p>
        </w:tc>
      </w:tr>
    </w:tbl>
    <w:p w14:paraId="48B7889D">
      <w:pPr>
        <w:outlineLvl w:val="0"/>
        <w:rPr>
          <w:rFonts w:eastAsia="黑体"/>
          <w:color w:val="auto"/>
          <w:sz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400C9A0">
      <w:pPr>
        <w:pStyle w:val="2"/>
        <w:keepLines/>
        <w:overflowPunct/>
        <w:snapToGrid/>
        <w:spacing w:before="0" w:after="0" w:line="360" w:lineRule="auto"/>
        <w:ind w:left="0" w:firstLine="0"/>
        <w:jc w:val="center"/>
        <w:rPr>
          <w:rFonts w:hint="eastAsia" w:ascii="黑体" w:hAnsi="黑体"/>
          <w:b w:val="0"/>
          <w:bCs w:val="0"/>
          <w:snapToGrid w:val="0"/>
          <w:color w:val="auto"/>
          <w:sz w:val="32"/>
          <w:szCs w:val="32"/>
        </w:rPr>
      </w:pPr>
      <w:r>
        <w:rPr>
          <w:rFonts w:hint="eastAsia"/>
          <w:b w:val="0"/>
          <w:bCs w:val="0"/>
          <w:color w:val="auto"/>
          <w:sz w:val="32"/>
          <w:szCs w:val="32"/>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3A117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823" w:type="dxa"/>
            <w:vAlign w:val="center"/>
          </w:tcPr>
          <w:p w14:paraId="6D43C9C0">
            <w:pPr>
              <w:adjustRightInd w:val="0"/>
              <w:snapToGrid w:val="0"/>
              <w:jc w:val="center"/>
              <w:rPr>
                <w:rFonts w:cs="宋体"/>
                <w:color w:val="auto"/>
                <w:sz w:val="21"/>
                <w:szCs w:val="21"/>
              </w:rPr>
            </w:pPr>
            <w:r>
              <w:rPr>
                <w:rFonts w:hint="eastAsia" w:cs="宋体"/>
                <w:color w:val="auto"/>
              </w:rPr>
              <w:t>建设内容</w:t>
            </w:r>
          </w:p>
        </w:tc>
        <w:tc>
          <w:tcPr>
            <w:tcW w:w="8161" w:type="dxa"/>
          </w:tcPr>
          <w:p w14:paraId="5C9FC7A7">
            <w:pPr>
              <w:pStyle w:val="3"/>
              <w:spacing w:before="0" w:after="0"/>
              <w:rPr>
                <w:color w:val="auto"/>
              </w:rPr>
            </w:pPr>
            <w:r>
              <w:rPr>
                <w:rFonts w:hint="eastAsia"/>
                <w:color w:val="auto"/>
              </w:rPr>
              <w:t>2.1项目基本情况</w:t>
            </w:r>
          </w:p>
          <w:p w14:paraId="78BB4A13">
            <w:pPr>
              <w:pStyle w:val="4"/>
              <w:ind w:firstLine="0" w:firstLineChars="0"/>
              <w:rPr>
                <w:color w:val="auto"/>
              </w:rPr>
            </w:pPr>
            <w:r>
              <w:rPr>
                <w:rFonts w:hint="eastAsia"/>
                <w:color w:val="auto"/>
              </w:rPr>
              <w:t>2.1.1项目由来</w:t>
            </w:r>
          </w:p>
          <w:p w14:paraId="4415B722">
            <w:pPr>
              <w:pStyle w:val="5"/>
              <w:ind w:firstLine="480"/>
              <w:rPr>
                <w:color w:val="auto"/>
              </w:rPr>
            </w:pPr>
            <w:r>
              <w:rPr>
                <w:rFonts w:hint="eastAsia"/>
                <w:color w:val="auto"/>
              </w:rPr>
              <w:t>福州彩诚光电有限公司成立于2025年，选址于福建省闽侯县南屿镇智慧大道20号保利通信福州高新科技产业园13号楼拟建设光电LED产品及标识发光字制作生产项目，建筑面积为4482.72m</w:t>
            </w:r>
            <w:r>
              <w:rPr>
                <w:rFonts w:hint="eastAsia"/>
                <w:color w:val="auto"/>
                <w:vertAlign w:val="superscript"/>
              </w:rPr>
              <w:t>2</w:t>
            </w:r>
            <w:r>
              <w:rPr>
                <w:rFonts w:hint="eastAsia"/>
                <w:color w:val="auto"/>
              </w:rPr>
              <w:t>，拟总投资4000万元，年产光电LED产品及标识发光字20万套。</w:t>
            </w:r>
          </w:p>
          <w:p w14:paraId="101F737D">
            <w:pPr>
              <w:adjustRightInd w:val="0"/>
              <w:snapToGrid w:val="0"/>
              <w:ind w:firstLine="480" w:firstLineChars="200"/>
              <w:rPr>
                <w:color w:val="auto"/>
              </w:rPr>
            </w:pPr>
            <w:r>
              <w:rPr>
                <w:rFonts w:hint="eastAsia"/>
                <w:color w:val="auto"/>
              </w:rPr>
              <w:t>根据《中华人民共和国环境保护法》《中华人民共和国环境影响评价法》《建设项目环境保护管理条例》，本项目需进行环境影响评价工作，再对照《建设项目环境影响评价分类管理名录》（2021年版），本项目属于</w:t>
            </w:r>
            <w:r>
              <w:rPr>
                <w:rFonts w:hint="eastAsia"/>
                <w:color w:val="auto"/>
                <w:lang w:eastAsia="zh-CN"/>
              </w:rPr>
              <w:t>“</w:t>
            </w:r>
            <w:r>
              <w:rPr>
                <w:rFonts w:hint="eastAsia"/>
                <w:color w:val="auto"/>
                <w:szCs w:val="21"/>
              </w:rPr>
              <w:t>二十六、橡胶和塑料制品业53 塑料制品业292</w:t>
            </w:r>
            <w:r>
              <w:rPr>
                <w:rFonts w:hint="eastAsia"/>
                <w:color w:val="auto"/>
                <w:szCs w:val="21"/>
                <w:lang w:eastAsia="zh-CN"/>
              </w:rPr>
              <w:t>”</w:t>
            </w:r>
            <w:r>
              <w:rPr>
                <w:rFonts w:hint="eastAsia"/>
                <w:color w:val="auto"/>
                <w:szCs w:val="21"/>
              </w:rPr>
              <w:t>，</w:t>
            </w:r>
            <w:r>
              <w:rPr>
                <w:rFonts w:hint="eastAsia"/>
                <w:color w:val="auto"/>
                <w:szCs w:val="21"/>
                <w:lang w:eastAsia="zh-CN"/>
              </w:rPr>
              <w:t>“</w:t>
            </w:r>
            <w:r>
              <w:rPr>
                <w:color w:val="auto"/>
                <w:szCs w:val="21"/>
              </w:rPr>
              <w:t>三十、金属制品业68</w:t>
            </w:r>
            <w:r>
              <w:rPr>
                <w:rFonts w:hint="eastAsia"/>
                <w:color w:val="auto"/>
                <w:szCs w:val="21"/>
              </w:rPr>
              <w:t xml:space="preserve"> </w:t>
            </w:r>
            <w:r>
              <w:rPr>
                <w:color w:val="auto"/>
                <w:szCs w:val="21"/>
              </w:rPr>
              <w:t>铸造及其他金属制品制造</w:t>
            </w:r>
            <w:r>
              <w:rPr>
                <w:rFonts w:hint="eastAsia"/>
                <w:color w:val="auto"/>
                <w:szCs w:val="21"/>
              </w:rPr>
              <w:t>339</w:t>
            </w:r>
            <w:r>
              <w:rPr>
                <w:rFonts w:hint="eastAsia"/>
                <w:color w:val="auto"/>
              </w:rPr>
              <w:t>，因此本项目应当编制环境影响报告表。为此，</w:t>
            </w:r>
            <w:r>
              <w:rPr>
                <w:color w:val="auto"/>
              </w:rPr>
              <w:t>建设单位</w:t>
            </w:r>
            <w:r>
              <w:rPr>
                <w:rFonts w:hint="eastAsia"/>
                <w:color w:val="auto"/>
              </w:rPr>
              <w:t>委托我公司承担该项目环境影响报告表的编制工作（委托书详见附件1）。我公司技术人员经过现场勘察和工程分析，</w:t>
            </w:r>
            <w:r>
              <w:rPr>
                <w:color w:val="auto"/>
              </w:rPr>
              <w:t>依照《建设项目环境影响报告表编制技术指南</w:t>
            </w:r>
            <w:r>
              <w:rPr>
                <w:rFonts w:hint="eastAsia"/>
                <w:color w:val="auto"/>
              </w:rPr>
              <w:t>（</w:t>
            </w:r>
            <w:r>
              <w:rPr>
                <w:color w:val="auto"/>
              </w:rPr>
              <w:t>污染影响类</w:t>
            </w:r>
            <w:r>
              <w:rPr>
                <w:rFonts w:hint="eastAsia"/>
                <w:color w:val="auto"/>
              </w:rPr>
              <w:t>）</w:t>
            </w:r>
            <w:r>
              <w:rPr>
                <w:color w:val="auto"/>
              </w:rPr>
              <w:t>》</w:t>
            </w:r>
            <w:r>
              <w:rPr>
                <w:rFonts w:hint="eastAsia"/>
                <w:color w:val="auto"/>
              </w:rPr>
              <w:t>（</w:t>
            </w:r>
            <w:r>
              <w:rPr>
                <w:color w:val="auto"/>
              </w:rPr>
              <w:t>试行</w:t>
            </w:r>
            <w:r>
              <w:rPr>
                <w:rFonts w:hint="eastAsia"/>
                <w:color w:val="auto"/>
              </w:rPr>
              <w:t>）</w:t>
            </w:r>
            <w:r>
              <w:rPr>
                <w:rFonts w:ascii="宋体" w:hAnsi="宋体" w:cs="宋体"/>
                <w:color w:val="auto"/>
              </w:rPr>
              <w:t>及相关技术规范要求</w:t>
            </w:r>
            <w:r>
              <w:rPr>
                <w:color w:val="auto"/>
              </w:rPr>
              <w:t>，</w:t>
            </w:r>
            <w:r>
              <w:rPr>
                <w:rFonts w:hint="eastAsia"/>
                <w:color w:val="auto"/>
              </w:rPr>
              <w:t>编制了《光电LED产品及标识发光字制作生产项目环境影响报告表》，</w:t>
            </w:r>
            <w:r>
              <w:rPr>
                <w:color w:val="auto"/>
              </w:rPr>
              <w:t>供建设单位报生态环境主管部门审批和作为污染防治设施建设的依据。</w:t>
            </w:r>
          </w:p>
          <w:p w14:paraId="219E379D">
            <w:pPr>
              <w:pStyle w:val="39"/>
              <w:spacing w:before="0" w:beforeLines="0" w:after="0" w:afterLines="0" w:line="240" w:lineRule="auto"/>
              <w:rPr>
                <w:color w:val="auto"/>
              </w:rPr>
            </w:pPr>
            <w:r>
              <w:rPr>
                <w:rFonts w:hint="eastAsia"/>
                <w:color w:val="auto"/>
              </w:rPr>
              <w:t xml:space="preserve">表2.1-1  </w:t>
            </w:r>
            <w:r>
              <w:rPr>
                <w:color w:val="auto"/>
              </w:rPr>
              <w:t>建设项目环境影响评价分类管理名录</w:t>
            </w:r>
            <w:r>
              <w:rPr>
                <w:rFonts w:hint="eastAsia"/>
                <w:color w:val="auto"/>
              </w:rPr>
              <w:t>（</w:t>
            </w:r>
            <w:r>
              <w:rPr>
                <w:color w:val="auto"/>
              </w:rPr>
              <w:t>摘录</w:t>
            </w:r>
            <w:r>
              <w:rPr>
                <w:rFonts w:hint="eastAsia"/>
                <w:color w:val="auto"/>
              </w:rPr>
              <w:t>）</w:t>
            </w:r>
          </w:p>
          <w:tbl>
            <w:tblPr>
              <w:tblStyle w:val="30"/>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2375"/>
              <w:gridCol w:w="2244"/>
              <w:gridCol w:w="2105"/>
              <w:gridCol w:w="931"/>
            </w:tblGrid>
            <w:tr w14:paraId="71E0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818" w:type="dxa"/>
                  <w:gridSpan w:val="2"/>
                  <w:tcBorders>
                    <w:top w:val="single" w:color="auto" w:sz="12" w:space="0"/>
                    <w:left w:val="nil"/>
                    <w:tl2br w:val="single" w:color="auto" w:sz="4" w:space="0"/>
                  </w:tcBorders>
                  <w:vAlign w:val="center"/>
                </w:tcPr>
                <w:p w14:paraId="4DC83429">
                  <w:pPr>
                    <w:adjustRightInd w:val="0"/>
                    <w:snapToGrid w:val="0"/>
                    <w:spacing w:before="24" w:beforeLines="10" w:after="24" w:afterLines="10" w:line="240" w:lineRule="auto"/>
                    <w:jc w:val="right"/>
                    <w:rPr>
                      <w:color w:val="auto"/>
                      <w:kern w:val="0"/>
                      <w:sz w:val="21"/>
                      <w:szCs w:val="20"/>
                    </w:rPr>
                  </w:pPr>
                  <w:r>
                    <w:rPr>
                      <w:color w:val="auto"/>
                      <w:kern w:val="0"/>
                      <w:sz w:val="21"/>
                      <w:szCs w:val="20"/>
                    </w:rPr>
                    <w:t>环评类别</w:t>
                  </w:r>
                </w:p>
                <w:p w14:paraId="1485F698">
                  <w:pPr>
                    <w:adjustRightInd w:val="0"/>
                    <w:snapToGrid w:val="0"/>
                    <w:spacing w:before="24" w:beforeLines="10" w:after="24" w:afterLines="10" w:line="240" w:lineRule="auto"/>
                    <w:jc w:val="left"/>
                    <w:rPr>
                      <w:color w:val="auto"/>
                      <w:kern w:val="0"/>
                      <w:sz w:val="21"/>
                      <w:szCs w:val="20"/>
                    </w:rPr>
                  </w:pPr>
                  <w:r>
                    <w:rPr>
                      <w:color w:val="auto"/>
                      <w:kern w:val="0"/>
                      <w:sz w:val="21"/>
                      <w:szCs w:val="20"/>
                    </w:rPr>
                    <w:t>项目类别</w:t>
                  </w:r>
                </w:p>
              </w:tc>
              <w:tc>
                <w:tcPr>
                  <w:tcW w:w="2244" w:type="dxa"/>
                  <w:tcBorders>
                    <w:top w:val="single" w:color="auto" w:sz="12" w:space="0"/>
                  </w:tcBorders>
                  <w:vAlign w:val="center"/>
                </w:tcPr>
                <w:p w14:paraId="7251D5B2">
                  <w:pPr>
                    <w:adjustRightInd w:val="0"/>
                    <w:snapToGrid w:val="0"/>
                    <w:spacing w:before="24" w:beforeLines="10" w:after="24" w:afterLines="10" w:line="240" w:lineRule="auto"/>
                    <w:jc w:val="center"/>
                    <w:rPr>
                      <w:color w:val="auto"/>
                      <w:kern w:val="0"/>
                      <w:sz w:val="21"/>
                      <w:szCs w:val="20"/>
                    </w:rPr>
                  </w:pPr>
                  <w:r>
                    <w:rPr>
                      <w:color w:val="auto"/>
                      <w:kern w:val="0"/>
                      <w:sz w:val="21"/>
                      <w:szCs w:val="20"/>
                    </w:rPr>
                    <w:t>报告书</w:t>
                  </w:r>
                </w:p>
              </w:tc>
              <w:tc>
                <w:tcPr>
                  <w:tcW w:w="2105" w:type="dxa"/>
                  <w:tcBorders>
                    <w:top w:val="single" w:color="auto" w:sz="12" w:space="0"/>
                  </w:tcBorders>
                  <w:shd w:val="clear" w:color="auto" w:fill="A4A4A4"/>
                  <w:vAlign w:val="center"/>
                </w:tcPr>
                <w:p w14:paraId="487FFB82">
                  <w:pPr>
                    <w:adjustRightInd w:val="0"/>
                    <w:snapToGrid w:val="0"/>
                    <w:spacing w:before="24" w:beforeLines="10" w:after="24" w:afterLines="10" w:line="240" w:lineRule="auto"/>
                    <w:jc w:val="center"/>
                    <w:rPr>
                      <w:color w:val="auto"/>
                      <w:kern w:val="0"/>
                      <w:sz w:val="21"/>
                      <w:szCs w:val="20"/>
                    </w:rPr>
                  </w:pPr>
                  <w:r>
                    <w:rPr>
                      <w:color w:val="auto"/>
                      <w:kern w:val="0"/>
                      <w:sz w:val="21"/>
                      <w:szCs w:val="20"/>
                    </w:rPr>
                    <w:t>报告表</w:t>
                  </w:r>
                </w:p>
              </w:tc>
              <w:tc>
                <w:tcPr>
                  <w:tcW w:w="931" w:type="dxa"/>
                  <w:tcBorders>
                    <w:top w:val="single" w:color="auto" w:sz="12" w:space="0"/>
                    <w:right w:val="nil"/>
                  </w:tcBorders>
                  <w:vAlign w:val="center"/>
                </w:tcPr>
                <w:p w14:paraId="70E08F27">
                  <w:pPr>
                    <w:adjustRightInd w:val="0"/>
                    <w:snapToGrid w:val="0"/>
                    <w:spacing w:before="24" w:beforeLines="10" w:after="24" w:afterLines="10" w:line="240" w:lineRule="auto"/>
                    <w:jc w:val="center"/>
                    <w:rPr>
                      <w:color w:val="auto"/>
                      <w:kern w:val="0"/>
                      <w:sz w:val="21"/>
                      <w:szCs w:val="20"/>
                    </w:rPr>
                  </w:pPr>
                  <w:r>
                    <w:rPr>
                      <w:color w:val="auto"/>
                      <w:kern w:val="0"/>
                      <w:sz w:val="21"/>
                      <w:szCs w:val="20"/>
                    </w:rPr>
                    <w:t>登记表</w:t>
                  </w:r>
                </w:p>
              </w:tc>
            </w:tr>
            <w:tr w14:paraId="7FE4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8" w:type="dxa"/>
                  <w:gridSpan w:val="5"/>
                  <w:tcBorders>
                    <w:left w:val="nil"/>
                    <w:right w:val="nil"/>
                  </w:tcBorders>
                  <w:shd w:val="clear" w:color="auto" w:fill="A4A4A4" w:themeFill="background1" w:themeFillShade="A5"/>
                  <w:vAlign w:val="center"/>
                </w:tcPr>
                <w:p w14:paraId="56010330">
                  <w:pPr>
                    <w:adjustRightInd w:val="0"/>
                    <w:snapToGrid w:val="0"/>
                    <w:spacing w:before="24" w:beforeLines="10" w:after="24" w:afterLines="10" w:line="240" w:lineRule="auto"/>
                    <w:rPr>
                      <w:color w:val="auto"/>
                      <w:kern w:val="0"/>
                      <w:sz w:val="21"/>
                      <w:szCs w:val="20"/>
                    </w:rPr>
                  </w:pPr>
                  <w:r>
                    <w:rPr>
                      <w:rFonts w:hint="eastAsia"/>
                      <w:color w:val="auto"/>
                      <w:kern w:val="0"/>
                      <w:sz w:val="21"/>
                      <w:szCs w:val="20"/>
                    </w:rPr>
                    <w:t>三十、金属制品业33</w:t>
                  </w:r>
                </w:p>
              </w:tc>
            </w:tr>
            <w:tr w14:paraId="797D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left w:val="nil"/>
                  </w:tcBorders>
                  <w:vAlign w:val="center"/>
                </w:tcPr>
                <w:p w14:paraId="70EF2DD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68</w:t>
                  </w:r>
                </w:p>
              </w:tc>
              <w:tc>
                <w:tcPr>
                  <w:tcW w:w="2375" w:type="dxa"/>
                  <w:tcBorders>
                    <w:left w:val="nil"/>
                  </w:tcBorders>
                  <w:vAlign w:val="center"/>
                </w:tcPr>
                <w:p w14:paraId="22BE6D5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铸造及其他金属制品制造339</w:t>
                  </w:r>
                </w:p>
              </w:tc>
              <w:tc>
                <w:tcPr>
                  <w:tcW w:w="2244" w:type="dxa"/>
                  <w:tcBorders>
                    <w:left w:val="nil"/>
                  </w:tcBorders>
                  <w:vAlign w:val="center"/>
                </w:tcPr>
                <w:p w14:paraId="7E75938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黑色金属铸造年产10万吨及以上的；有色金属铸造年产10万吨及以上的</w:t>
                  </w:r>
                </w:p>
              </w:tc>
              <w:tc>
                <w:tcPr>
                  <w:tcW w:w="2105" w:type="dxa"/>
                  <w:tcBorders>
                    <w:left w:val="nil"/>
                  </w:tcBorders>
                  <w:shd w:val="clear" w:color="auto" w:fill="A4A4A4" w:themeFill="background1" w:themeFillShade="A5"/>
                  <w:vAlign w:val="center"/>
                </w:tcPr>
                <w:p w14:paraId="7FA94B4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其他（仅分割、焊接、组装的除外）</w:t>
                  </w:r>
                </w:p>
              </w:tc>
              <w:tc>
                <w:tcPr>
                  <w:tcW w:w="931" w:type="dxa"/>
                  <w:tcBorders>
                    <w:right w:val="nil"/>
                  </w:tcBorders>
                  <w:vAlign w:val="center"/>
                </w:tcPr>
                <w:p w14:paraId="1CB8D2DC">
                  <w:pPr>
                    <w:adjustRightInd w:val="0"/>
                    <w:snapToGrid w:val="0"/>
                    <w:spacing w:before="24" w:beforeLines="10" w:after="24" w:afterLines="10" w:line="240" w:lineRule="auto"/>
                    <w:jc w:val="center"/>
                    <w:rPr>
                      <w:color w:val="auto"/>
                      <w:kern w:val="0"/>
                      <w:sz w:val="21"/>
                      <w:szCs w:val="20"/>
                    </w:rPr>
                  </w:pPr>
                  <w:r>
                    <w:rPr>
                      <w:color w:val="auto"/>
                      <w:kern w:val="0"/>
                      <w:sz w:val="21"/>
                      <w:szCs w:val="20"/>
                    </w:rPr>
                    <w:t>/</w:t>
                  </w:r>
                </w:p>
              </w:tc>
            </w:tr>
            <w:tr w14:paraId="4EE7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8" w:type="dxa"/>
                  <w:gridSpan w:val="5"/>
                  <w:tcBorders>
                    <w:left w:val="nil"/>
                    <w:right w:val="nil"/>
                  </w:tcBorders>
                  <w:shd w:val="clear" w:color="auto" w:fill="A4A4A4"/>
                  <w:vAlign w:val="center"/>
                </w:tcPr>
                <w:p w14:paraId="70A39711">
                  <w:pPr>
                    <w:adjustRightInd w:val="0"/>
                    <w:snapToGrid w:val="0"/>
                    <w:spacing w:before="24" w:beforeLines="10" w:after="24" w:afterLines="10" w:line="240" w:lineRule="auto"/>
                    <w:jc w:val="left"/>
                    <w:rPr>
                      <w:color w:val="auto"/>
                      <w:kern w:val="0"/>
                      <w:sz w:val="21"/>
                      <w:szCs w:val="20"/>
                    </w:rPr>
                  </w:pPr>
                  <w:r>
                    <w:rPr>
                      <w:rFonts w:hint="eastAsia"/>
                      <w:color w:val="auto"/>
                      <w:kern w:val="0"/>
                      <w:sz w:val="21"/>
                      <w:szCs w:val="20"/>
                    </w:rPr>
                    <w:t>二十六、橡胶和塑料制品业29</w:t>
                  </w:r>
                </w:p>
              </w:tc>
            </w:tr>
            <w:tr w14:paraId="7366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left w:val="nil"/>
                    <w:bottom w:val="single" w:color="auto" w:sz="12" w:space="0"/>
                  </w:tcBorders>
                  <w:vAlign w:val="center"/>
                </w:tcPr>
                <w:p w14:paraId="1F2DBDB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53</w:t>
                  </w:r>
                </w:p>
              </w:tc>
              <w:tc>
                <w:tcPr>
                  <w:tcW w:w="2375" w:type="dxa"/>
                  <w:tcBorders>
                    <w:left w:val="nil"/>
                    <w:bottom w:val="single" w:color="auto" w:sz="12" w:space="0"/>
                  </w:tcBorders>
                  <w:vAlign w:val="center"/>
                </w:tcPr>
                <w:p w14:paraId="38D3ADE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塑料制品业292</w:t>
                  </w:r>
                </w:p>
              </w:tc>
              <w:tc>
                <w:tcPr>
                  <w:tcW w:w="2244" w:type="dxa"/>
                  <w:tcBorders>
                    <w:left w:val="nil"/>
                    <w:bottom w:val="single" w:color="auto" w:sz="12" w:space="0"/>
                  </w:tcBorders>
                  <w:vAlign w:val="center"/>
                </w:tcPr>
                <w:p w14:paraId="2BC37F5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以再生塑料为原料生产的；有电镀工艺的；年用溶剂型胶粘剂10吨及以上的；年用溶剂型涂料（含稀释剂）10吨及以上的</w:t>
                  </w:r>
                </w:p>
              </w:tc>
              <w:tc>
                <w:tcPr>
                  <w:tcW w:w="2105" w:type="dxa"/>
                  <w:tcBorders>
                    <w:left w:val="nil"/>
                    <w:bottom w:val="single" w:color="auto" w:sz="12" w:space="0"/>
                  </w:tcBorders>
                  <w:shd w:val="clear" w:color="auto" w:fill="A4A4A4"/>
                  <w:vAlign w:val="center"/>
                </w:tcPr>
                <w:p w14:paraId="05F9E3B6">
                  <w:pPr>
                    <w:adjustRightInd w:val="0"/>
                    <w:snapToGrid w:val="0"/>
                    <w:spacing w:before="24" w:beforeLines="10" w:after="24" w:afterLines="10" w:line="240" w:lineRule="auto"/>
                    <w:jc w:val="center"/>
                    <w:rPr>
                      <w:color w:val="auto"/>
                      <w:kern w:val="0"/>
                      <w:sz w:val="21"/>
                      <w:szCs w:val="20"/>
                    </w:rPr>
                  </w:pPr>
                  <w:r>
                    <w:rPr>
                      <w:color w:val="auto"/>
                      <w:kern w:val="0"/>
                      <w:sz w:val="21"/>
                      <w:szCs w:val="20"/>
                    </w:rPr>
                    <w:t>其他</w:t>
                  </w:r>
                  <w:r>
                    <w:rPr>
                      <w:rFonts w:hint="eastAsia"/>
                      <w:color w:val="auto"/>
                      <w:kern w:val="0"/>
                      <w:sz w:val="21"/>
                      <w:szCs w:val="20"/>
                    </w:rPr>
                    <w:t>（</w:t>
                  </w:r>
                  <w:r>
                    <w:rPr>
                      <w:color w:val="auto"/>
                      <w:kern w:val="0"/>
                      <w:sz w:val="21"/>
                      <w:szCs w:val="20"/>
                    </w:rPr>
                    <w:t>年用非溶剂型低V</w:t>
                  </w:r>
                  <w:r>
                    <w:rPr>
                      <w:rFonts w:hint="eastAsia"/>
                      <w:color w:val="auto"/>
                      <w:kern w:val="0"/>
                      <w:sz w:val="21"/>
                      <w:szCs w:val="20"/>
                    </w:rPr>
                    <w:t>O</w:t>
                  </w:r>
                  <w:r>
                    <w:rPr>
                      <w:color w:val="auto"/>
                      <w:kern w:val="0"/>
                      <w:sz w:val="21"/>
                      <w:szCs w:val="20"/>
                    </w:rPr>
                    <w:t>Cs含量涂料10吨以下的除外</w:t>
                  </w:r>
                  <w:r>
                    <w:rPr>
                      <w:rFonts w:hint="eastAsia"/>
                      <w:color w:val="auto"/>
                      <w:kern w:val="0"/>
                      <w:sz w:val="21"/>
                      <w:szCs w:val="20"/>
                    </w:rPr>
                    <w:t>）</w:t>
                  </w:r>
                </w:p>
              </w:tc>
              <w:tc>
                <w:tcPr>
                  <w:tcW w:w="931" w:type="dxa"/>
                  <w:tcBorders>
                    <w:bottom w:val="single" w:color="auto" w:sz="12" w:space="0"/>
                    <w:right w:val="nil"/>
                  </w:tcBorders>
                  <w:vAlign w:val="center"/>
                </w:tcPr>
                <w:p w14:paraId="5EA1772F">
                  <w:pPr>
                    <w:adjustRightInd w:val="0"/>
                    <w:snapToGrid w:val="0"/>
                    <w:spacing w:before="24" w:beforeLines="10" w:after="24" w:afterLines="10" w:line="240" w:lineRule="auto"/>
                    <w:jc w:val="center"/>
                    <w:rPr>
                      <w:color w:val="auto"/>
                      <w:kern w:val="0"/>
                      <w:sz w:val="21"/>
                      <w:szCs w:val="20"/>
                    </w:rPr>
                  </w:pPr>
                  <w:r>
                    <w:rPr>
                      <w:color w:val="auto"/>
                      <w:kern w:val="0"/>
                      <w:sz w:val="21"/>
                      <w:szCs w:val="20"/>
                    </w:rPr>
                    <w:t>/</w:t>
                  </w:r>
                </w:p>
              </w:tc>
            </w:tr>
          </w:tbl>
          <w:p w14:paraId="34529299">
            <w:pPr>
              <w:pStyle w:val="4"/>
              <w:ind w:firstLine="0" w:firstLineChars="0"/>
              <w:rPr>
                <w:color w:val="auto"/>
              </w:rPr>
            </w:pPr>
          </w:p>
          <w:p w14:paraId="5ECEC07C">
            <w:pPr>
              <w:pStyle w:val="4"/>
              <w:ind w:firstLine="0" w:firstLineChars="0"/>
              <w:rPr>
                <w:color w:val="auto"/>
              </w:rPr>
            </w:pPr>
            <w:r>
              <w:rPr>
                <w:rFonts w:hint="eastAsia"/>
                <w:color w:val="auto"/>
              </w:rPr>
              <w:t>2.1.2项目基本情况</w:t>
            </w:r>
          </w:p>
          <w:p w14:paraId="3CBB4B22">
            <w:pPr>
              <w:ind w:firstLine="480" w:firstLineChars="200"/>
              <w:rPr>
                <w:rFonts w:cs="宋体"/>
                <w:color w:val="auto"/>
              </w:rPr>
            </w:pPr>
            <w:r>
              <w:rPr>
                <w:rFonts w:cs="宋体"/>
                <w:color w:val="auto"/>
              </w:rPr>
              <w:t>（1）项目名称：</w:t>
            </w:r>
            <w:r>
              <w:rPr>
                <w:rFonts w:hint="eastAsia" w:cs="宋体"/>
                <w:color w:val="auto"/>
              </w:rPr>
              <w:t>光电LED产品及标识发光字制作生产项目</w:t>
            </w:r>
          </w:p>
          <w:p w14:paraId="783E3B61">
            <w:pPr>
              <w:ind w:firstLine="480" w:firstLineChars="200"/>
              <w:rPr>
                <w:rFonts w:cs="宋体"/>
                <w:color w:val="auto"/>
              </w:rPr>
            </w:pPr>
            <w:r>
              <w:rPr>
                <w:rFonts w:cs="宋体"/>
                <w:color w:val="auto"/>
              </w:rPr>
              <w:t>（2）建设单位：</w:t>
            </w:r>
            <w:r>
              <w:rPr>
                <w:rFonts w:hint="eastAsia" w:cs="宋体"/>
                <w:color w:val="auto"/>
              </w:rPr>
              <w:t>福州彩诚光电有限公司</w:t>
            </w:r>
          </w:p>
          <w:p w14:paraId="0678E4E3">
            <w:pPr>
              <w:ind w:firstLine="480" w:firstLineChars="200"/>
              <w:rPr>
                <w:rFonts w:cs="宋体"/>
                <w:color w:val="auto"/>
              </w:rPr>
            </w:pPr>
            <w:r>
              <w:rPr>
                <w:rFonts w:cs="宋体"/>
                <w:color w:val="auto"/>
              </w:rPr>
              <w:t>（3）建设地点：</w:t>
            </w:r>
            <w:r>
              <w:rPr>
                <w:rFonts w:hint="eastAsia" w:cs="宋体"/>
                <w:color w:val="auto"/>
              </w:rPr>
              <w:t>福建省闽侯县南屿镇智慧大道20号保利通信福州高新科技产业园13号楼</w:t>
            </w:r>
          </w:p>
          <w:p w14:paraId="66F19AA0">
            <w:pPr>
              <w:ind w:firstLine="480" w:firstLineChars="200"/>
              <w:rPr>
                <w:rFonts w:cs="宋体"/>
                <w:color w:val="auto"/>
              </w:rPr>
            </w:pPr>
            <w:r>
              <w:rPr>
                <w:rFonts w:cs="宋体"/>
                <w:color w:val="auto"/>
              </w:rPr>
              <w:t>（4）建设性质：</w:t>
            </w:r>
            <w:r>
              <w:rPr>
                <w:rFonts w:hint="eastAsia" w:cs="宋体"/>
                <w:color w:val="auto"/>
              </w:rPr>
              <w:t>新建</w:t>
            </w:r>
          </w:p>
          <w:p w14:paraId="5DC5D4E0">
            <w:pPr>
              <w:ind w:firstLine="480" w:firstLineChars="200"/>
              <w:rPr>
                <w:rFonts w:cs="宋体"/>
                <w:color w:val="auto"/>
              </w:rPr>
            </w:pPr>
            <w:r>
              <w:rPr>
                <w:rFonts w:cs="宋体"/>
                <w:color w:val="auto"/>
              </w:rPr>
              <w:t>（5）总投资：</w:t>
            </w:r>
            <w:r>
              <w:rPr>
                <w:rFonts w:hint="eastAsia" w:cs="宋体"/>
                <w:color w:val="auto"/>
              </w:rPr>
              <w:t>4000</w:t>
            </w:r>
            <w:r>
              <w:rPr>
                <w:rFonts w:cs="宋体"/>
                <w:color w:val="auto"/>
              </w:rPr>
              <w:t>万元</w:t>
            </w:r>
          </w:p>
          <w:p w14:paraId="09846CAC">
            <w:pPr>
              <w:ind w:firstLine="480" w:firstLineChars="200"/>
              <w:rPr>
                <w:rFonts w:cs="宋体"/>
                <w:color w:val="auto"/>
              </w:rPr>
            </w:pPr>
            <w:r>
              <w:rPr>
                <w:rFonts w:cs="宋体"/>
                <w:color w:val="auto"/>
              </w:rPr>
              <w:t>（6）建设规模：</w:t>
            </w:r>
            <w:r>
              <w:rPr>
                <w:rFonts w:hint="eastAsia" w:cs="宋体"/>
                <w:color w:val="auto"/>
              </w:rPr>
              <w:t>建筑</w:t>
            </w:r>
            <w:r>
              <w:rPr>
                <w:rFonts w:cs="宋体"/>
                <w:color w:val="auto"/>
              </w:rPr>
              <w:t>面积</w:t>
            </w:r>
            <w:r>
              <w:rPr>
                <w:rFonts w:hint="eastAsia" w:cs="宋体"/>
                <w:color w:val="auto"/>
              </w:rPr>
              <w:t>4482.72</w:t>
            </w:r>
            <w:r>
              <w:rPr>
                <w:rFonts w:cs="宋体"/>
                <w:color w:val="auto"/>
              </w:rPr>
              <w:t>m</w:t>
            </w:r>
            <w:r>
              <w:rPr>
                <w:rFonts w:cs="宋体"/>
                <w:color w:val="auto"/>
                <w:vertAlign w:val="superscript"/>
              </w:rPr>
              <w:t>2</w:t>
            </w:r>
          </w:p>
          <w:p w14:paraId="3849A70D">
            <w:pPr>
              <w:ind w:firstLine="480" w:firstLineChars="200"/>
              <w:rPr>
                <w:rFonts w:cs="宋体"/>
                <w:color w:val="auto"/>
              </w:rPr>
            </w:pPr>
            <w:r>
              <w:rPr>
                <w:rFonts w:cs="宋体"/>
                <w:color w:val="auto"/>
              </w:rPr>
              <w:t>（7）生产规模：</w:t>
            </w:r>
            <w:r>
              <w:rPr>
                <w:rFonts w:hint="eastAsia"/>
                <w:color w:val="auto"/>
              </w:rPr>
              <w:t>年产光电LED产品及标识发光字20万套</w:t>
            </w:r>
          </w:p>
          <w:p w14:paraId="7C9A69C6">
            <w:pPr>
              <w:ind w:firstLine="480" w:firstLineChars="200"/>
              <w:rPr>
                <w:rFonts w:cs="宋体"/>
                <w:color w:val="auto"/>
              </w:rPr>
            </w:pPr>
            <w:r>
              <w:rPr>
                <w:rFonts w:cs="宋体"/>
                <w:color w:val="auto"/>
              </w:rPr>
              <w:t>（8）职工人数：劳动定员</w:t>
            </w:r>
            <w:r>
              <w:rPr>
                <w:rFonts w:hint="eastAsia" w:cs="宋体"/>
                <w:color w:val="auto"/>
              </w:rPr>
              <w:t>85</w:t>
            </w:r>
            <w:r>
              <w:rPr>
                <w:rFonts w:cs="宋体"/>
                <w:color w:val="auto"/>
              </w:rPr>
              <w:t>人，均不</w:t>
            </w:r>
            <w:r>
              <w:rPr>
                <w:rFonts w:hint="eastAsia" w:cs="宋体"/>
                <w:color w:val="auto"/>
              </w:rPr>
              <w:t>在厂内</w:t>
            </w:r>
            <w:r>
              <w:rPr>
                <w:rFonts w:cs="宋体"/>
                <w:color w:val="auto"/>
              </w:rPr>
              <w:t>住宿</w:t>
            </w:r>
          </w:p>
          <w:p w14:paraId="4AD8B8C8">
            <w:pPr>
              <w:ind w:firstLine="480" w:firstLineChars="200"/>
              <w:rPr>
                <w:rFonts w:cs="宋体"/>
                <w:color w:val="auto"/>
              </w:rPr>
            </w:pPr>
            <w:r>
              <w:rPr>
                <w:rFonts w:cs="宋体"/>
                <w:color w:val="auto"/>
              </w:rPr>
              <w:t>（9）工作制度：年工作</w:t>
            </w:r>
            <w:r>
              <w:rPr>
                <w:rFonts w:hint="eastAsia" w:cs="宋体"/>
                <w:color w:val="auto"/>
              </w:rPr>
              <w:t>280</w:t>
            </w:r>
            <w:r>
              <w:rPr>
                <w:rFonts w:cs="宋体"/>
                <w:color w:val="auto"/>
              </w:rPr>
              <w:t>天，</w:t>
            </w:r>
            <w:r>
              <w:rPr>
                <w:rFonts w:hint="eastAsia" w:cs="宋体"/>
                <w:color w:val="auto"/>
              </w:rPr>
              <w:t>单</w:t>
            </w:r>
            <w:r>
              <w:rPr>
                <w:rFonts w:cs="宋体"/>
                <w:color w:val="auto"/>
              </w:rPr>
              <w:t>班制，每班</w:t>
            </w:r>
            <w:r>
              <w:rPr>
                <w:rFonts w:hint="eastAsia" w:cs="宋体"/>
                <w:color w:val="auto"/>
              </w:rPr>
              <w:t>8</w:t>
            </w:r>
            <w:r>
              <w:rPr>
                <w:rFonts w:cs="宋体"/>
                <w:color w:val="auto"/>
              </w:rPr>
              <w:t>小时</w:t>
            </w:r>
          </w:p>
          <w:p w14:paraId="7735A133">
            <w:pPr>
              <w:pStyle w:val="4"/>
              <w:ind w:firstLine="0" w:firstLineChars="0"/>
              <w:rPr>
                <w:color w:val="auto"/>
              </w:rPr>
            </w:pPr>
            <w:r>
              <w:rPr>
                <w:rFonts w:hint="eastAsia"/>
                <w:color w:val="auto"/>
              </w:rPr>
              <w:t>2.1.3项目产品方案</w:t>
            </w:r>
          </w:p>
          <w:p w14:paraId="5F762BD8">
            <w:pPr>
              <w:ind w:firstLine="480" w:firstLineChars="200"/>
              <w:rPr>
                <w:rFonts w:cs="宋体"/>
                <w:color w:val="auto"/>
              </w:rPr>
            </w:pPr>
            <w:r>
              <w:rPr>
                <w:rFonts w:hint="eastAsia" w:cs="宋体"/>
                <w:color w:val="auto"/>
              </w:rPr>
              <w:t>本项目产品方案见表2.1-2。</w:t>
            </w:r>
          </w:p>
          <w:p w14:paraId="537CE34C">
            <w:pPr>
              <w:pStyle w:val="36"/>
              <w:spacing w:before="0" w:after="0"/>
              <w:rPr>
                <w:color w:val="auto"/>
              </w:rPr>
            </w:pPr>
            <w:r>
              <w:rPr>
                <w:rFonts w:hint="eastAsia"/>
                <w:color w:val="auto"/>
              </w:rPr>
              <w:t>表2.1-2  项目产品方案一览表</w:t>
            </w:r>
          </w:p>
          <w:tbl>
            <w:tblPr>
              <w:tblStyle w:val="31"/>
              <w:tblW w:w="77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8"/>
              <w:gridCol w:w="2884"/>
              <w:gridCol w:w="3290"/>
            </w:tblGrid>
            <w:tr w14:paraId="21CA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1023" w:type="pct"/>
                  <w:tcBorders>
                    <w:top w:val="single" w:color="auto" w:sz="12" w:space="0"/>
                    <w:left w:val="nil"/>
                  </w:tcBorders>
                  <w:vAlign w:val="center"/>
                </w:tcPr>
                <w:p w14:paraId="7928AEAD">
                  <w:pPr>
                    <w:adjustRightInd w:val="0"/>
                    <w:snapToGrid w:val="0"/>
                    <w:spacing w:line="240" w:lineRule="auto"/>
                    <w:jc w:val="center"/>
                    <w:rPr>
                      <w:color w:val="auto"/>
                      <w:kern w:val="0"/>
                      <w:sz w:val="21"/>
                      <w:szCs w:val="20"/>
                    </w:rPr>
                  </w:pPr>
                  <w:r>
                    <w:rPr>
                      <w:rFonts w:hint="eastAsia"/>
                      <w:color w:val="auto"/>
                      <w:kern w:val="0"/>
                      <w:sz w:val="21"/>
                      <w:szCs w:val="20"/>
                    </w:rPr>
                    <w:t>序号</w:t>
                  </w:r>
                </w:p>
              </w:tc>
              <w:tc>
                <w:tcPr>
                  <w:tcW w:w="1857" w:type="pct"/>
                  <w:tcBorders>
                    <w:top w:val="single" w:color="auto" w:sz="12" w:space="0"/>
                  </w:tcBorders>
                  <w:vAlign w:val="center"/>
                </w:tcPr>
                <w:p w14:paraId="28C21B69">
                  <w:pPr>
                    <w:adjustRightInd w:val="0"/>
                    <w:snapToGrid w:val="0"/>
                    <w:spacing w:line="240" w:lineRule="auto"/>
                    <w:jc w:val="center"/>
                    <w:rPr>
                      <w:color w:val="auto"/>
                      <w:kern w:val="0"/>
                      <w:sz w:val="21"/>
                      <w:szCs w:val="20"/>
                    </w:rPr>
                  </w:pPr>
                  <w:r>
                    <w:rPr>
                      <w:rFonts w:hint="eastAsia"/>
                      <w:color w:val="auto"/>
                      <w:kern w:val="0"/>
                      <w:sz w:val="21"/>
                      <w:szCs w:val="20"/>
                    </w:rPr>
                    <w:t>产品名称</w:t>
                  </w:r>
                </w:p>
              </w:tc>
              <w:tc>
                <w:tcPr>
                  <w:tcW w:w="2118" w:type="pct"/>
                  <w:tcBorders>
                    <w:top w:val="single" w:color="auto" w:sz="12" w:space="0"/>
                    <w:right w:val="nil"/>
                  </w:tcBorders>
                  <w:vAlign w:val="center"/>
                </w:tcPr>
                <w:p w14:paraId="39A248A9">
                  <w:pPr>
                    <w:adjustRightInd w:val="0"/>
                    <w:snapToGrid w:val="0"/>
                    <w:spacing w:line="240" w:lineRule="auto"/>
                    <w:jc w:val="center"/>
                    <w:rPr>
                      <w:color w:val="auto"/>
                      <w:kern w:val="0"/>
                      <w:sz w:val="21"/>
                      <w:szCs w:val="20"/>
                    </w:rPr>
                  </w:pPr>
                  <w:r>
                    <w:rPr>
                      <w:rFonts w:hint="eastAsia"/>
                      <w:color w:val="auto"/>
                      <w:kern w:val="0"/>
                      <w:sz w:val="21"/>
                      <w:szCs w:val="20"/>
                    </w:rPr>
                    <w:t>产品产能</w:t>
                  </w:r>
                </w:p>
              </w:tc>
            </w:tr>
            <w:tr w14:paraId="332B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023" w:type="pct"/>
                  <w:tcBorders>
                    <w:left w:val="nil"/>
                  </w:tcBorders>
                  <w:vAlign w:val="center"/>
                </w:tcPr>
                <w:p w14:paraId="6AEF880F">
                  <w:pPr>
                    <w:adjustRightInd w:val="0"/>
                    <w:snapToGrid w:val="0"/>
                    <w:spacing w:line="240" w:lineRule="auto"/>
                    <w:jc w:val="center"/>
                    <w:rPr>
                      <w:color w:val="auto"/>
                      <w:kern w:val="0"/>
                      <w:sz w:val="21"/>
                      <w:szCs w:val="20"/>
                    </w:rPr>
                  </w:pPr>
                  <w:r>
                    <w:rPr>
                      <w:rFonts w:hint="eastAsia"/>
                      <w:color w:val="auto"/>
                      <w:kern w:val="0"/>
                      <w:sz w:val="21"/>
                      <w:szCs w:val="20"/>
                    </w:rPr>
                    <w:t>1</w:t>
                  </w:r>
                </w:p>
              </w:tc>
              <w:tc>
                <w:tcPr>
                  <w:tcW w:w="1857" w:type="pct"/>
                  <w:vAlign w:val="center"/>
                </w:tcPr>
                <w:p w14:paraId="0243A7E1">
                  <w:pPr>
                    <w:pStyle w:val="16"/>
                    <w:spacing w:line="240" w:lineRule="auto"/>
                    <w:jc w:val="center"/>
                    <w:rPr>
                      <w:rFonts w:ascii="Times New Roman" w:hAnsi="Times New Roman"/>
                      <w:color w:val="auto"/>
                      <w:spacing w:val="-2"/>
                      <w:sz w:val="21"/>
                    </w:rPr>
                  </w:pPr>
                  <w:r>
                    <w:rPr>
                      <w:rFonts w:hint="eastAsia" w:ascii="Times New Roman" w:hAnsi="Times New Roman"/>
                      <w:color w:val="auto"/>
                      <w:spacing w:val="-2"/>
                      <w:sz w:val="21"/>
                    </w:rPr>
                    <w:t>金属发光字</w:t>
                  </w:r>
                </w:p>
              </w:tc>
              <w:tc>
                <w:tcPr>
                  <w:tcW w:w="2118" w:type="pct"/>
                  <w:tcBorders>
                    <w:right w:val="nil"/>
                  </w:tcBorders>
                  <w:vAlign w:val="center"/>
                </w:tcPr>
                <w:p w14:paraId="788C2319">
                  <w:pPr>
                    <w:spacing w:line="240" w:lineRule="auto"/>
                    <w:jc w:val="center"/>
                    <w:rPr>
                      <w:color w:val="auto"/>
                      <w:sz w:val="21"/>
                      <w:szCs w:val="21"/>
                    </w:rPr>
                  </w:pPr>
                  <w:r>
                    <w:rPr>
                      <w:rFonts w:hint="eastAsia" w:hAnsi="宋体"/>
                      <w:color w:val="auto"/>
                      <w:sz w:val="21"/>
                      <w:szCs w:val="21"/>
                    </w:rPr>
                    <w:t>10万套/年</w:t>
                  </w:r>
                </w:p>
              </w:tc>
            </w:tr>
            <w:tr w14:paraId="0444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023" w:type="pct"/>
                  <w:tcBorders>
                    <w:left w:val="nil"/>
                  </w:tcBorders>
                  <w:vAlign w:val="center"/>
                </w:tcPr>
                <w:p w14:paraId="2590D555">
                  <w:pPr>
                    <w:adjustRightInd w:val="0"/>
                    <w:snapToGrid w:val="0"/>
                    <w:spacing w:line="240" w:lineRule="auto"/>
                    <w:jc w:val="center"/>
                    <w:rPr>
                      <w:color w:val="auto"/>
                      <w:kern w:val="0"/>
                      <w:sz w:val="21"/>
                      <w:szCs w:val="20"/>
                    </w:rPr>
                  </w:pPr>
                  <w:r>
                    <w:rPr>
                      <w:rFonts w:hint="eastAsia"/>
                      <w:color w:val="auto"/>
                      <w:kern w:val="0"/>
                      <w:sz w:val="21"/>
                      <w:szCs w:val="20"/>
                    </w:rPr>
                    <w:t>2</w:t>
                  </w:r>
                </w:p>
              </w:tc>
              <w:tc>
                <w:tcPr>
                  <w:tcW w:w="1857" w:type="pct"/>
                  <w:vAlign w:val="center"/>
                </w:tcPr>
                <w:p w14:paraId="4054DDB8">
                  <w:pPr>
                    <w:pStyle w:val="16"/>
                    <w:spacing w:line="240" w:lineRule="auto"/>
                    <w:jc w:val="center"/>
                    <w:rPr>
                      <w:rFonts w:ascii="Times New Roman" w:hAnsi="Times New Roman"/>
                      <w:color w:val="auto"/>
                      <w:spacing w:val="-2"/>
                      <w:sz w:val="21"/>
                    </w:rPr>
                  </w:pPr>
                  <w:r>
                    <w:rPr>
                      <w:rFonts w:hint="eastAsia" w:ascii="Times New Roman" w:hAnsi="Times New Roman"/>
                      <w:color w:val="auto"/>
                      <w:spacing w:val="-2"/>
                      <w:sz w:val="21"/>
                    </w:rPr>
                    <w:t>亚克力发光字、PVC发光字</w:t>
                  </w:r>
                </w:p>
              </w:tc>
              <w:tc>
                <w:tcPr>
                  <w:tcW w:w="2118" w:type="pct"/>
                  <w:tcBorders>
                    <w:right w:val="nil"/>
                  </w:tcBorders>
                  <w:vAlign w:val="center"/>
                </w:tcPr>
                <w:p w14:paraId="12CAAC65">
                  <w:pPr>
                    <w:spacing w:line="240" w:lineRule="auto"/>
                    <w:jc w:val="center"/>
                    <w:rPr>
                      <w:rFonts w:hint="eastAsia" w:hAnsi="宋体"/>
                      <w:color w:val="auto"/>
                      <w:sz w:val="21"/>
                      <w:szCs w:val="21"/>
                    </w:rPr>
                  </w:pPr>
                  <w:r>
                    <w:rPr>
                      <w:rFonts w:hint="eastAsia" w:hAnsi="宋体"/>
                      <w:color w:val="auto"/>
                      <w:sz w:val="21"/>
                      <w:szCs w:val="21"/>
                    </w:rPr>
                    <w:t>3万套/年</w:t>
                  </w:r>
                </w:p>
              </w:tc>
            </w:tr>
            <w:tr w14:paraId="7ADC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023" w:type="pct"/>
                  <w:tcBorders>
                    <w:left w:val="nil"/>
                  </w:tcBorders>
                  <w:vAlign w:val="center"/>
                </w:tcPr>
                <w:p w14:paraId="4D951BD5">
                  <w:pPr>
                    <w:adjustRightInd w:val="0"/>
                    <w:snapToGrid w:val="0"/>
                    <w:spacing w:line="240" w:lineRule="auto"/>
                    <w:jc w:val="center"/>
                    <w:rPr>
                      <w:color w:val="auto"/>
                      <w:kern w:val="0"/>
                      <w:sz w:val="21"/>
                      <w:szCs w:val="20"/>
                    </w:rPr>
                  </w:pPr>
                  <w:r>
                    <w:rPr>
                      <w:rFonts w:hint="eastAsia"/>
                      <w:color w:val="auto"/>
                      <w:kern w:val="0"/>
                      <w:sz w:val="21"/>
                      <w:szCs w:val="20"/>
                    </w:rPr>
                    <w:t>3</w:t>
                  </w:r>
                </w:p>
              </w:tc>
              <w:tc>
                <w:tcPr>
                  <w:tcW w:w="1857" w:type="pct"/>
                  <w:vAlign w:val="center"/>
                </w:tcPr>
                <w:p w14:paraId="6C59A6DF">
                  <w:pPr>
                    <w:pStyle w:val="16"/>
                    <w:spacing w:line="240" w:lineRule="auto"/>
                    <w:jc w:val="center"/>
                    <w:rPr>
                      <w:rFonts w:ascii="Times New Roman" w:hAnsi="Times New Roman"/>
                      <w:color w:val="auto"/>
                      <w:spacing w:val="-2"/>
                      <w:sz w:val="21"/>
                    </w:rPr>
                  </w:pPr>
                  <w:r>
                    <w:rPr>
                      <w:rFonts w:hint="eastAsia" w:ascii="Times New Roman" w:hAnsi="Times New Roman"/>
                      <w:color w:val="auto"/>
                      <w:spacing w:val="-2"/>
                      <w:sz w:val="21"/>
                    </w:rPr>
                    <w:t>灯箱</w:t>
                  </w:r>
                </w:p>
              </w:tc>
              <w:tc>
                <w:tcPr>
                  <w:tcW w:w="2118" w:type="pct"/>
                  <w:tcBorders>
                    <w:right w:val="nil"/>
                  </w:tcBorders>
                  <w:vAlign w:val="center"/>
                </w:tcPr>
                <w:p w14:paraId="4663B9D0">
                  <w:pPr>
                    <w:spacing w:line="240" w:lineRule="auto"/>
                    <w:jc w:val="center"/>
                    <w:rPr>
                      <w:rFonts w:hint="eastAsia" w:hAnsi="宋体"/>
                      <w:color w:val="auto"/>
                      <w:sz w:val="21"/>
                      <w:szCs w:val="21"/>
                    </w:rPr>
                  </w:pPr>
                  <w:r>
                    <w:rPr>
                      <w:rFonts w:hint="eastAsia" w:hAnsi="宋体"/>
                      <w:color w:val="auto"/>
                      <w:sz w:val="21"/>
                      <w:szCs w:val="21"/>
                    </w:rPr>
                    <w:t>5万套/年</w:t>
                  </w:r>
                </w:p>
              </w:tc>
            </w:tr>
            <w:tr w14:paraId="4477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023" w:type="pct"/>
                  <w:tcBorders>
                    <w:left w:val="nil"/>
                    <w:bottom w:val="single" w:color="auto" w:sz="12" w:space="0"/>
                  </w:tcBorders>
                  <w:vAlign w:val="center"/>
                </w:tcPr>
                <w:p w14:paraId="6F1DC30D">
                  <w:pPr>
                    <w:adjustRightInd w:val="0"/>
                    <w:snapToGrid w:val="0"/>
                    <w:spacing w:line="240" w:lineRule="auto"/>
                    <w:jc w:val="center"/>
                    <w:rPr>
                      <w:color w:val="auto"/>
                      <w:kern w:val="0"/>
                      <w:sz w:val="21"/>
                      <w:szCs w:val="20"/>
                    </w:rPr>
                  </w:pPr>
                  <w:r>
                    <w:rPr>
                      <w:rFonts w:hint="eastAsia"/>
                      <w:color w:val="auto"/>
                      <w:kern w:val="0"/>
                      <w:sz w:val="21"/>
                      <w:szCs w:val="20"/>
                    </w:rPr>
                    <w:t>4</w:t>
                  </w:r>
                </w:p>
              </w:tc>
              <w:tc>
                <w:tcPr>
                  <w:tcW w:w="1857" w:type="pct"/>
                  <w:tcBorders>
                    <w:bottom w:val="single" w:color="auto" w:sz="12" w:space="0"/>
                  </w:tcBorders>
                  <w:vAlign w:val="center"/>
                </w:tcPr>
                <w:p w14:paraId="63D0BD56">
                  <w:pPr>
                    <w:spacing w:line="240" w:lineRule="auto"/>
                    <w:jc w:val="center"/>
                    <w:rPr>
                      <w:color w:val="auto"/>
                      <w:spacing w:val="-2"/>
                      <w:sz w:val="21"/>
                      <w:szCs w:val="21"/>
                    </w:rPr>
                  </w:pPr>
                  <w:r>
                    <w:rPr>
                      <w:rFonts w:hint="eastAsia"/>
                      <w:color w:val="auto"/>
                      <w:spacing w:val="-2"/>
                      <w:sz w:val="21"/>
                      <w:szCs w:val="21"/>
                    </w:rPr>
                    <w:t>标识标牌</w:t>
                  </w:r>
                </w:p>
              </w:tc>
              <w:tc>
                <w:tcPr>
                  <w:tcW w:w="2118" w:type="pct"/>
                  <w:tcBorders>
                    <w:bottom w:val="single" w:color="auto" w:sz="12" w:space="0"/>
                    <w:right w:val="nil"/>
                  </w:tcBorders>
                  <w:vAlign w:val="center"/>
                </w:tcPr>
                <w:p w14:paraId="59FC7092">
                  <w:pPr>
                    <w:spacing w:line="240" w:lineRule="auto"/>
                    <w:jc w:val="center"/>
                    <w:rPr>
                      <w:color w:val="auto"/>
                      <w:spacing w:val="-2"/>
                      <w:sz w:val="21"/>
                      <w:szCs w:val="21"/>
                    </w:rPr>
                  </w:pPr>
                  <w:r>
                    <w:rPr>
                      <w:rFonts w:hint="eastAsia"/>
                      <w:color w:val="auto"/>
                      <w:spacing w:val="-2"/>
                      <w:sz w:val="21"/>
                      <w:szCs w:val="21"/>
                    </w:rPr>
                    <w:t>2</w:t>
                  </w:r>
                  <w:r>
                    <w:rPr>
                      <w:rFonts w:hint="eastAsia" w:hAnsi="宋体"/>
                      <w:color w:val="auto"/>
                      <w:sz w:val="21"/>
                      <w:szCs w:val="21"/>
                    </w:rPr>
                    <w:t>万套/年</w:t>
                  </w:r>
                </w:p>
              </w:tc>
            </w:tr>
          </w:tbl>
          <w:p w14:paraId="358B1D0E">
            <w:pPr>
              <w:pStyle w:val="4"/>
              <w:ind w:firstLine="0" w:firstLineChars="0"/>
              <w:rPr>
                <w:color w:val="auto"/>
              </w:rPr>
            </w:pPr>
            <w:r>
              <w:rPr>
                <w:rFonts w:hint="eastAsia"/>
                <w:color w:val="auto"/>
              </w:rPr>
              <w:t>2.1.4项目组成及建设内容</w:t>
            </w:r>
          </w:p>
          <w:p w14:paraId="34E67E66">
            <w:pPr>
              <w:pStyle w:val="5"/>
              <w:ind w:firstLine="480"/>
              <w:rPr>
                <w:color w:val="auto"/>
              </w:rPr>
            </w:pPr>
            <w:r>
              <w:rPr>
                <w:rFonts w:hint="eastAsia"/>
                <w:color w:val="auto"/>
              </w:rPr>
              <w:t>本项目组成及建设内容见表2.1-3。</w:t>
            </w:r>
          </w:p>
          <w:p w14:paraId="098BE081">
            <w:pPr>
              <w:keepNext/>
              <w:keepLines/>
              <w:spacing w:line="240" w:lineRule="auto"/>
              <w:jc w:val="center"/>
              <w:rPr>
                <w:b/>
                <w:bCs/>
                <w:color w:val="auto"/>
              </w:rPr>
            </w:pPr>
            <w:r>
              <w:rPr>
                <w:rFonts w:hint="eastAsia"/>
                <w:b/>
                <w:bCs/>
                <w:color w:val="auto"/>
              </w:rPr>
              <w:t>表2.1-3  项目组成及建设内容一览表</w:t>
            </w:r>
          </w:p>
          <w:tbl>
            <w:tblPr>
              <w:tblStyle w:val="31"/>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1409"/>
              <w:gridCol w:w="487"/>
              <w:gridCol w:w="5528"/>
            </w:tblGrid>
            <w:tr w14:paraId="5703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tcBorders>
                    <w:top w:val="single" w:color="auto" w:sz="12" w:space="0"/>
                    <w:left w:val="nil"/>
                  </w:tcBorders>
                  <w:vAlign w:val="center"/>
                </w:tcPr>
                <w:p w14:paraId="56307959">
                  <w:pPr>
                    <w:pStyle w:val="40"/>
                    <w:spacing w:line="288" w:lineRule="auto"/>
                    <w:rPr>
                      <w:color w:val="auto"/>
                      <w:sz w:val="21"/>
                      <w:szCs w:val="21"/>
                    </w:rPr>
                  </w:pPr>
                  <w:r>
                    <w:rPr>
                      <w:rFonts w:hint="eastAsia"/>
                      <w:color w:val="auto"/>
                      <w:sz w:val="21"/>
                      <w:szCs w:val="21"/>
                    </w:rPr>
                    <w:t>工程类别</w:t>
                  </w:r>
                </w:p>
              </w:tc>
              <w:tc>
                <w:tcPr>
                  <w:tcW w:w="1409" w:type="dxa"/>
                  <w:tcBorders>
                    <w:top w:val="single" w:color="auto" w:sz="12" w:space="0"/>
                  </w:tcBorders>
                  <w:vAlign w:val="center"/>
                </w:tcPr>
                <w:p w14:paraId="1CAC25EC">
                  <w:pPr>
                    <w:pStyle w:val="40"/>
                    <w:spacing w:line="288" w:lineRule="auto"/>
                    <w:rPr>
                      <w:color w:val="auto"/>
                      <w:sz w:val="21"/>
                      <w:szCs w:val="21"/>
                    </w:rPr>
                  </w:pPr>
                  <w:r>
                    <w:rPr>
                      <w:rFonts w:hint="eastAsia"/>
                      <w:color w:val="auto"/>
                      <w:sz w:val="21"/>
                      <w:szCs w:val="21"/>
                    </w:rPr>
                    <w:t>项目组成</w:t>
                  </w:r>
                </w:p>
              </w:tc>
              <w:tc>
                <w:tcPr>
                  <w:tcW w:w="6015" w:type="dxa"/>
                  <w:gridSpan w:val="2"/>
                  <w:tcBorders>
                    <w:top w:val="single" w:color="auto" w:sz="12" w:space="0"/>
                    <w:right w:val="nil"/>
                  </w:tcBorders>
                  <w:vAlign w:val="center"/>
                </w:tcPr>
                <w:p w14:paraId="1337995E">
                  <w:pPr>
                    <w:pStyle w:val="40"/>
                    <w:spacing w:line="288" w:lineRule="auto"/>
                    <w:rPr>
                      <w:color w:val="auto"/>
                      <w:sz w:val="21"/>
                      <w:szCs w:val="21"/>
                    </w:rPr>
                  </w:pPr>
                  <w:r>
                    <w:rPr>
                      <w:rFonts w:hint="eastAsia"/>
                      <w:color w:val="auto"/>
                      <w:sz w:val="21"/>
                      <w:szCs w:val="21"/>
                    </w:rPr>
                    <w:t>具体建设内容</w:t>
                  </w:r>
                </w:p>
              </w:tc>
            </w:tr>
            <w:tr w14:paraId="6424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tcBorders>
                    <w:left w:val="nil"/>
                  </w:tcBorders>
                  <w:vAlign w:val="center"/>
                </w:tcPr>
                <w:p w14:paraId="36D3777D">
                  <w:pPr>
                    <w:pStyle w:val="40"/>
                    <w:spacing w:line="288" w:lineRule="auto"/>
                    <w:rPr>
                      <w:color w:val="auto"/>
                      <w:sz w:val="21"/>
                      <w:szCs w:val="21"/>
                    </w:rPr>
                  </w:pPr>
                  <w:r>
                    <w:rPr>
                      <w:rFonts w:hint="eastAsia"/>
                      <w:color w:val="auto"/>
                      <w:sz w:val="21"/>
                      <w:szCs w:val="21"/>
                    </w:rPr>
                    <w:t>主体工程</w:t>
                  </w:r>
                </w:p>
              </w:tc>
              <w:tc>
                <w:tcPr>
                  <w:tcW w:w="1409" w:type="dxa"/>
                  <w:vMerge w:val="restart"/>
                  <w:vAlign w:val="center"/>
                </w:tcPr>
                <w:p w14:paraId="699BC54F">
                  <w:pPr>
                    <w:pStyle w:val="40"/>
                    <w:spacing w:line="288" w:lineRule="auto"/>
                    <w:rPr>
                      <w:color w:val="auto"/>
                      <w:sz w:val="21"/>
                      <w:szCs w:val="21"/>
                    </w:rPr>
                  </w:pPr>
                  <w:r>
                    <w:rPr>
                      <w:rFonts w:hint="eastAsia"/>
                      <w:color w:val="auto"/>
                      <w:sz w:val="21"/>
                      <w:szCs w:val="21"/>
                    </w:rPr>
                    <w:t>生产车间</w:t>
                  </w:r>
                </w:p>
              </w:tc>
              <w:tc>
                <w:tcPr>
                  <w:tcW w:w="487" w:type="dxa"/>
                  <w:tcBorders>
                    <w:right w:val="nil"/>
                  </w:tcBorders>
                  <w:vAlign w:val="center"/>
                </w:tcPr>
                <w:p w14:paraId="17ED4BCE">
                  <w:pPr>
                    <w:pStyle w:val="40"/>
                    <w:spacing w:line="288" w:lineRule="auto"/>
                    <w:rPr>
                      <w:color w:val="auto"/>
                      <w:sz w:val="21"/>
                      <w:szCs w:val="21"/>
                    </w:rPr>
                  </w:pPr>
                  <w:r>
                    <w:rPr>
                      <w:rFonts w:hint="eastAsia"/>
                      <w:color w:val="auto"/>
                      <w:sz w:val="21"/>
                      <w:szCs w:val="21"/>
                    </w:rPr>
                    <w:t>1F</w:t>
                  </w:r>
                </w:p>
              </w:tc>
              <w:tc>
                <w:tcPr>
                  <w:tcW w:w="5528" w:type="dxa"/>
                  <w:tcBorders>
                    <w:right w:val="nil"/>
                  </w:tcBorders>
                  <w:vAlign w:val="center"/>
                </w:tcPr>
                <w:p w14:paraId="0581EB17">
                  <w:pPr>
                    <w:pStyle w:val="40"/>
                    <w:spacing w:line="288" w:lineRule="auto"/>
                    <w:rPr>
                      <w:color w:val="auto"/>
                      <w:sz w:val="21"/>
                      <w:szCs w:val="21"/>
                    </w:rPr>
                  </w:pPr>
                  <w:r>
                    <w:rPr>
                      <w:rFonts w:hint="eastAsia"/>
                      <w:color w:val="auto"/>
                      <w:sz w:val="21"/>
                      <w:szCs w:val="21"/>
                    </w:rPr>
                    <w:t>工作台</w:t>
                  </w:r>
                  <w:r>
                    <w:rPr>
                      <w:rFonts w:hint="eastAsia"/>
                      <w:color w:val="auto"/>
                      <w:sz w:val="21"/>
                      <w:szCs w:val="21"/>
                      <w:lang w:eastAsia="zh-CN"/>
                    </w:rPr>
                    <w:t>（</w:t>
                  </w:r>
                  <w:r>
                    <w:rPr>
                      <w:rFonts w:hint="eastAsia"/>
                      <w:color w:val="auto"/>
                      <w:sz w:val="21"/>
                      <w:szCs w:val="21"/>
                      <w:lang w:val="en-US" w:eastAsia="zh-CN"/>
                    </w:rPr>
                    <w:t>224m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、出货区</w:t>
                  </w:r>
                  <w:r>
                    <w:rPr>
                      <w:rFonts w:hint="eastAsia"/>
                      <w:color w:val="auto"/>
                      <w:sz w:val="21"/>
                      <w:szCs w:val="21"/>
                      <w:lang w:eastAsia="zh-CN"/>
                    </w:rPr>
                    <w:t>（</w:t>
                  </w:r>
                  <w:r>
                    <w:rPr>
                      <w:rFonts w:hint="eastAsia"/>
                      <w:color w:val="auto"/>
                      <w:sz w:val="21"/>
                      <w:szCs w:val="21"/>
                      <w:lang w:val="en-US" w:eastAsia="zh-CN"/>
                    </w:rPr>
                    <w:t>256m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lang w:val="en-US" w:eastAsia="zh-CN"/>
                    </w:rPr>
                    <w:t>材料区（188m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eastAsia"/>
                      <w:color w:val="auto"/>
                      <w:sz w:val="21"/>
                      <w:szCs w:val="21"/>
                    </w:rPr>
                    <w:t>，1F</w:t>
                  </w:r>
                  <w:r>
                    <w:rPr>
                      <w:rFonts w:hint="eastAsia"/>
                      <w:color w:val="auto"/>
                      <w:sz w:val="21"/>
                      <w:szCs w:val="21"/>
                      <w:lang w:val="en-US" w:eastAsia="zh-CN"/>
                    </w:rPr>
                    <w:t>单层层高6.3m，建筑面积为1111.36m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olor w:val="auto"/>
                      <w:sz w:val="21"/>
                      <w:szCs w:val="21"/>
                    </w:rPr>
                    <w:t>主要</w:t>
                  </w:r>
                  <w:r>
                    <w:rPr>
                      <w:color w:val="auto"/>
                      <w:sz w:val="21"/>
                      <w:szCs w:val="21"/>
                    </w:rPr>
                    <w:t>智能数控光纤激光切割机</w:t>
                  </w:r>
                  <w:r>
                    <w:rPr>
                      <w:rFonts w:hint="eastAsia"/>
                      <w:color w:val="auto"/>
                      <w:sz w:val="21"/>
                      <w:szCs w:val="21"/>
                    </w:rPr>
                    <w:t>、亚克力折弯机、铝材切割机等生产设备</w:t>
                  </w:r>
                </w:p>
              </w:tc>
            </w:tr>
            <w:tr w14:paraId="120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69983F12">
                  <w:pPr>
                    <w:pStyle w:val="40"/>
                    <w:spacing w:line="288" w:lineRule="auto"/>
                    <w:rPr>
                      <w:color w:val="auto"/>
                      <w:sz w:val="21"/>
                      <w:szCs w:val="21"/>
                    </w:rPr>
                  </w:pPr>
                </w:p>
              </w:tc>
              <w:tc>
                <w:tcPr>
                  <w:tcW w:w="1409" w:type="dxa"/>
                  <w:vMerge w:val="continue"/>
                  <w:vAlign w:val="center"/>
                </w:tcPr>
                <w:p w14:paraId="10B897EB">
                  <w:pPr>
                    <w:pStyle w:val="40"/>
                    <w:spacing w:line="288" w:lineRule="auto"/>
                    <w:rPr>
                      <w:color w:val="auto"/>
                      <w:sz w:val="21"/>
                      <w:szCs w:val="21"/>
                    </w:rPr>
                  </w:pPr>
                </w:p>
              </w:tc>
              <w:tc>
                <w:tcPr>
                  <w:tcW w:w="487" w:type="dxa"/>
                  <w:tcBorders>
                    <w:right w:val="nil"/>
                  </w:tcBorders>
                  <w:vAlign w:val="center"/>
                </w:tcPr>
                <w:p w14:paraId="14A8C7F3">
                  <w:pPr>
                    <w:pStyle w:val="40"/>
                    <w:spacing w:line="288" w:lineRule="auto"/>
                    <w:rPr>
                      <w:color w:val="auto"/>
                      <w:sz w:val="21"/>
                      <w:szCs w:val="21"/>
                    </w:rPr>
                  </w:pPr>
                  <w:r>
                    <w:rPr>
                      <w:rFonts w:hint="eastAsia"/>
                      <w:color w:val="auto"/>
                      <w:sz w:val="21"/>
                      <w:szCs w:val="21"/>
                    </w:rPr>
                    <w:t>2F</w:t>
                  </w:r>
                </w:p>
              </w:tc>
              <w:tc>
                <w:tcPr>
                  <w:tcW w:w="5528" w:type="dxa"/>
                  <w:tcBorders>
                    <w:right w:val="nil"/>
                  </w:tcBorders>
                  <w:vAlign w:val="center"/>
                </w:tcPr>
                <w:p w14:paraId="2A0B63E2">
                  <w:pPr>
                    <w:pStyle w:val="40"/>
                    <w:spacing w:line="288" w:lineRule="auto"/>
                    <w:rPr>
                      <w:color w:val="auto"/>
                      <w:sz w:val="21"/>
                      <w:szCs w:val="21"/>
                    </w:rPr>
                  </w:pPr>
                  <w:r>
                    <w:rPr>
                      <w:rFonts w:hint="eastAsia"/>
                      <w:color w:val="auto"/>
                      <w:sz w:val="21"/>
                      <w:szCs w:val="21"/>
                    </w:rPr>
                    <w:t>喷漆房</w:t>
                  </w:r>
                  <w:r>
                    <w:rPr>
                      <w:rFonts w:hint="eastAsia"/>
                      <w:color w:val="auto"/>
                      <w:sz w:val="21"/>
                      <w:szCs w:val="21"/>
                      <w:lang w:eastAsia="zh-CN"/>
                    </w:rPr>
                    <w:t>（</w:t>
                  </w:r>
                  <w:r>
                    <w:rPr>
                      <w:rFonts w:hint="eastAsia"/>
                      <w:color w:val="auto"/>
                      <w:sz w:val="21"/>
                      <w:szCs w:val="21"/>
                      <w:lang w:val="en-US" w:eastAsia="zh-CN"/>
                    </w:rPr>
                    <w:t>26m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、研发室</w:t>
                  </w:r>
                  <w:r>
                    <w:rPr>
                      <w:rFonts w:hint="eastAsia"/>
                      <w:color w:val="auto"/>
                      <w:sz w:val="21"/>
                      <w:szCs w:val="21"/>
                      <w:lang w:eastAsia="zh-CN"/>
                    </w:rPr>
                    <w:t>（</w:t>
                  </w:r>
                  <w:r>
                    <w:rPr>
                      <w:rFonts w:hint="eastAsia"/>
                      <w:color w:val="auto"/>
                      <w:sz w:val="21"/>
                      <w:szCs w:val="21"/>
                      <w:lang w:val="en-US" w:eastAsia="zh-CN"/>
                    </w:rPr>
                    <w:t>32m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、UV打印车间</w:t>
                  </w:r>
                  <w:r>
                    <w:rPr>
                      <w:rFonts w:hint="eastAsia"/>
                      <w:color w:val="auto"/>
                      <w:sz w:val="21"/>
                      <w:szCs w:val="21"/>
                      <w:lang w:eastAsia="zh-CN"/>
                    </w:rPr>
                    <w:t>（</w:t>
                  </w:r>
                  <w:r>
                    <w:rPr>
                      <w:rFonts w:hint="eastAsia"/>
                      <w:color w:val="auto"/>
                      <w:sz w:val="21"/>
                      <w:szCs w:val="21"/>
                      <w:lang w:val="en-US" w:eastAsia="zh-CN"/>
                    </w:rPr>
                    <w:t>60m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、烤漆房</w:t>
                  </w:r>
                  <w:r>
                    <w:rPr>
                      <w:rFonts w:hint="eastAsia"/>
                      <w:color w:val="auto"/>
                      <w:sz w:val="21"/>
                      <w:szCs w:val="21"/>
                      <w:lang w:eastAsia="zh-CN"/>
                    </w:rPr>
                    <w:t>（</w:t>
                  </w:r>
                  <w:r>
                    <w:rPr>
                      <w:rFonts w:hint="eastAsia"/>
                      <w:color w:val="auto"/>
                      <w:sz w:val="21"/>
                      <w:szCs w:val="21"/>
                      <w:lang w:val="en-US" w:eastAsia="zh-CN"/>
                    </w:rPr>
                    <w:t>34m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w:t>
                  </w:r>
                  <w:r>
                    <w:rPr>
                      <w:rFonts w:hint="eastAsia"/>
                      <w:color w:val="auto"/>
                      <w:sz w:val="21"/>
                      <w:szCs w:val="21"/>
                      <w:lang w:val="en-US" w:eastAsia="zh-CN"/>
                    </w:rPr>
                    <w:t>产品区/材料区（37m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eastAsia"/>
                      <w:color w:val="auto"/>
                      <w:sz w:val="21"/>
                      <w:szCs w:val="21"/>
                    </w:rPr>
                    <w:t>钣金精修处理区</w:t>
                  </w:r>
                  <w:r>
                    <w:rPr>
                      <w:rFonts w:hint="eastAsia"/>
                      <w:color w:val="auto"/>
                      <w:sz w:val="21"/>
                      <w:szCs w:val="21"/>
                      <w:lang w:eastAsia="zh-CN"/>
                    </w:rPr>
                    <w:t>（</w:t>
                  </w:r>
                  <w:r>
                    <w:rPr>
                      <w:rFonts w:hint="eastAsia"/>
                      <w:color w:val="auto"/>
                      <w:sz w:val="21"/>
                      <w:szCs w:val="21"/>
                      <w:lang w:val="en-US" w:eastAsia="zh-CN"/>
                    </w:rPr>
                    <w:t>16m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w:t>
                  </w:r>
                  <w:r>
                    <w:rPr>
                      <w:rFonts w:hint="eastAsia"/>
                      <w:color w:val="auto"/>
                      <w:sz w:val="21"/>
                      <w:szCs w:val="21"/>
                      <w:lang w:val="en-US" w:eastAsia="zh-CN"/>
                    </w:rPr>
                    <w:t>2</w:t>
                  </w:r>
                  <w:r>
                    <w:rPr>
                      <w:rFonts w:hint="eastAsia"/>
                      <w:color w:val="auto"/>
                      <w:sz w:val="21"/>
                      <w:szCs w:val="21"/>
                    </w:rPr>
                    <w:t>F</w:t>
                  </w:r>
                  <w:r>
                    <w:rPr>
                      <w:rFonts w:hint="eastAsia"/>
                      <w:color w:val="auto"/>
                      <w:sz w:val="21"/>
                      <w:szCs w:val="21"/>
                      <w:lang w:val="en-US" w:eastAsia="zh-CN"/>
                    </w:rPr>
                    <w:t>单层层高4.5m，建筑面积为1111.36m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主要设有UV打印机、数控折弯机、智能数控激光焊接机、智能数控雕刻机等生产设备</w:t>
                  </w:r>
                </w:p>
              </w:tc>
            </w:tr>
            <w:tr w14:paraId="040D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323E6684">
                  <w:pPr>
                    <w:pStyle w:val="40"/>
                    <w:spacing w:line="288" w:lineRule="auto"/>
                    <w:rPr>
                      <w:color w:val="auto"/>
                      <w:sz w:val="21"/>
                      <w:szCs w:val="21"/>
                    </w:rPr>
                  </w:pPr>
                </w:p>
              </w:tc>
              <w:tc>
                <w:tcPr>
                  <w:tcW w:w="1409" w:type="dxa"/>
                  <w:vMerge w:val="continue"/>
                  <w:vAlign w:val="center"/>
                </w:tcPr>
                <w:p w14:paraId="1EEFB231">
                  <w:pPr>
                    <w:pStyle w:val="40"/>
                    <w:spacing w:line="288" w:lineRule="auto"/>
                    <w:rPr>
                      <w:color w:val="auto"/>
                      <w:sz w:val="21"/>
                      <w:szCs w:val="21"/>
                    </w:rPr>
                  </w:pPr>
                </w:p>
              </w:tc>
              <w:tc>
                <w:tcPr>
                  <w:tcW w:w="487" w:type="dxa"/>
                  <w:tcBorders>
                    <w:right w:val="nil"/>
                  </w:tcBorders>
                  <w:vAlign w:val="center"/>
                </w:tcPr>
                <w:p w14:paraId="6C93CC47">
                  <w:pPr>
                    <w:pStyle w:val="40"/>
                    <w:spacing w:line="288" w:lineRule="auto"/>
                    <w:rPr>
                      <w:color w:val="auto"/>
                      <w:sz w:val="21"/>
                      <w:szCs w:val="21"/>
                    </w:rPr>
                  </w:pPr>
                  <w:r>
                    <w:rPr>
                      <w:rFonts w:hint="eastAsia"/>
                      <w:color w:val="auto"/>
                      <w:sz w:val="21"/>
                      <w:szCs w:val="21"/>
                    </w:rPr>
                    <w:t>3F</w:t>
                  </w:r>
                </w:p>
              </w:tc>
              <w:tc>
                <w:tcPr>
                  <w:tcW w:w="5528" w:type="dxa"/>
                  <w:tcBorders>
                    <w:right w:val="nil"/>
                  </w:tcBorders>
                  <w:vAlign w:val="center"/>
                </w:tcPr>
                <w:p w14:paraId="7D10AEC2">
                  <w:pPr>
                    <w:pStyle w:val="40"/>
                    <w:spacing w:line="288" w:lineRule="auto"/>
                    <w:rPr>
                      <w:color w:val="auto"/>
                      <w:sz w:val="21"/>
                      <w:szCs w:val="21"/>
                    </w:rPr>
                  </w:pPr>
                  <w:r>
                    <w:rPr>
                      <w:rFonts w:hint="eastAsia"/>
                      <w:color w:val="auto"/>
                      <w:sz w:val="21"/>
                      <w:szCs w:val="21"/>
                    </w:rPr>
                    <w:t>LED电子组装台</w:t>
                  </w:r>
                  <w:r>
                    <w:rPr>
                      <w:rFonts w:hint="eastAsia"/>
                      <w:color w:val="auto"/>
                      <w:sz w:val="21"/>
                      <w:szCs w:val="21"/>
                      <w:lang w:eastAsia="zh-CN"/>
                    </w:rPr>
                    <w:t>）（</w:t>
                  </w:r>
                  <w:r>
                    <w:rPr>
                      <w:rFonts w:hint="eastAsia"/>
                      <w:color w:val="auto"/>
                      <w:sz w:val="21"/>
                      <w:szCs w:val="21"/>
                      <w:lang w:val="en-US" w:eastAsia="zh-CN"/>
                    </w:rPr>
                    <w:t>384m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lang w:val="en-US" w:eastAsia="zh-CN"/>
                    </w:rPr>
                    <w:t>3</w:t>
                  </w:r>
                  <w:r>
                    <w:rPr>
                      <w:rFonts w:hint="eastAsia"/>
                      <w:color w:val="auto"/>
                      <w:sz w:val="21"/>
                      <w:szCs w:val="21"/>
                    </w:rPr>
                    <w:t>F</w:t>
                  </w:r>
                  <w:r>
                    <w:rPr>
                      <w:rFonts w:hint="eastAsia"/>
                      <w:color w:val="auto"/>
                      <w:sz w:val="21"/>
                      <w:szCs w:val="21"/>
                      <w:lang w:val="en-US" w:eastAsia="zh-CN"/>
                    </w:rPr>
                    <w:t>单层层高4.5m，建筑面积为1111.36m</w:t>
                  </w:r>
                  <w:r>
                    <w:rPr>
                      <w:rFonts w:hint="eastAsia"/>
                      <w:color w:val="auto"/>
                      <w:sz w:val="21"/>
                      <w:szCs w:val="21"/>
                      <w:vertAlign w:val="superscript"/>
                      <w:lang w:val="en-US" w:eastAsia="zh-CN"/>
                    </w:rPr>
                    <w:t>2</w:t>
                  </w:r>
                </w:p>
              </w:tc>
            </w:tr>
            <w:tr w14:paraId="2F3C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tcBorders>
                    <w:left w:val="nil"/>
                  </w:tcBorders>
                  <w:vAlign w:val="center"/>
                </w:tcPr>
                <w:p w14:paraId="0CBB4C2F">
                  <w:pPr>
                    <w:pStyle w:val="40"/>
                    <w:spacing w:line="288" w:lineRule="auto"/>
                    <w:rPr>
                      <w:color w:val="auto"/>
                      <w:sz w:val="21"/>
                      <w:szCs w:val="21"/>
                    </w:rPr>
                  </w:pPr>
                  <w:r>
                    <w:rPr>
                      <w:rFonts w:hint="eastAsia"/>
                      <w:color w:val="auto"/>
                      <w:sz w:val="21"/>
                      <w:szCs w:val="21"/>
                    </w:rPr>
                    <w:t>辅助工程</w:t>
                  </w:r>
                </w:p>
              </w:tc>
              <w:tc>
                <w:tcPr>
                  <w:tcW w:w="1409" w:type="dxa"/>
                  <w:vAlign w:val="center"/>
                </w:tcPr>
                <w:p w14:paraId="08666EB6">
                  <w:pPr>
                    <w:adjustRightInd w:val="0"/>
                    <w:snapToGrid w:val="0"/>
                    <w:jc w:val="center"/>
                    <w:rPr>
                      <w:bCs/>
                      <w:color w:val="auto"/>
                      <w:sz w:val="21"/>
                      <w:szCs w:val="21"/>
                    </w:rPr>
                  </w:pPr>
                  <w:r>
                    <w:rPr>
                      <w:bCs/>
                      <w:color w:val="auto"/>
                      <w:sz w:val="21"/>
                      <w:szCs w:val="21"/>
                    </w:rPr>
                    <w:t>办公室</w:t>
                  </w:r>
                </w:p>
              </w:tc>
              <w:tc>
                <w:tcPr>
                  <w:tcW w:w="6015" w:type="dxa"/>
                  <w:gridSpan w:val="2"/>
                  <w:tcBorders>
                    <w:right w:val="nil"/>
                  </w:tcBorders>
                  <w:vAlign w:val="center"/>
                </w:tcPr>
                <w:p w14:paraId="5CB1E21B">
                  <w:pPr>
                    <w:pStyle w:val="40"/>
                    <w:spacing w:line="288" w:lineRule="auto"/>
                    <w:rPr>
                      <w:rFonts w:hint="default" w:eastAsia="宋体"/>
                      <w:color w:val="auto"/>
                      <w:sz w:val="21"/>
                      <w:szCs w:val="21"/>
                      <w:lang w:val="en-US" w:eastAsia="zh-CN"/>
                    </w:rPr>
                  </w:pPr>
                  <w:r>
                    <w:rPr>
                      <w:bCs/>
                      <w:color w:val="auto"/>
                      <w:sz w:val="21"/>
                      <w:szCs w:val="21"/>
                    </w:rPr>
                    <w:t>办公室</w:t>
                  </w:r>
                  <w:r>
                    <w:rPr>
                      <w:rFonts w:hint="eastAsia"/>
                      <w:bCs/>
                      <w:color w:val="auto"/>
                      <w:sz w:val="21"/>
                      <w:szCs w:val="21"/>
                    </w:rPr>
                    <w:t>、经理办公室、总经理办公室、办公大厅</w:t>
                  </w:r>
                  <w:r>
                    <w:rPr>
                      <w:rFonts w:hint="eastAsia"/>
                      <w:bCs/>
                      <w:color w:val="auto"/>
                      <w:kern w:val="2"/>
                      <w:sz w:val="21"/>
                      <w:szCs w:val="21"/>
                    </w:rPr>
                    <w:t>主要位于厂房4F</w:t>
                  </w:r>
                  <w:r>
                    <w:rPr>
                      <w:rFonts w:hint="eastAsia"/>
                      <w:bCs/>
                      <w:color w:val="auto"/>
                      <w:kern w:val="2"/>
                      <w:sz w:val="21"/>
                      <w:szCs w:val="21"/>
                      <w:lang w:eastAsia="zh-CN"/>
                    </w:rPr>
                    <w:t>，</w:t>
                  </w:r>
                  <w:r>
                    <w:rPr>
                      <w:rFonts w:hint="eastAsia"/>
                      <w:bCs/>
                      <w:color w:val="auto"/>
                      <w:kern w:val="2"/>
                      <w:sz w:val="21"/>
                      <w:szCs w:val="21"/>
                      <w:lang w:val="en-US" w:eastAsia="zh-CN"/>
                    </w:rPr>
                    <w:t>4F单层层高4.5m，</w:t>
                  </w:r>
                  <w:r>
                    <w:rPr>
                      <w:rFonts w:hint="eastAsia"/>
                      <w:color w:val="auto"/>
                      <w:sz w:val="21"/>
                      <w:szCs w:val="21"/>
                      <w:lang w:val="en-US" w:eastAsia="zh-CN"/>
                    </w:rPr>
                    <w:t>建筑面积为1111.36m</w:t>
                  </w:r>
                  <w:r>
                    <w:rPr>
                      <w:rFonts w:hint="eastAsia"/>
                      <w:color w:val="auto"/>
                      <w:sz w:val="21"/>
                      <w:szCs w:val="21"/>
                      <w:vertAlign w:val="superscript"/>
                      <w:lang w:val="en-US" w:eastAsia="zh-CN"/>
                    </w:rPr>
                    <w:t>2</w:t>
                  </w:r>
                </w:p>
              </w:tc>
            </w:tr>
            <w:tr w14:paraId="6373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2C526EE6">
                  <w:pPr>
                    <w:pStyle w:val="40"/>
                    <w:spacing w:line="288" w:lineRule="auto"/>
                    <w:rPr>
                      <w:color w:val="auto"/>
                      <w:sz w:val="21"/>
                      <w:szCs w:val="21"/>
                    </w:rPr>
                  </w:pPr>
                </w:p>
              </w:tc>
              <w:tc>
                <w:tcPr>
                  <w:tcW w:w="1409" w:type="dxa"/>
                  <w:vAlign w:val="center"/>
                </w:tcPr>
                <w:p w14:paraId="71754511">
                  <w:pPr>
                    <w:adjustRightInd w:val="0"/>
                    <w:snapToGrid w:val="0"/>
                    <w:jc w:val="center"/>
                    <w:rPr>
                      <w:bCs/>
                      <w:color w:val="auto"/>
                      <w:sz w:val="21"/>
                      <w:szCs w:val="21"/>
                    </w:rPr>
                  </w:pPr>
                  <w:r>
                    <w:rPr>
                      <w:rFonts w:hint="eastAsia"/>
                      <w:bCs/>
                      <w:color w:val="auto"/>
                      <w:sz w:val="21"/>
                      <w:szCs w:val="21"/>
                    </w:rPr>
                    <w:t>会议室</w:t>
                  </w:r>
                </w:p>
              </w:tc>
              <w:tc>
                <w:tcPr>
                  <w:tcW w:w="6015" w:type="dxa"/>
                  <w:gridSpan w:val="2"/>
                  <w:tcBorders>
                    <w:right w:val="nil"/>
                  </w:tcBorders>
                  <w:vAlign w:val="center"/>
                </w:tcPr>
                <w:p w14:paraId="3AE7A35F">
                  <w:pPr>
                    <w:pStyle w:val="40"/>
                    <w:spacing w:line="288" w:lineRule="auto"/>
                    <w:rPr>
                      <w:color w:val="auto"/>
                      <w:sz w:val="21"/>
                      <w:szCs w:val="21"/>
                    </w:rPr>
                  </w:pPr>
                  <w:r>
                    <w:rPr>
                      <w:rFonts w:hint="eastAsia"/>
                      <w:color w:val="auto"/>
                      <w:sz w:val="21"/>
                      <w:szCs w:val="21"/>
                    </w:rPr>
                    <w:t>会议室主要</w:t>
                  </w:r>
                  <w:r>
                    <w:rPr>
                      <w:rFonts w:hint="eastAsia"/>
                      <w:bCs/>
                      <w:color w:val="auto"/>
                      <w:kern w:val="2"/>
                      <w:sz w:val="21"/>
                      <w:szCs w:val="21"/>
                    </w:rPr>
                    <w:t>位于厂房4F</w:t>
                  </w:r>
                </w:p>
              </w:tc>
            </w:tr>
            <w:tr w14:paraId="3CDF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5B42B228">
                  <w:pPr>
                    <w:pStyle w:val="40"/>
                    <w:spacing w:line="288" w:lineRule="auto"/>
                    <w:rPr>
                      <w:color w:val="auto"/>
                      <w:sz w:val="21"/>
                      <w:szCs w:val="21"/>
                    </w:rPr>
                  </w:pPr>
                </w:p>
              </w:tc>
              <w:tc>
                <w:tcPr>
                  <w:tcW w:w="1409" w:type="dxa"/>
                  <w:vAlign w:val="center"/>
                </w:tcPr>
                <w:p w14:paraId="28B9909C">
                  <w:pPr>
                    <w:adjustRightInd w:val="0"/>
                    <w:snapToGrid w:val="0"/>
                    <w:jc w:val="center"/>
                    <w:rPr>
                      <w:bCs/>
                      <w:color w:val="auto"/>
                      <w:sz w:val="21"/>
                      <w:szCs w:val="21"/>
                    </w:rPr>
                  </w:pPr>
                  <w:r>
                    <w:rPr>
                      <w:rFonts w:hint="eastAsia"/>
                      <w:bCs/>
                      <w:color w:val="auto"/>
                      <w:sz w:val="21"/>
                      <w:szCs w:val="21"/>
                    </w:rPr>
                    <w:t>洽谈室</w:t>
                  </w:r>
                </w:p>
              </w:tc>
              <w:tc>
                <w:tcPr>
                  <w:tcW w:w="6015" w:type="dxa"/>
                  <w:gridSpan w:val="2"/>
                  <w:tcBorders>
                    <w:right w:val="nil"/>
                  </w:tcBorders>
                  <w:vAlign w:val="center"/>
                </w:tcPr>
                <w:p w14:paraId="71ED6F9C">
                  <w:pPr>
                    <w:pStyle w:val="40"/>
                    <w:spacing w:line="288" w:lineRule="auto"/>
                    <w:rPr>
                      <w:color w:val="auto"/>
                      <w:sz w:val="21"/>
                      <w:szCs w:val="21"/>
                    </w:rPr>
                  </w:pPr>
                  <w:r>
                    <w:rPr>
                      <w:rFonts w:hint="eastAsia"/>
                      <w:color w:val="auto"/>
                      <w:sz w:val="21"/>
                      <w:szCs w:val="21"/>
                    </w:rPr>
                    <w:t>洽谈室主要位于厂房4F</w:t>
                  </w:r>
                </w:p>
              </w:tc>
            </w:tr>
            <w:tr w14:paraId="2BEB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6A97860E">
                  <w:pPr>
                    <w:pStyle w:val="40"/>
                    <w:spacing w:line="288" w:lineRule="auto"/>
                    <w:rPr>
                      <w:color w:val="auto"/>
                      <w:sz w:val="21"/>
                      <w:szCs w:val="21"/>
                    </w:rPr>
                  </w:pPr>
                </w:p>
              </w:tc>
              <w:tc>
                <w:tcPr>
                  <w:tcW w:w="1409" w:type="dxa"/>
                  <w:vAlign w:val="center"/>
                </w:tcPr>
                <w:p w14:paraId="51FEAF3C">
                  <w:pPr>
                    <w:adjustRightInd w:val="0"/>
                    <w:snapToGrid w:val="0"/>
                    <w:jc w:val="center"/>
                    <w:rPr>
                      <w:bCs/>
                      <w:color w:val="auto"/>
                      <w:sz w:val="21"/>
                      <w:szCs w:val="21"/>
                    </w:rPr>
                  </w:pPr>
                  <w:r>
                    <w:rPr>
                      <w:rFonts w:hint="eastAsia"/>
                      <w:color w:val="auto"/>
                      <w:sz w:val="21"/>
                      <w:szCs w:val="21"/>
                    </w:rPr>
                    <w:t>样品展厅</w:t>
                  </w:r>
                </w:p>
              </w:tc>
              <w:tc>
                <w:tcPr>
                  <w:tcW w:w="6015" w:type="dxa"/>
                  <w:gridSpan w:val="2"/>
                  <w:tcBorders>
                    <w:right w:val="nil"/>
                  </w:tcBorders>
                  <w:vAlign w:val="center"/>
                </w:tcPr>
                <w:p w14:paraId="32957D12">
                  <w:pPr>
                    <w:pStyle w:val="40"/>
                    <w:spacing w:line="288" w:lineRule="auto"/>
                    <w:rPr>
                      <w:color w:val="auto"/>
                      <w:sz w:val="21"/>
                      <w:szCs w:val="21"/>
                    </w:rPr>
                  </w:pPr>
                  <w:r>
                    <w:rPr>
                      <w:rFonts w:hint="eastAsia"/>
                      <w:color w:val="auto"/>
                      <w:sz w:val="21"/>
                      <w:szCs w:val="21"/>
                    </w:rPr>
                    <w:t>样品展厅主要位于厂房4F</w:t>
                  </w:r>
                </w:p>
              </w:tc>
            </w:tr>
            <w:tr w14:paraId="5C0D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13265EF6">
                  <w:pPr>
                    <w:pStyle w:val="40"/>
                    <w:spacing w:line="288" w:lineRule="auto"/>
                    <w:rPr>
                      <w:color w:val="auto"/>
                      <w:sz w:val="21"/>
                      <w:szCs w:val="21"/>
                    </w:rPr>
                  </w:pPr>
                </w:p>
              </w:tc>
              <w:tc>
                <w:tcPr>
                  <w:tcW w:w="1409" w:type="dxa"/>
                  <w:vAlign w:val="center"/>
                </w:tcPr>
                <w:p w14:paraId="4215BAAA">
                  <w:pPr>
                    <w:adjustRightInd w:val="0"/>
                    <w:snapToGrid w:val="0"/>
                    <w:jc w:val="center"/>
                    <w:rPr>
                      <w:bCs/>
                      <w:color w:val="auto"/>
                      <w:sz w:val="21"/>
                      <w:szCs w:val="21"/>
                    </w:rPr>
                  </w:pPr>
                  <w:r>
                    <w:rPr>
                      <w:rFonts w:hint="eastAsia"/>
                      <w:bCs/>
                      <w:color w:val="auto"/>
                      <w:sz w:val="21"/>
                      <w:szCs w:val="21"/>
                    </w:rPr>
                    <w:t>卫生间</w:t>
                  </w:r>
                </w:p>
              </w:tc>
              <w:tc>
                <w:tcPr>
                  <w:tcW w:w="6015" w:type="dxa"/>
                  <w:gridSpan w:val="2"/>
                  <w:tcBorders>
                    <w:right w:val="nil"/>
                  </w:tcBorders>
                  <w:vAlign w:val="center"/>
                </w:tcPr>
                <w:p w14:paraId="56A6E78B">
                  <w:pPr>
                    <w:pStyle w:val="40"/>
                    <w:spacing w:line="288" w:lineRule="auto"/>
                    <w:rPr>
                      <w:color w:val="auto"/>
                      <w:sz w:val="21"/>
                      <w:szCs w:val="21"/>
                    </w:rPr>
                  </w:pPr>
                  <w:r>
                    <w:rPr>
                      <w:rFonts w:hint="eastAsia"/>
                      <w:color w:val="auto"/>
                      <w:sz w:val="21"/>
                      <w:szCs w:val="21"/>
                    </w:rPr>
                    <w:t>每层各有一间卫生间</w:t>
                  </w:r>
                </w:p>
              </w:tc>
            </w:tr>
            <w:tr w14:paraId="67DB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tcBorders>
                    <w:left w:val="nil"/>
                  </w:tcBorders>
                  <w:vAlign w:val="center"/>
                </w:tcPr>
                <w:p w14:paraId="13AE882A">
                  <w:pPr>
                    <w:pStyle w:val="40"/>
                    <w:spacing w:line="288" w:lineRule="auto"/>
                    <w:rPr>
                      <w:color w:val="auto"/>
                      <w:sz w:val="21"/>
                      <w:szCs w:val="21"/>
                    </w:rPr>
                  </w:pPr>
                  <w:r>
                    <w:rPr>
                      <w:rFonts w:hint="eastAsia"/>
                      <w:color w:val="auto"/>
                      <w:sz w:val="21"/>
                      <w:szCs w:val="21"/>
                    </w:rPr>
                    <w:t>公用工程</w:t>
                  </w:r>
                </w:p>
              </w:tc>
              <w:tc>
                <w:tcPr>
                  <w:tcW w:w="1409" w:type="dxa"/>
                  <w:vAlign w:val="center"/>
                </w:tcPr>
                <w:p w14:paraId="29AA64DD">
                  <w:pPr>
                    <w:adjustRightInd w:val="0"/>
                    <w:snapToGrid w:val="0"/>
                    <w:jc w:val="center"/>
                    <w:rPr>
                      <w:bCs/>
                      <w:color w:val="auto"/>
                      <w:szCs w:val="21"/>
                    </w:rPr>
                  </w:pPr>
                  <w:r>
                    <w:rPr>
                      <w:rFonts w:hint="eastAsia"/>
                      <w:color w:val="auto"/>
                      <w:sz w:val="21"/>
                      <w:szCs w:val="21"/>
                    </w:rPr>
                    <w:t>供水</w:t>
                  </w:r>
                </w:p>
              </w:tc>
              <w:tc>
                <w:tcPr>
                  <w:tcW w:w="6015" w:type="dxa"/>
                  <w:gridSpan w:val="2"/>
                  <w:tcBorders>
                    <w:right w:val="nil"/>
                  </w:tcBorders>
                  <w:vAlign w:val="center"/>
                </w:tcPr>
                <w:p w14:paraId="08EC2F35">
                  <w:pPr>
                    <w:pStyle w:val="40"/>
                    <w:spacing w:line="288" w:lineRule="auto"/>
                    <w:rPr>
                      <w:color w:val="auto"/>
                      <w:sz w:val="21"/>
                      <w:szCs w:val="21"/>
                    </w:rPr>
                  </w:pPr>
                  <w:r>
                    <w:rPr>
                      <w:rFonts w:hint="eastAsia"/>
                      <w:color w:val="auto"/>
                      <w:sz w:val="21"/>
                      <w:szCs w:val="21"/>
                    </w:rPr>
                    <w:t>接市政供水管网</w:t>
                  </w:r>
                </w:p>
              </w:tc>
            </w:tr>
            <w:tr w14:paraId="5B9A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71444833">
                  <w:pPr>
                    <w:pStyle w:val="40"/>
                    <w:spacing w:line="288" w:lineRule="auto"/>
                    <w:rPr>
                      <w:color w:val="auto"/>
                      <w:sz w:val="21"/>
                      <w:szCs w:val="21"/>
                    </w:rPr>
                  </w:pPr>
                </w:p>
              </w:tc>
              <w:tc>
                <w:tcPr>
                  <w:tcW w:w="1409" w:type="dxa"/>
                  <w:vAlign w:val="center"/>
                </w:tcPr>
                <w:p w14:paraId="6392C9F5">
                  <w:pPr>
                    <w:pStyle w:val="40"/>
                    <w:spacing w:line="288" w:lineRule="auto"/>
                    <w:rPr>
                      <w:color w:val="auto"/>
                      <w:sz w:val="21"/>
                      <w:szCs w:val="21"/>
                    </w:rPr>
                  </w:pPr>
                  <w:r>
                    <w:rPr>
                      <w:rFonts w:hint="eastAsia"/>
                      <w:color w:val="auto"/>
                      <w:sz w:val="21"/>
                      <w:szCs w:val="21"/>
                    </w:rPr>
                    <w:t>供电</w:t>
                  </w:r>
                </w:p>
              </w:tc>
              <w:tc>
                <w:tcPr>
                  <w:tcW w:w="6015" w:type="dxa"/>
                  <w:gridSpan w:val="2"/>
                  <w:tcBorders>
                    <w:right w:val="nil"/>
                  </w:tcBorders>
                  <w:vAlign w:val="center"/>
                </w:tcPr>
                <w:p w14:paraId="115A988B">
                  <w:pPr>
                    <w:pStyle w:val="40"/>
                    <w:spacing w:line="288" w:lineRule="auto"/>
                    <w:rPr>
                      <w:color w:val="auto"/>
                      <w:sz w:val="21"/>
                      <w:szCs w:val="21"/>
                    </w:rPr>
                  </w:pPr>
                  <w:r>
                    <w:rPr>
                      <w:rFonts w:hint="eastAsia"/>
                      <w:color w:val="auto"/>
                      <w:sz w:val="21"/>
                      <w:szCs w:val="21"/>
                    </w:rPr>
                    <w:t>接市政供电系统</w:t>
                  </w:r>
                </w:p>
              </w:tc>
            </w:tr>
            <w:tr w14:paraId="5374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tcBorders>
                    <w:left w:val="nil"/>
                  </w:tcBorders>
                  <w:vAlign w:val="center"/>
                </w:tcPr>
                <w:p w14:paraId="5CA38F88">
                  <w:pPr>
                    <w:pStyle w:val="40"/>
                    <w:spacing w:line="288" w:lineRule="auto"/>
                    <w:rPr>
                      <w:color w:val="auto"/>
                      <w:sz w:val="21"/>
                      <w:szCs w:val="21"/>
                    </w:rPr>
                  </w:pPr>
                  <w:r>
                    <w:rPr>
                      <w:rFonts w:hint="eastAsia"/>
                      <w:color w:val="auto"/>
                      <w:sz w:val="21"/>
                      <w:szCs w:val="21"/>
                    </w:rPr>
                    <w:t>环保工程</w:t>
                  </w:r>
                </w:p>
              </w:tc>
              <w:tc>
                <w:tcPr>
                  <w:tcW w:w="1409" w:type="dxa"/>
                  <w:vAlign w:val="center"/>
                </w:tcPr>
                <w:p w14:paraId="09C6301F">
                  <w:pPr>
                    <w:pStyle w:val="40"/>
                    <w:spacing w:line="288" w:lineRule="auto"/>
                    <w:rPr>
                      <w:color w:val="auto"/>
                      <w:sz w:val="21"/>
                      <w:szCs w:val="21"/>
                    </w:rPr>
                  </w:pPr>
                  <w:r>
                    <w:rPr>
                      <w:rFonts w:hint="eastAsia"/>
                      <w:color w:val="auto"/>
                      <w:sz w:val="21"/>
                      <w:szCs w:val="21"/>
                    </w:rPr>
                    <w:t>废水处理</w:t>
                  </w:r>
                </w:p>
              </w:tc>
              <w:tc>
                <w:tcPr>
                  <w:tcW w:w="6015" w:type="dxa"/>
                  <w:gridSpan w:val="2"/>
                  <w:tcBorders>
                    <w:right w:val="nil"/>
                  </w:tcBorders>
                  <w:vAlign w:val="center"/>
                </w:tcPr>
                <w:p w14:paraId="1330D554">
                  <w:pPr>
                    <w:pStyle w:val="40"/>
                    <w:spacing w:line="288" w:lineRule="auto"/>
                    <w:jc w:val="both"/>
                    <w:rPr>
                      <w:color w:val="auto"/>
                      <w:sz w:val="21"/>
                      <w:szCs w:val="21"/>
                    </w:rPr>
                  </w:pPr>
                  <w:r>
                    <w:rPr>
                      <w:color w:val="auto"/>
                      <w:sz w:val="21"/>
                      <w:szCs w:val="21"/>
                    </w:rPr>
                    <w:t>生活污水经化粪池处理达标后排入市政污水管网，由大学城污水处理厂集中处理</w:t>
                  </w:r>
                </w:p>
              </w:tc>
            </w:tr>
            <w:tr w14:paraId="3645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3F8E2FE6">
                  <w:pPr>
                    <w:pStyle w:val="40"/>
                    <w:spacing w:line="288" w:lineRule="auto"/>
                    <w:rPr>
                      <w:color w:val="auto"/>
                      <w:sz w:val="21"/>
                      <w:szCs w:val="21"/>
                    </w:rPr>
                  </w:pPr>
                </w:p>
              </w:tc>
              <w:tc>
                <w:tcPr>
                  <w:tcW w:w="1409" w:type="dxa"/>
                  <w:vAlign w:val="center"/>
                </w:tcPr>
                <w:p w14:paraId="4CD0715B">
                  <w:pPr>
                    <w:pStyle w:val="40"/>
                    <w:spacing w:line="288" w:lineRule="auto"/>
                    <w:rPr>
                      <w:color w:val="auto"/>
                      <w:sz w:val="21"/>
                      <w:szCs w:val="21"/>
                    </w:rPr>
                  </w:pPr>
                  <w:r>
                    <w:rPr>
                      <w:color w:val="auto"/>
                      <w:sz w:val="21"/>
                      <w:szCs w:val="21"/>
                    </w:rPr>
                    <w:t>废气处理</w:t>
                  </w:r>
                </w:p>
              </w:tc>
              <w:tc>
                <w:tcPr>
                  <w:tcW w:w="6015" w:type="dxa"/>
                  <w:gridSpan w:val="2"/>
                  <w:tcBorders>
                    <w:right w:val="nil"/>
                  </w:tcBorders>
                  <w:vAlign w:val="center"/>
                </w:tcPr>
                <w:p w14:paraId="739991FD">
                  <w:pPr>
                    <w:adjustRightInd w:val="0"/>
                    <w:snapToGrid w:val="0"/>
                    <w:spacing w:line="240" w:lineRule="auto"/>
                    <w:rPr>
                      <w:color w:val="auto"/>
                      <w:spacing w:val="-3"/>
                      <w:sz w:val="21"/>
                      <w:szCs w:val="21"/>
                    </w:rPr>
                  </w:pPr>
                  <w:r>
                    <w:rPr>
                      <w:color w:val="auto"/>
                      <w:spacing w:val="-3"/>
                      <w:sz w:val="21"/>
                      <w:szCs w:val="21"/>
                    </w:rPr>
                    <w:t>（1）有机废气</w:t>
                  </w:r>
                </w:p>
                <w:p w14:paraId="65828042">
                  <w:pPr>
                    <w:adjustRightInd w:val="0"/>
                    <w:snapToGrid w:val="0"/>
                    <w:spacing w:line="240" w:lineRule="auto"/>
                    <w:rPr>
                      <w:bCs/>
                      <w:color w:val="auto"/>
                      <w:sz w:val="21"/>
                      <w:szCs w:val="21"/>
                      <w:highlight w:val="none"/>
                    </w:rPr>
                  </w:pPr>
                  <w:r>
                    <w:rPr>
                      <w:bCs/>
                      <w:color w:val="auto"/>
                      <w:sz w:val="21"/>
                      <w:szCs w:val="21"/>
                    </w:rPr>
                    <w:t>①</w:t>
                  </w:r>
                  <w:r>
                    <w:rPr>
                      <w:bCs/>
                      <w:color w:val="auto"/>
                      <w:sz w:val="21"/>
                      <w:szCs w:val="21"/>
                      <w:highlight w:val="none"/>
                    </w:rPr>
                    <w:t>本项目</w:t>
                  </w:r>
                  <w:r>
                    <w:rPr>
                      <w:rFonts w:hint="eastAsia"/>
                      <w:bCs/>
                      <w:color w:val="auto"/>
                      <w:sz w:val="21"/>
                      <w:szCs w:val="21"/>
                      <w:highlight w:val="none"/>
                    </w:rPr>
                    <w:t>调漆、</w:t>
                  </w:r>
                  <w:r>
                    <w:rPr>
                      <w:bCs/>
                      <w:color w:val="auto"/>
                      <w:sz w:val="21"/>
                      <w:szCs w:val="21"/>
                      <w:highlight w:val="none"/>
                    </w:rPr>
                    <w:t>喷漆、烤漆工序均为密闭作业，</w:t>
                  </w:r>
                  <w:r>
                    <w:rPr>
                      <w:color w:val="auto"/>
                      <w:kern w:val="0"/>
                      <w:sz w:val="21"/>
                      <w:szCs w:val="20"/>
                      <w:highlight w:val="none"/>
                    </w:rPr>
                    <w:t>漆雾</w:t>
                  </w:r>
                  <w:r>
                    <w:rPr>
                      <w:rFonts w:hint="eastAsia"/>
                      <w:color w:val="auto"/>
                      <w:kern w:val="0"/>
                      <w:sz w:val="21"/>
                      <w:szCs w:val="20"/>
                      <w:highlight w:val="none"/>
                    </w:rPr>
                    <w:t>（颗粒物）首先</w:t>
                  </w:r>
                  <w:r>
                    <w:rPr>
                      <w:color w:val="auto"/>
                      <w:kern w:val="0"/>
                      <w:sz w:val="21"/>
                      <w:szCs w:val="20"/>
                      <w:highlight w:val="none"/>
                    </w:rPr>
                    <w:t>通过水帘柜（水幕洗涤）进行捕集</w:t>
                  </w:r>
                  <w:r>
                    <w:rPr>
                      <w:rFonts w:hint="eastAsia"/>
                      <w:color w:val="auto"/>
                      <w:kern w:val="0"/>
                      <w:sz w:val="21"/>
                      <w:szCs w:val="20"/>
                      <w:highlight w:val="none"/>
                    </w:rPr>
                    <w:t>，残余漆雾和</w:t>
                  </w:r>
                  <w:r>
                    <w:rPr>
                      <w:color w:val="auto"/>
                      <w:kern w:val="0"/>
                      <w:sz w:val="21"/>
                      <w:szCs w:val="20"/>
                      <w:highlight w:val="none"/>
                    </w:rPr>
                    <w:t>有机废气通过密闭车间负压收集，经</w:t>
                  </w:r>
                  <w:r>
                    <w:rPr>
                      <w:rFonts w:hint="eastAsia"/>
                      <w:color w:val="auto"/>
                      <w:kern w:val="0"/>
                      <w:sz w:val="21"/>
                      <w:szCs w:val="20"/>
                      <w:highlight w:val="none"/>
                      <w:lang w:eastAsia="zh-CN"/>
                    </w:rPr>
                    <w:t>“</w:t>
                  </w:r>
                  <w:r>
                    <w:rPr>
                      <w:color w:val="auto"/>
                      <w:kern w:val="0"/>
                      <w:sz w:val="21"/>
                      <w:szCs w:val="20"/>
                      <w:highlight w:val="none"/>
                    </w:rPr>
                    <w:t>干式过滤+二级活性炭吸附装置</w:t>
                  </w:r>
                  <w:r>
                    <w:rPr>
                      <w:rFonts w:hint="eastAsia"/>
                      <w:color w:val="auto"/>
                      <w:kern w:val="0"/>
                      <w:sz w:val="21"/>
                      <w:szCs w:val="20"/>
                      <w:highlight w:val="none"/>
                      <w:lang w:eastAsia="zh-CN"/>
                    </w:rPr>
                    <w:t>”</w:t>
                  </w:r>
                  <w:r>
                    <w:rPr>
                      <w:color w:val="auto"/>
                      <w:kern w:val="0"/>
                      <w:sz w:val="21"/>
                      <w:szCs w:val="20"/>
                      <w:highlight w:val="none"/>
                    </w:rPr>
                    <w:t>，处理达标后的废气通过一根22m高的排气筒（DA001）排放</w:t>
                  </w:r>
                  <w:r>
                    <w:rPr>
                      <w:bCs/>
                      <w:color w:val="auto"/>
                      <w:sz w:val="21"/>
                      <w:szCs w:val="21"/>
                      <w:highlight w:val="none"/>
                    </w:rPr>
                    <w:t>。</w:t>
                  </w:r>
                </w:p>
                <w:p w14:paraId="5A7F4CCD">
                  <w:pPr>
                    <w:adjustRightInd w:val="0"/>
                    <w:snapToGrid w:val="0"/>
                    <w:spacing w:line="240" w:lineRule="auto"/>
                    <w:rPr>
                      <w:bCs/>
                      <w:color w:val="auto"/>
                      <w:sz w:val="21"/>
                      <w:szCs w:val="21"/>
                    </w:rPr>
                  </w:pPr>
                  <w:r>
                    <w:rPr>
                      <w:bCs/>
                      <w:color w:val="auto"/>
                      <w:sz w:val="21"/>
                      <w:szCs w:val="21"/>
                      <w:highlight w:val="none"/>
                    </w:rPr>
                    <w:t>②本项目UV打印</w:t>
                  </w:r>
                  <w:r>
                    <w:rPr>
                      <w:rFonts w:hint="eastAsia"/>
                      <w:bCs/>
                      <w:color w:val="auto"/>
                      <w:sz w:val="21"/>
                      <w:szCs w:val="21"/>
                      <w:highlight w:val="none"/>
                    </w:rPr>
                    <w:t>及其设备清洁</w:t>
                  </w:r>
                  <w:r>
                    <w:rPr>
                      <w:bCs/>
                      <w:color w:val="auto"/>
                      <w:sz w:val="21"/>
                      <w:szCs w:val="21"/>
                      <w:highlight w:val="none"/>
                    </w:rPr>
                    <w:t>工序</w:t>
                  </w:r>
                  <w:r>
                    <w:rPr>
                      <w:rFonts w:hint="eastAsia"/>
                      <w:bCs/>
                      <w:color w:val="auto"/>
                      <w:sz w:val="21"/>
                      <w:szCs w:val="21"/>
                      <w:highlight w:val="none"/>
                    </w:rPr>
                    <w:t>为密闭</w:t>
                  </w:r>
                  <w:r>
                    <w:rPr>
                      <w:rFonts w:hint="eastAsia"/>
                      <w:bCs/>
                      <w:color w:val="auto"/>
                      <w:sz w:val="21"/>
                      <w:szCs w:val="21"/>
                    </w:rPr>
                    <w:t>车间，</w:t>
                  </w:r>
                  <w:r>
                    <w:rPr>
                      <w:bCs/>
                      <w:color w:val="auto"/>
                      <w:sz w:val="21"/>
                      <w:szCs w:val="21"/>
                    </w:rPr>
                    <w:t>产生的有机废气由密闭车间负压收集，由1套</w:t>
                  </w:r>
                  <w:r>
                    <w:rPr>
                      <w:rFonts w:hint="eastAsia"/>
                      <w:bCs/>
                      <w:color w:val="auto"/>
                      <w:sz w:val="21"/>
                      <w:szCs w:val="21"/>
                      <w:lang w:eastAsia="zh-CN"/>
                    </w:rPr>
                    <w:t>“</w:t>
                  </w:r>
                  <w:r>
                    <w:rPr>
                      <w:rFonts w:hint="eastAsia"/>
                      <w:bCs/>
                      <w:color w:val="auto"/>
                      <w:sz w:val="21"/>
                      <w:szCs w:val="21"/>
                    </w:rPr>
                    <w:t>干式过滤</w:t>
                  </w:r>
                  <w:r>
                    <w:rPr>
                      <w:bCs/>
                      <w:color w:val="auto"/>
                      <w:sz w:val="21"/>
                      <w:szCs w:val="21"/>
                    </w:rPr>
                    <w:t>+二级活性炭吸附</w:t>
                  </w:r>
                  <w:r>
                    <w:rPr>
                      <w:rFonts w:hint="eastAsia"/>
                      <w:bCs/>
                      <w:color w:val="auto"/>
                      <w:sz w:val="21"/>
                      <w:szCs w:val="21"/>
                      <w:lang w:eastAsia="zh-CN"/>
                    </w:rPr>
                    <w:t>”</w:t>
                  </w:r>
                  <w:r>
                    <w:rPr>
                      <w:bCs/>
                      <w:color w:val="auto"/>
                      <w:sz w:val="21"/>
                      <w:szCs w:val="21"/>
                    </w:rPr>
                    <w:t>废气处理装置处理，废气处理后通过22m排气筒</w:t>
                  </w:r>
                  <w:r>
                    <w:rPr>
                      <w:rFonts w:hint="eastAsia"/>
                      <w:bCs/>
                      <w:color w:val="auto"/>
                      <w:sz w:val="21"/>
                      <w:szCs w:val="21"/>
                    </w:rPr>
                    <w:t>（DA001）</w:t>
                  </w:r>
                  <w:r>
                    <w:rPr>
                      <w:bCs/>
                      <w:color w:val="auto"/>
                      <w:sz w:val="21"/>
                      <w:szCs w:val="21"/>
                    </w:rPr>
                    <w:t>达标排放。</w:t>
                  </w:r>
                </w:p>
                <w:p w14:paraId="60B232BB">
                  <w:pPr>
                    <w:adjustRightInd w:val="0"/>
                    <w:snapToGrid w:val="0"/>
                    <w:spacing w:line="240" w:lineRule="auto"/>
                    <w:rPr>
                      <w:color w:val="auto"/>
                      <w:spacing w:val="-3"/>
                      <w:sz w:val="21"/>
                      <w:szCs w:val="21"/>
                    </w:rPr>
                  </w:pPr>
                  <w:r>
                    <w:rPr>
                      <w:rFonts w:eastAsia="微软雅黑"/>
                      <w:bCs/>
                      <w:color w:val="auto"/>
                      <w:sz w:val="21"/>
                      <w:szCs w:val="21"/>
                    </w:rPr>
                    <w:t>③</w:t>
                  </w:r>
                  <w:r>
                    <w:rPr>
                      <w:bCs/>
                      <w:color w:val="auto"/>
                      <w:sz w:val="21"/>
                      <w:szCs w:val="21"/>
                    </w:rPr>
                    <w:t>本项目热压、</w:t>
                  </w:r>
                  <w:r>
                    <w:rPr>
                      <w:rFonts w:hint="eastAsia"/>
                      <w:bCs/>
                      <w:color w:val="auto"/>
                      <w:sz w:val="21"/>
                      <w:szCs w:val="21"/>
                    </w:rPr>
                    <w:t>组装</w:t>
                  </w:r>
                  <w:r>
                    <w:rPr>
                      <w:bCs/>
                      <w:color w:val="auto"/>
                      <w:sz w:val="21"/>
                      <w:szCs w:val="21"/>
                    </w:rPr>
                    <w:t>工序产生的有机废气较少，瞬间产生的浓度较低，不易收集，经过车间通风无组织排放即可达标。</w:t>
                  </w:r>
                </w:p>
                <w:p w14:paraId="2F511D1B">
                  <w:pPr>
                    <w:pStyle w:val="40"/>
                    <w:spacing w:line="288" w:lineRule="auto"/>
                    <w:jc w:val="both"/>
                    <w:rPr>
                      <w:color w:val="auto"/>
                      <w:spacing w:val="-3"/>
                      <w:kern w:val="2"/>
                      <w:sz w:val="21"/>
                      <w:szCs w:val="21"/>
                    </w:rPr>
                  </w:pPr>
                  <w:r>
                    <w:rPr>
                      <w:color w:val="auto"/>
                      <w:spacing w:val="-3"/>
                      <w:kern w:val="2"/>
                      <w:sz w:val="21"/>
                      <w:szCs w:val="21"/>
                    </w:rPr>
                    <w:t>（2）粉尘</w:t>
                  </w:r>
                </w:p>
                <w:p w14:paraId="55D6613C">
                  <w:pPr>
                    <w:pStyle w:val="40"/>
                    <w:spacing w:line="288" w:lineRule="auto"/>
                    <w:jc w:val="both"/>
                    <w:rPr>
                      <w:color w:val="auto"/>
                      <w:spacing w:val="-3"/>
                      <w:kern w:val="2"/>
                      <w:sz w:val="21"/>
                      <w:szCs w:val="21"/>
                    </w:rPr>
                  </w:pPr>
                  <w:r>
                    <w:rPr>
                      <w:bCs/>
                      <w:color w:val="auto"/>
                      <w:sz w:val="21"/>
                      <w:szCs w:val="21"/>
                    </w:rPr>
                    <w:t>①</w:t>
                  </w:r>
                  <w:r>
                    <w:rPr>
                      <w:rFonts w:hint="eastAsia"/>
                      <w:bCs/>
                      <w:color w:val="auto"/>
                      <w:sz w:val="21"/>
                      <w:szCs w:val="21"/>
                    </w:rPr>
                    <w:t>PVC板材、亚克力板材</w:t>
                  </w:r>
                  <w:r>
                    <w:rPr>
                      <w:color w:val="auto"/>
                      <w:spacing w:val="-3"/>
                      <w:kern w:val="2"/>
                      <w:sz w:val="21"/>
                      <w:szCs w:val="21"/>
                    </w:rPr>
                    <w:t>雕刻</w:t>
                  </w:r>
                  <w:r>
                    <w:rPr>
                      <w:rFonts w:hint="eastAsia"/>
                      <w:color w:val="auto"/>
                      <w:spacing w:val="-3"/>
                      <w:kern w:val="2"/>
                      <w:sz w:val="21"/>
                      <w:szCs w:val="21"/>
                    </w:rPr>
                    <w:t>、切割</w:t>
                  </w:r>
                  <w:r>
                    <w:rPr>
                      <w:color w:val="auto"/>
                      <w:spacing w:val="-3"/>
                      <w:kern w:val="2"/>
                      <w:sz w:val="21"/>
                      <w:szCs w:val="21"/>
                    </w:rPr>
                    <w:t>粉尘经</w:t>
                  </w:r>
                  <w:r>
                    <w:rPr>
                      <w:rFonts w:hint="eastAsia"/>
                      <w:color w:val="auto"/>
                      <w:spacing w:val="-3"/>
                      <w:kern w:val="2"/>
                      <w:sz w:val="21"/>
                      <w:szCs w:val="21"/>
                    </w:rPr>
                    <w:t>集气罩收集，由布袋除尘器处理后通过22m排气筒（DA002）达标排放。</w:t>
                  </w:r>
                </w:p>
                <w:p w14:paraId="1C5D1F21">
                  <w:pPr>
                    <w:pStyle w:val="40"/>
                    <w:spacing w:line="288" w:lineRule="auto"/>
                    <w:jc w:val="both"/>
                    <w:rPr>
                      <w:bCs/>
                      <w:color w:val="auto"/>
                      <w:sz w:val="21"/>
                      <w:szCs w:val="21"/>
                    </w:rPr>
                  </w:pPr>
                  <w:r>
                    <w:rPr>
                      <w:bCs/>
                      <w:color w:val="auto"/>
                      <w:sz w:val="21"/>
                      <w:szCs w:val="21"/>
                    </w:rPr>
                    <w:t>②</w:t>
                  </w:r>
                  <w:r>
                    <w:rPr>
                      <w:color w:val="auto"/>
                      <w:spacing w:val="-3"/>
                      <w:kern w:val="2"/>
                      <w:sz w:val="21"/>
                      <w:szCs w:val="21"/>
                    </w:rPr>
                    <w:t>焊接烟尘通过移动式焊烟净化器净化</w:t>
                  </w:r>
                  <w:r>
                    <w:rPr>
                      <w:rFonts w:hint="eastAsia"/>
                      <w:color w:val="auto"/>
                      <w:spacing w:val="-3"/>
                      <w:kern w:val="2"/>
                      <w:sz w:val="21"/>
                      <w:szCs w:val="21"/>
                    </w:rPr>
                    <w:t>处理后，以无组织形式在厂区内排放。</w:t>
                  </w:r>
                </w:p>
                <w:p w14:paraId="3B7FF0C8">
                  <w:pPr>
                    <w:keepNext w:val="0"/>
                    <w:keepLines w:val="0"/>
                    <w:pageBreakBefore w:val="0"/>
                    <w:widowControl w:val="0"/>
                    <w:kinsoku/>
                    <w:wordWrap/>
                    <w:overflowPunct/>
                    <w:topLinePunct w:val="0"/>
                    <w:autoSpaceDE/>
                    <w:autoSpaceDN/>
                    <w:bidi w:val="0"/>
                    <w:adjustRightInd/>
                    <w:snapToGrid/>
                    <w:spacing w:line="288" w:lineRule="auto"/>
                    <w:textAlignment w:val="auto"/>
                    <w:rPr>
                      <w:color w:val="auto"/>
                    </w:rPr>
                  </w:pPr>
                  <w:r>
                    <w:rPr>
                      <w:color w:val="auto"/>
                      <w:sz w:val="21"/>
                      <w:szCs w:val="21"/>
                    </w:rPr>
                    <w:t>③</w:t>
                  </w:r>
                  <w:r>
                    <w:rPr>
                      <w:rFonts w:hint="eastAsia"/>
                      <w:color w:val="auto"/>
                      <w:sz w:val="21"/>
                      <w:szCs w:val="21"/>
                    </w:rPr>
                    <w:t>金属板材切割粉尘颗经集气罩收集，由布袋除尘器处理后通过22m排气筒（DA002）达标排放。</w:t>
                  </w:r>
                </w:p>
              </w:tc>
            </w:tr>
            <w:tr w14:paraId="7DB6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tcBorders>
                    <w:left w:val="nil"/>
                  </w:tcBorders>
                  <w:vAlign w:val="center"/>
                </w:tcPr>
                <w:p w14:paraId="1032D72D">
                  <w:pPr>
                    <w:pStyle w:val="40"/>
                    <w:spacing w:line="288" w:lineRule="auto"/>
                    <w:rPr>
                      <w:color w:val="auto"/>
                      <w:sz w:val="21"/>
                      <w:szCs w:val="21"/>
                    </w:rPr>
                  </w:pPr>
                </w:p>
              </w:tc>
              <w:tc>
                <w:tcPr>
                  <w:tcW w:w="1409" w:type="dxa"/>
                  <w:vAlign w:val="center"/>
                </w:tcPr>
                <w:p w14:paraId="0975846F">
                  <w:pPr>
                    <w:pStyle w:val="40"/>
                    <w:spacing w:line="288" w:lineRule="auto"/>
                    <w:rPr>
                      <w:color w:val="auto"/>
                      <w:sz w:val="21"/>
                      <w:szCs w:val="21"/>
                    </w:rPr>
                  </w:pPr>
                  <w:r>
                    <w:rPr>
                      <w:rFonts w:hint="eastAsia"/>
                      <w:color w:val="auto"/>
                      <w:sz w:val="21"/>
                      <w:szCs w:val="21"/>
                    </w:rPr>
                    <w:t>噪声处理</w:t>
                  </w:r>
                </w:p>
              </w:tc>
              <w:tc>
                <w:tcPr>
                  <w:tcW w:w="6015" w:type="dxa"/>
                  <w:gridSpan w:val="2"/>
                  <w:tcBorders>
                    <w:right w:val="nil"/>
                  </w:tcBorders>
                  <w:vAlign w:val="center"/>
                </w:tcPr>
                <w:p w14:paraId="7C665ACE">
                  <w:pPr>
                    <w:pStyle w:val="40"/>
                    <w:spacing w:line="288" w:lineRule="auto"/>
                    <w:jc w:val="both"/>
                    <w:rPr>
                      <w:color w:val="auto"/>
                      <w:sz w:val="21"/>
                      <w:szCs w:val="21"/>
                    </w:rPr>
                  </w:pPr>
                  <w:r>
                    <w:rPr>
                      <w:rFonts w:hint="eastAsia"/>
                      <w:color w:val="auto"/>
                      <w:sz w:val="21"/>
                      <w:szCs w:val="21"/>
                    </w:rPr>
                    <w:t>选用低噪声设备，对高噪声设备采取减振、隔声等降噪措施</w:t>
                  </w:r>
                </w:p>
              </w:tc>
            </w:tr>
            <w:tr w14:paraId="388A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521" w:type="dxa"/>
                  <w:vMerge w:val="continue"/>
                  <w:tcBorders>
                    <w:left w:val="nil"/>
                    <w:bottom w:val="single" w:color="auto" w:sz="12" w:space="0"/>
                  </w:tcBorders>
                  <w:vAlign w:val="center"/>
                </w:tcPr>
                <w:p w14:paraId="6003BD16">
                  <w:pPr>
                    <w:pStyle w:val="40"/>
                    <w:spacing w:line="288" w:lineRule="auto"/>
                    <w:rPr>
                      <w:color w:val="auto"/>
                      <w:sz w:val="21"/>
                      <w:szCs w:val="21"/>
                    </w:rPr>
                  </w:pPr>
                </w:p>
              </w:tc>
              <w:tc>
                <w:tcPr>
                  <w:tcW w:w="1409" w:type="dxa"/>
                  <w:tcBorders>
                    <w:bottom w:val="single" w:color="auto" w:sz="12" w:space="0"/>
                  </w:tcBorders>
                  <w:vAlign w:val="center"/>
                </w:tcPr>
                <w:p w14:paraId="0A79D295">
                  <w:pPr>
                    <w:pStyle w:val="40"/>
                    <w:spacing w:line="288" w:lineRule="auto"/>
                    <w:rPr>
                      <w:color w:val="auto"/>
                      <w:sz w:val="21"/>
                      <w:szCs w:val="21"/>
                    </w:rPr>
                  </w:pPr>
                  <w:r>
                    <w:rPr>
                      <w:rFonts w:hint="eastAsia"/>
                      <w:color w:val="auto"/>
                      <w:sz w:val="21"/>
                      <w:szCs w:val="21"/>
                    </w:rPr>
                    <w:t>固废处理</w:t>
                  </w:r>
                </w:p>
              </w:tc>
              <w:tc>
                <w:tcPr>
                  <w:tcW w:w="6015" w:type="dxa"/>
                  <w:gridSpan w:val="2"/>
                  <w:tcBorders>
                    <w:bottom w:val="single" w:color="auto" w:sz="12" w:space="0"/>
                    <w:right w:val="nil"/>
                  </w:tcBorders>
                  <w:vAlign w:val="center"/>
                </w:tcPr>
                <w:p w14:paraId="7E904C95">
                  <w:pPr>
                    <w:pStyle w:val="40"/>
                    <w:spacing w:line="288" w:lineRule="auto"/>
                    <w:jc w:val="both"/>
                    <w:rPr>
                      <w:color w:val="auto"/>
                      <w:sz w:val="21"/>
                      <w:szCs w:val="21"/>
                    </w:rPr>
                  </w:pPr>
                  <w:r>
                    <w:rPr>
                      <w:color w:val="auto"/>
                      <w:sz w:val="21"/>
                      <w:szCs w:val="21"/>
                    </w:rPr>
                    <w:t>①生活垃圾：厂区内设置生活垃圾收集桶，分类收集后，</w:t>
                  </w:r>
                  <w:r>
                    <w:rPr>
                      <w:rFonts w:hint="eastAsia"/>
                      <w:color w:val="auto"/>
                      <w:sz w:val="21"/>
                      <w:szCs w:val="21"/>
                    </w:rPr>
                    <w:t>由</w:t>
                  </w:r>
                  <w:r>
                    <w:rPr>
                      <w:color w:val="auto"/>
                      <w:sz w:val="21"/>
                      <w:szCs w:val="21"/>
                    </w:rPr>
                    <w:t>环卫部门清运处置。</w:t>
                  </w:r>
                </w:p>
                <w:p w14:paraId="00D6E1A6">
                  <w:pPr>
                    <w:pStyle w:val="40"/>
                    <w:spacing w:line="288" w:lineRule="auto"/>
                    <w:jc w:val="both"/>
                    <w:rPr>
                      <w:color w:val="auto"/>
                      <w:sz w:val="21"/>
                      <w:szCs w:val="21"/>
                    </w:rPr>
                  </w:pPr>
                  <w:r>
                    <w:rPr>
                      <w:color w:val="auto"/>
                      <w:sz w:val="21"/>
                      <w:szCs w:val="21"/>
                    </w:rPr>
                    <w:t>②一般工业固废：</w:t>
                  </w:r>
                  <w:r>
                    <w:rPr>
                      <w:rFonts w:hint="eastAsia"/>
                      <w:color w:val="auto"/>
                      <w:sz w:val="21"/>
                      <w:szCs w:val="21"/>
                    </w:rPr>
                    <w:t>拟设1间一般固废间（9m</w:t>
                  </w:r>
                  <w:r>
                    <w:rPr>
                      <w:rFonts w:hint="eastAsia"/>
                      <w:color w:val="auto"/>
                      <w:sz w:val="21"/>
                      <w:szCs w:val="21"/>
                      <w:vertAlign w:val="superscript"/>
                    </w:rPr>
                    <w:t>2</w:t>
                  </w:r>
                  <w:r>
                    <w:rPr>
                      <w:rFonts w:hint="eastAsia"/>
                      <w:color w:val="auto"/>
                      <w:sz w:val="21"/>
                      <w:szCs w:val="21"/>
                    </w:rPr>
                    <w:t>）；</w:t>
                  </w:r>
                  <w:r>
                    <w:rPr>
                      <w:color w:val="auto"/>
                      <w:sz w:val="21"/>
                      <w:szCs w:val="21"/>
                    </w:rPr>
                    <w:t>生产期间主要产生的固废为</w:t>
                  </w:r>
                  <w:r>
                    <w:rPr>
                      <w:rFonts w:hint="eastAsia"/>
                      <w:color w:val="auto"/>
                      <w:sz w:val="21"/>
                      <w:szCs w:val="21"/>
                    </w:rPr>
                    <w:t>废包装材料、废边角料</w:t>
                  </w:r>
                  <w:r>
                    <w:rPr>
                      <w:color w:val="auto"/>
                      <w:sz w:val="21"/>
                      <w:szCs w:val="21"/>
                    </w:rPr>
                    <w:t>、</w:t>
                  </w:r>
                  <w:r>
                    <w:rPr>
                      <w:rFonts w:hint="eastAsia"/>
                      <w:color w:val="auto"/>
                      <w:sz w:val="21"/>
                      <w:szCs w:val="21"/>
                    </w:rPr>
                    <w:t>除尘器收集粉尘，暂存一般固废间，出售给回收企业综合利用</w:t>
                  </w:r>
                  <w:r>
                    <w:rPr>
                      <w:color w:val="auto"/>
                      <w:sz w:val="21"/>
                      <w:szCs w:val="21"/>
                    </w:rPr>
                    <w:t>。</w:t>
                  </w:r>
                </w:p>
                <w:p w14:paraId="4E9B57F9">
                  <w:pPr>
                    <w:pStyle w:val="40"/>
                    <w:spacing w:line="288" w:lineRule="auto"/>
                    <w:jc w:val="both"/>
                    <w:rPr>
                      <w:color w:val="auto"/>
                      <w:sz w:val="21"/>
                      <w:szCs w:val="21"/>
                    </w:rPr>
                  </w:pPr>
                  <w:r>
                    <w:rPr>
                      <w:color w:val="auto"/>
                      <w:sz w:val="21"/>
                      <w:szCs w:val="21"/>
                    </w:rPr>
                    <w:t>③危险废物：</w:t>
                  </w:r>
                  <w:r>
                    <w:rPr>
                      <w:rFonts w:hint="eastAsia"/>
                      <w:color w:val="auto"/>
                      <w:sz w:val="21"/>
                      <w:szCs w:val="21"/>
                    </w:rPr>
                    <w:t>拟设</w:t>
                  </w:r>
                  <w:r>
                    <w:rPr>
                      <w:color w:val="auto"/>
                      <w:sz w:val="21"/>
                      <w:szCs w:val="21"/>
                    </w:rPr>
                    <w:t>1间危险废物</w:t>
                  </w:r>
                  <w:r>
                    <w:rPr>
                      <w:rFonts w:hint="eastAsia"/>
                      <w:color w:val="auto"/>
                      <w:sz w:val="21"/>
                      <w:szCs w:val="21"/>
                    </w:rPr>
                    <w:t>贮存间（9</w:t>
                  </w:r>
                  <w:r>
                    <w:rPr>
                      <w:color w:val="auto"/>
                      <w:sz w:val="21"/>
                      <w:szCs w:val="21"/>
                    </w:rPr>
                    <w:t>m</w:t>
                  </w:r>
                  <w:r>
                    <w:rPr>
                      <w:color w:val="auto"/>
                      <w:sz w:val="21"/>
                      <w:szCs w:val="21"/>
                      <w:vertAlign w:val="superscript"/>
                    </w:rPr>
                    <w:t>2</w:t>
                  </w:r>
                  <w:r>
                    <w:rPr>
                      <w:rFonts w:hint="eastAsia"/>
                      <w:color w:val="auto"/>
                      <w:sz w:val="21"/>
                      <w:szCs w:val="21"/>
                    </w:rPr>
                    <w:t>）；危险废物主要包括废原料桶、废活性炭、水帘柜废液、漆渣、废过滤棉、废机油，暂存危险废物贮存间，</w:t>
                  </w:r>
                  <w:r>
                    <w:rPr>
                      <w:color w:val="auto"/>
                      <w:sz w:val="21"/>
                      <w:szCs w:val="21"/>
                    </w:rPr>
                    <w:t>委托有危险废物经营许可证的企业进行处理处置。</w:t>
                  </w:r>
                </w:p>
              </w:tc>
            </w:tr>
          </w:tbl>
          <w:p w14:paraId="400A62E0">
            <w:pPr>
              <w:pStyle w:val="4"/>
              <w:ind w:firstLine="0" w:firstLineChars="0"/>
              <w:rPr>
                <w:color w:val="auto"/>
              </w:rPr>
            </w:pPr>
            <w:r>
              <w:rPr>
                <w:rFonts w:hint="eastAsia"/>
                <w:color w:val="auto"/>
              </w:rPr>
              <w:t>2.1.5主要生产设备</w:t>
            </w:r>
          </w:p>
          <w:p w14:paraId="697FEF2F">
            <w:pPr>
              <w:pStyle w:val="5"/>
              <w:ind w:firstLine="480"/>
              <w:rPr>
                <w:color w:val="auto"/>
              </w:rPr>
            </w:pPr>
            <w:r>
              <w:rPr>
                <w:rFonts w:hint="eastAsia"/>
                <w:color w:val="auto"/>
              </w:rPr>
              <w:t>项目主要生产设备见表2.1-4。</w:t>
            </w:r>
          </w:p>
          <w:p w14:paraId="6C07C6AC">
            <w:pPr>
              <w:pStyle w:val="36"/>
              <w:spacing w:before="0" w:after="0"/>
              <w:rPr>
                <w:color w:val="auto"/>
              </w:rPr>
            </w:pPr>
            <w:r>
              <w:rPr>
                <w:rFonts w:hint="eastAsia"/>
                <w:color w:val="auto"/>
              </w:rPr>
              <w:t>表2.1-4  主要生产设备表</w:t>
            </w:r>
          </w:p>
          <w:tbl>
            <w:tblPr>
              <w:tblStyle w:val="31"/>
              <w:tblW w:w="78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2707"/>
              <w:gridCol w:w="2427"/>
              <w:gridCol w:w="1811"/>
            </w:tblGrid>
            <w:tr w14:paraId="3254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top w:val="single" w:color="auto" w:sz="12" w:space="0"/>
                    <w:left w:val="nil"/>
                  </w:tcBorders>
                  <w:vAlign w:val="center"/>
                </w:tcPr>
                <w:p w14:paraId="015DA435">
                  <w:pPr>
                    <w:pStyle w:val="40"/>
                    <w:spacing w:line="288" w:lineRule="auto"/>
                    <w:rPr>
                      <w:color w:val="auto"/>
                      <w:sz w:val="21"/>
                      <w:szCs w:val="21"/>
                    </w:rPr>
                  </w:pPr>
                  <w:r>
                    <w:rPr>
                      <w:rFonts w:hint="eastAsia"/>
                      <w:color w:val="auto"/>
                      <w:sz w:val="21"/>
                      <w:szCs w:val="21"/>
                    </w:rPr>
                    <w:t>序号</w:t>
                  </w:r>
                </w:p>
              </w:tc>
              <w:tc>
                <w:tcPr>
                  <w:tcW w:w="2707" w:type="dxa"/>
                  <w:tcBorders>
                    <w:top w:val="single" w:color="auto" w:sz="12" w:space="0"/>
                  </w:tcBorders>
                  <w:vAlign w:val="center"/>
                </w:tcPr>
                <w:p w14:paraId="00713224">
                  <w:pPr>
                    <w:pStyle w:val="40"/>
                    <w:spacing w:line="288" w:lineRule="auto"/>
                    <w:rPr>
                      <w:color w:val="auto"/>
                      <w:sz w:val="21"/>
                      <w:szCs w:val="21"/>
                    </w:rPr>
                  </w:pPr>
                  <w:r>
                    <w:rPr>
                      <w:rFonts w:hint="eastAsia"/>
                      <w:color w:val="auto"/>
                      <w:sz w:val="21"/>
                      <w:szCs w:val="21"/>
                    </w:rPr>
                    <w:t>生产设备名称</w:t>
                  </w:r>
                </w:p>
              </w:tc>
              <w:tc>
                <w:tcPr>
                  <w:tcW w:w="2427" w:type="dxa"/>
                  <w:tcBorders>
                    <w:top w:val="single" w:color="auto" w:sz="12" w:space="0"/>
                  </w:tcBorders>
                  <w:vAlign w:val="center"/>
                </w:tcPr>
                <w:p w14:paraId="119D3AFE">
                  <w:pPr>
                    <w:pStyle w:val="40"/>
                    <w:spacing w:line="288" w:lineRule="auto"/>
                    <w:rPr>
                      <w:color w:val="auto"/>
                      <w:sz w:val="21"/>
                      <w:szCs w:val="21"/>
                    </w:rPr>
                  </w:pPr>
                  <w:r>
                    <w:rPr>
                      <w:rFonts w:hint="eastAsia"/>
                      <w:color w:val="auto"/>
                      <w:sz w:val="21"/>
                      <w:szCs w:val="21"/>
                    </w:rPr>
                    <w:t>设备型号</w:t>
                  </w:r>
                </w:p>
              </w:tc>
              <w:tc>
                <w:tcPr>
                  <w:tcW w:w="1811" w:type="dxa"/>
                  <w:tcBorders>
                    <w:top w:val="single" w:color="auto" w:sz="12" w:space="0"/>
                    <w:right w:val="nil"/>
                  </w:tcBorders>
                  <w:vAlign w:val="center"/>
                </w:tcPr>
                <w:p w14:paraId="57ECCBD1">
                  <w:pPr>
                    <w:pStyle w:val="40"/>
                    <w:spacing w:line="288" w:lineRule="auto"/>
                    <w:rPr>
                      <w:color w:val="auto"/>
                      <w:sz w:val="21"/>
                      <w:szCs w:val="21"/>
                    </w:rPr>
                  </w:pPr>
                  <w:r>
                    <w:rPr>
                      <w:rFonts w:hint="eastAsia"/>
                      <w:color w:val="auto"/>
                      <w:sz w:val="21"/>
                      <w:szCs w:val="21"/>
                    </w:rPr>
                    <w:t>设备数量（台）</w:t>
                  </w:r>
                </w:p>
              </w:tc>
            </w:tr>
            <w:tr w14:paraId="38D0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5BF2D9DA">
                  <w:pPr>
                    <w:pStyle w:val="40"/>
                    <w:spacing w:line="288" w:lineRule="auto"/>
                    <w:rPr>
                      <w:color w:val="auto"/>
                      <w:sz w:val="21"/>
                      <w:szCs w:val="21"/>
                    </w:rPr>
                  </w:pPr>
                  <w:r>
                    <w:rPr>
                      <w:rFonts w:hint="eastAsia"/>
                      <w:color w:val="auto"/>
                      <w:sz w:val="21"/>
                      <w:szCs w:val="21"/>
                    </w:rPr>
                    <w:t>1</w:t>
                  </w:r>
                </w:p>
              </w:tc>
              <w:tc>
                <w:tcPr>
                  <w:tcW w:w="2707" w:type="dxa"/>
                  <w:vAlign w:val="center"/>
                </w:tcPr>
                <w:p w14:paraId="0E9C58FD">
                  <w:pPr>
                    <w:spacing w:line="288" w:lineRule="auto"/>
                    <w:jc w:val="center"/>
                    <w:rPr>
                      <w:color w:val="auto"/>
                      <w:sz w:val="21"/>
                      <w:szCs w:val="21"/>
                    </w:rPr>
                  </w:pPr>
                  <w:r>
                    <w:rPr>
                      <w:color w:val="auto"/>
                      <w:sz w:val="21"/>
                      <w:szCs w:val="21"/>
                    </w:rPr>
                    <w:t>智能数控光纤激光切割机</w:t>
                  </w:r>
                </w:p>
              </w:tc>
              <w:tc>
                <w:tcPr>
                  <w:tcW w:w="2427" w:type="dxa"/>
                  <w:vAlign w:val="center"/>
                </w:tcPr>
                <w:p w14:paraId="1F0E9EC1">
                  <w:pPr>
                    <w:spacing w:line="288" w:lineRule="auto"/>
                    <w:jc w:val="center"/>
                    <w:rPr>
                      <w:color w:val="auto"/>
                      <w:sz w:val="21"/>
                      <w:szCs w:val="21"/>
                    </w:rPr>
                  </w:pPr>
                  <w:r>
                    <w:rPr>
                      <w:color w:val="auto"/>
                      <w:sz w:val="21"/>
                      <w:szCs w:val="21"/>
                    </w:rPr>
                    <w:t>X9-1500</w:t>
                  </w:r>
                </w:p>
              </w:tc>
              <w:tc>
                <w:tcPr>
                  <w:tcW w:w="1811" w:type="dxa"/>
                  <w:tcBorders>
                    <w:right w:val="nil"/>
                  </w:tcBorders>
                  <w:vAlign w:val="center"/>
                </w:tcPr>
                <w:p w14:paraId="0EED1879">
                  <w:pPr>
                    <w:spacing w:line="288" w:lineRule="auto"/>
                    <w:jc w:val="center"/>
                    <w:rPr>
                      <w:color w:val="auto"/>
                      <w:sz w:val="21"/>
                      <w:szCs w:val="21"/>
                    </w:rPr>
                  </w:pPr>
                  <w:r>
                    <w:rPr>
                      <w:color w:val="auto"/>
                      <w:sz w:val="21"/>
                      <w:szCs w:val="21"/>
                    </w:rPr>
                    <w:t>2</w:t>
                  </w:r>
                </w:p>
              </w:tc>
            </w:tr>
            <w:tr w14:paraId="1963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3707A7E1">
                  <w:pPr>
                    <w:pStyle w:val="40"/>
                    <w:spacing w:line="288" w:lineRule="auto"/>
                    <w:rPr>
                      <w:color w:val="auto"/>
                      <w:sz w:val="21"/>
                      <w:szCs w:val="21"/>
                    </w:rPr>
                  </w:pPr>
                  <w:r>
                    <w:rPr>
                      <w:rFonts w:hint="eastAsia"/>
                      <w:color w:val="auto"/>
                      <w:sz w:val="21"/>
                      <w:szCs w:val="21"/>
                    </w:rPr>
                    <w:t>2</w:t>
                  </w:r>
                </w:p>
              </w:tc>
              <w:tc>
                <w:tcPr>
                  <w:tcW w:w="2707" w:type="dxa"/>
                  <w:vAlign w:val="center"/>
                </w:tcPr>
                <w:p w14:paraId="3BC042A6">
                  <w:pPr>
                    <w:spacing w:line="288" w:lineRule="auto"/>
                    <w:jc w:val="center"/>
                    <w:rPr>
                      <w:color w:val="auto"/>
                      <w:sz w:val="21"/>
                      <w:szCs w:val="21"/>
                    </w:rPr>
                  </w:pPr>
                  <w:r>
                    <w:rPr>
                      <w:color w:val="auto"/>
                      <w:sz w:val="21"/>
                      <w:szCs w:val="21"/>
                    </w:rPr>
                    <w:t>智能数控雕刻机</w:t>
                  </w:r>
                </w:p>
              </w:tc>
              <w:tc>
                <w:tcPr>
                  <w:tcW w:w="2427" w:type="dxa"/>
                  <w:vAlign w:val="center"/>
                </w:tcPr>
                <w:p w14:paraId="59C9A0F6">
                  <w:pPr>
                    <w:spacing w:line="288" w:lineRule="auto"/>
                    <w:jc w:val="center"/>
                    <w:rPr>
                      <w:color w:val="auto"/>
                      <w:sz w:val="21"/>
                      <w:szCs w:val="21"/>
                    </w:rPr>
                  </w:pPr>
                  <w:r>
                    <w:rPr>
                      <w:color w:val="auto"/>
                      <w:sz w:val="21"/>
                      <w:szCs w:val="21"/>
                    </w:rPr>
                    <w:t>M2-2030/M5-1325</w:t>
                  </w:r>
                </w:p>
              </w:tc>
              <w:tc>
                <w:tcPr>
                  <w:tcW w:w="1811" w:type="dxa"/>
                  <w:tcBorders>
                    <w:right w:val="nil"/>
                  </w:tcBorders>
                  <w:vAlign w:val="center"/>
                </w:tcPr>
                <w:p w14:paraId="2730E239">
                  <w:pPr>
                    <w:spacing w:line="288" w:lineRule="auto"/>
                    <w:jc w:val="center"/>
                    <w:rPr>
                      <w:color w:val="auto"/>
                      <w:sz w:val="21"/>
                      <w:szCs w:val="21"/>
                    </w:rPr>
                  </w:pPr>
                  <w:r>
                    <w:rPr>
                      <w:color w:val="auto"/>
                      <w:sz w:val="21"/>
                      <w:szCs w:val="21"/>
                    </w:rPr>
                    <w:t>8</w:t>
                  </w:r>
                </w:p>
              </w:tc>
            </w:tr>
            <w:tr w14:paraId="65E6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1609746B">
                  <w:pPr>
                    <w:pStyle w:val="40"/>
                    <w:spacing w:line="288" w:lineRule="auto"/>
                    <w:rPr>
                      <w:color w:val="auto"/>
                      <w:sz w:val="21"/>
                      <w:szCs w:val="21"/>
                    </w:rPr>
                  </w:pPr>
                  <w:r>
                    <w:rPr>
                      <w:rFonts w:hint="eastAsia"/>
                      <w:color w:val="auto"/>
                      <w:sz w:val="21"/>
                      <w:szCs w:val="21"/>
                    </w:rPr>
                    <w:t>3</w:t>
                  </w:r>
                </w:p>
              </w:tc>
              <w:tc>
                <w:tcPr>
                  <w:tcW w:w="2707" w:type="dxa"/>
                  <w:vAlign w:val="center"/>
                </w:tcPr>
                <w:p w14:paraId="03C3E572">
                  <w:pPr>
                    <w:spacing w:line="288" w:lineRule="auto"/>
                    <w:jc w:val="center"/>
                    <w:rPr>
                      <w:color w:val="auto"/>
                      <w:sz w:val="21"/>
                      <w:szCs w:val="21"/>
                    </w:rPr>
                  </w:pPr>
                  <w:r>
                    <w:rPr>
                      <w:color w:val="auto"/>
                      <w:sz w:val="21"/>
                      <w:szCs w:val="21"/>
                    </w:rPr>
                    <w:t>智能数控亚克力激光切割机</w:t>
                  </w:r>
                </w:p>
              </w:tc>
              <w:tc>
                <w:tcPr>
                  <w:tcW w:w="2427" w:type="dxa"/>
                  <w:vAlign w:val="center"/>
                </w:tcPr>
                <w:p w14:paraId="0D45FF37">
                  <w:pPr>
                    <w:spacing w:line="288" w:lineRule="auto"/>
                    <w:jc w:val="center"/>
                    <w:rPr>
                      <w:color w:val="auto"/>
                      <w:sz w:val="21"/>
                      <w:szCs w:val="21"/>
                    </w:rPr>
                  </w:pPr>
                  <w:r>
                    <w:rPr>
                      <w:color w:val="auto"/>
                      <w:sz w:val="21"/>
                      <w:szCs w:val="21"/>
                    </w:rPr>
                    <w:t>1390</w:t>
                  </w:r>
                </w:p>
              </w:tc>
              <w:tc>
                <w:tcPr>
                  <w:tcW w:w="1811" w:type="dxa"/>
                  <w:tcBorders>
                    <w:right w:val="nil"/>
                  </w:tcBorders>
                  <w:vAlign w:val="center"/>
                </w:tcPr>
                <w:p w14:paraId="515C8851">
                  <w:pPr>
                    <w:spacing w:line="288" w:lineRule="auto"/>
                    <w:jc w:val="center"/>
                    <w:rPr>
                      <w:color w:val="auto"/>
                      <w:sz w:val="21"/>
                      <w:szCs w:val="21"/>
                    </w:rPr>
                  </w:pPr>
                  <w:r>
                    <w:rPr>
                      <w:color w:val="auto"/>
                      <w:sz w:val="21"/>
                      <w:szCs w:val="21"/>
                    </w:rPr>
                    <w:t>2</w:t>
                  </w:r>
                </w:p>
              </w:tc>
            </w:tr>
            <w:tr w14:paraId="5024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54DB7B73">
                  <w:pPr>
                    <w:pStyle w:val="40"/>
                    <w:spacing w:line="288" w:lineRule="auto"/>
                    <w:rPr>
                      <w:color w:val="auto"/>
                      <w:sz w:val="21"/>
                      <w:szCs w:val="21"/>
                    </w:rPr>
                  </w:pPr>
                  <w:r>
                    <w:rPr>
                      <w:rFonts w:hint="eastAsia"/>
                      <w:color w:val="auto"/>
                      <w:sz w:val="21"/>
                      <w:szCs w:val="21"/>
                    </w:rPr>
                    <w:t>4</w:t>
                  </w:r>
                </w:p>
              </w:tc>
              <w:tc>
                <w:tcPr>
                  <w:tcW w:w="2707" w:type="dxa"/>
                  <w:vAlign w:val="center"/>
                </w:tcPr>
                <w:p w14:paraId="031BC90B">
                  <w:pPr>
                    <w:spacing w:line="288" w:lineRule="auto"/>
                    <w:jc w:val="center"/>
                    <w:rPr>
                      <w:color w:val="auto"/>
                      <w:sz w:val="21"/>
                      <w:szCs w:val="21"/>
                    </w:rPr>
                  </w:pPr>
                  <w:r>
                    <w:rPr>
                      <w:color w:val="auto"/>
                      <w:sz w:val="21"/>
                      <w:szCs w:val="21"/>
                    </w:rPr>
                    <w:t>智能数控开槽折弯机</w:t>
                  </w:r>
                </w:p>
              </w:tc>
              <w:tc>
                <w:tcPr>
                  <w:tcW w:w="2427" w:type="dxa"/>
                  <w:vAlign w:val="center"/>
                </w:tcPr>
                <w:p w14:paraId="5BFC4B70">
                  <w:pPr>
                    <w:spacing w:line="288" w:lineRule="auto"/>
                    <w:jc w:val="center"/>
                    <w:rPr>
                      <w:color w:val="auto"/>
                      <w:sz w:val="21"/>
                      <w:szCs w:val="21"/>
                    </w:rPr>
                  </w:pPr>
                  <w:r>
                    <w:rPr>
                      <w:color w:val="auto"/>
                      <w:sz w:val="21"/>
                      <w:szCs w:val="21"/>
                    </w:rPr>
                    <w:t>A200/A130</w:t>
                  </w:r>
                </w:p>
              </w:tc>
              <w:tc>
                <w:tcPr>
                  <w:tcW w:w="1811" w:type="dxa"/>
                  <w:tcBorders>
                    <w:right w:val="nil"/>
                  </w:tcBorders>
                  <w:vAlign w:val="center"/>
                </w:tcPr>
                <w:p w14:paraId="78E6FA7A">
                  <w:pPr>
                    <w:spacing w:line="288" w:lineRule="auto"/>
                    <w:jc w:val="center"/>
                    <w:rPr>
                      <w:color w:val="auto"/>
                      <w:sz w:val="21"/>
                      <w:szCs w:val="21"/>
                    </w:rPr>
                  </w:pPr>
                  <w:r>
                    <w:rPr>
                      <w:color w:val="auto"/>
                      <w:sz w:val="21"/>
                      <w:szCs w:val="21"/>
                    </w:rPr>
                    <w:t>4</w:t>
                  </w:r>
                </w:p>
              </w:tc>
            </w:tr>
            <w:tr w14:paraId="4AA1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135F80E9">
                  <w:pPr>
                    <w:pStyle w:val="40"/>
                    <w:spacing w:line="288" w:lineRule="auto"/>
                    <w:rPr>
                      <w:color w:val="auto"/>
                      <w:sz w:val="21"/>
                      <w:szCs w:val="21"/>
                    </w:rPr>
                  </w:pPr>
                  <w:r>
                    <w:rPr>
                      <w:rFonts w:hint="eastAsia"/>
                      <w:color w:val="auto"/>
                      <w:sz w:val="21"/>
                      <w:szCs w:val="21"/>
                    </w:rPr>
                    <w:t>5</w:t>
                  </w:r>
                </w:p>
              </w:tc>
              <w:tc>
                <w:tcPr>
                  <w:tcW w:w="2707" w:type="dxa"/>
                  <w:vAlign w:val="center"/>
                </w:tcPr>
                <w:p w14:paraId="51E12AEF">
                  <w:pPr>
                    <w:spacing w:line="288" w:lineRule="auto"/>
                    <w:jc w:val="center"/>
                    <w:rPr>
                      <w:color w:val="auto"/>
                      <w:sz w:val="21"/>
                      <w:szCs w:val="21"/>
                    </w:rPr>
                  </w:pPr>
                  <w:r>
                    <w:rPr>
                      <w:color w:val="auto"/>
                      <w:sz w:val="21"/>
                      <w:szCs w:val="21"/>
                    </w:rPr>
                    <w:t>智能数控激光焊接机</w:t>
                  </w:r>
                </w:p>
              </w:tc>
              <w:tc>
                <w:tcPr>
                  <w:tcW w:w="2427" w:type="dxa"/>
                  <w:vAlign w:val="center"/>
                </w:tcPr>
                <w:p w14:paraId="4638E6D2">
                  <w:pPr>
                    <w:spacing w:line="288" w:lineRule="auto"/>
                    <w:jc w:val="center"/>
                    <w:rPr>
                      <w:color w:val="auto"/>
                      <w:sz w:val="21"/>
                      <w:szCs w:val="21"/>
                    </w:rPr>
                  </w:pPr>
                  <w:r>
                    <w:rPr>
                      <w:color w:val="auto"/>
                      <w:sz w:val="21"/>
                      <w:szCs w:val="21"/>
                    </w:rPr>
                    <w:t>W500/W300</w:t>
                  </w:r>
                </w:p>
              </w:tc>
              <w:tc>
                <w:tcPr>
                  <w:tcW w:w="1811" w:type="dxa"/>
                  <w:tcBorders>
                    <w:right w:val="nil"/>
                  </w:tcBorders>
                  <w:vAlign w:val="center"/>
                </w:tcPr>
                <w:p w14:paraId="0FFBD185">
                  <w:pPr>
                    <w:spacing w:line="288" w:lineRule="auto"/>
                    <w:jc w:val="center"/>
                    <w:rPr>
                      <w:color w:val="auto"/>
                      <w:sz w:val="21"/>
                      <w:szCs w:val="21"/>
                    </w:rPr>
                  </w:pPr>
                  <w:r>
                    <w:rPr>
                      <w:color w:val="auto"/>
                      <w:sz w:val="21"/>
                      <w:szCs w:val="21"/>
                    </w:rPr>
                    <w:t>8</w:t>
                  </w:r>
                </w:p>
              </w:tc>
            </w:tr>
            <w:tr w14:paraId="5DDD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350C3B1B">
                  <w:pPr>
                    <w:pStyle w:val="40"/>
                    <w:spacing w:line="288" w:lineRule="auto"/>
                    <w:rPr>
                      <w:color w:val="auto"/>
                      <w:sz w:val="21"/>
                      <w:szCs w:val="21"/>
                    </w:rPr>
                  </w:pPr>
                  <w:r>
                    <w:rPr>
                      <w:rFonts w:hint="eastAsia"/>
                      <w:color w:val="auto"/>
                      <w:sz w:val="21"/>
                      <w:szCs w:val="21"/>
                    </w:rPr>
                    <w:t>6</w:t>
                  </w:r>
                </w:p>
              </w:tc>
              <w:tc>
                <w:tcPr>
                  <w:tcW w:w="2707" w:type="dxa"/>
                  <w:vAlign w:val="center"/>
                </w:tcPr>
                <w:p w14:paraId="31444CB5">
                  <w:pPr>
                    <w:spacing w:line="288" w:lineRule="auto"/>
                    <w:jc w:val="center"/>
                    <w:rPr>
                      <w:color w:val="auto"/>
                      <w:sz w:val="21"/>
                      <w:szCs w:val="21"/>
                    </w:rPr>
                  </w:pPr>
                  <w:r>
                    <w:rPr>
                      <w:rFonts w:hint="eastAsia"/>
                      <w:color w:val="auto"/>
                      <w:sz w:val="21"/>
                      <w:szCs w:val="21"/>
                    </w:rPr>
                    <w:t>热</w:t>
                  </w:r>
                  <w:r>
                    <w:rPr>
                      <w:color w:val="auto"/>
                      <w:sz w:val="21"/>
                      <w:szCs w:val="21"/>
                    </w:rPr>
                    <w:t>压机</w:t>
                  </w:r>
                </w:p>
              </w:tc>
              <w:tc>
                <w:tcPr>
                  <w:tcW w:w="2427" w:type="dxa"/>
                  <w:vAlign w:val="center"/>
                </w:tcPr>
                <w:p w14:paraId="243F83B0">
                  <w:pPr>
                    <w:spacing w:line="288" w:lineRule="auto"/>
                    <w:jc w:val="center"/>
                    <w:rPr>
                      <w:color w:val="auto"/>
                      <w:sz w:val="21"/>
                      <w:szCs w:val="21"/>
                    </w:rPr>
                  </w:pPr>
                  <w:r>
                    <w:rPr>
                      <w:color w:val="auto"/>
                      <w:sz w:val="21"/>
                      <w:szCs w:val="21"/>
                    </w:rPr>
                    <w:t>3000*2000mm</w:t>
                  </w:r>
                </w:p>
              </w:tc>
              <w:tc>
                <w:tcPr>
                  <w:tcW w:w="1811" w:type="dxa"/>
                  <w:tcBorders>
                    <w:right w:val="nil"/>
                  </w:tcBorders>
                  <w:vAlign w:val="center"/>
                </w:tcPr>
                <w:p w14:paraId="33ABB8CD">
                  <w:pPr>
                    <w:spacing w:line="288" w:lineRule="auto"/>
                    <w:jc w:val="center"/>
                    <w:rPr>
                      <w:color w:val="auto"/>
                      <w:sz w:val="21"/>
                      <w:szCs w:val="21"/>
                    </w:rPr>
                  </w:pPr>
                  <w:r>
                    <w:rPr>
                      <w:color w:val="auto"/>
                      <w:sz w:val="21"/>
                      <w:szCs w:val="21"/>
                    </w:rPr>
                    <w:t>1</w:t>
                  </w:r>
                </w:p>
              </w:tc>
            </w:tr>
            <w:tr w14:paraId="02A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1053071C">
                  <w:pPr>
                    <w:pStyle w:val="40"/>
                    <w:spacing w:line="288" w:lineRule="auto"/>
                    <w:rPr>
                      <w:color w:val="auto"/>
                      <w:sz w:val="21"/>
                      <w:szCs w:val="21"/>
                    </w:rPr>
                  </w:pPr>
                  <w:r>
                    <w:rPr>
                      <w:rFonts w:hint="eastAsia"/>
                      <w:color w:val="auto"/>
                      <w:sz w:val="21"/>
                      <w:szCs w:val="21"/>
                    </w:rPr>
                    <w:t>7</w:t>
                  </w:r>
                </w:p>
              </w:tc>
              <w:tc>
                <w:tcPr>
                  <w:tcW w:w="2707" w:type="dxa"/>
                  <w:vAlign w:val="center"/>
                </w:tcPr>
                <w:p w14:paraId="5C44869A">
                  <w:pPr>
                    <w:spacing w:line="288" w:lineRule="auto"/>
                    <w:jc w:val="center"/>
                    <w:rPr>
                      <w:bCs/>
                      <w:color w:val="auto"/>
                      <w:sz w:val="21"/>
                      <w:szCs w:val="21"/>
                    </w:rPr>
                  </w:pPr>
                  <w:r>
                    <w:rPr>
                      <w:bCs/>
                      <w:color w:val="auto"/>
                      <w:sz w:val="21"/>
                      <w:szCs w:val="21"/>
                    </w:rPr>
                    <w:t>智能数控机械臂焊接机</w:t>
                  </w:r>
                </w:p>
              </w:tc>
              <w:tc>
                <w:tcPr>
                  <w:tcW w:w="2427" w:type="dxa"/>
                  <w:vAlign w:val="center"/>
                </w:tcPr>
                <w:p w14:paraId="4BEC9C15">
                  <w:pPr>
                    <w:spacing w:line="288" w:lineRule="auto"/>
                    <w:jc w:val="center"/>
                    <w:rPr>
                      <w:bCs/>
                      <w:color w:val="auto"/>
                      <w:sz w:val="21"/>
                      <w:szCs w:val="21"/>
                    </w:rPr>
                  </w:pPr>
                  <w:r>
                    <w:rPr>
                      <w:color w:val="auto"/>
                      <w:sz w:val="21"/>
                      <w:szCs w:val="21"/>
                    </w:rPr>
                    <w:t>HRJG-MJ</w:t>
                  </w:r>
                </w:p>
              </w:tc>
              <w:tc>
                <w:tcPr>
                  <w:tcW w:w="1811" w:type="dxa"/>
                  <w:tcBorders>
                    <w:right w:val="nil"/>
                  </w:tcBorders>
                  <w:vAlign w:val="center"/>
                </w:tcPr>
                <w:p w14:paraId="4F2CBF2C">
                  <w:pPr>
                    <w:spacing w:line="288" w:lineRule="auto"/>
                    <w:jc w:val="center"/>
                    <w:rPr>
                      <w:bCs/>
                      <w:color w:val="auto"/>
                      <w:sz w:val="21"/>
                      <w:szCs w:val="21"/>
                    </w:rPr>
                  </w:pPr>
                  <w:r>
                    <w:rPr>
                      <w:bCs/>
                      <w:color w:val="auto"/>
                      <w:sz w:val="21"/>
                      <w:szCs w:val="21"/>
                    </w:rPr>
                    <w:t>1</w:t>
                  </w:r>
                </w:p>
              </w:tc>
            </w:tr>
            <w:tr w14:paraId="0AD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0B5D8F57">
                  <w:pPr>
                    <w:pStyle w:val="40"/>
                    <w:spacing w:line="288" w:lineRule="auto"/>
                    <w:rPr>
                      <w:color w:val="auto"/>
                      <w:sz w:val="21"/>
                      <w:szCs w:val="21"/>
                    </w:rPr>
                  </w:pPr>
                  <w:r>
                    <w:rPr>
                      <w:rFonts w:hint="eastAsia"/>
                      <w:color w:val="auto"/>
                      <w:sz w:val="21"/>
                      <w:szCs w:val="21"/>
                    </w:rPr>
                    <w:t>8</w:t>
                  </w:r>
                </w:p>
              </w:tc>
              <w:tc>
                <w:tcPr>
                  <w:tcW w:w="2707" w:type="dxa"/>
                  <w:vAlign w:val="center"/>
                </w:tcPr>
                <w:p w14:paraId="1F50BA47">
                  <w:pPr>
                    <w:spacing w:line="288" w:lineRule="auto"/>
                    <w:jc w:val="center"/>
                    <w:rPr>
                      <w:bCs/>
                      <w:color w:val="auto"/>
                      <w:sz w:val="21"/>
                      <w:szCs w:val="21"/>
                    </w:rPr>
                  </w:pPr>
                  <w:r>
                    <w:rPr>
                      <w:bCs/>
                      <w:color w:val="auto"/>
                      <w:sz w:val="21"/>
                      <w:szCs w:val="21"/>
                    </w:rPr>
                    <w:t>智能数控光纤激光焊接机</w:t>
                  </w:r>
                </w:p>
              </w:tc>
              <w:tc>
                <w:tcPr>
                  <w:tcW w:w="2427" w:type="dxa"/>
                  <w:vAlign w:val="center"/>
                </w:tcPr>
                <w:p w14:paraId="7706ECB4">
                  <w:pPr>
                    <w:spacing w:line="288" w:lineRule="auto"/>
                    <w:jc w:val="center"/>
                    <w:rPr>
                      <w:bCs/>
                      <w:color w:val="auto"/>
                      <w:sz w:val="21"/>
                      <w:szCs w:val="21"/>
                    </w:rPr>
                  </w:pPr>
                  <w:r>
                    <w:rPr>
                      <w:bCs/>
                      <w:color w:val="auto"/>
                      <w:sz w:val="21"/>
                      <w:szCs w:val="21"/>
                    </w:rPr>
                    <w:t>W1500</w:t>
                  </w:r>
                </w:p>
              </w:tc>
              <w:tc>
                <w:tcPr>
                  <w:tcW w:w="1811" w:type="dxa"/>
                  <w:tcBorders>
                    <w:right w:val="nil"/>
                  </w:tcBorders>
                  <w:vAlign w:val="center"/>
                </w:tcPr>
                <w:p w14:paraId="5FB3ABD0">
                  <w:pPr>
                    <w:spacing w:line="288" w:lineRule="auto"/>
                    <w:jc w:val="center"/>
                    <w:rPr>
                      <w:bCs/>
                      <w:color w:val="auto"/>
                      <w:sz w:val="21"/>
                      <w:szCs w:val="21"/>
                    </w:rPr>
                  </w:pPr>
                  <w:r>
                    <w:rPr>
                      <w:bCs/>
                      <w:color w:val="auto"/>
                      <w:sz w:val="21"/>
                      <w:szCs w:val="21"/>
                    </w:rPr>
                    <w:t>1</w:t>
                  </w:r>
                </w:p>
              </w:tc>
            </w:tr>
            <w:tr w14:paraId="2E6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6486AE4A">
                  <w:pPr>
                    <w:pStyle w:val="40"/>
                    <w:spacing w:line="288" w:lineRule="auto"/>
                    <w:rPr>
                      <w:color w:val="auto"/>
                      <w:sz w:val="21"/>
                      <w:szCs w:val="21"/>
                    </w:rPr>
                  </w:pPr>
                  <w:r>
                    <w:rPr>
                      <w:rFonts w:hint="eastAsia"/>
                      <w:color w:val="auto"/>
                      <w:sz w:val="21"/>
                      <w:szCs w:val="21"/>
                    </w:rPr>
                    <w:t>9</w:t>
                  </w:r>
                </w:p>
              </w:tc>
              <w:tc>
                <w:tcPr>
                  <w:tcW w:w="2707" w:type="dxa"/>
                  <w:vAlign w:val="center"/>
                </w:tcPr>
                <w:p w14:paraId="1DD943F2">
                  <w:pPr>
                    <w:spacing w:line="288" w:lineRule="auto"/>
                    <w:jc w:val="center"/>
                    <w:rPr>
                      <w:bCs/>
                      <w:color w:val="auto"/>
                      <w:sz w:val="21"/>
                      <w:szCs w:val="21"/>
                    </w:rPr>
                  </w:pPr>
                  <w:r>
                    <w:rPr>
                      <w:bCs/>
                      <w:color w:val="auto"/>
                      <w:sz w:val="21"/>
                      <w:szCs w:val="21"/>
                    </w:rPr>
                    <w:t>氩弧焊机</w:t>
                  </w:r>
                </w:p>
              </w:tc>
              <w:tc>
                <w:tcPr>
                  <w:tcW w:w="2427" w:type="dxa"/>
                  <w:vAlign w:val="center"/>
                </w:tcPr>
                <w:p w14:paraId="33106671">
                  <w:pPr>
                    <w:spacing w:line="288" w:lineRule="auto"/>
                    <w:jc w:val="center"/>
                    <w:rPr>
                      <w:bCs/>
                      <w:color w:val="auto"/>
                      <w:sz w:val="21"/>
                      <w:szCs w:val="21"/>
                    </w:rPr>
                  </w:pPr>
                  <w:r>
                    <w:rPr>
                      <w:bCs/>
                      <w:color w:val="auto"/>
                      <w:sz w:val="21"/>
                      <w:szCs w:val="21"/>
                    </w:rPr>
                    <w:t>NB-250E</w:t>
                  </w:r>
                </w:p>
              </w:tc>
              <w:tc>
                <w:tcPr>
                  <w:tcW w:w="1811" w:type="dxa"/>
                  <w:tcBorders>
                    <w:right w:val="nil"/>
                  </w:tcBorders>
                  <w:vAlign w:val="center"/>
                </w:tcPr>
                <w:p w14:paraId="1736DA7D">
                  <w:pPr>
                    <w:spacing w:line="288" w:lineRule="auto"/>
                    <w:jc w:val="center"/>
                    <w:rPr>
                      <w:bCs/>
                      <w:color w:val="auto"/>
                      <w:sz w:val="21"/>
                      <w:szCs w:val="21"/>
                    </w:rPr>
                  </w:pPr>
                  <w:r>
                    <w:rPr>
                      <w:bCs/>
                      <w:color w:val="auto"/>
                      <w:sz w:val="21"/>
                      <w:szCs w:val="21"/>
                    </w:rPr>
                    <w:t>2</w:t>
                  </w:r>
                </w:p>
              </w:tc>
            </w:tr>
            <w:tr w14:paraId="6A91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01D974A5">
                  <w:pPr>
                    <w:pStyle w:val="40"/>
                    <w:spacing w:line="288" w:lineRule="auto"/>
                    <w:rPr>
                      <w:color w:val="auto"/>
                      <w:sz w:val="21"/>
                      <w:szCs w:val="21"/>
                    </w:rPr>
                  </w:pPr>
                  <w:r>
                    <w:rPr>
                      <w:rFonts w:hint="eastAsia"/>
                      <w:color w:val="auto"/>
                      <w:sz w:val="21"/>
                      <w:szCs w:val="21"/>
                    </w:rPr>
                    <w:t>10</w:t>
                  </w:r>
                </w:p>
              </w:tc>
              <w:tc>
                <w:tcPr>
                  <w:tcW w:w="2707" w:type="dxa"/>
                  <w:vAlign w:val="center"/>
                </w:tcPr>
                <w:p w14:paraId="0E5C97CA">
                  <w:pPr>
                    <w:spacing w:line="288" w:lineRule="auto"/>
                    <w:jc w:val="center"/>
                    <w:rPr>
                      <w:bCs/>
                      <w:color w:val="auto"/>
                      <w:sz w:val="21"/>
                      <w:szCs w:val="21"/>
                    </w:rPr>
                  </w:pPr>
                  <w:r>
                    <w:rPr>
                      <w:color w:val="auto"/>
                      <w:sz w:val="21"/>
                      <w:szCs w:val="21"/>
                    </w:rPr>
                    <w:t>UV机</w:t>
                  </w:r>
                </w:p>
              </w:tc>
              <w:tc>
                <w:tcPr>
                  <w:tcW w:w="2427" w:type="dxa"/>
                  <w:vAlign w:val="center"/>
                </w:tcPr>
                <w:p w14:paraId="1137DC8E">
                  <w:pPr>
                    <w:spacing w:line="288" w:lineRule="auto"/>
                    <w:jc w:val="center"/>
                    <w:rPr>
                      <w:bCs/>
                      <w:color w:val="auto"/>
                      <w:sz w:val="21"/>
                      <w:szCs w:val="21"/>
                    </w:rPr>
                  </w:pPr>
                  <w:r>
                    <w:rPr>
                      <w:bCs/>
                      <w:color w:val="auto"/>
                      <w:sz w:val="21"/>
                      <w:szCs w:val="21"/>
                    </w:rPr>
                    <w:t>HT2512UV</w:t>
                  </w:r>
                </w:p>
              </w:tc>
              <w:tc>
                <w:tcPr>
                  <w:tcW w:w="1811" w:type="dxa"/>
                  <w:tcBorders>
                    <w:right w:val="nil"/>
                  </w:tcBorders>
                  <w:vAlign w:val="center"/>
                </w:tcPr>
                <w:p w14:paraId="2714F899">
                  <w:pPr>
                    <w:spacing w:line="288" w:lineRule="auto"/>
                    <w:jc w:val="center"/>
                    <w:rPr>
                      <w:bCs/>
                      <w:color w:val="auto"/>
                      <w:sz w:val="21"/>
                      <w:szCs w:val="21"/>
                    </w:rPr>
                  </w:pPr>
                  <w:r>
                    <w:rPr>
                      <w:bCs/>
                      <w:color w:val="auto"/>
                      <w:sz w:val="21"/>
                      <w:szCs w:val="21"/>
                    </w:rPr>
                    <w:t>2</w:t>
                  </w:r>
                </w:p>
              </w:tc>
            </w:tr>
            <w:tr w14:paraId="216F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752192D9">
                  <w:pPr>
                    <w:pStyle w:val="40"/>
                    <w:spacing w:line="288" w:lineRule="auto"/>
                    <w:rPr>
                      <w:color w:val="auto"/>
                      <w:sz w:val="21"/>
                      <w:szCs w:val="21"/>
                    </w:rPr>
                  </w:pPr>
                  <w:r>
                    <w:rPr>
                      <w:rFonts w:hint="eastAsia"/>
                      <w:color w:val="auto"/>
                      <w:sz w:val="21"/>
                      <w:szCs w:val="21"/>
                    </w:rPr>
                    <w:t>11</w:t>
                  </w:r>
                </w:p>
              </w:tc>
              <w:tc>
                <w:tcPr>
                  <w:tcW w:w="2707" w:type="dxa"/>
                  <w:vAlign w:val="center"/>
                </w:tcPr>
                <w:p w14:paraId="240B8E5D">
                  <w:pPr>
                    <w:spacing w:line="288" w:lineRule="auto"/>
                    <w:jc w:val="center"/>
                    <w:rPr>
                      <w:bCs/>
                      <w:color w:val="auto"/>
                      <w:sz w:val="21"/>
                      <w:szCs w:val="21"/>
                    </w:rPr>
                  </w:pPr>
                  <w:r>
                    <w:rPr>
                      <w:bCs/>
                      <w:color w:val="auto"/>
                      <w:sz w:val="21"/>
                      <w:szCs w:val="21"/>
                    </w:rPr>
                    <w:t>亚克力折弯机</w:t>
                  </w:r>
                </w:p>
              </w:tc>
              <w:tc>
                <w:tcPr>
                  <w:tcW w:w="2427" w:type="dxa"/>
                  <w:vAlign w:val="center"/>
                </w:tcPr>
                <w:p w14:paraId="6A613F41">
                  <w:pPr>
                    <w:spacing w:line="288" w:lineRule="auto"/>
                    <w:jc w:val="center"/>
                    <w:rPr>
                      <w:bCs/>
                      <w:color w:val="auto"/>
                      <w:sz w:val="21"/>
                      <w:szCs w:val="21"/>
                    </w:rPr>
                  </w:pPr>
                  <w:r>
                    <w:rPr>
                      <w:bCs/>
                      <w:color w:val="auto"/>
                      <w:sz w:val="21"/>
                      <w:szCs w:val="21"/>
                    </w:rPr>
                    <w:t>ABM700/1300</w:t>
                  </w:r>
                </w:p>
              </w:tc>
              <w:tc>
                <w:tcPr>
                  <w:tcW w:w="1811" w:type="dxa"/>
                  <w:tcBorders>
                    <w:right w:val="nil"/>
                  </w:tcBorders>
                  <w:vAlign w:val="center"/>
                </w:tcPr>
                <w:p w14:paraId="2FC486AB">
                  <w:pPr>
                    <w:spacing w:line="288" w:lineRule="auto"/>
                    <w:jc w:val="center"/>
                    <w:rPr>
                      <w:bCs/>
                      <w:color w:val="auto"/>
                      <w:sz w:val="21"/>
                      <w:szCs w:val="21"/>
                    </w:rPr>
                  </w:pPr>
                  <w:r>
                    <w:rPr>
                      <w:bCs/>
                      <w:color w:val="auto"/>
                      <w:sz w:val="21"/>
                      <w:szCs w:val="21"/>
                    </w:rPr>
                    <w:t>1</w:t>
                  </w:r>
                </w:p>
              </w:tc>
            </w:tr>
            <w:tr w14:paraId="65FB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3CE1C221">
                  <w:pPr>
                    <w:pStyle w:val="40"/>
                    <w:spacing w:line="288" w:lineRule="auto"/>
                    <w:rPr>
                      <w:color w:val="auto"/>
                      <w:sz w:val="21"/>
                      <w:szCs w:val="21"/>
                    </w:rPr>
                  </w:pPr>
                  <w:r>
                    <w:rPr>
                      <w:rFonts w:hint="eastAsia"/>
                      <w:color w:val="auto"/>
                      <w:sz w:val="21"/>
                      <w:szCs w:val="21"/>
                    </w:rPr>
                    <w:t>12</w:t>
                  </w:r>
                </w:p>
              </w:tc>
              <w:tc>
                <w:tcPr>
                  <w:tcW w:w="2707" w:type="dxa"/>
                  <w:vAlign w:val="center"/>
                </w:tcPr>
                <w:p w14:paraId="3BE150EB">
                  <w:pPr>
                    <w:spacing w:line="288" w:lineRule="auto"/>
                    <w:jc w:val="center"/>
                    <w:rPr>
                      <w:bCs/>
                      <w:color w:val="auto"/>
                      <w:sz w:val="21"/>
                      <w:szCs w:val="21"/>
                    </w:rPr>
                  </w:pPr>
                  <w:r>
                    <w:rPr>
                      <w:bCs/>
                      <w:color w:val="auto"/>
                      <w:sz w:val="21"/>
                      <w:szCs w:val="21"/>
                    </w:rPr>
                    <w:t>打磨设备</w:t>
                  </w:r>
                </w:p>
              </w:tc>
              <w:tc>
                <w:tcPr>
                  <w:tcW w:w="2427" w:type="dxa"/>
                  <w:vAlign w:val="center"/>
                </w:tcPr>
                <w:p w14:paraId="4DEA148C">
                  <w:pPr>
                    <w:spacing w:line="288" w:lineRule="auto"/>
                    <w:jc w:val="center"/>
                    <w:rPr>
                      <w:bCs/>
                      <w:color w:val="auto"/>
                      <w:sz w:val="21"/>
                      <w:szCs w:val="21"/>
                    </w:rPr>
                  </w:pPr>
                  <w:r>
                    <w:rPr>
                      <w:bCs/>
                      <w:color w:val="auto"/>
                      <w:sz w:val="21"/>
                      <w:szCs w:val="21"/>
                    </w:rPr>
                    <w:t>DSM820-100B</w:t>
                  </w:r>
                </w:p>
              </w:tc>
              <w:tc>
                <w:tcPr>
                  <w:tcW w:w="1811" w:type="dxa"/>
                  <w:tcBorders>
                    <w:right w:val="nil"/>
                  </w:tcBorders>
                  <w:vAlign w:val="center"/>
                </w:tcPr>
                <w:p w14:paraId="28231C26">
                  <w:pPr>
                    <w:spacing w:line="288" w:lineRule="auto"/>
                    <w:jc w:val="center"/>
                    <w:rPr>
                      <w:bCs/>
                      <w:color w:val="auto"/>
                      <w:sz w:val="21"/>
                      <w:szCs w:val="21"/>
                    </w:rPr>
                  </w:pPr>
                  <w:r>
                    <w:rPr>
                      <w:bCs/>
                      <w:color w:val="auto"/>
                      <w:sz w:val="21"/>
                      <w:szCs w:val="21"/>
                    </w:rPr>
                    <w:t>1</w:t>
                  </w:r>
                </w:p>
              </w:tc>
            </w:tr>
            <w:tr w14:paraId="0E98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7FD31F62">
                  <w:pPr>
                    <w:pStyle w:val="40"/>
                    <w:spacing w:line="288" w:lineRule="auto"/>
                    <w:rPr>
                      <w:color w:val="auto"/>
                      <w:sz w:val="21"/>
                      <w:szCs w:val="21"/>
                    </w:rPr>
                  </w:pPr>
                  <w:r>
                    <w:rPr>
                      <w:rFonts w:hint="eastAsia"/>
                      <w:color w:val="auto"/>
                      <w:sz w:val="21"/>
                      <w:szCs w:val="21"/>
                    </w:rPr>
                    <w:t>13</w:t>
                  </w:r>
                </w:p>
              </w:tc>
              <w:tc>
                <w:tcPr>
                  <w:tcW w:w="2707" w:type="dxa"/>
                  <w:vAlign w:val="center"/>
                </w:tcPr>
                <w:p w14:paraId="6167F86C">
                  <w:pPr>
                    <w:spacing w:line="288" w:lineRule="auto"/>
                    <w:jc w:val="center"/>
                    <w:rPr>
                      <w:color w:val="auto"/>
                      <w:sz w:val="21"/>
                      <w:szCs w:val="21"/>
                    </w:rPr>
                  </w:pPr>
                  <w:r>
                    <w:rPr>
                      <w:color w:val="auto"/>
                      <w:sz w:val="21"/>
                      <w:szCs w:val="21"/>
                    </w:rPr>
                    <w:t>空压机</w:t>
                  </w:r>
                </w:p>
              </w:tc>
              <w:tc>
                <w:tcPr>
                  <w:tcW w:w="2427" w:type="dxa"/>
                  <w:vAlign w:val="center"/>
                </w:tcPr>
                <w:p w14:paraId="6CB230F5">
                  <w:pPr>
                    <w:spacing w:line="288" w:lineRule="auto"/>
                    <w:jc w:val="center"/>
                    <w:rPr>
                      <w:color w:val="auto"/>
                      <w:sz w:val="21"/>
                      <w:szCs w:val="21"/>
                    </w:rPr>
                  </w:pPr>
                  <w:r>
                    <w:rPr>
                      <w:color w:val="auto"/>
                      <w:sz w:val="21"/>
                      <w:szCs w:val="21"/>
                    </w:rPr>
                    <w:t>15000-2</w:t>
                  </w:r>
                </w:p>
              </w:tc>
              <w:tc>
                <w:tcPr>
                  <w:tcW w:w="1811" w:type="dxa"/>
                  <w:tcBorders>
                    <w:right w:val="nil"/>
                  </w:tcBorders>
                  <w:vAlign w:val="center"/>
                </w:tcPr>
                <w:p w14:paraId="0B0D0C29">
                  <w:pPr>
                    <w:spacing w:line="288" w:lineRule="auto"/>
                    <w:jc w:val="center"/>
                    <w:rPr>
                      <w:color w:val="auto"/>
                      <w:sz w:val="21"/>
                      <w:szCs w:val="21"/>
                    </w:rPr>
                  </w:pPr>
                  <w:r>
                    <w:rPr>
                      <w:color w:val="auto"/>
                      <w:sz w:val="21"/>
                      <w:szCs w:val="21"/>
                    </w:rPr>
                    <w:t>3</w:t>
                  </w:r>
                </w:p>
              </w:tc>
            </w:tr>
            <w:tr w14:paraId="0CC1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015FE3B4">
                  <w:pPr>
                    <w:pStyle w:val="40"/>
                    <w:spacing w:line="288" w:lineRule="auto"/>
                    <w:rPr>
                      <w:color w:val="auto"/>
                      <w:sz w:val="21"/>
                      <w:szCs w:val="21"/>
                    </w:rPr>
                  </w:pPr>
                  <w:r>
                    <w:rPr>
                      <w:rFonts w:hint="eastAsia"/>
                      <w:color w:val="auto"/>
                      <w:sz w:val="21"/>
                      <w:szCs w:val="21"/>
                    </w:rPr>
                    <w:t>14</w:t>
                  </w:r>
                </w:p>
              </w:tc>
              <w:tc>
                <w:tcPr>
                  <w:tcW w:w="2707" w:type="dxa"/>
                  <w:vAlign w:val="center"/>
                </w:tcPr>
                <w:p w14:paraId="56AF2238">
                  <w:pPr>
                    <w:spacing w:line="288" w:lineRule="auto"/>
                    <w:jc w:val="center"/>
                    <w:rPr>
                      <w:color w:val="auto"/>
                      <w:sz w:val="21"/>
                      <w:szCs w:val="21"/>
                    </w:rPr>
                  </w:pPr>
                  <w:r>
                    <w:rPr>
                      <w:color w:val="auto"/>
                      <w:sz w:val="21"/>
                      <w:szCs w:val="21"/>
                    </w:rPr>
                    <w:t>工作台</w:t>
                  </w:r>
                </w:p>
              </w:tc>
              <w:tc>
                <w:tcPr>
                  <w:tcW w:w="2427" w:type="dxa"/>
                  <w:vAlign w:val="center"/>
                </w:tcPr>
                <w:p w14:paraId="17C0902B">
                  <w:pPr>
                    <w:spacing w:line="288" w:lineRule="auto"/>
                    <w:jc w:val="center"/>
                    <w:rPr>
                      <w:color w:val="auto"/>
                      <w:sz w:val="21"/>
                      <w:szCs w:val="21"/>
                    </w:rPr>
                  </w:pPr>
                  <w:r>
                    <w:rPr>
                      <w:color w:val="auto"/>
                      <w:sz w:val="21"/>
                      <w:szCs w:val="21"/>
                    </w:rPr>
                    <w:t>2400*1200mm</w:t>
                  </w:r>
                </w:p>
              </w:tc>
              <w:tc>
                <w:tcPr>
                  <w:tcW w:w="1811" w:type="dxa"/>
                  <w:tcBorders>
                    <w:right w:val="nil"/>
                  </w:tcBorders>
                  <w:vAlign w:val="center"/>
                </w:tcPr>
                <w:p w14:paraId="51678E0C">
                  <w:pPr>
                    <w:spacing w:line="288" w:lineRule="auto"/>
                    <w:jc w:val="center"/>
                    <w:rPr>
                      <w:color w:val="auto"/>
                      <w:sz w:val="21"/>
                      <w:szCs w:val="21"/>
                    </w:rPr>
                  </w:pPr>
                  <w:r>
                    <w:rPr>
                      <w:color w:val="auto"/>
                      <w:sz w:val="21"/>
                      <w:szCs w:val="21"/>
                    </w:rPr>
                    <w:t>20</w:t>
                  </w:r>
                </w:p>
              </w:tc>
            </w:tr>
            <w:tr w14:paraId="7853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6DC1B017">
                  <w:pPr>
                    <w:pStyle w:val="40"/>
                    <w:spacing w:line="288" w:lineRule="auto"/>
                    <w:rPr>
                      <w:color w:val="auto"/>
                      <w:sz w:val="21"/>
                      <w:szCs w:val="21"/>
                    </w:rPr>
                  </w:pPr>
                  <w:r>
                    <w:rPr>
                      <w:rFonts w:hint="eastAsia"/>
                      <w:color w:val="auto"/>
                      <w:sz w:val="21"/>
                      <w:szCs w:val="21"/>
                    </w:rPr>
                    <w:t>15</w:t>
                  </w:r>
                </w:p>
              </w:tc>
              <w:tc>
                <w:tcPr>
                  <w:tcW w:w="2707" w:type="dxa"/>
                  <w:vAlign w:val="center"/>
                </w:tcPr>
                <w:p w14:paraId="3A8D609C">
                  <w:pPr>
                    <w:spacing w:line="288" w:lineRule="auto"/>
                    <w:jc w:val="center"/>
                    <w:rPr>
                      <w:color w:val="auto"/>
                      <w:sz w:val="21"/>
                      <w:szCs w:val="21"/>
                    </w:rPr>
                  </w:pPr>
                  <w:r>
                    <w:rPr>
                      <w:color w:val="auto"/>
                      <w:sz w:val="21"/>
                      <w:szCs w:val="21"/>
                    </w:rPr>
                    <w:t>电脑</w:t>
                  </w:r>
                </w:p>
              </w:tc>
              <w:tc>
                <w:tcPr>
                  <w:tcW w:w="2427" w:type="dxa"/>
                  <w:vAlign w:val="center"/>
                </w:tcPr>
                <w:p w14:paraId="5CC01D0F">
                  <w:pPr>
                    <w:spacing w:line="288" w:lineRule="auto"/>
                    <w:jc w:val="center"/>
                    <w:rPr>
                      <w:color w:val="auto"/>
                      <w:sz w:val="21"/>
                      <w:szCs w:val="21"/>
                    </w:rPr>
                  </w:pPr>
                  <w:r>
                    <w:rPr>
                      <w:color w:val="auto"/>
                      <w:sz w:val="21"/>
                      <w:szCs w:val="21"/>
                    </w:rPr>
                    <w:t>/</w:t>
                  </w:r>
                </w:p>
              </w:tc>
              <w:tc>
                <w:tcPr>
                  <w:tcW w:w="1811" w:type="dxa"/>
                  <w:tcBorders>
                    <w:right w:val="nil"/>
                  </w:tcBorders>
                  <w:vAlign w:val="center"/>
                </w:tcPr>
                <w:p w14:paraId="5127A0DD">
                  <w:pPr>
                    <w:spacing w:line="288" w:lineRule="auto"/>
                    <w:jc w:val="center"/>
                    <w:rPr>
                      <w:color w:val="auto"/>
                      <w:sz w:val="21"/>
                      <w:szCs w:val="21"/>
                    </w:rPr>
                  </w:pPr>
                  <w:r>
                    <w:rPr>
                      <w:color w:val="auto"/>
                      <w:sz w:val="21"/>
                      <w:szCs w:val="21"/>
                    </w:rPr>
                    <w:t>50</w:t>
                  </w:r>
                </w:p>
              </w:tc>
            </w:tr>
            <w:tr w14:paraId="790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28BFBF0E">
                  <w:pPr>
                    <w:pStyle w:val="40"/>
                    <w:spacing w:line="288" w:lineRule="auto"/>
                    <w:rPr>
                      <w:color w:val="auto"/>
                      <w:sz w:val="21"/>
                      <w:szCs w:val="21"/>
                    </w:rPr>
                  </w:pPr>
                  <w:r>
                    <w:rPr>
                      <w:rFonts w:hint="eastAsia"/>
                      <w:color w:val="auto"/>
                      <w:sz w:val="21"/>
                      <w:szCs w:val="21"/>
                    </w:rPr>
                    <w:t>16</w:t>
                  </w:r>
                </w:p>
              </w:tc>
              <w:tc>
                <w:tcPr>
                  <w:tcW w:w="2707" w:type="dxa"/>
                  <w:vAlign w:val="center"/>
                </w:tcPr>
                <w:p w14:paraId="5F114357">
                  <w:pPr>
                    <w:spacing w:line="288" w:lineRule="auto"/>
                    <w:jc w:val="center"/>
                    <w:rPr>
                      <w:color w:val="auto"/>
                      <w:sz w:val="21"/>
                      <w:szCs w:val="21"/>
                    </w:rPr>
                  </w:pPr>
                  <w:r>
                    <w:rPr>
                      <w:color w:val="auto"/>
                      <w:sz w:val="21"/>
                      <w:szCs w:val="21"/>
                    </w:rPr>
                    <w:t>喷漆房</w:t>
                  </w:r>
                </w:p>
              </w:tc>
              <w:tc>
                <w:tcPr>
                  <w:tcW w:w="2427" w:type="dxa"/>
                  <w:vAlign w:val="center"/>
                </w:tcPr>
                <w:p w14:paraId="345156D8">
                  <w:pPr>
                    <w:spacing w:line="288" w:lineRule="auto"/>
                    <w:jc w:val="center"/>
                    <w:rPr>
                      <w:color w:val="auto"/>
                      <w:sz w:val="21"/>
                      <w:szCs w:val="21"/>
                    </w:rPr>
                  </w:pPr>
                  <w:r>
                    <w:rPr>
                      <w:color w:val="auto"/>
                      <w:sz w:val="21"/>
                      <w:szCs w:val="21"/>
                    </w:rPr>
                    <w:t>12000*8000mm</w:t>
                  </w:r>
                </w:p>
              </w:tc>
              <w:tc>
                <w:tcPr>
                  <w:tcW w:w="1811" w:type="dxa"/>
                  <w:tcBorders>
                    <w:right w:val="nil"/>
                  </w:tcBorders>
                  <w:vAlign w:val="center"/>
                </w:tcPr>
                <w:p w14:paraId="2F7D6813">
                  <w:pPr>
                    <w:spacing w:line="288" w:lineRule="auto"/>
                    <w:jc w:val="center"/>
                    <w:rPr>
                      <w:color w:val="auto"/>
                      <w:sz w:val="21"/>
                      <w:szCs w:val="21"/>
                    </w:rPr>
                  </w:pPr>
                  <w:r>
                    <w:rPr>
                      <w:color w:val="auto"/>
                      <w:sz w:val="21"/>
                      <w:szCs w:val="21"/>
                    </w:rPr>
                    <w:t>1</w:t>
                  </w:r>
                </w:p>
              </w:tc>
            </w:tr>
            <w:tr w14:paraId="7FA5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6191D019">
                  <w:pPr>
                    <w:pStyle w:val="40"/>
                    <w:spacing w:line="288" w:lineRule="auto"/>
                    <w:rPr>
                      <w:rFonts w:hint="default" w:eastAsia="宋体"/>
                      <w:color w:val="auto"/>
                      <w:sz w:val="21"/>
                      <w:szCs w:val="21"/>
                      <w:lang w:val="en-US" w:eastAsia="zh-CN"/>
                    </w:rPr>
                  </w:pPr>
                  <w:r>
                    <w:rPr>
                      <w:rFonts w:hint="eastAsia"/>
                      <w:color w:val="auto"/>
                      <w:sz w:val="21"/>
                      <w:szCs w:val="21"/>
                      <w:lang w:val="en-US" w:eastAsia="zh-CN"/>
                    </w:rPr>
                    <w:t>18</w:t>
                  </w:r>
                </w:p>
              </w:tc>
              <w:tc>
                <w:tcPr>
                  <w:tcW w:w="2707" w:type="dxa"/>
                  <w:vAlign w:val="center"/>
                </w:tcPr>
                <w:p w14:paraId="25B88DAA">
                  <w:pPr>
                    <w:spacing w:line="288" w:lineRule="auto"/>
                    <w:jc w:val="center"/>
                    <w:rPr>
                      <w:rFonts w:hint="eastAsia" w:eastAsia="宋体"/>
                      <w:color w:val="auto"/>
                      <w:sz w:val="21"/>
                      <w:szCs w:val="21"/>
                      <w:lang w:val="en-US" w:eastAsia="zh-CN"/>
                    </w:rPr>
                  </w:pPr>
                  <w:r>
                    <w:rPr>
                      <w:rFonts w:hint="eastAsia"/>
                      <w:color w:val="auto"/>
                      <w:sz w:val="21"/>
                      <w:szCs w:val="21"/>
                      <w:lang w:val="en-US" w:eastAsia="zh-CN"/>
                    </w:rPr>
                    <w:t>烤漆房</w:t>
                  </w:r>
                </w:p>
              </w:tc>
              <w:tc>
                <w:tcPr>
                  <w:tcW w:w="2427" w:type="dxa"/>
                  <w:vAlign w:val="center"/>
                </w:tcPr>
                <w:p w14:paraId="71789D04">
                  <w:pPr>
                    <w:spacing w:line="288" w:lineRule="auto"/>
                    <w:jc w:val="center"/>
                    <w:rPr>
                      <w:rFonts w:hint="default" w:eastAsia="宋体"/>
                      <w:color w:val="auto"/>
                      <w:sz w:val="21"/>
                      <w:szCs w:val="21"/>
                      <w:lang w:val="en-US" w:eastAsia="zh-CN"/>
                    </w:rPr>
                  </w:pPr>
                  <w:r>
                    <w:rPr>
                      <w:rFonts w:hint="eastAsia"/>
                      <w:color w:val="auto"/>
                      <w:sz w:val="21"/>
                      <w:szCs w:val="21"/>
                      <w:lang w:val="en-US" w:eastAsia="zh-CN"/>
                    </w:rPr>
                    <w:t>2500*7000*2200mm</w:t>
                  </w:r>
                </w:p>
              </w:tc>
              <w:tc>
                <w:tcPr>
                  <w:tcW w:w="1811" w:type="dxa"/>
                  <w:tcBorders>
                    <w:right w:val="nil"/>
                  </w:tcBorders>
                  <w:vAlign w:val="center"/>
                </w:tcPr>
                <w:p w14:paraId="0F141366">
                  <w:pPr>
                    <w:spacing w:line="288" w:lineRule="auto"/>
                    <w:jc w:val="center"/>
                    <w:rPr>
                      <w:rFonts w:hint="eastAsia" w:eastAsia="宋体"/>
                      <w:color w:val="auto"/>
                      <w:sz w:val="21"/>
                      <w:szCs w:val="21"/>
                      <w:lang w:val="en-US" w:eastAsia="zh-CN"/>
                    </w:rPr>
                  </w:pPr>
                  <w:r>
                    <w:rPr>
                      <w:rFonts w:hint="eastAsia"/>
                      <w:color w:val="auto"/>
                      <w:sz w:val="21"/>
                      <w:szCs w:val="21"/>
                      <w:lang w:val="en-US" w:eastAsia="zh-CN"/>
                    </w:rPr>
                    <w:t>1</w:t>
                  </w:r>
                </w:p>
              </w:tc>
            </w:tr>
            <w:tr w14:paraId="5424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tcBorders>
                  <w:vAlign w:val="center"/>
                </w:tcPr>
                <w:p w14:paraId="375D2CAD">
                  <w:pPr>
                    <w:pStyle w:val="40"/>
                    <w:spacing w:line="288" w:lineRule="auto"/>
                    <w:rPr>
                      <w:color w:val="auto"/>
                      <w:sz w:val="21"/>
                      <w:szCs w:val="21"/>
                    </w:rPr>
                  </w:pPr>
                  <w:r>
                    <w:rPr>
                      <w:rFonts w:hint="eastAsia"/>
                      <w:color w:val="auto"/>
                      <w:sz w:val="21"/>
                      <w:szCs w:val="21"/>
                    </w:rPr>
                    <w:t>17</w:t>
                  </w:r>
                </w:p>
              </w:tc>
              <w:tc>
                <w:tcPr>
                  <w:tcW w:w="2707" w:type="dxa"/>
                  <w:vAlign w:val="center"/>
                </w:tcPr>
                <w:p w14:paraId="0C87BCB2">
                  <w:pPr>
                    <w:spacing w:line="288" w:lineRule="auto"/>
                    <w:jc w:val="center"/>
                    <w:rPr>
                      <w:color w:val="auto"/>
                      <w:sz w:val="21"/>
                      <w:szCs w:val="21"/>
                    </w:rPr>
                  </w:pPr>
                  <w:r>
                    <w:rPr>
                      <w:color w:val="auto"/>
                      <w:sz w:val="21"/>
                      <w:szCs w:val="21"/>
                    </w:rPr>
                    <w:t>打包机</w:t>
                  </w:r>
                </w:p>
              </w:tc>
              <w:tc>
                <w:tcPr>
                  <w:tcW w:w="2427" w:type="dxa"/>
                  <w:vAlign w:val="center"/>
                </w:tcPr>
                <w:p w14:paraId="4E5EB5F4">
                  <w:pPr>
                    <w:spacing w:line="288" w:lineRule="auto"/>
                    <w:jc w:val="center"/>
                    <w:rPr>
                      <w:color w:val="auto"/>
                      <w:sz w:val="21"/>
                      <w:szCs w:val="21"/>
                    </w:rPr>
                  </w:pPr>
                  <w:r>
                    <w:rPr>
                      <w:color w:val="auto"/>
                      <w:sz w:val="21"/>
                      <w:szCs w:val="21"/>
                    </w:rPr>
                    <w:t>800*1200</w:t>
                  </w:r>
                </w:p>
              </w:tc>
              <w:tc>
                <w:tcPr>
                  <w:tcW w:w="1811" w:type="dxa"/>
                  <w:tcBorders>
                    <w:right w:val="nil"/>
                  </w:tcBorders>
                  <w:vAlign w:val="center"/>
                </w:tcPr>
                <w:p w14:paraId="227741CF">
                  <w:pPr>
                    <w:spacing w:line="288" w:lineRule="auto"/>
                    <w:jc w:val="center"/>
                    <w:rPr>
                      <w:color w:val="auto"/>
                      <w:sz w:val="21"/>
                      <w:szCs w:val="21"/>
                    </w:rPr>
                  </w:pPr>
                  <w:r>
                    <w:rPr>
                      <w:color w:val="auto"/>
                      <w:sz w:val="21"/>
                      <w:szCs w:val="21"/>
                    </w:rPr>
                    <w:t>2</w:t>
                  </w:r>
                </w:p>
              </w:tc>
            </w:tr>
            <w:tr w14:paraId="3DD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9" w:type="dxa"/>
                  <w:tcBorders>
                    <w:left w:val="nil"/>
                    <w:bottom w:val="single" w:color="auto" w:sz="12" w:space="0"/>
                  </w:tcBorders>
                  <w:vAlign w:val="center"/>
                </w:tcPr>
                <w:p w14:paraId="163BC2DE">
                  <w:pPr>
                    <w:pStyle w:val="40"/>
                    <w:spacing w:line="288" w:lineRule="auto"/>
                    <w:rPr>
                      <w:color w:val="auto"/>
                      <w:sz w:val="21"/>
                      <w:szCs w:val="21"/>
                    </w:rPr>
                  </w:pPr>
                  <w:r>
                    <w:rPr>
                      <w:rFonts w:hint="eastAsia"/>
                      <w:color w:val="auto"/>
                      <w:sz w:val="21"/>
                      <w:szCs w:val="21"/>
                    </w:rPr>
                    <w:t>18</w:t>
                  </w:r>
                </w:p>
              </w:tc>
              <w:tc>
                <w:tcPr>
                  <w:tcW w:w="2707" w:type="dxa"/>
                  <w:tcBorders>
                    <w:bottom w:val="single" w:color="auto" w:sz="12" w:space="0"/>
                  </w:tcBorders>
                  <w:vAlign w:val="center"/>
                </w:tcPr>
                <w:p w14:paraId="0DAF896E">
                  <w:pPr>
                    <w:spacing w:line="288" w:lineRule="auto"/>
                    <w:jc w:val="center"/>
                    <w:rPr>
                      <w:color w:val="auto"/>
                      <w:sz w:val="21"/>
                      <w:szCs w:val="21"/>
                    </w:rPr>
                  </w:pPr>
                  <w:r>
                    <w:rPr>
                      <w:color w:val="auto"/>
                      <w:sz w:val="21"/>
                      <w:szCs w:val="21"/>
                    </w:rPr>
                    <w:t>铝材/钢材切割机</w:t>
                  </w:r>
                </w:p>
              </w:tc>
              <w:tc>
                <w:tcPr>
                  <w:tcW w:w="2427" w:type="dxa"/>
                  <w:tcBorders>
                    <w:bottom w:val="single" w:color="auto" w:sz="12" w:space="0"/>
                  </w:tcBorders>
                  <w:vAlign w:val="center"/>
                </w:tcPr>
                <w:p w14:paraId="2237FF14">
                  <w:pPr>
                    <w:spacing w:line="288" w:lineRule="auto"/>
                    <w:jc w:val="center"/>
                    <w:rPr>
                      <w:color w:val="auto"/>
                      <w:sz w:val="21"/>
                      <w:szCs w:val="21"/>
                    </w:rPr>
                  </w:pPr>
                  <w:r>
                    <w:rPr>
                      <w:color w:val="auto"/>
                      <w:sz w:val="21"/>
                      <w:szCs w:val="21"/>
                    </w:rPr>
                    <w:t>6000*60</w:t>
                  </w:r>
                </w:p>
              </w:tc>
              <w:tc>
                <w:tcPr>
                  <w:tcW w:w="1811" w:type="dxa"/>
                  <w:tcBorders>
                    <w:bottom w:val="single" w:color="auto" w:sz="12" w:space="0"/>
                    <w:right w:val="nil"/>
                  </w:tcBorders>
                  <w:vAlign w:val="center"/>
                </w:tcPr>
                <w:p w14:paraId="59416BFE">
                  <w:pPr>
                    <w:spacing w:line="288" w:lineRule="auto"/>
                    <w:jc w:val="center"/>
                    <w:rPr>
                      <w:color w:val="auto"/>
                      <w:sz w:val="21"/>
                      <w:szCs w:val="21"/>
                    </w:rPr>
                  </w:pPr>
                  <w:r>
                    <w:rPr>
                      <w:color w:val="auto"/>
                      <w:sz w:val="21"/>
                      <w:szCs w:val="21"/>
                    </w:rPr>
                    <w:t>2</w:t>
                  </w:r>
                </w:p>
              </w:tc>
            </w:tr>
          </w:tbl>
          <w:p w14:paraId="44E0FE95">
            <w:pPr>
              <w:pStyle w:val="4"/>
              <w:ind w:firstLine="0" w:firstLineChars="0"/>
              <w:rPr>
                <w:color w:val="auto"/>
              </w:rPr>
            </w:pPr>
            <w:r>
              <w:rPr>
                <w:rFonts w:hint="eastAsia"/>
                <w:color w:val="auto"/>
              </w:rPr>
              <w:t>2.1.6</w:t>
            </w:r>
            <w:r>
              <w:rPr>
                <w:color w:val="auto"/>
              </w:rPr>
              <w:t>主要原辅材料、能源消耗</w:t>
            </w:r>
          </w:p>
          <w:p w14:paraId="487E9C5C">
            <w:pPr>
              <w:pStyle w:val="5"/>
              <w:numPr>
                <w:ilvl w:val="0"/>
                <w:numId w:val="0"/>
              </w:numPr>
              <w:ind w:firstLine="480" w:firstLineChars="200"/>
              <w:rPr>
                <w:rFonts w:hint="default" w:eastAsia="宋体"/>
                <w:color w:val="auto"/>
                <w:lang w:val="en-US" w:eastAsia="zh-CN"/>
              </w:rPr>
            </w:pPr>
            <w:r>
              <w:rPr>
                <w:rFonts w:hint="eastAsia" w:ascii="Times New Roman" w:hAnsi="Times New Roman" w:eastAsia="宋体" w:cs="宋体"/>
                <w:color w:val="auto"/>
                <w:kern w:val="2"/>
                <w:sz w:val="24"/>
                <w:szCs w:val="24"/>
                <w:lang w:val="en-US" w:eastAsia="zh-CN" w:bidi="ar-SA"/>
              </w:rPr>
              <w:t>（1）</w:t>
            </w:r>
            <w:r>
              <w:rPr>
                <w:rFonts w:hint="eastAsia"/>
                <w:color w:val="auto"/>
              </w:rPr>
              <w:t>主要原辅材料</w:t>
            </w:r>
            <w:r>
              <w:rPr>
                <w:rFonts w:hint="eastAsia"/>
                <w:color w:val="auto"/>
                <w:lang w:val="en-US" w:eastAsia="zh-CN"/>
              </w:rPr>
              <w:t>及能源消耗量</w:t>
            </w:r>
          </w:p>
          <w:p w14:paraId="06936489">
            <w:pPr>
              <w:pStyle w:val="5"/>
              <w:numPr>
                <w:ilvl w:val="0"/>
                <w:numId w:val="0"/>
              </w:numPr>
              <w:ind w:firstLine="480" w:firstLineChars="200"/>
              <w:rPr>
                <w:color w:val="auto"/>
              </w:rPr>
            </w:pPr>
            <w:r>
              <w:rPr>
                <w:rFonts w:hint="eastAsia"/>
                <w:color w:val="auto"/>
                <w:lang w:val="en-US" w:eastAsia="zh-CN"/>
              </w:rPr>
              <w:t>本项目</w:t>
            </w:r>
            <w:r>
              <w:rPr>
                <w:rFonts w:hint="eastAsia"/>
                <w:color w:val="auto"/>
              </w:rPr>
              <w:t>主要原辅材料</w:t>
            </w:r>
            <w:r>
              <w:rPr>
                <w:rFonts w:hint="eastAsia"/>
                <w:color w:val="auto"/>
                <w:lang w:val="en-US" w:eastAsia="zh-CN"/>
              </w:rPr>
              <w:t>及能源消耗量</w:t>
            </w:r>
            <w:r>
              <w:rPr>
                <w:rFonts w:hint="eastAsia"/>
                <w:color w:val="auto"/>
              </w:rPr>
              <w:t>见表2.1-5。</w:t>
            </w:r>
          </w:p>
          <w:p w14:paraId="5F849D68">
            <w:pPr>
              <w:pStyle w:val="36"/>
              <w:spacing w:before="0" w:after="0"/>
              <w:rPr>
                <w:color w:val="auto"/>
              </w:rPr>
            </w:pPr>
            <w:r>
              <w:rPr>
                <w:rFonts w:hint="eastAsia"/>
                <w:color w:val="auto"/>
              </w:rPr>
              <w:t>表2.1-5  项目主要原辅材料表</w:t>
            </w:r>
          </w:p>
          <w:tbl>
            <w:tblPr>
              <w:tblStyle w:val="31"/>
              <w:tblW w:w="98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765"/>
              <w:gridCol w:w="1004"/>
              <w:gridCol w:w="1211"/>
              <w:gridCol w:w="1477"/>
              <w:gridCol w:w="1766"/>
              <w:gridCol w:w="916"/>
              <w:gridCol w:w="916"/>
            </w:tblGrid>
            <w:tr w14:paraId="4658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top w:val="single" w:color="auto" w:sz="12" w:space="0"/>
                    <w:left w:val="nil"/>
                    <w:bottom w:val="single" w:color="auto" w:sz="4" w:space="0"/>
                    <w:right w:val="single" w:color="auto" w:sz="4" w:space="0"/>
                  </w:tcBorders>
                </w:tcPr>
                <w:p w14:paraId="7D977D1D">
                  <w:pPr>
                    <w:pStyle w:val="47"/>
                    <w:snapToGrid w:val="0"/>
                    <w:spacing w:before="120" w:beforeLines="50" w:line="288" w:lineRule="auto"/>
                    <w:rPr>
                      <w:color w:val="auto"/>
                      <w:szCs w:val="21"/>
                      <w:highlight w:val="none"/>
                    </w:rPr>
                  </w:pPr>
                  <w:r>
                    <w:rPr>
                      <w:color w:val="auto"/>
                      <w:szCs w:val="21"/>
                      <w:highlight w:val="none"/>
                    </w:rPr>
                    <w:t>序号</w:t>
                  </w:r>
                </w:p>
              </w:tc>
              <w:tc>
                <w:tcPr>
                  <w:tcW w:w="1765" w:type="dxa"/>
                  <w:tcBorders>
                    <w:top w:val="single" w:color="auto" w:sz="12" w:space="0"/>
                    <w:left w:val="single" w:color="auto" w:sz="4" w:space="0"/>
                    <w:bottom w:val="single" w:color="auto" w:sz="4" w:space="0"/>
                    <w:right w:val="single" w:color="auto" w:sz="4" w:space="0"/>
                  </w:tcBorders>
                </w:tcPr>
                <w:p w14:paraId="37A7B5AD">
                  <w:pPr>
                    <w:pStyle w:val="47"/>
                    <w:snapToGrid w:val="0"/>
                    <w:spacing w:before="120" w:beforeLines="50" w:line="288" w:lineRule="auto"/>
                    <w:rPr>
                      <w:color w:val="auto"/>
                      <w:szCs w:val="21"/>
                      <w:highlight w:val="none"/>
                    </w:rPr>
                  </w:pPr>
                  <w:r>
                    <w:rPr>
                      <w:color w:val="auto"/>
                      <w:szCs w:val="21"/>
                      <w:highlight w:val="none"/>
                    </w:rPr>
                    <w:t>原辅材料名称</w:t>
                  </w:r>
                </w:p>
              </w:tc>
              <w:tc>
                <w:tcPr>
                  <w:tcW w:w="1004" w:type="dxa"/>
                  <w:tcBorders>
                    <w:top w:val="single" w:color="auto" w:sz="12" w:space="0"/>
                    <w:left w:val="single" w:color="auto" w:sz="4" w:space="0"/>
                    <w:bottom w:val="single" w:color="auto" w:sz="4" w:space="0"/>
                    <w:right w:val="single" w:color="auto" w:sz="4" w:space="0"/>
                  </w:tcBorders>
                </w:tcPr>
                <w:p w14:paraId="37F1764E">
                  <w:pPr>
                    <w:pStyle w:val="47"/>
                    <w:snapToGrid w:val="0"/>
                    <w:spacing w:before="120" w:beforeLines="50" w:line="288" w:lineRule="auto"/>
                    <w:rPr>
                      <w:color w:val="auto"/>
                      <w:szCs w:val="21"/>
                      <w:highlight w:val="none"/>
                    </w:rPr>
                  </w:pPr>
                  <w:r>
                    <w:rPr>
                      <w:color w:val="auto"/>
                      <w:szCs w:val="21"/>
                      <w:highlight w:val="none"/>
                    </w:rPr>
                    <w:t>单位</w:t>
                  </w:r>
                </w:p>
              </w:tc>
              <w:tc>
                <w:tcPr>
                  <w:tcW w:w="1211" w:type="dxa"/>
                  <w:tcBorders>
                    <w:top w:val="single" w:color="auto" w:sz="12" w:space="0"/>
                    <w:left w:val="single" w:color="auto" w:sz="4" w:space="0"/>
                    <w:bottom w:val="single" w:color="auto" w:sz="4" w:space="0"/>
                    <w:right w:val="single" w:color="auto" w:sz="4" w:space="0"/>
                  </w:tcBorders>
                </w:tcPr>
                <w:p w14:paraId="45545A9D">
                  <w:pPr>
                    <w:pStyle w:val="47"/>
                    <w:snapToGrid w:val="0"/>
                    <w:spacing w:line="288" w:lineRule="auto"/>
                    <w:rPr>
                      <w:color w:val="auto"/>
                      <w:szCs w:val="21"/>
                      <w:highlight w:val="none"/>
                    </w:rPr>
                  </w:pPr>
                  <w:r>
                    <w:rPr>
                      <w:color w:val="auto"/>
                      <w:szCs w:val="21"/>
                      <w:highlight w:val="none"/>
                    </w:rPr>
                    <w:t>原辅材料用量（t/a）</w:t>
                  </w:r>
                </w:p>
              </w:tc>
              <w:tc>
                <w:tcPr>
                  <w:tcW w:w="1477" w:type="dxa"/>
                  <w:tcBorders>
                    <w:top w:val="single" w:color="auto" w:sz="12" w:space="0"/>
                    <w:left w:val="single" w:color="auto" w:sz="4" w:space="0"/>
                    <w:bottom w:val="single" w:color="auto" w:sz="4" w:space="0"/>
                    <w:right w:val="nil"/>
                  </w:tcBorders>
                </w:tcPr>
                <w:p w14:paraId="50250F6D">
                  <w:pPr>
                    <w:pStyle w:val="47"/>
                    <w:snapToGrid w:val="0"/>
                    <w:spacing w:line="288" w:lineRule="auto"/>
                    <w:rPr>
                      <w:color w:val="auto"/>
                      <w:szCs w:val="21"/>
                      <w:highlight w:val="none"/>
                    </w:rPr>
                  </w:pPr>
                  <w:r>
                    <w:rPr>
                      <w:color w:val="auto"/>
                      <w:szCs w:val="21"/>
                      <w:highlight w:val="none"/>
                    </w:rPr>
                    <w:t>原辅材料最大储存量（t/a）</w:t>
                  </w:r>
                </w:p>
              </w:tc>
              <w:tc>
                <w:tcPr>
                  <w:tcW w:w="1766" w:type="dxa"/>
                  <w:tcBorders>
                    <w:top w:val="single" w:color="auto" w:sz="12" w:space="0"/>
                    <w:left w:val="single" w:color="auto" w:sz="4" w:space="0"/>
                    <w:bottom w:val="single" w:color="auto" w:sz="4" w:space="0"/>
                    <w:right w:val="nil"/>
                  </w:tcBorders>
                </w:tcPr>
                <w:p w14:paraId="38CDB2FF">
                  <w:pPr>
                    <w:pStyle w:val="47"/>
                    <w:snapToGrid w:val="0"/>
                    <w:spacing w:before="120" w:beforeLines="50" w:line="288" w:lineRule="auto"/>
                    <w:rPr>
                      <w:color w:val="auto"/>
                      <w:szCs w:val="21"/>
                      <w:highlight w:val="none"/>
                    </w:rPr>
                  </w:pPr>
                  <w:r>
                    <w:rPr>
                      <w:color w:val="auto"/>
                      <w:szCs w:val="21"/>
                      <w:highlight w:val="none"/>
                    </w:rPr>
                    <w:t>原辅材料来源</w:t>
                  </w:r>
                </w:p>
              </w:tc>
            </w:tr>
            <w:tr w14:paraId="27D5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top w:val="single" w:color="auto" w:sz="4" w:space="0"/>
                    <w:left w:val="nil"/>
                  </w:tcBorders>
                </w:tcPr>
                <w:p w14:paraId="548F30A6">
                  <w:pPr>
                    <w:pStyle w:val="47"/>
                    <w:snapToGrid w:val="0"/>
                    <w:spacing w:line="288" w:lineRule="auto"/>
                    <w:rPr>
                      <w:color w:val="auto"/>
                      <w:szCs w:val="21"/>
                      <w:highlight w:val="none"/>
                    </w:rPr>
                  </w:pPr>
                  <w:r>
                    <w:rPr>
                      <w:color w:val="auto"/>
                      <w:szCs w:val="21"/>
                      <w:highlight w:val="none"/>
                    </w:rPr>
                    <w:t>1</w:t>
                  </w:r>
                </w:p>
              </w:tc>
              <w:tc>
                <w:tcPr>
                  <w:tcW w:w="1765" w:type="dxa"/>
                  <w:tcBorders>
                    <w:top w:val="single" w:color="auto" w:sz="4" w:space="0"/>
                  </w:tcBorders>
                  <w:vAlign w:val="center"/>
                </w:tcPr>
                <w:p w14:paraId="144A249A">
                  <w:pPr>
                    <w:spacing w:line="240" w:lineRule="exact"/>
                    <w:jc w:val="center"/>
                    <w:rPr>
                      <w:color w:val="auto"/>
                      <w:sz w:val="21"/>
                      <w:szCs w:val="21"/>
                      <w:highlight w:val="none"/>
                    </w:rPr>
                  </w:pPr>
                  <w:r>
                    <w:rPr>
                      <w:color w:val="auto"/>
                      <w:sz w:val="21"/>
                      <w:szCs w:val="21"/>
                      <w:highlight w:val="none"/>
                    </w:rPr>
                    <w:t>镀锌管材与板材</w:t>
                  </w:r>
                </w:p>
              </w:tc>
              <w:tc>
                <w:tcPr>
                  <w:tcW w:w="1004" w:type="dxa"/>
                  <w:tcBorders>
                    <w:top w:val="single" w:color="auto" w:sz="4" w:space="0"/>
                  </w:tcBorders>
                  <w:vAlign w:val="center"/>
                </w:tcPr>
                <w:p w14:paraId="7B6AE8AE">
                  <w:pPr>
                    <w:spacing w:line="300" w:lineRule="exact"/>
                    <w:jc w:val="center"/>
                    <w:rPr>
                      <w:color w:val="auto"/>
                      <w:sz w:val="21"/>
                      <w:szCs w:val="21"/>
                      <w:highlight w:val="none"/>
                    </w:rPr>
                  </w:pPr>
                  <w:r>
                    <w:rPr>
                      <w:color w:val="auto"/>
                      <w:sz w:val="21"/>
                      <w:szCs w:val="21"/>
                      <w:highlight w:val="none"/>
                    </w:rPr>
                    <w:t>t/a</w:t>
                  </w:r>
                </w:p>
              </w:tc>
              <w:tc>
                <w:tcPr>
                  <w:tcW w:w="1211" w:type="dxa"/>
                  <w:tcBorders>
                    <w:top w:val="single" w:color="auto" w:sz="4" w:space="0"/>
                  </w:tcBorders>
                  <w:vAlign w:val="center"/>
                </w:tcPr>
                <w:p w14:paraId="4F6D5904">
                  <w:pPr>
                    <w:spacing w:line="300" w:lineRule="exact"/>
                    <w:jc w:val="center"/>
                    <w:rPr>
                      <w:color w:val="auto"/>
                      <w:sz w:val="21"/>
                      <w:szCs w:val="21"/>
                      <w:highlight w:val="none"/>
                    </w:rPr>
                  </w:pPr>
                  <w:r>
                    <w:rPr>
                      <w:rFonts w:hint="eastAsia"/>
                      <w:color w:val="auto"/>
                      <w:sz w:val="21"/>
                      <w:szCs w:val="21"/>
                      <w:highlight w:val="none"/>
                    </w:rPr>
                    <w:t>10</w:t>
                  </w:r>
                </w:p>
              </w:tc>
              <w:tc>
                <w:tcPr>
                  <w:tcW w:w="1477" w:type="dxa"/>
                  <w:tcBorders>
                    <w:top w:val="single" w:color="auto" w:sz="4" w:space="0"/>
                    <w:right w:val="nil"/>
                  </w:tcBorders>
                  <w:vAlign w:val="center"/>
                </w:tcPr>
                <w:p w14:paraId="30FCC765">
                  <w:pPr>
                    <w:spacing w:line="300" w:lineRule="exact"/>
                    <w:jc w:val="center"/>
                    <w:rPr>
                      <w:color w:val="auto"/>
                      <w:sz w:val="21"/>
                      <w:szCs w:val="21"/>
                      <w:highlight w:val="none"/>
                    </w:rPr>
                  </w:pPr>
                  <w:r>
                    <w:rPr>
                      <w:color w:val="auto"/>
                      <w:sz w:val="21"/>
                      <w:szCs w:val="21"/>
                      <w:highlight w:val="none"/>
                    </w:rPr>
                    <w:t>5</w:t>
                  </w:r>
                </w:p>
              </w:tc>
              <w:tc>
                <w:tcPr>
                  <w:tcW w:w="1766" w:type="dxa"/>
                  <w:tcBorders>
                    <w:top w:val="single" w:color="auto" w:sz="4" w:space="0"/>
                    <w:right w:val="nil"/>
                  </w:tcBorders>
                </w:tcPr>
                <w:p w14:paraId="6C7A3878">
                  <w:pPr>
                    <w:pStyle w:val="47"/>
                    <w:snapToGrid w:val="0"/>
                    <w:spacing w:line="288" w:lineRule="auto"/>
                    <w:rPr>
                      <w:color w:val="auto"/>
                      <w:szCs w:val="21"/>
                      <w:highlight w:val="none"/>
                    </w:rPr>
                  </w:pPr>
                  <w:r>
                    <w:rPr>
                      <w:color w:val="auto"/>
                      <w:szCs w:val="21"/>
                      <w:highlight w:val="none"/>
                    </w:rPr>
                    <w:t>外购</w:t>
                  </w:r>
                </w:p>
              </w:tc>
            </w:tr>
            <w:tr w14:paraId="03B8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39D4FAB5">
                  <w:pPr>
                    <w:pStyle w:val="47"/>
                    <w:snapToGrid w:val="0"/>
                    <w:spacing w:line="288" w:lineRule="auto"/>
                    <w:rPr>
                      <w:color w:val="auto"/>
                      <w:szCs w:val="21"/>
                      <w:highlight w:val="none"/>
                    </w:rPr>
                  </w:pPr>
                  <w:r>
                    <w:rPr>
                      <w:color w:val="auto"/>
                      <w:szCs w:val="21"/>
                      <w:highlight w:val="none"/>
                    </w:rPr>
                    <w:t>2</w:t>
                  </w:r>
                </w:p>
              </w:tc>
              <w:tc>
                <w:tcPr>
                  <w:tcW w:w="1765" w:type="dxa"/>
                  <w:vAlign w:val="center"/>
                </w:tcPr>
                <w:p w14:paraId="3AA2C85F">
                  <w:pPr>
                    <w:spacing w:line="240" w:lineRule="exact"/>
                    <w:jc w:val="center"/>
                    <w:rPr>
                      <w:color w:val="auto"/>
                      <w:sz w:val="21"/>
                      <w:szCs w:val="21"/>
                      <w:highlight w:val="none"/>
                    </w:rPr>
                  </w:pPr>
                  <w:r>
                    <w:rPr>
                      <w:color w:val="auto"/>
                      <w:sz w:val="21"/>
                      <w:szCs w:val="21"/>
                      <w:highlight w:val="none"/>
                    </w:rPr>
                    <w:t>不锈钢</w:t>
                  </w:r>
                </w:p>
              </w:tc>
              <w:tc>
                <w:tcPr>
                  <w:tcW w:w="1004" w:type="dxa"/>
                  <w:vAlign w:val="center"/>
                </w:tcPr>
                <w:p w14:paraId="11EDBD74">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6889D5EB">
                  <w:pPr>
                    <w:spacing w:line="300" w:lineRule="exact"/>
                    <w:jc w:val="center"/>
                    <w:rPr>
                      <w:color w:val="auto"/>
                      <w:sz w:val="21"/>
                      <w:szCs w:val="21"/>
                      <w:highlight w:val="none"/>
                    </w:rPr>
                  </w:pPr>
                  <w:r>
                    <w:rPr>
                      <w:rFonts w:hint="eastAsia"/>
                      <w:color w:val="auto"/>
                      <w:sz w:val="21"/>
                      <w:szCs w:val="21"/>
                      <w:highlight w:val="none"/>
                    </w:rPr>
                    <w:t>10</w:t>
                  </w:r>
                </w:p>
              </w:tc>
              <w:tc>
                <w:tcPr>
                  <w:tcW w:w="1477" w:type="dxa"/>
                  <w:tcBorders>
                    <w:right w:val="nil"/>
                  </w:tcBorders>
                  <w:vAlign w:val="center"/>
                </w:tcPr>
                <w:p w14:paraId="0AE07CDA">
                  <w:pPr>
                    <w:spacing w:line="300" w:lineRule="exact"/>
                    <w:jc w:val="center"/>
                    <w:rPr>
                      <w:color w:val="auto"/>
                      <w:sz w:val="21"/>
                      <w:szCs w:val="21"/>
                      <w:highlight w:val="none"/>
                    </w:rPr>
                  </w:pPr>
                  <w:r>
                    <w:rPr>
                      <w:color w:val="auto"/>
                      <w:sz w:val="21"/>
                      <w:szCs w:val="21"/>
                      <w:highlight w:val="none"/>
                    </w:rPr>
                    <w:t>5</w:t>
                  </w:r>
                </w:p>
              </w:tc>
              <w:tc>
                <w:tcPr>
                  <w:tcW w:w="1766" w:type="dxa"/>
                  <w:tcBorders>
                    <w:right w:val="nil"/>
                  </w:tcBorders>
                </w:tcPr>
                <w:p w14:paraId="612280EC">
                  <w:pPr>
                    <w:pStyle w:val="47"/>
                    <w:snapToGrid w:val="0"/>
                    <w:spacing w:line="288" w:lineRule="auto"/>
                    <w:rPr>
                      <w:color w:val="auto"/>
                      <w:szCs w:val="21"/>
                      <w:highlight w:val="none"/>
                    </w:rPr>
                  </w:pPr>
                  <w:r>
                    <w:rPr>
                      <w:color w:val="auto"/>
                      <w:szCs w:val="21"/>
                      <w:highlight w:val="none"/>
                    </w:rPr>
                    <w:t>外购</w:t>
                  </w:r>
                </w:p>
              </w:tc>
            </w:tr>
            <w:tr w14:paraId="3C43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64A02372">
                  <w:pPr>
                    <w:pStyle w:val="47"/>
                    <w:snapToGrid w:val="0"/>
                    <w:spacing w:line="288" w:lineRule="auto"/>
                    <w:rPr>
                      <w:color w:val="auto"/>
                      <w:szCs w:val="21"/>
                      <w:highlight w:val="none"/>
                    </w:rPr>
                  </w:pPr>
                  <w:r>
                    <w:rPr>
                      <w:color w:val="auto"/>
                      <w:szCs w:val="21"/>
                      <w:highlight w:val="none"/>
                    </w:rPr>
                    <w:t>3</w:t>
                  </w:r>
                </w:p>
              </w:tc>
              <w:tc>
                <w:tcPr>
                  <w:tcW w:w="1765" w:type="dxa"/>
                  <w:vAlign w:val="center"/>
                </w:tcPr>
                <w:p w14:paraId="6E7CBD2E">
                  <w:pPr>
                    <w:spacing w:line="240" w:lineRule="exact"/>
                    <w:jc w:val="center"/>
                    <w:rPr>
                      <w:color w:val="auto"/>
                      <w:sz w:val="21"/>
                      <w:szCs w:val="21"/>
                      <w:highlight w:val="none"/>
                    </w:rPr>
                  </w:pPr>
                  <w:r>
                    <w:rPr>
                      <w:color w:val="auto"/>
                      <w:sz w:val="21"/>
                      <w:szCs w:val="21"/>
                      <w:highlight w:val="none"/>
                    </w:rPr>
                    <w:t>亚克力板</w:t>
                  </w:r>
                </w:p>
              </w:tc>
              <w:tc>
                <w:tcPr>
                  <w:tcW w:w="1004" w:type="dxa"/>
                  <w:vAlign w:val="center"/>
                </w:tcPr>
                <w:p w14:paraId="427275B6">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3C1AA574">
                  <w:pPr>
                    <w:spacing w:line="300" w:lineRule="exact"/>
                    <w:jc w:val="center"/>
                    <w:rPr>
                      <w:color w:val="auto"/>
                      <w:sz w:val="21"/>
                      <w:szCs w:val="21"/>
                      <w:highlight w:val="none"/>
                    </w:rPr>
                  </w:pPr>
                  <w:r>
                    <w:rPr>
                      <w:rFonts w:hint="eastAsia"/>
                      <w:color w:val="auto"/>
                      <w:sz w:val="21"/>
                      <w:szCs w:val="21"/>
                      <w:highlight w:val="none"/>
                    </w:rPr>
                    <w:t>30</w:t>
                  </w:r>
                </w:p>
              </w:tc>
              <w:tc>
                <w:tcPr>
                  <w:tcW w:w="1477" w:type="dxa"/>
                  <w:tcBorders>
                    <w:right w:val="nil"/>
                  </w:tcBorders>
                  <w:vAlign w:val="center"/>
                </w:tcPr>
                <w:p w14:paraId="654A20EA">
                  <w:pPr>
                    <w:spacing w:line="300" w:lineRule="exact"/>
                    <w:jc w:val="center"/>
                    <w:rPr>
                      <w:color w:val="auto"/>
                      <w:sz w:val="21"/>
                      <w:szCs w:val="21"/>
                      <w:highlight w:val="none"/>
                    </w:rPr>
                  </w:pPr>
                  <w:r>
                    <w:rPr>
                      <w:rFonts w:hint="eastAsia"/>
                      <w:color w:val="auto"/>
                      <w:sz w:val="21"/>
                      <w:szCs w:val="21"/>
                      <w:highlight w:val="none"/>
                    </w:rPr>
                    <w:t>15</w:t>
                  </w:r>
                </w:p>
              </w:tc>
              <w:tc>
                <w:tcPr>
                  <w:tcW w:w="1766" w:type="dxa"/>
                  <w:tcBorders>
                    <w:right w:val="nil"/>
                  </w:tcBorders>
                </w:tcPr>
                <w:p w14:paraId="67DD9FAD">
                  <w:pPr>
                    <w:pStyle w:val="47"/>
                    <w:snapToGrid w:val="0"/>
                    <w:spacing w:line="288" w:lineRule="auto"/>
                    <w:rPr>
                      <w:color w:val="auto"/>
                      <w:szCs w:val="21"/>
                      <w:highlight w:val="none"/>
                    </w:rPr>
                  </w:pPr>
                  <w:r>
                    <w:rPr>
                      <w:color w:val="auto"/>
                      <w:szCs w:val="21"/>
                      <w:highlight w:val="none"/>
                    </w:rPr>
                    <w:t>外购</w:t>
                  </w:r>
                </w:p>
              </w:tc>
            </w:tr>
            <w:tr w14:paraId="2ED8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07A6C3DC">
                  <w:pPr>
                    <w:pStyle w:val="47"/>
                    <w:snapToGrid w:val="0"/>
                    <w:spacing w:line="288" w:lineRule="auto"/>
                    <w:rPr>
                      <w:color w:val="auto"/>
                      <w:szCs w:val="21"/>
                      <w:highlight w:val="none"/>
                    </w:rPr>
                  </w:pPr>
                  <w:r>
                    <w:rPr>
                      <w:color w:val="auto"/>
                      <w:szCs w:val="21"/>
                      <w:highlight w:val="none"/>
                    </w:rPr>
                    <w:t>4</w:t>
                  </w:r>
                </w:p>
              </w:tc>
              <w:tc>
                <w:tcPr>
                  <w:tcW w:w="1765" w:type="dxa"/>
                  <w:vAlign w:val="center"/>
                </w:tcPr>
                <w:p w14:paraId="23B49236">
                  <w:pPr>
                    <w:spacing w:line="240" w:lineRule="exact"/>
                    <w:jc w:val="center"/>
                    <w:rPr>
                      <w:color w:val="auto"/>
                      <w:sz w:val="21"/>
                      <w:szCs w:val="21"/>
                      <w:highlight w:val="none"/>
                    </w:rPr>
                  </w:pPr>
                  <w:r>
                    <w:rPr>
                      <w:color w:val="auto"/>
                      <w:sz w:val="21"/>
                      <w:szCs w:val="21"/>
                      <w:highlight w:val="none"/>
                    </w:rPr>
                    <w:t>PVC板</w:t>
                  </w:r>
                </w:p>
              </w:tc>
              <w:tc>
                <w:tcPr>
                  <w:tcW w:w="1004" w:type="dxa"/>
                  <w:vAlign w:val="center"/>
                </w:tcPr>
                <w:p w14:paraId="6159D970">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4EF783E4">
                  <w:pPr>
                    <w:spacing w:line="300" w:lineRule="exact"/>
                    <w:jc w:val="center"/>
                    <w:rPr>
                      <w:color w:val="auto"/>
                      <w:sz w:val="21"/>
                      <w:szCs w:val="21"/>
                      <w:highlight w:val="none"/>
                    </w:rPr>
                  </w:pPr>
                  <w:r>
                    <w:rPr>
                      <w:rFonts w:hint="eastAsia"/>
                      <w:color w:val="auto"/>
                      <w:sz w:val="21"/>
                      <w:szCs w:val="21"/>
                      <w:highlight w:val="none"/>
                    </w:rPr>
                    <w:t>11</w:t>
                  </w:r>
                </w:p>
              </w:tc>
              <w:tc>
                <w:tcPr>
                  <w:tcW w:w="1477" w:type="dxa"/>
                  <w:tcBorders>
                    <w:right w:val="nil"/>
                  </w:tcBorders>
                  <w:vAlign w:val="center"/>
                </w:tcPr>
                <w:p w14:paraId="088B9261">
                  <w:pPr>
                    <w:spacing w:line="300" w:lineRule="exact"/>
                    <w:jc w:val="center"/>
                    <w:rPr>
                      <w:color w:val="auto"/>
                      <w:sz w:val="21"/>
                      <w:szCs w:val="21"/>
                      <w:highlight w:val="none"/>
                    </w:rPr>
                  </w:pPr>
                  <w:r>
                    <w:rPr>
                      <w:rFonts w:hint="eastAsia"/>
                      <w:color w:val="auto"/>
                      <w:sz w:val="21"/>
                      <w:szCs w:val="21"/>
                      <w:highlight w:val="none"/>
                    </w:rPr>
                    <w:t>3</w:t>
                  </w:r>
                </w:p>
              </w:tc>
              <w:tc>
                <w:tcPr>
                  <w:tcW w:w="1766" w:type="dxa"/>
                  <w:tcBorders>
                    <w:right w:val="nil"/>
                  </w:tcBorders>
                </w:tcPr>
                <w:p w14:paraId="6D7B50D4">
                  <w:pPr>
                    <w:pStyle w:val="47"/>
                    <w:snapToGrid w:val="0"/>
                    <w:spacing w:line="288" w:lineRule="auto"/>
                    <w:rPr>
                      <w:color w:val="auto"/>
                      <w:szCs w:val="21"/>
                      <w:highlight w:val="none"/>
                    </w:rPr>
                  </w:pPr>
                  <w:r>
                    <w:rPr>
                      <w:color w:val="auto"/>
                      <w:szCs w:val="21"/>
                      <w:highlight w:val="none"/>
                    </w:rPr>
                    <w:t>外购</w:t>
                  </w:r>
                </w:p>
              </w:tc>
            </w:tr>
            <w:tr w14:paraId="5EF0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4B7F04DF">
                  <w:pPr>
                    <w:pStyle w:val="47"/>
                    <w:snapToGrid w:val="0"/>
                    <w:spacing w:line="288" w:lineRule="auto"/>
                    <w:rPr>
                      <w:color w:val="auto"/>
                      <w:szCs w:val="21"/>
                      <w:highlight w:val="none"/>
                    </w:rPr>
                  </w:pPr>
                  <w:r>
                    <w:rPr>
                      <w:color w:val="auto"/>
                      <w:szCs w:val="21"/>
                      <w:highlight w:val="none"/>
                    </w:rPr>
                    <w:t>5</w:t>
                  </w:r>
                </w:p>
              </w:tc>
              <w:tc>
                <w:tcPr>
                  <w:tcW w:w="1765" w:type="dxa"/>
                  <w:vAlign w:val="center"/>
                </w:tcPr>
                <w:p w14:paraId="62EAC06B">
                  <w:pPr>
                    <w:spacing w:line="240" w:lineRule="exact"/>
                    <w:jc w:val="center"/>
                    <w:rPr>
                      <w:color w:val="auto"/>
                      <w:sz w:val="21"/>
                      <w:szCs w:val="21"/>
                      <w:highlight w:val="none"/>
                    </w:rPr>
                  </w:pPr>
                  <w:r>
                    <w:rPr>
                      <w:color w:val="auto"/>
                      <w:sz w:val="21"/>
                      <w:szCs w:val="21"/>
                      <w:highlight w:val="none"/>
                    </w:rPr>
                    <w:t>LED灯</w:t>
                  </w:r>
                </w:p>
              </w:tc>
              <w:tc>
                <w:tcPr>
                  <w:tcW w:w="1004" w:type="dxa"/>
                  <w:vAlign w:val="center"/>
                </w:tcPr>
                <w:p w14:paraId="62E4A7CE">
                  <w:pPr>
                    <w:spacing w:line="300" w:lineRule="exact"/>
                    <w:jc w:val="center"/>
                    <w:rPr>
                      <w:color w:val="auto"/>
                      <w:sz w:val="21"/>
                      <w:szCs w:val="21"/>
                      <w:highlight w:val="none"/>
                    </w:rPr>
                  </w:pPr>
                  <w:r>
                    <w:rPr>
                      <w:color w:val="auto"/>
                      <w:sz w:val="21"/>
                      <w:szCs w:val="21"/>
                      <w:highlight w:val="none"/>
                    </w:rPr>
                    <w:t>万个/a</w:t>
                  </w:r>
                </w:p>
              </w:tc>
              <w:tc>
                <w:tcPr>
                  <w:tcW w:w="1211" w:type="dxa"/>
                  <w:vAlign w:val="center"/>
                </w:tcPr>
                <w:p w14:paraId="790668FE">
                  <w:pPr>
                    <w:spacing w:line="300" w:lineRule="exact"/>
                    <w:jc w:val="center"/>
                    <w:rPr>
                      <w:color w:val="auto"/>
                      <w:sz w:val="21"/>
                      <w:szCs w:val="21"/>
                      <w:highlight w:val="none"/>
                    </w:rPr>
                  </w:pPr>
                  <w:r>
                    <w:rPr>
                      <w:color w:val="auto"/>
                      <w:sz w:val="21"/>
                      <w:szCs w:val="21"/>
                      <w:highlight w:val="none"/>
                    </w:rPr>
                    <w:t>500</w:t>
                  </w:r>
                </w:p>
              </w:tc>
              <w:tc>
                <w:tcPr>
                  <w:tcW w:w="1477" w:type="dxa"/>
                  <w:tcBorders>
                    <w:right w:val="nil"/>
                  </w:tcBorders>
                  <w:vAlign w:val="center"/>
                </w:tcPr>
                <w:p w14:paraId="05F6CC57">
                  <w:pPr>
                    <w:spacing w:line="300" w:lineRule="exact"/>
                    <w:jc w:val="center"/>
                    <w:rPr>
                      <w:color w:val="auto"/>
                      <w:sz w:val="21"/>
                      <w:szCs w:val="21"/>
                      <w:highlight w:val="none"/>
                    </w:rPr>
                  </w:pPr>
                  <w:r>
                    <w:rPr>
                      <w:color w:val="auto"/>
                      <w:sz w:val="21"/>
                      <w:szCs w:val="21"/>
                      <w:highlight w:val="none"/>
                    </w:rPr>
                    <w:t>10</w:t>
                  </w:r>
                </w:p>
              </w:tc>
              <w:tc>
                <w:tcPr>
                  <w:tcW w:w="1766" w:type="dxa"/>
                  <w:tcBorders>
                    <w:right w:val="nil"/>
                  </w:tcBorders>
                </w:tcPr>
                <w:p w14:paraId="6809E704">
                  <w:pPr>
                    <w:pStyle w:val="47"/>
                    <w:snapToGrid w:val="0"/>
                    <w:spacing w:line="288" w:lineRule="auto"/>
                    <w:rPr>
                      <w:color w:val="auto"/>
                      <w:szCs w:val="21"/>
                      <w:highlight w:val="none"/>
                    </w:rPr>
                  </w:pPr>
                  <w:r>
                    <w:rPr>
                      <w:color w:val="auto"/>
                      <w:szCs w:val="21"/>
                      <w:highlight w:val="none"/>
                    </w:rPr>
                    <w:t>外购</w:t>
                  </w:r>
                </w:p>
              </w:tc>
            </w:tr>
            <w:tr w14:paraId="6231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49A86F06">
                  <w:pPr>
                    <w:pStyle w:val="47"/>
                    <w:snapToGrid w:val="0"/>
                    <w:spacing w:line="288" w:lineRule="auto"/>
                    <w:rPr>
                      <w:color w:val="auto"/>
                      <w:szCs w:val="21"/>
                      <w:highlight w:val="none"/>
                    </w:rPr>
                  </w:pPr>
                  <w:r>
                    <w:rPr>
                      <w:color w:val="auto"/>
                      <w:szCs w:val="21"/>
                      <w:highlight w:val="none"/>
                    </w:rPr>
                    <w:t>6</w:t>
                  </w:r>
                </w:p>
              </w:tc>
              <w:tc>
                <w:tcPr>
                  <w:tcW w:w="1765" w:type="dxa"/>
                  <w:vAlign w:val="center"/>
                </w:tcPr>
                <w:p w14:paraId="5DB826B9">
                  <w:pPr>
                    <w:spacing w:line="240" w:lineRule="exact"/>
                    <w:jc w:val="center"/>
                    <w:rPr>
                      <w:color w:val="auto"/>
                      <w:sz w:val="21"/>
                      <w:szCs w:val="21"/>
                      <w:highlight w:val="none"/>
                    </w:rPr>
                  </w:pPr>
                  <w:r>
                    <w:rPr>
                      <w:color w:val="auto"/>
                      <w:sz w:val="21"/>
                      <w:szCs w:val="21"/>
                      <w:highlight w:val="none"/>
                    </w:rPr>
                    <w:t>元器件</w:t>
                  </w:r>
                </w:p>
              </w:tc>
              <w:tc>
                <w:tcPr>
                  <w:tcW w:w="1004" w:type="dxa"/>
                  <w:vAlign w:val="center"/>
                </w:tcPr>
                <w:p w14:paraId="7CB27679">
                  <w:pPr>
                    <w:spacing w:line="300" w:lineRule="exact"/>
                    <w:jc w:val="center"/>
                    <w:rPr>
                      <w:color w:val="auto"/>
                      <w:sz w:val="21"/>
                      <w:szCs w:val="21"/>
                      <w:highlight w:val="none"/>
                    </w:rPr>
                  </w:pPr>
                  <w:r>
                    <w:rPr>
                      <w:color w:val="auto"/>
                      <w:sz w:val="21"/>
                      <w:szCs w:val="21"/>
                      <w:highlight w:val="none"/>
                    </w:rPr>
                    <w:t>万个/a</w:t>
                  </w:r>
                </w:p>
              </w:tc>
              <w:tc>
                <w:tcPr>
                  <w:tcW w:w="1211" w:type="dxa"/>
                  <w:vAlign w:val="center"/>
                </w:tcPr>
                <w:p w14:paraId="6577F60B">
                  <w:pPr>
                    <w:spacing w:line="300" w:lineRule="exact"/>
                    <w:jc w:val="center"/>
                    <w:rPr>
                      <w:color w:val="auto"/>
                      <w:sz w:val="21"/>
                      <w:szCs w:val="21"/>
                      <w:highlight w:val="none"/>
                    </w:rPr>
                  </w:pPr>
                  <w:r>
                    <w:rPr>
                      <w:color w:val="auto"/>
                      <w:sz w:val="21"/>
                      <w:szCs w:val="21"/>
                      <w:highlight w:val="none"/>
                    </w:rPr>
                    <w:t>5</w:t>
                  </w:r>
                </w:p>
              </w:tc>
              <w:tc>
                <w:tcPr>
                  <w:tcW w:w="1477" w:type="dxa"/>
                  <w:tcBorders>
                    <w:right w:val="nil"/>
                  </w:tcBorders>
                  <w:vAlign w:val="center"/>
                </w:tcPr>
                <w:p w14:paraId="4626E806">
                  <w:pPr>
                    <w:spacing w:line="300" w:lineRule="exact"/>
                    <w:jc w:val="center"/>
                    <w:rPr>
                      <w:color w:val="auto"/>
                      <w:sz w:val="21"/>
                      <w:szCs w:val="21"/>
                      <w:highlight w:val="none"/>
                    </w:rPr>
                  </w:pPr>
                  <w:r>
                    <w:rPr>
                      <w:color w:val="auto"/>
                      <w:sz w:val="21"/>
                      <w:szCs w:val="21"/>
                      <w:highlight w:val="none"/>
                    </w:rPr>
                    <w:t>1</w:t>
                  </w:r>
                </w:p>
              </w:tc>
              <w:tc>
                <w:tcPr>
                  <w:tcW w:w="1766" w:type="dxa"/>
                  <w:tcBorders>
                    <w:right w:val="nil"/>
                  </w:tcBorders>
                </w:tcPr>
                <w:p w14:paraId="5DA01AD3">
                  <w:pPr>
                    <w:pStyle w:val="47"/>
                    <w:snapToGrid w:val="0"/>
                    <w:spacing w:line="288" w:lineRule="auto"/>
                    <w:rPr>
                      <w:color w:val="auto"/>
                      <w:szCs w:val="21"/>
                      <w:highlight w:val="none"/>
                    </w:rPr>
                  </w:pPr>
                  <w:r>
                    <w:rPr>
                      <w:color w:val="auto"/>
                      <w:szCs w:val="21"/>
                      <w:highlight w:val="none"/>
                    </w:rPr>
                    <w:t>外购</w:t>
                  </w:r>
                </w:p>
              </w:tc>
            </w:tr>
            <w:tr w14:paraId="0C8C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322B5C5B">
                  <w:pPr>
                    <w:pStyle w:val="47"/>
                    <w:snapToGrid w:val="0"/>
                    <w:spacing w:line="288" w:lineRule="auto"/>
                    <w:rPr>
                      <w:color w:val="auto"/>
                      <w:kern w:val="0"/>
                      <w:szCs w:val="21"/>
                      <w:highlight w:val="none"/>
                    </w:rPr>
                  </w:pPr>
                  <w:r>
                    <w:rPr>
                      <w:color w:val="auto"/>
                      <w:szCs w:val="21"/>
                      <w:highlight w:val="none"/>
                    </w:rPr>
                    <w:t>7</w:t>
                  </w:r>
                </w:p>
              </w:tc>
              <w:tc>
                <w:tcPr>
                  <w:tcW w:w="1765" w:type="dxa"/>
                  <w:vAlign w:val="center"/>
                </w:tcPr>
                <w:p w14:paraId="4482EE98">
                  <w:pPr>
                    <w:spacing w:line="240" w:lineRule="exact"/>
                    <w:jc w:val="center"/>
                    <w:rPr>
                      <w:color w:val="auto"/>
                      <w:sz w:val="21"/>
                      <w:szCs w:val="21"/>
                      <w:highlight w:val="none"/>
                    </w:rPr>
                  </w:pPr>
                  <w:r>
                    <w:rPr>
                      <w:color w:val="auto"/>
                      <w:sz w:val="21"/>
                      <w:szCs w:val="21"/>
                      <w:highlight w:val="none"/>
                    </w:rPr>
                    <w:t>五金件</w:t>
                  </w:r>
                </w:p>
              </w:tc>
              <w:tc>
                <w:tcPr>
                  <w:tcW w:w="1004" w:type="dxa"/>
                  <w:vAlign w:val="center"/>
                </w:tcPr>
                <w:p w14:paraId="6E080765">
                  <w:pPr>
                    <w:spacing w:line="300" w:lineRule="exact"/>
                    <w:jc w:val="center"/>
                    <w:rPr>
                      <w:color w:val="auto"/>
                      <w:sz w:val="21"/>
                      <w:szCs w:val="21"/>
                      <w:highlight w:val="none"/>
                    </w:rPr>
                  </w:pPr>
                  <w:r>
                    <w:rPr>
                      <w:color w:val="auto"/>
                      <w:sz w:val="21"/>
                      <w:szCs w:val="21"/>
                      <w:highlight w:val="none"/>
                    </w:rPr>
                    <w:t>万个/a</w:t>
                  </w:r>
                </w:p>
              </w:tc>
              <w:tc>
                <w:tcPr>
                  <w:tcW w:w="1211" w:type="dxa"/>
                  <w:vAlign w:val="center"/>
                </w:tcPr>
                <w:p w14:paraId="4510A726">
                  <w:pPr>
                    <w:spacing w:line="300" w:lineRule="exact"/>
                    <w:jc w:val="center"/>
                    <w:rPr>
                      <w:color w:val="auto"/>
                      <w:sz w:val="21"/>
                      <w:szCs w:val="21"/>
                      <w:highlight w:val="none"/>
                    </w:rPr>
                  </w:pPr>
                  <w:r>
                    <w:rPr>
                      <w:color w:val="auto"/>
                      <w:sz w:val="21"/>
                      <w:szCs w:val="21"/>
                      <w:highlight w:val="none"/>
                    </w:rPr>
                    <w:t>5</w:t>
                  </w:r>
                </w:p>
              </w:tc>
              <w:tc>
                <w:tcPr>
                  <w:tcW w:w="1477" w:type="dxa"/>
                  <w:tcBorders>
                    <w:right w:val="nil"/>
                  </w:tcBorders>
                  <w:vAlign w:val="center"/>
                </w:tcPr>
                <w:p w14:paraId="2AE94794">
                  <w:pPr>
                    <w:spacing w:line="300" w:lineRule="exact"/>
                    <w:jc w:val="center"/>
                    <w:rPr>
                      <w:color w:val="auto"/>
                      <w:sz w:val="21"/>
                      <w:szCs w:val="21"/>
                      <w:highlight w:val="none"/>
                    </w:rPr>
                  </w:pPr>
                  <w:r>
                    <w:rPr>
                      <w:color w:val="auto"/>
                      <w:sz w:val="21"/>
                      <w:szCs w:val="21"/>
                      <w:highlight w:val="none"/>
                    </w:rPr>
                    <w:t>1</w:t>
                  </w:r>
                </w:p>
              </w:tc>
              <w:tc>
                <w:tcPr>
                  <w:tcW w:w="1766" w:type="dxa"/>
                  <w:tcBorders>
                    <w:right w:val="nil"/>
                  </w:tcBorders>
                </w:tcPr>
                <w:p w14:paraId="526BCC63">
                  <w:pPr>
                    <w:pStyle w:val="47"/>
                    <w:snapToGrid w:val="0"/>
                    <w:spacing w:line="288" w:lineRule="auto"/>
                    <w:rPr>
                      <w:color w:val="auto"/>
                      <w:szCs w:val="21"/>
                      <w:highlight w:val="none"/>
                    </w:rPr>
                  </w:pPr>
                  <w:r>
                    <w:rPr>
                      <w:color w:val="auto"/>
                      <w:szCs w:val="21"/>
                      <w:highlight w:val="none"/>
                    </w:rPr>
                    <w:t>外购</w:t>
                  </w:r>
                </w:p>
              </w:tc>
            </w:tr>
            <w:tr w14:paraId="5451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Height w:val="90" w:hRule="atLeast"/>
              </w:trPr>
              <w:tc>
                <w:tcPr>
                  <w:tcW w:w="747" w:type="dxa"/>
                  <w:tcBorders>
                    <w:left w:val="nil"/>
                  </w:tcBorders>
                </w:tcPr>
                <w:p w14:paraId="0ECA02A7">
                  <w:pPr>
                    <w:pStyle w:val="47"/>
                    <w:snapToGrid w:val="0"/>
                    <w:spacing w:line="288" w:lineRule="auto"/>
                    <w:rPr>
                      <w:color w:val="auto"/>
                      <w:kern w:val="0"/>
                      <w:szCs w:val="21"/>
                      <w:highlight w:val="none"/>
                    </w:rPr>
                  </w:pPr>
                  <w:r>
                    <w:rPr>
                      <w:color w:val="auto"/>
                      <w:szCs w:val="21"/>
                      <w:highlight w:val="none"/>
                    </w:rPr>
                    <w:t>8</w:t>
                  </w:r>
                </w:p>
              </w:tc>
              <w:tc>
                <w:tcPr>
                  <w:tcW w:w="1765" w:type="dxa"/>
                  <w:vAlign w:val="center"/>
                </w:tcPr>
                <w:p w14:paraId="76D46FCB">
                  <w:pPr>
                    <w:spacing w:line="240" w:lineRule="exact"/>
                    <w:jc w:val="center"/>
                    <w:rPr>
                      <w:color w:val="auto"/>
                      <w:sz w:val="21"/>
                      <w:szCs w:val="21"/>
                      <w:highlight w:val="none"/>
                    </w:rPr>
                  </w:pPr>
                  <w:r>
                    <w:rPr>
                      <w:color w:val="auto"/>
                      <w:sz w:val="21"/>
                      <w:szCs w:val="21"/>
                      <w:highlight w:val="none"/>
                    </w:rPr>
                    <w:t>油漆</w:t>
                  </w:r>
                </w:p>
              </w:tc>
              <w:tc>
                <w:tcPr>
                  <w:tcW w:w="1004" w:type="dxa"/>
                  <w:vAlign w:val="center"/>
                </w:tcPr>
                <w:p w14:paraId="4ED1C89D">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610A1144">
                  <w:pPr>
                    <w:spacing w:line="30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rPr>
                    <w:t>9</w:t>
                  </w:r>
                </w:p>
              </w:tc>
              <w:tc>
                <w:tcPr>
                  <w:tcW w:w="1477" w:type="dxa"/>
                  <w:tcBorders>
                    <w:right w:val="nil"/>
                  </w:tcBorders>
                  <w:vAlign w:val="center"/>
                </w:tcPr>
                <w:p w14:paraId="5A453C90">
                  <w:pPr>
                    <w:spacing w:line="300" w:lineRule="exact"/>
                    <w:jc w:val="center"/>
                    <w:rPr>
                      <w:color w:val="auto"/>
                      <w:sz w:val="21"/>
                      <w:szCs w:val="21"/>
                      <w:highlight w:val="none"/>
                    </w:rPr>
                  </w:pPr>
                  <w:r>
                    <w:rPr>
                      <w:color w:val="auto"/>
                      <w:sz w:val="21"/>
                      <w:szCs w:val="21"/>
                      <w:highlight w:val="none"/>
                    </w:rPr>
                    <w:t>0.1</w:t>
                  </w:r>
                </w:p>
              </w:tc>
              <w:tc>
                <w:tcPr>
                  <w:tcW w:w="1766" w:type="dxa"/>
                  <w:tcBorders>
                    <w:right w:val="nil"/>
                  </w:tcBorders>
                </w:tcPr>
                <w:p w14:paraId="2D313881">
                  <w:pPr>
                    <w:pStyle w:val="47"/>
                    <w:snapToGrid w:val="0"/>
                    <w:spacing w:line="288" w:lineRule="auto"/>
                    <w:rPr>
                      <w:color w:val="auto"/>
                      <w:szCs w:val="21"/>
                      <w:highlight w:val="none"/>
                    </w:rPr>
                  </w:pPr>
                  <w:r>
                    <w:rPr>
                      <w:color w:val="auto"/>
                      <w:szCs w:val="21"/>
                      <w:highlight w:val="none"/>
                    </w:rPr>
                    <w:t>外购</w:t>
                  </w:r>
                </w:p>
              </w:tc>
            </w:tr>
            <w:tr w14:paraId="3BA4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5575E6E6">
                  <w:pPr>
                    <w:pStyle w:val="47"/>
                    <w:snapToGrid w:val="0"/>
                    <w:spacing w:line="288" w:lineRule="auto"/>
                    <w:rPr>
                      <w:color w:val="auto"/>
                      <w:kern w:val="0"/>
                      <w:szCs w:val="21"/>
                      <w:highlight w:val="none"/>
                    </w:rPr>
                  </w:pPr>
                  <w:r>
                    <w:rPr>
                      <w:color w:val="auto"/>
                      <w:szCs w:val="21"/>
                      <w:highlight w:val="none"/>
                    </w:rPr>
                    <w:t>9</w:t>
                  </w:r>
                </w:p>
              </w:tc>
              <w:tc>
                <w:tcPr>
                  <w:tcW w:w="1765" w:type="dxa"/>
                  <w:vAlign w:val="center"/>
                </w:tcPr>
                <w:p w14:paraId="2727F1E7">
                  <w:pPr>
                    <w:spacing w:line="240" w:lineRule="exact"/>
                    <w:jc w:val="center"/>
                    <w:rPr>
                      <w:color w:val="auto"/>
                      <w:sz w:val="21"/>
                      <w:szCs w:val="21"/>
                      <w:highlight w:val="none"/>
                    </w:rPr>
                  </w:pPr>
                  <w:r>
                    <w:rPr>
                      <w:color w:val="auto"/>
                      <w:sz w:val="21"/>
                      <w:szCs w:val="21"/>
                      <w:highlight w:val="none"/>
                    </w:rPr>
                    <w:t>稀释剂</w:t>
                  </w:r>
                </w:p>
              </w:tc>
              <w:tc>
                <w:tcPr>
                  <w:tcW w:w="1004" w:type="dxa"/>
                  <w:vAlign w:val="center"/>
                </w:tcPr>
                <w:p w14:paraId="4277F76C">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0F5BAF2C">
                  <w:pPr>
                    <w:spacing w:line="30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rPr>
                    <w:t>6</w:t>
                  </w:r>
                </w:p>
              </w:tc>
              <w:tc>
                <w:tcPr>
                  <w:tcW w:w="1477" w:type="dxa"/>
                  <w:tcBorders>
                    <w:right w:val="nil"/>
                  </w:tcBorders>
                  <w:vAlign w:val="center"/>
                </w:tcPr>
                <w:p w14:paraId="4B5BE2A8">
                  <w:pPr>
                    <w:spacing w:line="300" w:lineRule="exact"/>
                    <w:jc w:val="center"/>
                    <w:rPr>
                      <w:color w:val="auto"/>
                      <w:sz w:val="21"/>
                      <w:szCs w:val="21"/>
                      <w:highlight w:val="none"/>
                    </w:rPr>
                  </w:pPr>
                  <w:r>
                    <w:rPr>
                      <w:color w:val="auto"/>
                      <w:sz w:val="21"/>
                      <w:szCs w:val="21"/>
                      <w:highlight w:val="none"/>
                    </w:rPr>
                    <w:t>0.2</w:t>
                  </w:r>
                </w:p>
              </w:tc>
              <w:tc>
                <w:tcPr>
                  <w:tcW w:w="1766" w:type="dxa"/>
                  <w:tcBorders>
                    <w:right w:val="nil"/>
                  </w:tcBorders>
                </w:tcPr>
                <w:p w14:paraId="1F131F4D">
                  <w:pPr>
                    <w:pStyle w:val="47"/>
                    <w:snapToGrid w:val="0"/>
                    <w:spacing w:line="288" w:lineRule="auto"/>
                    <w:rPr>
                      <w:color w:val="auto"/>
                      <w:szCs w:val="21"/>
                      <w:highlight w:val="none"/>
                    </w:rPr>
                  </w:pPr>
                  <w:r>
                    <w:rPr>
                      <w:color w:val="auto"/>
                      <w:szCs w:val="21"/>
                      <w:highlight w:val="none"/>
                    </w:rPr>
                    <w:t>外购</w:t>
                  </w:r>
                </w:p>
              </w:tc>
            </w:tr>
            <w:tr w14:paraId="0BB6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30B84F43">
                  <w:pPr>
                    <w:pStyle w:val="47"/>
                    <w:snapToGrid w:val="0"/>
                    <w:spacing w:line="288" w:lineRule="auto"/>
                    <w:rPr>
                      <w:color w:val="auto"/>
                      <w:kern w:val="0"/>
                      <w:szCs w:val="21"/>
                      <w:highlight w:val="none"/>
                    </w:rPr>
                  </w:pPr>
                  <w:r>
                    <w:rPr>
                      <w:color w:val="auto"/>
                      <w:szCs w:val="21"/>
                      <w:highlight w:val="none"/>
                    </w:rPr>
                    <w:t>10</w:t>
                  </w:r>
                </w:p>
              </w:tc>
              <w:tc>
                <w:tcPr>
                  <w:tcW w:w="1765" w:type="dxa"/>
                  <w:vAlign w:val="center"/>
                </w:tcPr>
                <w:p w14:paraId="29C583B3">
                  <w:pPr>
                    <w:spacing w:line="240" w:lineRule="exact"/>
                    <w:jc w:val="center"/>
                    <w:rPr>
                      <w:color w:val="auto"/>
                      <w:sz w:val="21"/>
                      <w:szCs w:val="21"/>
                      <w:highlight w:val="none"/>
                    </w:rPr>
                  </w:pPr>
                  <w:r>
                    <w:rPr>
                      <w:rFonts w:hint="eastAsia"/>
                      <w:color w:val="auto"/>
                      <w:sz w:val="21"/>
                      <w:szCs w:val="21"/>
                      <w:highlight w:val="none"/>
                    </w:rPr>
                    <w:t>固化剂</w:t>
                  </w:r>
                </w:p>
              </w:tc>
              <w:tc>
                <w:tcPr>
                  <w:tcW w:w="1004" w:type="dxa"/>
                  <w:vAlign w:val="center"/>
                </w:tcPr>
                <w:p w14:paraId="195A3303">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3463AA6B">
                  <w:pPr>
                    <w:spacing w:line="300" w:lineRule="exact"/>
                    <w:jc w:val="center"/>
                    <w:rPr>
                      <w:color w:val="auto"/>
                      <w:sz w:val="21"/>
                      <w:szCs w:val="21"/>
                      <w:highlight w:val="none"/>
                    </w:rPr>
                  </w:pPr>
                  <w:r>
                    <w:rPr>
                      <w:rFonts w:hint="eastAsia"/>
                      <w:color w:val="auto"/>
                      <w:sz w:val="21"/>
                      <w:szCs w:val="21"/>
                      <w:highlight w:val="none"/>
                    </w:rPr>
                    <w:t>0.3</w:t>
                  </w:r>
                </w:p>
              </w:tc>
              <w:tc>
                <w:tcPr>
                  <w:tcW w:w="1477" w:type="dxa"/>
                  <w:tcBorders>
                    <w:right w:val="nil"/>
                  </w:tcBorders>
                  <w:vAlign w:val="center"/>
                </w:tcPr>
                <w:p w14:paraId="6E8DAAC7">
                  <w:pPr>
                    <w:spacing w:line="300" w:lineRule="exact"/>
                    <w:jc w:val="center"/>
                    <w:rPr>
                      <w:color w:val="auto"/>
                      <w:sz w:val="21"/>
                      <w:szCs w:val="21"/>
                      <w:highlight w:val="none"/>
                    </w:rPr>
                  </w:pPr>
                  <w:r>
                    <w:rPr>
                      <w:rFonts w:hint="eastAsia"/>
                      <w:color w:val="auto"/>
                      <w:sz w:val="21"/>
                      <w:szCs w:val="21"/>
                      <w:highlight w:val="none"/>
                    </w:rPr>
                    <w:t>0.05</w:t>
                  </w:r>
                </w:p>
              </w:tc>
              <w:tc>
                <w:tcPr>
                  <w:tcW w:w="1766" w:type="dxa"/>
                  <w:tcBorders>
                    <w:right w:val="nil"/>
                  </w:tcBorders>
                </w:tcPr>
                <w:p w14:paraId="4BDD8150">
                  <w:pPr>
                    <w:pStyle w:val="47"/>
                    <w:snapToGrid w:val="0"/>
                    <w:spacing w:line="288" w:lineRule="auto"/>
                    <w:rPr>
                      <w:color w:val="auto"/>
                      <w:szCs w:val="21"/>
                      <w:highlight w:val="none"/>
                    </w:rPr>
                  </w:pPr>
                  <w:r>
                    <w:rPr>
                      <w:color w:val="auto"/>
                      <w:szCs w:val="21"/>
                      <w:highlight w:val="none"/>
                    </w:rPr>
                    <w:t>外购</w:t>
                  </w:r>
                </w:p>
              </w:tc>
            </w:tr>
            <w:tr w14:paraId="0FA2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7CC9E372">
                  <w:pPr>
                    <w:pStyle w:val="47"/>
                    <w:snapToGrid w:val="0"/>
                    <w:spacing w:line="288" w:lineRule="auto"/>
                    <w:rPr>
                      <w:color w:val="auto"/>
                      <w:kern w:val="0"/>
                      <w:szCs w:val="21"/>
                      <w:highlight w:val="none"/>
                    </w:rPr>
                  </w:pPr>
                  <w:r>
                    <w:rPr>
                      <w:color w:val="auto"/>
                      <w:szCs w:val="21"/>
                      <w:highlight w:val="none"/>
                    </w:rPr>
                    <w:t>11</w:t>
                  </w:r>
                </w:p>
              </w:tc>
              <w:tc>
                <w:tcPr>
                  <w:tcW w:w="1765" w:type="dxa"/>
                  <w:vAlign w:val="center"/>
                </w:tcPr>
                <w:p w14:paraId="68279010">
                  <w:pPr>
                    <w:spacing w:line="240" w:lineRule="exact"/>
                    <w:jc w:val="center"/>
                    <w:rPr>
                      <w:color w:val="auto"/>
                      <w:sz w:val="21"/>
                      <w:szCs w:val="21"/>
                      <w:highlight w:val="none"/>
                    </w:rPr>
                  </w:pPr>
                  <w:r>
                    <w:rPr>
                      <w:color w:val="auto"/>
                      <w:sz w:val="21"/>
                      <w:szCs w:val="21"/>
                      <w:highlight w:val="none"/>
                    </w:rPr>
                    <w:t>铝材</w:t>
                  </w:r>
                </w:p>
              </w:tc>
              <w:tc>
                <w:tcPr>
                  <w:tcW w:w="1004" w:type="dxa"/>
                  <w:vAlign w:val="center"/>
                </w:tcPr>
                <w:p w14:paraId="50CE9532">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203E81C6">
                  <w:pPr>
                    <w:spacing w:line="300" w:lineRule="exact"/>
                    <w:jc w:val="center"/>
                    <w:rPr>
                      <w:color w:val="auto"/>
                      <w:sz w:val="21"/>
                      <w:szCs w:val="21"/>
                      <w:highlight w:val="none"/>
                    </w:rPr>
                  </w:pPr>
                  <w:r>
                    <w:rPr>
                      <w:color w:val="auto"/>
                      <w:sz w:val="21"/>
                      <w:szCs w:val="21"/>
                      <w:highlight w:val="none"/>
                    </w:rPr>
                    <w:t>30</w:t>
                  </w:r>
                </w:p>
              </w:tc>
              <w:tc>
                <w:tcPr>
                  <w:tcW w:w="1477" w:type="dxa"/>
                  <w:tcBorders>
                    <w:right w:val="nil"/>
                  </w:tcBorders>
                  <w:vAlign w:val="center"/>
                </w:tcPr>
                <w:p w14:paraId="19053DE8">
                  <w:pPr>
                    <w:spacing w:line="300" w:lineRule="exact"/>
                    <w:jc w:val="center"/>
                    <w:rPr>
                      <w:color w:val="auto"/>
                      <w:sz w:val="21"/>
                      <w:szCs w:val="21"/>
                      <w:highlight w:val="none"/>
                    </w:rPr>
                  </w:pPr>
                  <w:r>
                    <w:rPr>
                      <w:color w:val="auto"/>
                      <w:sz w:val="21"/>
                      <w:szCs w:val="21"/>
                      <w:highlight w:val="none"/>
                    </w:rPr>
                    <w:t>5</w:t>
                  </w:r>
                </w:p>
              </w:tc>
              <w:tc>
                <w:tcPr>
                  <w:tcW w:w="1766" w:type="dxa"/>
                  <w:tcBorders>
                    <w:right w:val="nil"/>
                  </w:tcBorders>
                </w:tcPr>
                <w:p w14:paraId="7924B0DD">
                  <w:pPr>
                    <w:pStyle w:val="47"/>
                    <w:snapToGrid w:val="0"/>
                    <w:spacing w:line="288" w:lineRule="auto"/>
                    <w:rPr>
                      <w:color w:val="auto"/>
                      <w:szCs w:val="21"/>
                      <w:highlight w:val="none"/>
                    </w:rPr>
                  </w:pPr>
                  <w:r>
                    <w:rPr>
                      <w:color w:val="auto"/>
                      <w:szCs w:val="21"/>
                      <w:highlight w:val="none"/>
                    </w:rPr>
                    <w:t>外购</w:t>
                  </w:r>
                </w:p>
              </w:tc>
            </w:tr>
            <w:tr w14:paraId="34D0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5626EDC3">
                  <w:pPr>
                    <w:pStyle w:val="47"/>
                    <w:snapToGrid w:val="0"/>
                    <w:spacing w:line="288" w:lineRule="auto"/>
                    <w:rPr>
                      <w:color w:val="auto"/>
                      <w:kern w:val="0"/>
                      <w:szCs w:val="21"/>
                      <w:highlight w:val="none"/>
                    </w:rPr>
                  </w:pPr>
                  <w:r>
                    <w:rPr>
                      <w:color w:val="auto"/>
                      <w:szCs w:val="21"/>
                      <w:highlight w:val="none"/>
                    </w:rPr>
                    <w:t>12</w:t>
                  </w:r>
                </w:p>
              </w:tc>
              <w:tc>
                <w:tcPr>
                  <w:tcW w:w="1765" w:type="dxa"/>
                  <w:vAlign w:val="center"/>
                </w:tcPr>
                <w:p w14:paraId="2E7C2ADB">
                  <w:pPr>
                    <w:spacing w:line="240" w:lineRule="exact"/>
                    <w:jc w:val="center"/>
                    <w:rPr>
                      <w:color w:val="auto"/>
                      <w:sz w:val="21"/>
                      <w:szCs w:val="21"/>
                      <w:highlight w:val="none"/>
                    </w:rPr>
                  </w:pPr>
                  <w:r>
                    <w:rPr>
                      <w:color w:val="auto"/>
                      <w:sz w:val="21"/>
                      <w:szCs w:val="21"/>
                      <w:highlight w:val="none"/>
                    </w:rPr>
                    <w:t>焊丝</w:t>
                  </w:r>
                </w:p>
              </w:tc>
              <w:tc>
                <w:tcPr>
                  <w:tcW w:w="1004" w:type="dxa"/>
                  <w:vAlign w:val="center"/>
                </w:tcPr>
                <w:p w14:paraId="6C84E54E">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415DC1B2">
                  <w:pPr>
                    <w:spacing w:line="300" w:lineRule="exact"/>
                    <w:jc w:val="center"/>
                    <w:rPr>
                      <w:color w:val="auto"/>
                      <w:sz w:val="21"/>
                      <w:szCs w:val="21"/>
                      <w:highlight w:val="none"/>
                    </w:rPr>
                  </w:pPr>
                  <w:r>
                    <w:rPr>
                      <w:color w:val="auto"/>
                      <w:sz w:val="21"/>
                      <w:szCs w:val="21"/>
                      <w:highlight w:val="none"/>
                    </w:rPr>
                    <w:t>0.05</w:t>
                  </w:r>
                </w:p>
              </w:tc>
              <w:tc>
                <w:tcPr>
                  <w:tcW w:w="1477" w:type="dxa"/>
                  <w:tcBorders>
                    <w:right w:val="nil"/>
                  </w:tcBorders>
                  <w:vAlign w:val="center"/>
                </w:tcPr>
                <w:p w14:paraId="44DC93EB">
                  <w:pPr>
                    <w:spacing w:line="300" w:lineRule="exact"/>
                    <w:jc w:val="center"/>
                    <w:rPr>
                      <w:color w:val="auto"/>
                      <w:sz w:val="21"/>
                      <w:szCs w:val="21"/>
                      <w:highlight w:val="none"/>
                    </w:rPr>
                  </w:pPr>
                  <w:r>
                    <w:rPr>
                      <w:color w:val="auto"/>
                      <w:sz w:val="21"/>
                      <w:szCs w:val="21"/>
                      <w:highlight w:val="none"/>
                    </w:rPr>
                    <w:t>0.2</w:t>
                  </w:r>
                </w:p>
              </w:tc>
              <w:tc>
                <w:tcPr>
                  <w:tcW w:w="1766" w:type="dxa"/>
                  <w:tcBorders>
                    <w:right w:val="nil"/>
                  </w:tcBorders>
                </w:tcPr>
                <w:p w14:paraId="5D23786F">
                  <w:pPr>
                    <w:pStyle w:val="47"/>
                    <w:snapToGrid w:val="0"/>
                    <w:spacing w:line="288" w:lineRule="auto"/>
                    <w:rPr>
                      <w:color w:val="auto"/>
                      <w:szCs w:val="21"/>
                      <w:highlight w:val="none"/>
                    </w:rPr>
                  </w:pPr>
                  <w:r>
                    <w:rPr>
                      <w:color w:val="auto"/>
                      <w:szCs w:val="21"/>
                      <w:highlight w:val="none"/>
                    </w:rPr>
                    <w:t>外购</w:t>
                  </w:r>
                </w:p>
              </w:tc>
            </w:tr>
            <w:tr w14:paraId="0CA3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2F8B0AF2">
                  <w:pPr>
                    <w:pStyle w:val="47"/>
                    <w:snapToGrid w:val="0"/>
                    <w:spacing w:line="288" w:lineRule="auto"/>
                    <w:rPr>
                      <w:color w:val="auto"/>
                      <w:kern w:val="0"/>
                      <w:szCs w:val="21"/>
                      <w:highlight w:val="none"/>
                    </w:rPr>
                  </w:pPr>
                  <w:r>
                    <w:rPr>
                      <w:color w:val="auto"/>
                      <w:szCs w:val="21"/>
                      <w:highlight w:val="none"/>
                    </w:rPr>
                    <w:t>13</w:t>
                  </w:r>
                </w:p>
              </w:tc>
              <w:tc>
                <w:tcPr>
                  <w:tcW w:w="1765" w:type="dxa"/>
                  <w:vAlign w:val="center"/>
                </w:tcPr>
                <w:p w14:paraId="042FB544">
                  <w:pPr>
                    <w:spacing w:line="240" w:lineRule="exact"/>
                    <w:jc w:val="center"/>
                    <w:rPr>
                      <w:color w:val="auto"/>
                      <w:sz w:val="21"/>
                      <w:szCs w:val="21"/>
                      <w:highlight w:val="none"/>
                    </w:rPr>
                  </w:pPr>
                  <w:r>
                    <w:rPr>
                      <w:color w:val="auto"/>
                      <w:sz w:val="21"/>
                      <w:szCs w:val="21"/>
                      <w:highlight w:val="none"/>
                    </w:rPr>
                    <w:t>玻璃胶</w:t>
                  </w:r>
                </w:p>
              </w:tc>
              <w:tc>
                <w:tcPr>
                  <w:tcW w:w="1004" w:type="dxa"/>
                  <w:vAlign w:val="center"/>
                </w:tcPr>
                <w:p w14:paraId="3549B2E4">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6760AFB7">
                  <w:pPr>
                    <w:spacing w:line="300" w:lineRule="exact"/>
                    <w:jc w:val="center"/>
                    <w:rPr>
                      <w:color w:val="auto"/>
                      <w:sz w:val="21"/>
                      <w:szCs w:val="21"/>
                      <w:highlight w:val="none"/>
                    </w:rPr>
                  </w:pPr>
                  <w:r>
                    <w:rPr>
                      <w:color w:val="auto"/>
                      <w:sz w:val="21"/>
                      <w:szCs w:val="21"/>
                      <w:highlight w:val="none"/>
                    </w:rPr>
                    <w:t>1</w:t>
                  </w:r>
                </w:p>
              </w:tc>
              <w:tc>
                <w:tcPr>
                  <w:tcW w:w="1477" w:type="dxa"/>
                  <w:tcBorders>
                    <w:right w:val="nil"/>
                  </w:tcBorders>
                  <w:vAlign w:val="center"/>
                </w:tcPr>
                <w:p w14:paraId="0341E5FD">
                  <w:pPr>
                    <w:spacing w:line="300" w:lineRule="exact"/>
                    <w:jc w:val="center"/>
                    <w:rPr>
                      <w:color w:val="auto"/>
                      <w:sz w:val="21"/>
                      <w:szCs w:val="21"/>
                      <w:highlight w:val="none"/>
                    </w:rPr>
                  </w:pPr>
                  <w:r>
                    <w:rPr>
                      <w:color w:val="auto"/>
                      <w:sz w:val="21"/>
                      <w:szCs w:val="21"/>
                      <w:highlight w:val="none"/>
                    </w:rPr>
                    <w:t>0.2</w:t>
                  </w:r>
                </w:p>
              </w:tc>
              <w:tc>
                <w:tcPr>
                  <w:tcW w:w="1766" w:type="dxa"/>
                  <w:tcBorders>
                    <w:right w:val="nil"/>
                  </w:tcBorders>
                </w:tcPr>
                <w:p w14:paraId="1220BA9C">
                  <w:pPr>
                    <w:pStyle w:val="47"/>
                    <w:snapToGrid w:val="0"/>
                    <w:spacing w:line="288" w:lineRule="auto"/>
                    <w:rPr>
                      <w:color w:val="auto"/>
                      <w:szCs w:val="21"/>
                      <w:highlight w:val="none"/>
                    </w:rPr>
                  </w:pPr>
                  <w:r>
                    <w:rPr>
                      <w:color w:val="auto"/>
                      <w:szCs w:val="21"/>
                      <w:highlight w:val="none"/>
                    </w:rPr>
                    <w:t>外购</w:t>
                  </w:r>
                </w:p>
              </w:tc>
            </w:tr>
            <w:tr w14:paraId="31CD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75FD11B2">
                  <w:pPr>
                    <w:pStyle w:val="47"/>
                    <w:snapToGrid w:val="0"/>
                    <w:spacing w:line="288" w:lineRule="auto"/>
                    <w:rPr>
                      <w:rFonts w:hint="eastAsia" w:eastAsia="宋体"/>
                      <w:color w:val="auto"/>
                      <w:szCs w:val="21"/>
                      <w:highlight w:val="none"/>
                      <w:lang w:eastAsia="zh-CN"/>
                    </w:rPr>
                  </w:pPr>
                  <w:r>
                    <w:rPr>
                      <w:color w:val="auto"/>
                      <w:szCs w:val="21"/>
                      <w:highlight w:val="none"/>
                    </w:rPr>
                    <w:t>1</w:t>
                  </w:r>
                  <w:r>
                    <w:rPr>
                      <w:rFonts w:hint="eastAsia"/>
                      <w:color w:val="auto"/>
                      <w:szCs w:val="21"/>
                      <w:highlight w:val="none"/>
                      <w:lang w:val="en-US" w:eastAsia="zh-CN"/>
                    </w:rPr>
                    <w:t>4</w:t>
                  </w:r>
                </w:p>
              </w:tc>
              <w:tc>
                <w:tcPr>
                  <w:tcW w:w="1765" w:type="dxa"/>
                  <w:vAlign w:val="center"/>
                </w:tcPr>
                <w:p w14:paraId="089CC51D">
                  <w:pPr>
                    <w:spacing w:line="240" w:lineRule="exact"/>
                    <w:jc w:val="center"/>
                    <w:rPr>
                      <w:color w:val="auto"/>
                      <w:sz w:val="21"/>
                      <w:szCs w:val="21"/>
                      <w:highlight w:val="none"/>
                    </w:rPr>
                  </w:pPr>
                  <w:r>
                    <w:rPr>
                      <w:color w:val="auto"/>
                      <w:sz w:val="21"/>
                      <w:szCs w:val="21"/>
                      <w:highlight w:val="none"/>
                    </w:rPr>
                    <w:t>水性漆</w:t>
                  </w:r>
                </w:p>
              </w:tc>
              <w:tc>
                <w:tcPr>
                  <w:tcW w:w="1004" w:type="dxa"/>
                  <w:vAlign w:val="center"/>
                </w:tcPr>
                <w:p w14:paraId="0142AF4C">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764BAE34">
                  <w:pPr>
                    <w:spacing w:line="300" w:lineRule="exact"/>
                    <w:jc w:val="center"/>
                    <w:rPr>
                      <w:color w:val="auto"/>
                      <w:sz w:val="21"/>
                      <w:szCs w:val="21"/>
                      <w:highlight w:val="none"/>
                    </w:rPr>
                  </w:pPr>
                  <w:r>
                    <w:rPr>
                      <w:color w:val="auto"/>
                      <w:sz w:val="21"/>
                      <w:szCs w:val="21"/>
                      <w:highlight w:val="none"/>
                    </w:rPr>
                    <w:t>0.8</w:t>
                  </w:r>
                </w:p>
              </w:tc>
              <w:tc>
                <w:tcPr>
                  <w:tcW w:w="1477" w:type="dxa"/>
                  <w:tcBorders>
                    <w:right w:val="nil"/>
                  </w:tcBorders>
                  <w:vAlign w:val="center"/>
                </w:tcPr>
                <w:p w14:paraId="5066F88D">
                  <w:pPr>
                    <w:spacing w:line="300" w:lineRule="exact"/>
                    <w:jc w:val="center"/>
                    <w:rPr>
                      <w:color w:val="auto"/>
                      <w:sz w:val="21"/>
                      <w:szCs w:val="21"/>
                      <w:highlight w:val="none"/>
                    </w:rPr>
                  </w:pPr>
                  <w:r>
                    <w:rPr>
                      <w:color w:val="auto"/>
                      <w:sz w:val="21"/>
                      <w:szCs w:val="21"/>
                      <w:highlight w:val="none"/>
                    </w:rPr>
                    <w:t>0.1</w:t>
                  </w:r>
                </w:p>
              </w:tc>
              <w:tc>
                <w:tcPr>
                  <w:tcW w:w="1766" w:type="dxa"/>
                  <w:tcBorders>
                    <w:right w:val="nil"/>
                  </w:tcBorders>
                </w:tcPr>
                <w:p w14:paraId="195A21C0">
                  <w:pPr>
                    <w:pStyle w:val="47"/>
                    <w:snapToGrid w:val="0"/>
                    <w:spacing w:line="288" w:lineRule="auto"/>
                    <w:rPr>
                      <w:color w:val="auto"/>
                      <w:szCs w:val="21"/>
                      <w:highlight w:val="none"/>
                    </w:rPr>
                  </w:pPr>
                  <w:r>
                    <w:rPr>
                      <w:color w:val="auto"/>
                      <w:szCs w:val="21"/>
                      <w:highlight w:val="none"/>
                    </w:rPr>
                    <w:t>外购</w:t>
                  </w:r>
                </w:p>
              </w:tc>
            </w:tr>
            <w:tr w14:paraId="1779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34796702">
                  <w:pPr>
                    <w:pStyle w:val="47"/>
                    <w:snapToGrid w:val="0"/>
                    <w:spacing w:line="288" w:lineRule="auto"/>
                    <w:rPr>
                      <w:rFonts w:hint="eastAsia" w:eastAsia="宋体"/>
                      <w:color w:val="auto"/>
                      <w:szCs w:val="21"/>
                      <w:highlight w:val="none"/>
                      <w:lang w:eastAsia="zh-CN"/>
                    </w:rPr>
                  </w:pPr>
                  <w:r>
                    <w:rPr>
                      <w:rFonts w:hint="eastAsia"/>
                      <w:color w:val="auto"/>
                      <w:szCs w:val="21"/>
                      <w:highlight w:val="none"/>
                    </w:rPr>
                    <w:t>1</w:t>
                  </w:r>
                  <w:r>
                    <w:rPr>
                      <w:rFonts w:hint="eastAsia"/>
                      <w:color w:val="auto"/>
                      <w:szCs w:val="21"/>
                      <w:highlight w:val="none"/>
                      <w:lang w:val="en-US" w:eastAsia="zh-CN"/>
                    </w:rPr>
                    <w:t>5</w:t>
                  </w:r>
                </w:p>
              </w:tc>
              <w:tc>
                <w:tcPr>
                  <w:tcW w:w="1765" w:type="dxa"/>
                  <w:vAlign w:val="center"/>
                </w:tcPr>
                <w:p w14:paraId="307182A8">
                  <w:pPr>
                    <w:spacing w:line="240" w:lineRule="exact"/>
                    <w:jc w:val="center"/>
                    <w:rPr>
                      <w:color w:val="auto"/>
                      <w:sz w:val="21"/>
                      <w:szCs w:val="21"/>
                      <w:highlight w:val="none"/>
                    </w:rPr>
                  </w:pPr>
                  <w:r>
                    <w:rPr>
                      <w:rFonts w:hint="eastAsia"/>
                      <w:color w:val="auto"/>
                      <w:sz w:val="21"/>
                      <w:szCs w:val="21"/>
                      <w:highlight w:val="none"/>
                    </w:rPr>
                    <w:t>UV油墨</w:t>
                  </w:r>
                </w:p>
              </w:tc>
              <w:tc>
                <w:tcPr>
                  <w:tcW w:w="1004" w:type="dxa"/>
                  <w:vAlign w:val="center"/>
                </w:tcPr>
                <w:p w14:paraId="0DAE3316">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6EEA947A">
                  <w:pPr>
                    <w:spacing w:line="300" w:lineRule="exact"/>
                    <w:jc w:val="center"/>
                    <w:rPr>
                      <w:color w:val="auto"/>
                      <w:sz w:val="21"/>
                      <w:szCs w:val="21"/>
                      <w:highlight w:val="none"/>
                    </w:rPr>
                  </w:pPr>
                  <w:r>
                    <w:rPr>
                      <w:rFonts w:hint="eastAsia"/>
                      <w:color w:val="auto"/>
                      <w:sz w:val="21"/>
                      <w:szCs w:val="21"/>
                      <w:highlight w:val="none"/>
                    </w:rPr>
                    <w:t>0.16</w:t>
                  </w:r>
                </w:p>
              </w:tc>
              <w:tc>
                <w:tcPr>
                  <w:tcW w:w="1477" w:type="dxa"/>
                  <w:tcBorders>
                    <w:right w:val="nil"/>
                  </w:tcBorders>
                  <w:vAlign w:val="center"/>
                </w:tcPr>
                <w:p w14:paraId="384F0315">
                  <w:pPr>
                    <w:spacing w:line="300" w:lineRule="exact"/>
                    <w:jc w:val="center"/>
                    <w:rPr>
                      <w:color w:val="auto"/>
                      <w:sz w:val="21"/>
                      <w:szCs w:val="21"/>
                      <w:highlight w:val="none"/>
                    </w:rPr>
                  </w:pPr>
                  <w:r>
                    <w:rPr>
                      <w:rFonts w:hint="eastAsia"/>
                      <w:color w:val="auto"/>
                      <w:sz w:val="21"/>
                      <w:szCs w:val="21"/>
                      <w:highlight w:val="none"/>
                    </w:rPr>
                    <w:t>0.02</w:t>
                  </w:r>
                </w:p>
              </w:tc>
              <w:tc>
                <w:tcPr>
                  <w:tcW w:w="1766" w:type="dxa"/>
                  <w:tcBorders>
                    <w:right w:val="nil"/>
                  </w:tcBorders>
                </w:tcPr>
                <w:p w14:paraId="4A3612B9">
                  <w:pPr>
                    <w:pStyle w:val="47"/>
                    <w:snapToGrid w:val="0"/>
                    <w:spacing w:line="288" w:lineRule="auto"/>
                    <w:rPr>
                      <w:color w:val="auto"/>
                      <w:szCs w:val="21"/>
                      <w:highlight w:val="none"/>
                    </w:rPr>
                  </w:pPr>
                  <w:r>
                    <w:rPr>
                      <w:color w:val="auto"/>
                      <w:szCs w:val="21"/>
                      <w:highlight w:val="none"/>
                    </w:rPr>
                    <w:t>外购</w:t>
                  </w:r>
                </w:p>
              </w:tc>
            </w:tr>
            <w:tr w14:paraId="5297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1AAA1A90">
                  <w:pPr>
                    <w:pStyle w:val="47"/>
                    <w:snapToGrid w:val="0"/>
                    <w:spacing w:line="288" w:lineRule="auto"/>
                    <w:rPr>
                      <w:rFonts w:hint="eastAsia" w:eastAsia="宋体"/>
                      <w:color w:val="auto"/>
                      <w:szCs w:val="21"/>
                      <w:highlight w:val="none"/>
                      <w:lang w:eastAsia="zh-CN"/>
                    </w:rPr>
                  </w:pPr>
                  <w:r>
                    <w:rPr>
                      <w:rFonts w:hint="eastAsia"/>
                      <w:color w:val="auto"/>
                      <w:szCs w:val="21"/>
                      <w:highlight w:val="none"/>
                    </w:rPr>
                    <w:t>1</w:t>
                  </w:r>
                  <w:r>
                    <w:rPr>
                      <w:rFonts w:hint="eastAsia"/>
                      <w:color w:val="auto"/>
                      <w:szCs w:val="21"/>
                      <w:highlight w:val="none"/>
                      <w:lang w:val="en-US" w:eastAsia="zh-CN"/>
                    </w:rPr>
                    <w:t>6</w:t>
                  </w:r>
                </w:p>
              </w:tc>
              <w:tc>
                <w:tcPr>
                  <w:tcW w:w="1765" w:type="dxa"/>
                  <w:vAlign w:val="center"/>
                </w:tcPr>
                <w:p w14:paraId="0AC9C1CF">
                  <w:pPr>
                    <w:spacing w:line="240" w:lineRule="exact"/>
                    <w:jc w:val="center"/>
                    <w:rPr>
                      <w:color w:val="auto"/>
                      <w:sz w:val="21"/>
                      <w:szCs w:val="21"/>
                      <w:highlight w:val="none"/>
                    </w:rPr>
                  </w:pPr>
                  <w:r>
                    <w:rPr>
                      <w:rFonts w:hint="eastAsia"/>
                      <w:color w:val="auto"/>
                      <w:sz w:val="21"/>
                      <w:szCs w:val="21"/>
                      <w:highlight w:val="none"/>
                    </w:rPr>
                    <w:t>酒精（75%）</w:t>
                  </w:r>
                </w:p>
              </w:tc>
              <w:tc>
                <w:tcPr>
                  <w:tcW w:w="1004" w:type="dxa"/>
                  <w:vAlign w:val="center"/>
                </w:tcPr>
                <w:p w14:paraId="791CDE37">
                  <w:pPr>
                    <w:spacing w:line="300" w:lineRule="exact"/>
                    <w:jc w:val="center"/>
                    <w:rPr>
                      <w:color w:val="auto"/>
                      <w:sz w:val="21"/>
                      <w:szCs w:val="21"/>
                      <w:highlight w:val="none"/>
                    </w:rPr>
                  </w:pPr>
                  <w:r>
                    <w:rPr>
                      <w:color w:val="auto"/>
                      <w:sz w:val="21"/>
                      <w:szCs w:val="21"/>
                      <w:highlight w:val="none"/>
                    </w:rPr>
                    <w:t>t/a</w:t>
                  </w:r>
                </w:p>
              </w:tc>
              <w:tc>
                <w:tcPr>
                  <w:tcW w:w="1211" w:type="dxa"/>
                  <w:vAlign w:val="center"/>
                </w:tcPr>
                <w:p w14:paraId="6385D0C6">
                  <w:pPr>
                    <w:spacing w:line="300" w:lineRule="exact"/>
                    <w:jc w:val="center"/>
                    <w:rPr>
                      <w:color w:val="auto"/>
                      <w:sz w:val="21"/>
                      <w:szCs w:val="21"/>
                      <w:highlight w:val="none"/>
                    </w:rPr>
                  </w:pPr>
                  <w:r>
                    <w:rPr>
                      <w:rFonts w:hint="eastAsia"/>
                      <w:color w:val="auto"/>
                      <w:sz w:val="21"/>
                      <w:szCs w:val="21"/>
                      <w:highlight w:val="none"/>
                    </w:rPr>
                    <w:t>0.005</w:t>
                  </w:r>
                </w:p>
              </w:tc>
              <w:tc>
                <w:tcPr>
                  <w:tcW w:w="1477" w:type="dxa"/>
                  <w:tcBorders>
                    <w:right w:val="nil"/>
                  </w:tcBorders>
                  <w:vAlign w:val="center"/>
                </w:tcPr>
                <w:p w14:paraId="1FA7323E">
                  <w:pPr>
                    <w:spacing w:line="300" w:lineRule="exact"/>
                    <w:jc w:val="center"/>
                    <w:rPr>
                      <w:color w:val="auto"/>
                      <w:sz w:val="21"/>
                      <w:szCs w:val="21"/>
                      <w:highlight w:val="none"/>
                    </w:rPr>
                  </w:pPr>
                  <w:r>
                    <w:rPr>
                      <w:rFonts w:hint="eastAsia"/>
                      <w:color w:val="auto"/>
                      <w:sz w:val="21"/>
                      <w:szCs w:val="21"/>
                      <w:highlight w:val="none"/>
                    </w:rPr>
                    <w:t>0.0005</w:t>
                  </w:r>
                </w:p>
              </w:tc>
              <w:tc>
                <w:tcPr>
                  <w:tcW w:w="1766" w:type="dxa"/>
                  <w:tcBorders>
                    <w:right w:val="nil"/>
                  </w:tcBorders>
                </w:tcPr>
                <w:p w14:paraId="6C3F4718">
                  <w:pPr>
                    <w:pStyle w:val="47"/>
                    <w:snapToGrid w:val="0"/>
                    <w:spacing w:line="288" w:lineRule="auto"/>
                    <w:rPr>
                      <w:color w:val="auto"/>
                      <w:szCs w:val="21"/>
                      <w:highlight w:val="none"/>
                    </w:rPr>
                  </w:pPr>
                  <w:r>
                    <w:rPr>
                      <w:rFonts w:hint="eastAsia"/>
                      <w:color w:val="auto"/>
                      <w:szCs w:val="21"/>
                      <w:highlight w:val="none"/>
                    </w:rPr>
                    <w:t>外购</w:t>
                  </w:r>
                </w:p>
              </w:tc>
            </w:tr>
            <w:tr w14:paraId="0646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0" w:type="dxa"/>
                  <w:gridSpan w:val="6"/>
                  <w:tcBorders>
                    <w:left w:val="nil"/>
                    <w:right w:val="nil"/>
                  </w:tcBorders>
                </w:tcPr>
                <w:p w14:paraId="10189D94">
                  <w:pPr>
                    <w:pStyle w:val="47"/>
                    <w:snapToGrid w:val="0"/>
                    <w:spacing w:line="288" w:lineRule="auto"/>
                    <w:rPr>
                      <w:color w:val="auto"/>
                      <w:szCs w:val="21"/>
                      <w:highlight w:val="none"/>
                    </w:rPr>
                  </w:pPr>
                </w:p>
              </w:tc>
              <w:tc>
                <w:tcPr>
                  <w:tcW w:w="916" w:type="dxa"/>
                  <w:tcBorders>
                    <w:left w:val="nil"/>
                    <w:right w:val="nil"/>
                  </w:tcBorders>
                  <w:vAlign w:val="center"/>
                </w:tcPr>
                <w:p w14:paraId="1B61E79F">
                  <w:pPr>
                    <w:spacing w:line="240" w:lineRule="exact"/>
                    <w:jc w:val="center"/>
                    <w:rPr>
                      <w:color w:val="auto"/>
                      <w:sz w:val="21"/>
                      <w:szCs w:val="21"/>
                      <w:highlight w:val="none"/>
                    </w:rPr>
                  </w:pPr>
                  <w:r>
                    <w:rPr>
                      <w:color w:val="auto"/>
                      <w:sz w:val="21"/>
                      <w:szCs w:val="21"/>
                      <w:highlight w:val="none"/>
                    </w:rPr>
                    <w:t>水性漆</w:t>
                  </w:r>
                </w:p>
              </w:tc>
              <w:tc>
                <w:tcPr>
                  <w:tcW w:w="916" w:type="dxa"/>
                  <w:tcBorders>
                    <w:left w:val="nil"/>
                    <w:right w:val="nil"/>
                  </w:tcBorders>
                </w:tcPr>
                <w:p w14:paraId="15FF82B9">
                  <w:pPr>
                    <w:spacing w:line="300" w:lineRule="exact"/>
                    <w:jc w:val="center"/>
                    <w:rPr>
                      <w:color w:val="auto"/>
                      <w:sz w:val="21"/>
                      <w:szCs w:val="21"/>
                      <w:highlight w:val="none"/>
                    </w:rPr>
                  </w:pPr>
                  <w:r>
                    <w:rPr>
                      <w:color w:val="auto"/>
                      <w:sz w:val="21"/>
                      <w:szCs w:val="21"/>
                      <w:highlight w:val="none"/>
                    </w:rPr>
                    <w:t>t/a</w:t>
                  </w:r>
                </w:p>
              </w:tc>
            </w:tr>
            <w:tr w14:paraId="561F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tcBorders>
                </w:tcPr>
                <w:p w14:paraId="63C247B6">
                  <w:pPr>
                    <w:pStyle w:val="47"/>
                    <w:snapToGrid w:val="0"/>
                    <w:spacing w:line="288" w:lineRule="auto"/>
                    <w:rPr>
                      <w:color w:val="auto"/>
                      <w:szCs w:val="21"/>
                      <w:highlight w:val="none"/>
                    </w:rPr>
                  </w:pPr>
                  <w:r>
                    <w:rPr>
                      <w:color w:val="auto"/>
                      <w:szCs w:val="21"/>
                      <w:highlight w:val="none"/>
                    </w:rPr>
                    <w:t>1</w:t>
                  </w:r>
                </w:p>
              </w:tc>
              <w:tc>
                <w:tcPr>
                  <w:tcW w:w="1765" w:type="dxa"/>
                  <w:vAlign w:val="center"/>
                </w:tcPr>
                <w:p w14:paraId="2F460B67">
                  <w:pPr>
                    <w:spacing w:line="288" w:lineRule="auto"/>
                    <w:jc w:val="center"/>
                    <w:rPr>
                      <w:color w:val="auto"/>
                      <w:sz w:val="21"/>
                      <w:szCs w:val="21"/>
                      <w:highlight w:val="none"/>
                    </w:rPr>
                  </w:pPr>
                  <w:r>
                    <w:rPr>
                      <w:color w:val="auto"/>
                      <w:sz w:val="21"/>
                      <w:szCs w:val="21"/>
                      <w:highlight w:val="none"/>
                    </w:rPr>
                    <w:t>水</w:t>
                  </w:r>
                </w:p>
              </w:tc>
              <w:tc>
                <w:tcPr>
                  <w:tcW w:w="1004" w:type="dxa"/>
                </w:tcPr>
                <w:p w14:paraId="2D3032AE">
                  <w:pPr>
                    <w:pStyle w:val="47"/>
                    <w:snapToGrid w:val="0"/>
                    <w:spacing w:line="288" w:lineRule="auto"/>
                    <w:rPr>
                      <w:color w:val="auto"/>
                      <w:szCs w:val="21"/>
                      <w:highlight w:val="none"/>
                    </w:rPr>
                  </w:pPr>
                  <w:r>
                    <w:rPr>
                      <w:color w:val="auto"/>
                      <w:szCs w:val="21"/>
                      <w:highlight w:val="none"/>
                    </w:rPr>
                    <w:t>t/a</w:t>
                  </w:r>
                </w:p>
              </w:tc>
              <w:tc>
                <w:tcPr>
                  <w:tcW w:w="1211" w:type="dxa"/>
                </w:tcPr>
                <w:p w14:paraId="2D1502E5">
                  <w:pPr>
                    <w:pStyle w:val="47"/>
                    <w:snapToGrid w:val="0"/>
                    <w:spacing w:line="288" w:lineRule="auto"/>
                    <w:rPr>
                      <w:color w:val="auto"/>
                      <w:szCs w:val="21"/>
                      <w:highlight w:val="none"/>
                    </w:rPr>
                  </w:pPr>
                  <w:r>
                    <w:rPr>
                      <w:color w:val="auto"/>
                      <w:szCs w:val="21"/>
                      <w:highlight w:val="none"/>
                    </w:rPr>
                    <w:t>100</w:t>
                  </w:r>
                </w:p>
              </w:tc>
              <w:tc>
                <w:tcPr>
                  <w:tcW w:w="1477" w:type="dxa"/>
                  <w:tcBorders>
                    <w:right w:val="nil"/>
                  </w:tcBorders>
                </w:tcPr>
                <w:p w14:paraId="1A1CE230">
                  <w:pPr>
                    <w:pStyle w:val="47"/>
                    <w:snapToGrid w:val="0"/>
                    <w:spacing w:line="288" w:lineRule="auto"/>
                    <w:rPr>
                      <w:color w:val="auto"/>
                      <w:szCs w:val="21"/>
                      <w:highlight w:val="none"/>
                    </w:rPr>
                  </w:pPr>
                  <w:r>
                    <w:rPr>
                      <w:color w:val="auto"/>
                      <w:szCs w:val="21"/>
                      <w:highlight w:val="none"/>
                    </w:rPr>
                    <w:t>/</w:t>
                  </w:r>
                </w:p>
              </w:tc>
              <w:tc>
                <w:tcPr>
                  <w:tcW w:w="1766" w:type="dxa"/>
                  <w:tcBorders>
                    <w:right w:val="nil"/>
                  </w:tcBorders>
                </w:tcPr>
                <w:p w14:paraId="611DFA7E">
                  <w:pPr>
                    <w:pStyle w:val="47"/>
                    <w:snapToGrid w:val="0"/>
                    <w:spacing w:line="288" w:lineRule="auto"/>
                    <w:rPr>
                      <w:color w:val="auto"/>
                      <w:szCs w:val="21"/>
                      <w:highlight w:val="none"/>
                    </w:rPr>
                  </w:pPr>
                  <w:r>
                    <w:rPr>
                      <w:color w:val="auto"/>
                      <w:szCs w:val="21"/>
                      <w:highlight w:val="none"/>
                    </w:rPr>
                    <w:t>接市政供水系统</w:t>
                  </w:r>
                </w:p>
              </w:tc>
            </w:tr>
            <w:tr w14:paraId="28EE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832" w:type="dxa"/>
              </w:trPr>
              <w:tc>
                <w:tcPr>
                  <w:tcW w:w="747" w:type="dxa"/>
                  <w:tcBorders>
                    <w:left w:val="nil"/>
                    <w:bottom w:val="single" w:color="auto" w:sz="12" w:space="0"/>
                  </w:tcBorders>
                </w:tcPr>
                <w:p w14:paraId="13F00D0E">
                  <w:pPr>
                    <w:pStyle w:val="47"/>
                    <w:snapToGrid w:val="0"/>
                    <w:spacing w:line="288" w:lineRule="auto"/>
                    <w:rPr>
                      <w:color w:val="auto"/>
                      <w:szCs w:val="21"/>
                      <w:highlight w:val="none"/>
                    </w:rPr>
                  </w:pPr>
                  <w:r>
                    <w:rPr>
                      <w:color w:val="auto"/>
                      <w:szCs w:val="21"/>
                      <w:highlight w:val="none"/>
                    </w:rPr>
                    <w:t>2</w:t>
                  </w:r>
                </w:p>
              </w:tc>
              <w:tc>
                <w:tcPr>
                  <w:tcW w:w="1765" w:type="dxa"/>
                  <w:tcBorders>
                    <w:bottom w:val="single" w:color="auto" w:sz="12" w:space="0"/>
                  </w:tcBorders>
                </w:tcPr>
                <w:p w14:paraId="7B318A34">
                  <w:pPr>
                    <w:pStyle w:val="47"/>
                    <w:snapToGrid w:val="0"/>
                    <w:spacing w:line="288" w:lineRule="auto"/>
                    <w:rPr>
                      <w:color w:val="auto"/>
                      <w:szCs w:val="21"/>
                      <w:highlight w:val="none"/>
                    </w:rPr>
                  </w:pPr>
                  <w:r>
                    <w:rPr>
                      <w:color w:val="auto"/>
                      <w:szCs w:val="21"/>
                      <w:highlight w:val="none"/>
                    </w:rPr>
                    <w:t>电</w:t>
                  </w:r>
                </w:p>
              </w:tc>
              <w:tc>
                <w:tcPr>
                  <w:tcW w:w="1004" w:type="dxa"/>
                  <w:tcBorders>
                    <w:bottom w:val="single" w:color="auto" w:sz="12" w:space="0"/>
                  </w:tcBorders>
                </w:tcPr>
                <w:p w14:paraId="368FEEF8">
                  <w:pPr>
                    <w:pStyle w:val="47"/>
                    <w:snapToGrid w:val="0"/>
                    <w:spacing w:line="288" w:lineRule="auto"/>
                    <w:rPr>
                      <w:color w:val="auto"/>
                      <w:szCs w:val="21"/>
                      <w:highlight w:val="none"/>
                    </w:rPr>
                  </w:pPr>
                  <w:r>
                    <w:rPr>
                      <w:color w:val="auto"/>
                      <w:szCs w:val="21"/>
                      <w:highlight w:val="none"/>
                    </w:rPr>
                    <w:t>kWh/a</w:t>
                  </w:r>
                </w:p>
              </w:tc>
              <w:tc>
                <w:tcPr>
                  <w:tcW w:w="1211" w:type="dxa"/>
                  <w:tcBorders>
                    <w:bottom w:val="single" w:color="auto" w:sz="12" w:space="0"/>
                  </w:tcBorders>
                </w:tcPr>
                <w:p w14:paraId="4ACF6028">
                  <w:pPr>
                    <w:pStyle w:val="47"/>
                    <w:snapToGrid w:val="0"/>
                    <w:spacing w:line="288" w:lineRule="auto"/>
                    <w:rPr>
                      <w:color w:val="auto"/>
                      <w:szCs w:val="21"/>
                      <w:highlight w:val="none"/>
                    </w:rPr>
                  </w:pPr>
                  <w:r>
                    <w:rPr>
                      <w:color w:val="auto"/>
                      <w:szCs w:val="21"/>
                      <w:highlight w:val="none"/>
                    </w:rPr>
                    <w:t>360000</w:t>
                  </w:r>
                </w:p>
              </w:tc>
              <w:tc>
                <w:tcPr>
                  <w:tcW w:w="1477" w:type="dxa"/>
                  <w:tcBorders>
                    <w:bottom w:val="single" w:color="auto" w:sz="12" w:space="0"/>
                    <w:right w:val="nil"/>
                  </w:tcBorders>
                </w:tcPr>
                <w:p w14:paraId="10A8C3FD">
                  <w:pPr>
                    <w:pStyle w:val="47"/>
                    <w:snapToGrid w:val="0"/>
                    <w:spacing w:line="288" w:lineRule="auto"/>
                    <w:rPr>
                      <w:color w:val="auto"/>
                      <w:szCs w:val="21"/>
                      <w:highlight w:val="none"/>
                    </w:rPr>
                  </w:pPr>
                  <w:r>
                    <w:rPr>
                      <w:color w:val="auto"/>
                      <w:szCs w:val="21"/>
                      <w:highlight w:val="none"/>
                    </w:rPr>
                    <w:t>/</w:t>
                  </w:r>
                </w:p>
              </w:tc>
              <w:tc>
                <w:tcPr>
                  <w:tcW w:w="1766" w:type="dxa"/>
                  <w:tcBorders>
                    <w:bottom w:val="single" w:color="auto" w:sz="12" w:space="0"/>
                    <w:right w:val="nil"/>
                  </w:tcBorders>
                </w:tcPr>
                <w:p w14:paraId="35737224">
                  <w:pPr>
                    <w:pStyle w:val="47"/>
                    <w:snapToGrid w:val="0"/>
                    <w:spacing w:line="288" w:lineRule="auto"/>
                    <w:rPr>
                      <w:color w:val="auto"/>
                      <w:szCs w:val="21"/>
                      <w:highlight w:val="none"/>
                    </w:rPr>
                  </w:pPr>
                  <w:r>
                    <w:rPr>
                      <w:color w:val="auto"/>
                      <w:szCs w:val="21"/>
                      <w:highlight w:val="none"/>
                    </w:rPr>
                    <w:t>接市政供电系统</w:t>
                  </w:r>
                </w:p>
              </w:tc>
            </w:tr>
          </w:tbl>
          <w:p w14:paraId="28DA36D1">
            <w:pPr>
              <w:pStyle w:val="36"/>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both"/>
              <w:textAlignment w:val="auto"/>
              <w:rPr>
                <w:rFonts w:hint="default" w:eastAsia="宋体"/>
                <w:b w:val="0"/>
                <w:bCs/>
                <w:color w:val="auto"/>
                <w:lang w:val="en-US" w:eastAsia="zh-CN"/>
              </w:rPr>
            </w:pPr>
            <w:r>
              <w:rPr>
                <w:rFonts w:hint="eastAsia"/>
                <w:b w:val="0"/>
                <w:bCs/>
                <w:color w:val="auto"/>
                <w:lang w:eastAsia="zh-CN"/>
              </w:rPr>
              <w:t>（</w:t>
            </w:r>
            <w:r>
              <w:rPr>
                <w:rFonts w:hint="eastAsia"/>
                <w:b w:val="0"/>
                <w:bCs/>
                <w:color w:val="auto"/>
                <w:lang w:val="en-US" w:eastAsia="zh-CN"/>
              </w:rPr>
              <w:t>2</w:t>
            </w:r>
            <w:r>
              <w:rPr>
                <w:rFonts w:hint="eastAsia"/>
                <w:b w:val="0"/>
                <w:bCs/>
                <w:color w:val="auto"/>
                <w:lang w:eastAsia="zh-CN"/>
              </w:rPr>
              <w:t>）</w:t>
            </w:r>
            <w:r>
              <w:rPr>
                <w:rFonts w:hint="eastAsia"/>
                <w:b w:val="0"/>
                <w:bCs/>
                <w:color w:val="auto"/>
                <w:lang w:val="en-US" w:eastAsia="zh-CN"/>
              </w:rPr>
              <w:t>理化性质情况</w:t>
            </w:r>
          </w:p>
          <w:p w14:paraId="63049CE2">
            <w:pPr>
              <w:pStyle w:val="36"/>
              <w:spacing w:before="0" w:after="0"/>
              <w:rPr>
                <w:color w:val="auto"/>
              </w:rPr>
            </w:pPr>
            <w:r>
              <w:rPr>
                <w:rFonts w:hint="eastAsia"/>
                <w:color w:val="auto"/>
              </w:rPr>
              <w:t>表2.1-6  主要原辅材料理化性质表</w:t>
            </w:r>
          </w:p>
          <w:tbl>
            <w:tblPr>
              <w:tblStyle w:val="30"/>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8"/>
              <w:gridCol w:w="7029"/>
            </w:tblGrid>
            <w:tr w14:paraId="6505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12" w:space="0"/>
                    <w:left w:val="nil"/>
                    <w:bottom w:val="single" w:color="auto" w:sz="4" w:space="0"/>
                  </w:tcBorders>
                  <w:vAlign w:val="center"/>
                </w:tcPr>
                <w:p w14:paraId="43037373">
                  <w:pPr>
                    <w:pStyle w:val="48"/>
                    <w:spacing w:before="0" w:beforeLines="0" w:after="0" w:afterLines="0" w:line="288" w:lineRule="auto"/>
                    <w:jc w:val="center"/>
                    <w:rPr>
                      <w:rFonts w:ascii="Times New Roman" w:hAnsi="Times New Roman"/>
                      <w:color w:val="auto"/>
                    </w:rPr>
                  </w:pPr>
                  <w:r>
                    <w:rPr>
                      <w:rFonts w:ascii="Times New Roman" w:hAnsi="Times New Roman"/>
                      <w:color w:val="auto"/>
                    </w:rPr>
                    <w:t>名称</w:t>
                  </w:r>
                </w:p>
              </w:tc>
              <w:tc>
                <w:tcPr>
                  <w:tcW w:w="4372" w:type="pct"/>
                  <w:tcBorders>
                    <w:top w:val="single" w:color="auto" w:sz="12" w:space="0"/>
                    <w:bottom w:val="single" w:color="auto" w:sz="4" w:space="0"/>
                    <w:right w:val="nil"/>
                  </w:tcBorders>
                  <w:vAlign w:val="center"/>
                </w:tcPr>
                <w:p w14:paraId="7670EB73">
                  <w:pPr>
                    <w:pStyle w:val="48"/>
                    <w:spacing w:before="0" w:beforeLines="0" w:after="0" w:afterLines="0" w:line="288" w:lineRule="auto"/>
                    <w:jc w:val="center"/>
                    <w:rPr>
                      <w:rFonts w:ascii="Times New Roman" w:hAnsi="Times New Roman"/>
                      <w:color w:val="auto"/>
                    </w:rPr>
                  </w:pPr>
                  <w:r>
                    <w:rPr>
                      <w:rFonts w:ascii="Times New Roman" w:hAnsi="Times New Roman"/>
                      <w:color w:val="auto"/>
                    </w:rPr>
                    <w:t>理化特性</w:t>
                  </w:r>
                </w:p>
              </w:tc>
            </w:tr>
            <w:tr w14:paraId="0E62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21AA5148">
                  <w:pPr>
                    <w:pStyle w:val="48"/>
                    <w:spacing w:before="0" w:beforeLines="0" w:after="0" w:afterLines="0" w:line="288" w:lineRule="auto"/>
                    <w:jc w:val="center"/>
                    <w:rPr>
                      <w:rFonts w:ascii="Times New Roman" w:hAnsi="Times New Roman"/>
                      <w:color w:val="auto"/>
                    </w:rPr>
                  </w:pPr>
                  <w:r>
                    <w:rPr>
                      <w:rFonts w:ascii="Times New Roman" w:hAnsi="Times New Roman"/>
                      <w:color w:val="auto"/>
                    </w:rPr>
                    <w:t>亚克力板材</w:t>
                  </w:r>
                </w:p>
              </w:tc>
              <w:tc>
                <w:tcPr>
                  <w:tcW w:w="4372" w:type="pct"/>
                  <w:tcBorders>
                    <w:top w:val="single" w:color="auto" w:sz="4" w:space="0"/>
                    <w:right w:val="nil"/>
                  </w:tcBorders>
                  <w:vAlign w:val="center"/>
                </w:tcPr>
                <w:p w14:paraId="1DFD02D6">
                  <w:pPr>
                    <w:pStyle w:val="48"/>
                    <w:spacing w:before="0" w:beforeLines="0" w:after="0" w:afterLines="0" w:line="288" w:lineRule="auto"/>
                    <w:rPr>
                      <w:rFonts w:ascii="Times New Roman" w:hAnsi="Times New Roman"/>
                      <w:color w:val="auto"/>
                    </w:rPr>
                  </w:pPr>
                  <w:r>
                    <w:rPr>
                      <w:rFonts w:ascii="Times New Roman" w:hAnsi="Times New Roman"/>
                      <w:color w:val="auto"/>
                    </w:rPr>
                    <w:t>又叫PMMA或有机玻璃，源自英文acrylic（丙烯酸塑料），化学名称为聚甲基丙烯酸甲酯，俗称</w:t>
                  </w:r>
                  <w:r>
                    <w:rPr>
                      <w:rFonts w:hint="eastAsia" w:cs="宋体"/>
                      <w:color w:val="auto"/>
                      <w:lang w:eastAsia="zh-CN"/>
                    </w:rPr>
                    <w:t>“</w:t>
                  </w:r>
                  <w:r>
                    <w:rPr>
                      <w:rFonts w:ascii="Times New Roman" w:hAnsi="Times New Roman"/>
                      <w:color w:val="auto"/>
                    </w:rPr>
                    <w:t>经过特殊处理的有机玻璃</w:t>
                  </w:r>
                  <w:r>
                    <w:rPr>
                      <w:rFonts w:hint="eastAsia" w:cs="宋体"/>
                      <w:color w:val="auto"/>
                      <w:lang w:eastAsia="zh-CN"/>
                    </w:rPr>
                    <w:t>”</w:t>
                  </w:r>
                  <w:r>
                    <w:rPr>
                      <w:rFonts w:ascii="Times New Roman" w:hAnsi="Times New Roman"/>
                      <w:color w:val="auto"/>
                    </w:rPr>
                    <w:t>，</w:t>
                  </w:r>
                  <w:r>
                    <w:rPr>
                      <w:rFonts w:hint="eastAsia" w:ascii="Times New Roman" w:hAnsi="Times New Roman"/>
                      <w:color w:val="auto"/>
                      <w:lang w:val="en-US" w:eastAsia="zh-CN"/>
                    </w:rPr>
                    <w:t>亚克力板的熔化温度为240℃~270℃，裂解温度高于270℃，</w:t>
                  </w:r>
                  <w:r>
                    <w:rPr>
                      <w:rFonts w:ascii="Times New Roman" w:hAnsi="Times New Roman"/>
                      <w:color w:val="auto"/>
                    </w:rPr>
                    <w:t>在应用行业亚克力的原材料一般以颗粒、板材、管材等形式出现。亚克力又称特殊处理的有机玻璃，是有机玻璃换代产品，用亚克力制作的灯箱具有透光性能好、颜色纯正、色彩丰富、美观平整、兼顾白天夜晚两种效果、使用寿命长、不影响使用特点，此外，亚克力板与铝塑型材、高级丝网印等可以完美结合，满足商家的需求，亚克力</w:t>
                  </w:r>
                  <w:r>
                    <w:rPr>
                      <w:rFonts w:hint="eastAsia" w:ascii="Times New Roman" w:hAnsi="Times New Roman"/>
                      <w:color w:val="auto"/>
                    </w:rPr>
                    <w:t>热压</w:t>
                  </w:r>
                  <w:r>
                    <w:rPr>
                      <w:rFonts w:ascii="Times New Roman" w:hAnsi="Times New Roman"/>
                      <w:color w:val="auto"/>
                    </w:rPr>
                    <w:t>是提高营业店面档次，</w:t>
                  </w:r>
                  <w:r>
                    <w:rPr>
                      <w:rFonts w:hint="eastAsia" w:ascii="Times New Roman" w:hAnsi="Times New Roman"/>
                      <w:color w:val="auto"/>
                    </w:rPr>
                    <w:t>提升</w:t>
                  </w:r>
                  <w:r>
                    <w:rPr>
                      <w:rFonts w:ascii="Times New Roman" w:hAnsi="Times New Roman"/>
                      <w:color w:val="auto"/>
                    </w:rPr>
                    <w:t>企业形象最好的户外广告形式。</w:t>
                  </w:r>
                </w:p>
              </w:tc>
            </w:tr>
            <w:tr w14:paraId="1066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7657FAC0">
                  <w:pPr>
                    <w:pStyle w:val="48"/>
                    <w:spacing w:before="0" w:beforeLines="0" w:after="0" w:afterLines="0" w:line="288" w:lineRule="auto"/>
                    <w:jc w:val="center"/>
                    <w:rPr>
                      <w:rFonts w:ascii="Times New Roman" w:hAnsi="Times New Roman"/>
                      <w:color w:val="auto"/>
                    </w:rPr>
                  </w:pPr>
                  <w:r>
                    <w:rPr>
                      <w:rFonts w:ascii="Times New Roman" w:hAnsi="Times New Roman"/>
                      <w:color w:val="auto"/>
                    </w:rPr>
                    <w:t>PVC板</w:t>
                  </w:r>
                </w:p>
              </w:tc>
              <w:tc>
                <w:tcPr>
                  <w:tcW w:w="4372" w:type="pct"/>
                  <w:tcBorders>
                    <w:top w:val="single" w:color="auto" w:sz="4" w:space="0"/>
                    <w:right w:val="nil"/>
                  </w:tcBorders>
                  <w:vAlign w:val="center"/>
                </w:tcPr>
                <w:p w14:paraId="283B9242">
                  <w:pPr>
                    <w:pStyle w:val="48"/>
                    <w:spacing w:before="0" w:beforeLines="0" w:after="0" w:afterLines="0" w:line="288" w:lineRule="auto"/>
                    <w:rPr>
                      <w:rFonts w:ascii="Times New Roman" w:hAnsi="Times New Roman"/>
                      <w:color w:val="auto"/>
                    </w:rPr>
                  </w:pPr>
                  <w:r>
                    <w:rPr>
                      <w:rFonts w:ascii="Times New Roman" w:hAnsi="Times New Roman"/>
                      <w:color w:val="auto"/>
                    </w:rPr>
                    <w:t>聚氯乙烯（PVC）塑料是由氯乙烯单体经自由基聚合而成的聚合物，英文名称polyviny chloride</w:t>
                  </w:r>
                  <w:r>
                    <w:rPr>
                      <w:rFonts w:hint="eastAsia" w:ascii="Times New Roman" w:hAnsi="Times New Roman"/>
                      <w:color w:val="auto"/>
                    </w:rPr>
                    <w:t>，</w:t>
                  </w:r>
                  <w:r>
                    <w:rPr>
                      <w:rFonts w:hint="eastAsia" w:ascii="Times New Roman" w:hAnsi="Times New Roman"/>
                      <w:color w:val="auto"/>
                      <w:lang w:val="en-US" w:eastAsia="zh-CN"/>
                    </w:rPr>
                    <w:t>分解温度为220℃~280℃，</w:t>
                  </w:r>
                  <w:r>
                    <w:rPr>
                      <w:rFonts w:ascii="Times New Roman" w:hAnsi="Times New Roman"/>
                      <w:color w:val="auto"/>
                    </w:rPr>
                    <w:t>具有防腐、防潮、防霉、不吸水、可钻、可锯、可刨、易于热成型、热弯曲加工等特性，因此广泛应用于家具、橱柜、浴柜、展览架用板、箱体芯层、室内外装饰、建材、化工等领域用板，广告标示、印刷、丝印、喷绘、电脑刻字、电子仪表产品包装等行业。</w:t>
                  </w:r>
                </w:p>
              </w:tc>
            </w:tr>
            <w:tr w14:paraId="572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51F56FA2">
                  <w:pPr>
                    <w:pStyle w:val="48"/>
                    <w:spacing w:before="0" w:beforeLines="0" w:after="0" w:afterLines="0" w:line="288" w:lineRule="auto"/>
                    <w:jc w:val="center"/>
                    <w:rPr>
                      <w:rFonts w:ascii="Times New Roman" w:hAnsi="Times New Roman"/>
                      <w:color w:val="auto"/>
                    </w:rPr>
                  </w:pPr>
                  <w:r>
                    <w:rPr>
                      <w:rFonts w:ascii="Times New Roman" w:hAnsi="Times New Roman"/>
                      <w:color w:val="auto"/>
                    </w:rPr>
                    <w:t>PLA线材</w:t>
                  </w:r>
                </w:p>
              </w:tc>
              <w:tc>
                <w:tcPr>
                  <w:tcW w:w="4372" w:type="pct"/>
                  <w:tcBorders>
                    <w:top w:val="single" w:color="auto" w:sz="4" w:space="0"/>
                    <w:right w:val="nil"/>
                  </w:tcBorders>
                  <w:vAlign w:val="center"/>
                </w:tcPr>
                <w:p w14:paraId="4FC86DD8">
                  <w:pPr>
                    <w:pStyle w:val="48"/>
                    <w:spacing w:before="0" w:beforeLines="0" w:after="0" w:afterLines="0" w:line="288" w:lineRule="auto"/>
                    <w:rPr>
                      <w:rFonts w:ascii="Times New Roman" w:hAnsi="Times New Roman"/>
                      <w:color w:val="auto"/>
                    </w:rPr>
                  </w:pPr>
                  <w:r>
                    <w:rPr>
                      <w:rFonts w:ascii="Times New Roman" w:hAnsi="Times New Roman"/>
                      <w:color w:val="auto"/>
                    </w:rPr>
                    <w:t>PLA是生物降解塑料聚乳酸的英文简写，聚乳酸是以乳酸为主要原料聚合得到的聚合物，原料来源充分而且可以再生</w:t>
                  </w:r>
                  <w:r>
                    <w:rPr>
                      <w:rFonts w:hint="eastAsia" w:ascii="Times New Roman" w:hAnsi="Times New Roman"/>
                      <w:color w:val="auto"/>
                    </w:rPr>
                    <w:t>，</w:t>
                  </w:r>
                  <w:r>
                    <w:rPr>
                      <w:rFonts w:ascii="Times New Roman" w:hAnsi="Times New Roman"/>
                      <w:color w:val="auto"/>
                    </w:rPr>
                    <w:t>主要以玉米、木薯等为原料。聚乳酸的生产过程无污染，而且产品可以生物降解，实现在自然界中的循环，因此是理想的绿色高分子材料。聚乳酸的热稳定性好，加工温度170～230℃，有好的抗溶剂性，可用多种方式进行加工，如挤压、纺丝、双轴拉伸，注射吹塑。由聚乳酸制成的产品除能生物降解外，生物相容性、光泽度、透明性、手感和耐热性好，还具有一定的耐菌性、阻燃性和抗紫外性。</w:t>
                  </w:r>
                </w:p>
              </w:tc>
            </w:tr>
            <w:tr w14:paraId="4B25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243BCC60">
                  <w:pPr>
                    <w:pStyle w:val="48"/>
                    <w:spacing w:before="0" w:beforeLines="0" w:after="0" w:afterLines="0" w:line="288" w:lineRule="auto"/>
                    <w:jc w:val="center"/>
                    <w:rPr>
                      <w:rFonts w:ascii="Times New Roman" w:hAnsi="Times New Roman"/>
                      <w:color w:val="auto"/>
                    </w:rPr>
                  </w:pPr>
                  <w:r>
                    <w:rPr>
                      <w:rFonts w:hint="eastAsia" w:ascii="Times New Roman" w:hAnsi="Times New Roman"/>
                      <w:color w:val="auto"/>
                    </w:rPr>
                    <w:t>油漆</w:t>
                  </w:r>
                </w:p>
              </w:tc>
              <w:tc>
                <w:tcPr>
                  <w:tcW w:w="4372" w:type="pct"/>
                  <w:tcBorders>
                    <w:top w:val="single" w:color="auto" w:sz="4" w:space="0"/>
                    <w:right w:val="nil"/>
                  </w:tcBorders>
                  <w:vAlign w:val="center"/>
                </w:tcPr>
                <w:p w14:paraId="251C563E">
                  <w:pPr>
                    <w:pStyle w:val="48"/>
                    <w:spacing w:before="0" w:beforeLines="0" w:after="0" w:afterLines="0" w:line="288" w:lineRule="auto"/>
                    <w:rPr>
                      <w:rFonts w:hint="default" w:ascii="Times New Roman" w:hAnsi="Times New Roman" w:eastAsia="宋体"/>
                      <w:color w:val="auto"/>
                      <w:lang w:val="en-US" w:eastAsia="zh-CN"/>
                    </w:rPr>
                  </w:pPr>
                  <w:r>
                    <w:rPr>
                      <w:rFonts w:hint="eastAsia" w:ascii="Times New Roman" w:hAnsi="Times New Roman"/>
                      <w:color w:val="auto"/>
                    </w:rPr>
                    <w:t>油漆是一种能牢固覆盖在物体表面，起保护、装饰、标志和其他特殊用途的化学混合物涂料。粘稠状液体，相对密度1.023g/cm，溶解性</w:t>
                  </w:r>
                  <w:r>
                    <w:rPr>
                      <w:rFonts w:hint="eastAsia" w:ascii="Times New Roman" w:hAnsi="Times New Roman"/>
                      <w:color w:val="auto"/>
                      <w:lang w:eastAsia="zh-CN"/>
                    </w:rPr>
                    <w:t>：</w:t>
                  </w:r>
                  <w:r>
                    <w:rPr>
                      <w:rFonts w:hint="eastAsia" w:ascii="Times New Roman" w:hAnsi="Times New Roman"/>
                      <w:color w:val="auto"/>
                    </w:rPr>
                    <w:t>不溶于水、可溶于丁酯、乙酯等有机溶剂。</w:t>
                  </w:r>
                  <w:r>
                    <w:rPr>
                      <w:rFonts w:hint="eastAsia" w:ascii="Times New Roman" w:hAnsi="Times New Roman"/>
                      <w:color w:val="auto"/>
                      <w:lang w:val="en-US" w:eastAsia="zh-CN"/>
                    </w:rPr>
                    <w:t>油漆主要成分为分散剂占比1%，丁酯占比6%，树脂占比38%，色粉占比55%。</w:t>
                  </w:r>
                </w:p>
              </w:tc>
            </w:tr>
            <w:tr w14:paraId="13CE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730AA92A">
                  <w:pPr>
                    <w:pStyle w:val="48"/>
                    <w:spacing w:before="0" w:beforeLines="0" w:after="0" w:afterLines="0" w:line="288" w:lineRule="auto"/>
                    <w:jc w:val="center"/>
                    <w:rPr>
                      <w:rFonts w:ascii="Times New Roman" w:hAnsi="Times New Roman"/>
                      <w:color w:val="auto"/>
                    </w:rPr>
                  </w:pPr>
                  <w:r>
                    <w:rPr>
                      <w:rFonts w:hint="eastAsia" w:ascii="Times New Roman" w:hAnsi="Times New Roman"/>
                      <w:color w:val="auto"/>
                      <w:kern w:val="2"/>
                      <w:szCs w:val="24"/>
                    </w:rPr>
                    <w:t>水性漆</w:t>
                  </w:r>
                </w:p>
              </w:tc>
              <w:tc>
                <w:tcPr>
                  <w:tcW w:w="4372" w:type="pct"/>
                  <w:tcBorders>
                    <w:top w:val="single" w:color="auto" w:sz="4" w:space="0"/>
                    <w:right w:val="nil"/>
                  </w:tcBorders>
                  <w:vAlign w:val="center"/>
                </w:tcPr>
                <w:p w14:paraId="7B08987B">
                  <w:pPr>
                    <w:pStyle w:val="48"/>
                    <w:spacing w:before="0" w:beforeLines="0" w:after="0" w:afterLines="0" w:line="288" w:lineRule="auto"/>
                    <w:rPr>
                      <w:rFonts w:hint="default" w:ascii="Times New Roman" w:hAnsi="Times New Roman" w:eastAsia="宋体"/>
                      <w:color w:val="auto"/>
                      <w:lang w:val="en-US" w:eastAsia="zh-CN"/>
                    </w:rPr>
                  </w:pPr>
                  <w:r>
                    <w:rPr>
                      <w:rFonts w:hint="eastAsia" w:ascii="Times New Roman" w:hAnsi="Times New Roman"/>
                      <w:color w:val="auto"/>
                      <w:kern w:val="2"/>
                      <w:szCs w:val="24"/>
                    </w:rPr>
                    <w:t>水性漆</w:t>
                  </w:r>
                  <w:r>
                    <w:rPr>
                      <w:rFonts w:hint="eastAsia" w:ascii="Times New Roman" w:hAnsi="Times New Roman"/>
                      <w:color w:val="auto"/>
                      <w:kern w:val="2"/>
                      <w:szCs w:val="24"/>
                      <w:lang w:val="en-US" w:eastAsia="zh-CN"/>
                    </w:rPr>
                    <w:t>是水性双组份色漆和水性面漆固化剂按照1:1调配的涂料，水性漆表面上一层清漆</w:t>
                  </w:r>
                  <w:r>
                    <w:rPr>
                      <w:rFonts w:hint="eastAsia" w:ascii="Times New Roman" w:hAnsi="Times New Roman"/>
                      <w:color w:val="auto"/>
                      <w:kern w:val="2"/>
                      <w:szCs w:val="24"/>
                    </w:rPr>
                    <w:t>，不含苯、甲苯、二甲苯、甲醛、游离TDI有毒重金属，无毒无刺激气味，对人体无害，不易燃不易爆，常温下稳定不易分解。</w:t>
                  </w:r>
                  <w:r>
                    <w:rPr>
                      <w:rFonts w:hint="default" w:ascii="Times New Roman" w:hAnsi="Times New Roman" w:cs="Times New Roman"/>
                      <w:color w:val="auto"/>
                      <w:kern w:val="2"/>
                      <w:szCs w:val="24"/>
                    </w:rPr>
                    <w:t>①</w:t>
                  </w:r>
                  <w:r>
                    <w:rPr>
                      <w:rFonts w:hint="eastAsia" w:ascii="Times New Roman" w:hAnsi="Times New Roman"/>
                      <w:color w:val="auto"/>
                      <w:kern w:val="2"/>
                      <w:szCs w:val="24"/>
                      <w:lang w:val="en-US" w:eastAsia="zh-CN"/>
                    </w:rPr>
                    <w:t>水性双组份色漆和水性双组份清漆主要成分为水性丙烯酸乳液40~60%，水10~20%，成膜剂3~5%，钛白粉及其他颜填料20~30%，N,N-二甲基乙醇胺0.5~1%，分散润湿剂0.1~0.3%，二乙二醇二甲醚1~3%，防闪锈剂0.5~1%，增稠剂1~1.5%。</w:t>
                  </w:r>
                  <w:r>
                    <w:rPr>
                      <w:rFonts w:hint="default" w:ascii="Times New Roman" w:hAnsi="Times New Roman" w:cs="Times New Roman"/>
                      <w:color w:val="auto"/>
                      <w:kern w:val="2"/>
                      <w:szCs w:val="24"/>
                      <w:lang w:val="en-US" w:eastAsia="zh-CN"/>
                    </w:rPr>
                    <w:t>②</w:t>
                  </w:r>
                  <w:r>
                    <w:rPr>
                      <w:rFonts w:hint="eastAsia" w:ascii="Times New Roman" w:hAnsi="Times New Roman"/>
                      <w:color w:val="auto"/>
                      <w:kern w:val="2"/>
                      <w:szCs w:val="24"/>
                      <w:lang w:val="en-US" w:eastAsia="zh-CN"/>
                    </w:rPr>
                    <w:t>水性面漆固化剂主要成分为水分散聚异氰酸酯40%，丙二醇甲醚醋酸酯60%，1,6-六亚甲基二异氰酸酯0.2MAX。</w:t>
                  </w:r>
                </w:p>
              </w:tc>
            </w:tr>
            <w:tr w14:paraId="13B1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77F6BA74">
                  <w:pPr>
                    <w:pStyle w:val="48"/>
                    <w:wordWrap w:val="0"/>
                    <w:spacing w:before="0" w:beforeLines="0" w:after="0" w:afterLines="0" w:line="288" w:lineRule="auto"/>
                    <w:jc w:val="center"/>
                    <w:rPr>
                      <w:rFonts w:ascii="Times New Roman" w:hAnsi="Times New Roman"/>
                      <w:color w:val="auto"/>
                    </w:rPr>
                  </w:pPr>
                  <w:r>
                    <w:rPr>
                      <w:rFonts w:ascii="Times New Roman" w:hAnsi="Times New Roman"/>
                      <w:color w:val="auto"/>
                    </w:rPr>
                    <w:t>稀释剂</w:t>
                  </w:r>
                </w:p>
              </w:tc>
              <w:tc>
                <w:tcPr>
                  <w:tcW w:w="4372" w:type="pct"/>
                  <w:tcBorders>
                    <w:top w:val="single" w:color="auto" w:sz="4" w:space="0"/>
                    <w:right w:val="nil"/>
                  </w:tcBorders>
                  <w:vAlign w:val="center"/>
                </w:tcPr>
                <w:p w14:paraId="4F5BE6C8">
                  <w:pPr>
                    <w:pStyle w:val="48"/>
                    <w:wordWrap w:val="0"/>
                    <w:spacing w:before="0" w:beforeLines="0" w:after="0" w:afterLines="0" w:line="288" w:lineRule="auto"/>
                    <w:rPr>
                      <w:rFonts w:hint="default" w:ascii="Times New Roman" w:hAnsi="Times New Roman" w:eastAsia="宋体"/>
                      <w:color w:val="auto"/>
                      <w:lang w:val="en-US" w:eastAsia="zh-CN"/>
                    </w:rPr>
                  </w:pPr>
                  <w:r>
                    <w:rPr>
                      <w:rFonts w:ascii="Times New Roman" w:hAnsi="Times New Roman"/>
                      <w:color w:val="auto"/>
                    </w:rPr>
                    <w:t>即溶剂，用于调稀油漆，降低油漆的粘度，以能够用喷枪进行喷漆。本项目的稀释剂不含苯，主要由乙酸仲丁酯、乙酸乙酯、乙酸丁酯、丙二醇甲醚乙酸酯和二甲苯组成。用于稀释油漆，降低油漆粘度，满足喷枪使用，挥发性较强，易燃易爆有毒，为危险品，微溶于水，能溶于各种有机溶剂，稀释剂在喷漆过程中考虑全部挥发。</w:t>
                  </w:r>
                  <w:r>
                    <w:rPr>
                      <w:rFonts w:hint="eastAsia" w:ascii="Times New Roman" w:hAnsi="Times New Roman"/>
                      <w:color w:val="auto"/>
                      <w:lang w:val="en-US" w:eastAsia="zh-CN"/>
                    </w:rPr>
                    <w:t>稀释剂主要成分为二甲苯占比35%，丁酯占比55%，PMA占比10%。</w:t>
                  </w:r>
                </w:p>
              </w:tc>
            </w:tr>
            <w:tr w14:paraId="3796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16513F80">
                  <w:pPr>
                    <w:pStyle w:val="48"/>
                    <w:wordWrap w:val="0"/>
                    <w:spacing w:before="0" w:beforeLines="0" w:after="0" w:afterLines="0" w:line="288" w:lineRule="auto"/>
                    <w:jc w:val="center"/>
                    <w:rPr>
                      <w:rFonts w:ascii="Times New Roman" w:hAnsi="Times New Roman"/>
                      <w:color w:val="auto"/>
                    </w:rPr>
                  </w:pPr>
                  <w:r>
                    <w:rPr>
                      <w:rFonts w:hint="eastAsia" w:ascii="Times New Roman" w:hAnsi="Times New Roman"/>
                      <w:color w:val="auto"/>
                    </w:rPr>
                    <w:t>固化剂</w:t>
                  </w:r>
                </w:p>
              </w:tc>
              <w:tc>
                <w:tcPr>
                  <w:tcW w:w="4372" w:type="pct"/>
                  <w:tcBorders>
                    <w:top w:val="single" w:color="auto" w:sz="4" w:space="0"/>
                    <w:right w:val="nil"/>
                  </w:tcBorders>
                  <w:vAlign w:val="center"/>
                </w:tcPr>
                <w:p w14:paraId="45FDE066">
                  <w:pPr>
                    <w:pStyle w:val="48"/>
                    <w:wordWrap w:val="0"/>
                    <w:spacing w:before="0" w:beforeLines="0" w:after="0" w:afterLines="0" w:line="288" w:lineRule="auto"/>
                    <w:rPr>
                      <w:rFonts w:ascii="Times New Roman" w:hAnsi="Times New Roman"/>
                      <w:color w:val="auto"/>
                    </w:rPr>
                  </w:pPr>
                  <w:r>
                    <w:rPr>
                      <w:rFonts w:ascii="Times New Roman" w:hAnsi="Times New Roman"/>
                      <w:color w:val="auto"/>
                    </w:rPr>
                    <w:t>外观与性状</w:t>
                  </w:r>
                  <w:r>
                    <w:rPr>
                      <w:rFonts w:hint="eastAsia" w:ascii="Times New Roman" w:hAnsi="Times New Roman"/>
                      <w:color w:val="auto"/>
                    </w:rPr>
                    <w:t>：</w:t>
                  </w:r>
                  <w:r>
                    <w:rPr>
                      <w:rFonts w:ascii="Times New Roman" w:hAnsi="Times New Roman"/>
                      <w:color w:val="auto"/>
                    </w:rPr>
                    <w:t>淡黄色液体，几乎无臭，相对密度</w:t>
                  </w:r>
                  <w:r>
                    <w:rPr>
                      <w:rFonts w:hint="eastAsia" w:ascii="Times New Roman" w:hAnsi="Times New Roman"/>
                      <w:color w:val="auto"/>
                    </w:rPr>
                    <w:t>（</w:t>
                  </w:r>
                  <w:r>
                    <w:rPr>
                      <w:rFonts w:ascii="Times New Roman" w:hAnsi="Times New Roman"/>
                      <w:color w:val="auto"/>
                    </w:rPr>
                    <w:t>水=1</w:t>
                  </w:r>
                  <w:r>
                    <w:rPr>
                      <w:rFonts w:hint="eastAsia" w:ascii="Times New Roman" w:hAnsi="Times New Roman"/>
                      <w:color w:val="auto"/>
                    </w:rPr>
                    <w:t>）：</w:t>
                  </w:r>
                  <w:r>
                    <w:rPr>
                      <w:rFonts w:ascii="Times New Roman" w:hAnsi="Times New Roman"/>
                      <w:color w:val="auto"/>
                    </w:rPr>
                    <w:t>1.164，闪点</w:t>
                  </w:r>
                  <w:r>
                    <w:rPr>
                      <w:rFonts w:hint="eastAsia" w:ascii="Times New Roman" w:hAnsi="Times New Roman"/>
                      <w:color w:val="auto"/>
                    </w:rPr>
                    <w:t>（</w:t>
                  </w:r>
                  <w:r>
                    <w:rPr>
                      <w:rFonts w:ascii="Times New Roman" w:hAnsi="Times New Roman"/>
                      <w:color w:val="auto"/>
                    </w:rPr>
                    <w:t>℃</w:t>
                  </w:r>
                  <w:r>
                    <w:rPr>
                      <w:rFonts w:hint="eastAsia" w:ascii="Times New Roman" w:hAnsi="Times New Roman"/>
                      <w:color w:val="auto"/>
                    </w:rPr>
                    <w:t>）：</w:t>
                  </w:r>
                  <w:r>
                    <w:rPr>
                      <w:rFonts w:ascii="Times New Roman" w:hAnsi="Times New Roman"/>
                      <w:color w:val="auto"/>
                    </w:rPr>
                    <w:t>225，溶解性</w:t>
                  </w:r>
                  <w:r>
                    <w:rPr>
                      <w:rFonts w:hint="eastAsia" w:ascii="Times New Roman" w:hAnsi="Times New Roman"/>
                      <w:color w:val="auto"/>
                    </w:rPr>
                    <w:t>：</w:t>
                  </w:r>
                  <w:r>
                    <w:rPr>
                      <w:rFonts w:ascii="Times New Roman" w:hAnsi="Times New Roman"/>
                      <w:color w:val="auto"/>
                    </w:rPr>
                    <w:t>难溶于水、可溶于甲苯、醋酸乙酯、丙酮等。根据其MSDS报告，</w:t>
                  </w:r>
                  <w:r>
                    <w:rPr>
                      <w:rFonts w:hint="eastAsia" w:ascii="Times New Roman" w:hAnsi="Times New Roman"/>
                      <w:color w:val="auto"/>
                      <w:lang w:val="en-US" w:eastAsia="zh-CN"/>
                    </w:rPr>
                    <w:t>固化剂主要成分为异氰酸酯占比39%，丁酯占比30%，二甲苯占比25%，PMA占比6%</w:t>
                  </w:r>
                  <w:r>
                    <w:rPr>
                      <w:rFonts w:hint="eastAsia" w:ascii="Times New Roman" w:hAnsi="Times New Roman"/>
                      <w:color w:val="auto"/>
                    </w:rPr>
                    <w:t>。</w:t>
                  </w:r>
                </w:p>
              </w:tc>
            </w:tr>
            <w:tr w14:paraId="64F6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25B22B26">
                  <w:pPr>
                    <w:pStyle w:val="48"/>
                    <w:wordWrap w:val="0"/>
                    <w:spacing w:before="0" w:beforeLines="0" w:after="0" w:afterLines="0" w:line="288" w:lineRule="auto"/>
                    <w:jc w:val="center"/>
                    <w:rPr>
                      <w:rFonts w:ascii="Times New Roman" w:hAnsi="Times New Roman"/>
                      <w:color w:val="auto"/>
                    </w:rPr>
                  </w:pPr>
                  <w:r>
                    <w:rPr>
                      <w:rFonts w:hint="eastAsia" w:ascii="Times New Roman" w:hAnsi="Times New Roman"/>
                      <w:color w:val="auto"/>
                    </w:rPr>
                    <w:t>UV油墨</w:t>
                  </w:r>
                </w:p>
              </w:tc>
              <w:tc>
                <w:tcPr>
                  <w:tcW w:w="4372" w:type="pct"/>
                  <w:tcBorders>
                    <w:top w:val="single" w:color="auto" w:sz="4" w:space="0"/>
                    <w:right w:val="nil"/>
                  </w:tcBorders>
                  <w:vAlign w:val="center"/>
                </w:tcPr>
                <w:p w14:paraId="3F2E0EB2">
                  <w:pPr>
                    <w:pStyle w:val="48"/>
                    <w:wordWrap w:val="0"/>
                    <w:spacing w:before="0" w:beforeLines="0" w:after="0" w:afterLines="0" w:line="288" w:lineRule="auto"/>
                    <w:rPr>
                      <w:rFonts w:ascii="Times New Roman" w:hAnsi="Times New Roman"/>
                      <w:color w:val="auto"/>
                    </w:rPr>
                  </w:pPr>
                  <w:r>
                    <w:rPr>
                      <w:rFonts w:ascii="Times New Roman" w:hAnsi="Times New Roman"/>
                      <w:color w:val="auto"/>
                    </w:rPr>
                    <w:t>外观</w:t>
                  </w:r>
                  <w:r>
                    <w:rPr>
                      <w:rFonts w:hint="eastAsia" w:ascii="Times New Roman" w:hAnsi="Times New Roman"/>
                      <w:color w:val="auto"/>
                    </w:rPr>
                    <w:t>：</w:t>
                  </w:r>
                  <w:r>
                    <w:rPr>
                      <w:rFonts w:ascii="Times New Roman" w:hAnsi="Times New Roman"/>
                      <w:color w:val="auto"/>
                    </w:rPr>
                    <w:t>粘稠液体，熔点</w:t>
                  </w:r>
                  <w:r>
                    <w:rPr>
                      <w:rFonts w:hint="eastAsia" w:ascii="Times New Roman" w:hAnsi="Times New Roman"/>
                      <w:color w:val="auto"/>
                    </w:rPr>
                    <w:t>：</w:t>
                  </w:r>
                  <w:r>
                    <w:rPr>
                      <w:rFonts w:ascii="Times New Roman" w:hAnsi="Times New Roman"/>
                      <w:color w:val="auto"/>
                    </w:rPr>
                    <w:t>常温下液体，溶解度</w:t>
                  </w:r>
                  <w:r>
                    <w:rPr>
                      <w:rFonts w:hint="eastAsia" w:ascii="Times New Roman" w:hAnsi="Times New Roman"/>
                      <w:color w:val="auto"/>
                    </w:rPr>
                    <w:t>：</w:t>
                  </w:r>
                  <w:r>
                    <w:rPr>
                      <w:rFonts w:ascii="Times New Roman" w:hAnsi="Times New Roman"/>
                      <w:color w:val="auto"/>
                    </w:rPr>
                    <w:t>不溶于水，可溶于甲苯、丙酮等，比重</w:t>
                  </w:r>
                  <w:r>
                    <w:rPr>
                      <w:rFonts w:hint="eastAsia" w:ascii="Times New Roman" w:hAnsi="Times New Roman"/>
                      <w:color w:val="auto"/>
                    </w:rPr>
                    <w:t>：</w:t>
                  </w:r>
                  <w:r>
                    <w:rPr>
                      <w:rFonts w:ascii="Times New Roman" w:hAnsi="Times New Roman"/>
                      <w:color w:val="auto"/>
                    </w:rPr>
                    <w:t>1.10±0.10.根据其MSDS报告，UV油墨的主要成分为</w:t>
                  </w:r>
                  <w:r>
                    <w:rPr>
                      <w:rFonts w:hint="eastAsia" w:ascii="Times New Roman" w:hAnsi="Times New Roman"/>
                      <w:color w:val="auto"/>
                    </w:rPr>
                    <w:t>二乙二醇单丁醚65%～95</w:t>
                  </w:r>
                  <w:r>
                    <w:rPr>
                      <w:rFonts w:ascii="Times New Roman" w:hAnsi="Times New Roman"/>
                      <w:color w:val="auto"/>
                    </w:rPr>
                    <w:t>%、</w:t>
                  </w:r>
                  <w:r>
                    <w:rPr>
                      <w:rFonts w:hint="eastAsia" w:ascii="Times New Roman" w:hAnsi="Times New Roman"/>
                      <w:color w:val="auto"/>
                    </w:rPr>
                    <w:t>乙二醇单丁基醚醋酸酯10%～30</w:t>
                  </w:r>
                  <w:r>
                    <w:rPr>
                      <w:rFonts w:ascii="Times New Roman" w:hAnsi="Times New Roman"/>
                      <w:color w:val="auto"/>
                    </w:rPr>
                    <w:t>%、</w:t>
                  </w:r>
                  <w:r>
                    <w:rPr>
                      <w:rFonts w:hint="eastAsia" w:ascii="Times New Roman" w:hAnsi="Times New Roman"/>
                      <w:color w:val="auto"/>
                    </w:rPr>
                    <w:t>硅油3%～7</w:t>
                  </w:r>
                  <w:r>
                    <w:rPr>
                      <w:rFonts w:ascii="Times New Roman" w:hAnsi="Times New Roman"/>
                      <w:color w:val="auto"/>
                    </w:rPr>
                    <w:t>%。</w:t>
                  </w:r>
                </w:p>
              </w:tc>
            </w:tr>
            <w:tr w14:paraId="3EF3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tcBorders>
                  <w:vAlign w:val="center"/>
                </w:tcPr>
                <w:p w14:paraId="64129035">
                  <w:pPr>
                    <w:pStyle w:val="48"/>
                    <w:spacing w:before="0" w:beforeLines="0" w:after="0" w:afterLines="0" w:line="288" w:lineRule="auto"/>
                    <w:jc w:val="center"/>
                    <w:rPr>
                      <w:rFonts w:ascii="Times New Roman" w:hAnsi="Times New Roman"/>
                      <w:color w:val="auto"/>
                    </w:rPr>
                  </w:pPr>
                  <w:r>
                    <w:rPr>
                      <w:rFonts w:hint="eastAsia" w:ascii="Times New Roman" w:hAnsi="Times New Roman"/>
                      <w:color w:val="auto"/>
                      <w:kern w:val="2"/>
                      <w:szCs w:val="24"/>
                    </w:rPr>
                    <w:t>焊丝</w:t>
                  </w:r>
                </w:p>
              </w:tc>
              <w:tc>
                <w:tcPr>
                  <w:tcW w:w="4372" w:type="pct"/>
                  <w:tcBorders>
                    <w:top w:val="single" w:color="auto" w:sz="4" w:space="0"/>
                    <w:right w:val="nil"/>
                  </w:tcBorders>
                  <w:vAlign w:val="center"/>
                </w:tcPr>
                <w:p w14:paraId="37331D31">
                  <w:pPr>
                    <w:pStyle w:val="48"/>
                    <w:spacing w:before="0" w:beforeLines="0" w:after="0" w:afterLines="0" w:line="288" w:lineRule="auto"/>
                    <w:rPr>
                      <w:rFonts w:ascii="Times New Roman" w:hAnsi="Times New Roman"/>
                      <w:color w:val="auto"/>
                    </w:rPr>
                  </w:pPr>
                  <w:r>
                    <w:rPr>
                      <w:rFonts w:hint="eastAsia" w:ascii="Times New Roman" w:hAnsi="Times New Roman"/>
                      <w:color w:val="auto"/>
                      <w:kern w:val="2"/>
                      <w:szCs w:val="24"/>
                    </w:rPr>
                    <w:t>焊丝是作为填充金属或同时作为导电用的金属丝焊接材料。在气焊和钨极气体保护电弧焊时，焊丝用作填充金属；在埋弧焊、电渣焊和其他熔化极气体保护电弧焊时，焊丝既是填充金属，同时焊丝也是导电电极。焊丝的表面不涂防氧化作用的焊剂。</w:t>
                  </w:r>
                </w:p>
              </w:tc>
            </w:tr>
            <w:tr w14:paraId="298B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 w:hRule="atLeast"/>
                <w:jc w:val="center"/>
              </w:trPr>
              <w:tc>
                <w:tcPr>
                  <w:tcW w:w="627" w:type="pct"/>
                  <w:tcBorders>
                    <w:top w:val="single" w:color="auto" w:sz="4" w:space="0"/>
                    <w:left w:val="nil"/>
                    <w:bottom w:val="single" w:color="auto" w:sz="12" w:space="0"/>
                  </w:tcBorders>
                </w:tcPr>
                <w:p w14:paraId="26911FA8">
                  <w:pPr>
                    <w:pStyle w:val="48"/>
                    <w:keepNext w:val="0"/>
                    <w:keepLines w:val="0"/>
                    <w:pageBreakBefore w:val="0"/>
                    <w:widowControl w:val="0"/>
                    <w:kinsoku/>
                    <w:wordWrap/>
                    <w:overflowPunct/>
                    <w:topLinePunct w:val="0"/>
                    <w:autoSpaceDE/>
                    <w:autoSpaceDN/>
                    <w:bidi w:val="0"/>
                    <w:adjustRightInd w:val="0"/>
                    <w:snapToGrid w:val="0"/>
                    <w:spacing w:before="469" w:beforeLines="150" w:after="0" w:afterLines="0" w:line="288" w:lineRule="auto"/>
                    <w:jc w:val="center"/>
                    <w:textAlignment w:val="auto"/>
                    <w:rPr>
                      <w:rFonts w:ascii="Times New Roman" w:hAnsi="Times New Roman"/>
                      <w:color w:val="auto"/>
                      <w:lang w:eastAsia="en-US"/>
                    </w:rPr>
                  </w:pPr>
                  <w:r>
                    <w:rPr>
                      <w:rFonts w:hint="eastAsia" w:ascii="Times New Roman" w:hAnsi="Times New Roman"/>
                      <w:color w:val="auto"/>
                      <w:kern w:val="2"/>
                      <w:szCs w:val="24"/>
                    </w:rPr>
                    <w:t>玻璃胶</w:t>
                  </w:r>
                </w:p>
              </w:tc>
              <w:tc>
                <w:tcPr>
                  <w:tcW w:w="4372" w:type="pct"/>
                  <w:tcBorders>
                    <w:top w:val="single" w:color="auto" w:sz="4" w:space="0"/>
                    <w:bottom w:val="single" w:color="auto" w:sz="12" w:space="0"/>
                    <w:right w:val="nil"/>
                  </w:tcBorders>
                </w:tcPr>
                <w:p w14:paraId="5CCC363E">
                  <w:pPr>
                    <w:pStyle w:val="48"/>
                    <w:spacing w:before="0" w:beforeLines="0" w:after="0" w:afterLines="0" w:line="288" w:lineRule="auto"/>
                    <w:rPr>
                      <w:rFonts w:hint="default" w:eastAsia="宋体"/>
                      <w:color w:val="auto"/>
                      <w:lang w:val="en-US" w:eastAsia="zh-CN"/>
                    </w:rPr>
                  </w:pPr>
                  <w:r>
                    <w:rPr>
                      <w:rFonts w:hint="default" w:ascii="Times New Roman" w:hAnsi="Times New Roman" w:cs="Times New Roman"/>
                      <w:color w:val="auto"/>
                      <w:kern w:val="2"/>
                      <w:sz w:val="21"/>
                      <w:szCs w:val="21"/>
                    </w:rPr>
                    <w:t>玻璃胶，是一种家庭常用的黏合剂，由硅酸钠和醋酸以及有机性的硅酮组成。硅酸钠易溶于水，有粘性，在南方称为水玻璃，在北方称为泡花碱。</w:t>
                  </w:r>
                  <w:r>
                    <w:rPr>
                      <w:rFonts w:hint="default" w:ascii="Times New Roman" w:hAnsi="Times New Roman" w:cs="Times New Roman"/>
                      <w:color w:val="auto"/>
                      <w:kern w:val="2"/>
                      <w:sz w:val="21"/>
                      <w:szCs w:val="21"/>
                      <w:lang w:val="en-US" w:eastAsia="zh-CN"/>
                    </w:rPr>
                    <w:t>玻璃胶主要成分为</w:t>
                  </w:r>
                  <w:r>
                    <w:rPr>
                      <w:rFonts w:hint="default" w:ascii="Times New Roman" w:hAnsi="Times New Roman" w:eastAsia="微软雅黑" w:cs="Times New Roman"/>
                      <w:color w:val="auto"/>
                      <w:kern w:val="2"/>
                      <w:sz w:val="21"/>
                      <w:szCs w:val="21"/>
                      <w:lang w:val="en-US" w:eastAsia="zh-CN"/>
                    </w:rPr>
                    <w:t>ɑ</w:t>
                  </w:r>
                  <w:r>
                    <w:rPr>
                      <w:rFonts w:hint="default" w:ascii="Times New Roman" w:hAnsi="Times New Roman" w:cs="Times New Roman"/>
                      <w:color w:val="auto"/>
                      <w:kern w:val="2"/>
                      <w:sz w:val="21"/>
                      <w:szCs w:val="21"/>
                      <w:lang w:val="en-US" w:eastAsia="zh-CN"/>
                    </w:rPr>
                    <w:t>-</w:t>
                  </w:r>
                  <w:r>
                    <w:rPr>
                      <w:rFonts w:hint="default" w:ascii="Times New Roman" w:hAnsi="Times New Roman" w:eastAsia="宋体" w:cs="Times New Roman"/>
                      <w:color w:val="auto"/>
                      <w:sz w:val="21"/>
                      <w:szCs w:val="21"/>
                    </w:rPr>
                    <w:t>ω</w:t>
                  </w:r>
                  <w:r>
                    <w:rPr>
                      <w:rFonts w:hint="default" w:ascii="Times New Roman" w:hAnsi="Times New Roman" w:cs="Times New Roman"/>
                      <w:color w:val="auto"/>
                      <w:sz w:val="21"/>
                      <w:szCs w:val="21"/>
                      <w:lang w:val="en-US" w:eastAsia="zh-CN"/>
                    </w:rPr>
                    <w:t>-二羟基二甲基硅氧烷40~60%，链烷烃混合物10~40%，甲基三乙酰氧基硅烷10%，气相白炭黑8%，乙基三乙酰氧基硅烷2%</w:t>
                  </w:r>
                  <w:r>
                    <w:rPr>
                      <w:rFonts w:hint="eastAsia" w:ascii="Times New Roman" w:hAnsi="Times New Roman" w:cs="Times New Roman"/>
                      <w:color w:val="auto"/>
                      <w:sz w:val="21"/>
                      <w:szCs w:val="21"/>
                      <w:lang w:val="en-US" w:eastAsia="zh-CN"/>
                    </w:rPr>
                    <w:t>。</w:t>
                  </w:r>
                </w:p>
              </w:tc>
            </w:tr>
          </w:tbl>
          <w:p w14:paraId="0BBE2D84">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cs="Times New Roman"/>
                <w:b/>
                <w:bCs w:val="0"/>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根据</w:t>
            </w:r>
            <w:r>
              <w:rPr>
                <w:rFonts w:hint="eastAsia" w:cs="Times New Roman"/>
                <w:b w:val="0"/>
                <w:bCs/>
                <w:color w:val="auto"/>
                <w:kern w:val="2"/>
                <w:sz w:val="24"/>
                <w:szCs w:val="24"/>
                <w:lang w:val="en-US" w:eastAsia="zh-CN" w:bidi="ar-SA"/>
              </w:rPr>
              <w:t>建设单位提供原料</w:t>
            </w:r>
            <w:r>
              <w:rPr>
                <w:rFonts w:hint="eastAsia" w:ascii="Times New Roman" w:hAnsi="Times New Roman" w:eastAsia="宋体" w:cs="Times New Roman"/>
                <w:b w:val="0"/>
                <w:bCs/>
                <w:color w:val="auto"/>
                <w:kern w:val="2"/>
                <w:sz w:val="24"/>
                <w:szCs w:val="24"/>
                <w:lang w:val="en-US" w:eastAsia="zh-CN" w:bidi="ar-SA"/>
              </w:rPr>
              <w:t>VOCs</w:t>
            </w:r>
            <w:r>
              <w:rPr>
                <w:rFonts w:hint="eastAsia" w:cs="Times New Roman"/>
                <w:b w:val="0"/>
                <w:bCs/>
                <w:color w:val="auto"/>
                <w:kern w:val="2"/>
                <w:sz w:val="24"/>
                <w:szCs w:val="24"/>
                <w:lang w:val="en-US" w:eastAsia="zh-CN" w:bidi="ar-SA"/>
              </w:rPr>
              <w:t>含量检测报告（详见附件10），UV油墨</w:t>
            </w:r>
            <w:r>
              <w:rPr>
                <w:rFonts w:hint="eastAsia" w:ascii="Times New Roman" w:hAnsi="Times New Roman" w:eastAsia="宋体" w:cs="Times New Roman"/>
                <w:b w:val="0"/>
                <w:bCs/>
                <w:color w:val="auto"/>
                <w:kern w:val="2"/>
                <w:sz w:val="24"/>
                <w:szCs w:val="24"/>
                <w:lang w:val="en-US" w:eastAsia="zh-CN" w:bidi="ar-SA"/>
              </w:rPr>
              <w:t>符合《油墨中可挥发性有机化合物</w:t>
            </w:r>
            <w:r>
              <w:rPr>
                <w:rFonts w:hint="eastAsia"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VOCs</w:t>
            </w:r>
            <w:r>
              <w:rPr>
                <w:rFonts w:hint="eastAsia"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含量的限值》</w:t>
            </w:r>
            <w:r>
              <w:rPr>
                <w:rFonts w:hint="eastAsia" w:cs="Times New Roman"/>
                <w:b w:val="0"/>
                <w:bCs/>
                <w:color w:val="auto"/>
                <w:kern w:val="2"/>
                <w:sz w:val="24"/>
                <w:szCs w:val="24"/>
                <w:lang w:val="en-US" w:eastAsia="zh-CN" w:bidi="ar-SA"/>
              </w:rPr>
              <w:t>（GB 38507-2020）；水性漆、</w:t>
            </w:r>
            <w:r>
              <w:rPr>
                <w:rFonts w:hint="eastAsia" w:ascii="Times New Roman" w:hAnsi="Times New Roman" w:eastAsia="宋体" w:cs="Times New Roman"/>
                <w:b w:val="0"/>
                <w:bCs/>
                <w:color w:val="auto"/>
                <w:kern w:val="2"/>
                <w:sz w:val="24"/>
                <w:szCs w:val="24"/>
                <w:lang w:val="en-US" w:eastAsia="zh-CN" w:bidi="ar-SA"/>
              </w:rPr>
              <w:t>油性漆符合《低挥发性有机化合物含量涂料产品技术要求》</w:t>
            </w:r>
            <w:r>
              <w:rPr>
                <w:rFonts w:hint="eastAsia"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GB/T38597-2020</w:t>
            </w:r>
            <w:r>
              <w:rPr>
                <w:rFonts w:hint="eastAsia"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的限值要求</w:t>
            </w:r>
            <w:r>
              <w:rPr>
                <w:rFonts w:hint="eastAsia" w:cs="Times New Roman"/>
                <w:b w:val="0"/>
                <w:bCs/>
                <w:color w:val="auto"/>
                <w:kern w:val="2"/>
                <w:sz w:val="24"/>
                <w:szCs w:val="24"/>
                <w:lang w:val="en-US" w:eastAsia="zh-CN" w:bidi="ar-SA"/>
              </w:rPr>
              <w:t>。</w:t>
            </w:r>
          </w:p>
          <w:p w14:paraId="7620CA27">
            <w:pPr>
              <w:keepNext/>
              <w:keepLines/>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表2.1-7  项目原料与相关限值要求符合性分析一览表</w:t>
            </w:r>
          </w:p>
          <w:tbl>
            <w:tblPr>
              <w:tblStyle w:val="31"/>
              <w:tblW w:w="7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810"/>
              <w:gridCol w:w="5046"/>
            </w:tblGrid>
            <w:tr w14:paraId="0494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auto" w:sz="12" w:space="0"/>
                    <w:left w:val="nil"/>
                  </w:tcBorders>
                  <w:shd w:val="clear" w:color="auto" w:fill="auto"/>
                  <w:vAlign w:val="top"/>
                </w:tcPr>
                <w:p w14:paraId="611BEABF">
                  <w:pPr>
                    <w:keepNext/>
                    <w:keepLines/>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0" w:firstLineChars="0"/>
                    <w:jc w:val="center"/>
                    <w:textAlignment w:val="auto"/>
                    <w:outlineLvl w:val="9"/>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原料</w:t>
                  </w:r>
                </w:p>
              </w:tc>
              <w:tc>
                <w:tcPr>
                  <w:tcW w:w="1810" w:type="dxa"/>
                  <w:tcBorders>
                    <w:top w:val="single" w:color="auto" w:sz="12" w:space="0"/>
                  </w:tcBorders>
                  <w:shd w:val="clear" w:color="auto" w:fill="auto"/>
                  <w:vAlign w:val="top"/>
                </w:tcPr>
                <w:p w14:paraId="512CF5E6">
                  <w:pPr>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VOCs含量（g/L）/VOCs限值（%）</w:t>
                  </w:r>
                </w:p>
              </w:tc>
              <w:tc>
                <w:tcPr>
                  <w:tcW w:w="5046" w:type="dxa"/>
                  <w:tcBorders>
                    <w:top w:val="single" w:color="auto" w:sz="12" w:space="0"/>
                    <w:right w:val="nil"/>
                  </w:tcBorders>
                  <w:shd w:val="clear" w:color="auto" w:fill="auto"/>
                  <w:vAlign w:val="top"/>
                </w:tcPr>
                <w:p w14:paraId="03C42170">
                  <w:pPr>
                    <w:keepNext/>
                    <w:keepLines/>
                    <w:pageBreakBefore w:val="0"/>
                    <w:widowControl w:val="0"/>
                    <w:numPr>
                      <w:ilvl w:val="0"/>
                      <w:numId w:val="0"/>
                    </w:numPr>
                    <w:kinsoku/>
                    <w:wordWrap/>
                    <w:overflowPunct/>
                    <w:topLinePunct w:val="0"/>
                    <w:autoSpaceDE/>
                    <w:autoSpaceDN/>
                    <w:bidi w:val="0"/>
                    <w:adjustRightInd/>
                    <w:snapToGrid/>
                    <w:spacing w:before="157" w:beforeLines="50" w:line="240" w:lineRule="auto"/>
                    <w:ind w:left="0" w:leftChars="0" w:firstLine="0" w:firstLineChars="0"/>
                    <w:jc w:val="center"/>
                    <w:textAlignment w:val="auto"/>
                    <w:outlineLvl w:val="9"/>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标准限值</w:t>
                  </w:r>
                </w:p>
              </w:tc>
            </w:tr>
            <w:tr w14:paraId="33EF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left w:val="nil"/>
                  </w:tcBorders>
                </w:tcPr>
                <w:p w14:paraId="1AA98961">
                  <w:pPr>
                    <w:keepNext/>
                    <w:keepLines/>
                    <w:pageBreakBefore w:val="0"/>
                    <w:widowControl w:val="0"/>
                    <w:numPr>
                      <w:ilvl w:val="0"/>
                      <w:numId w:val="0"/>
                    </w:numPr>
                    <w:kinsoku/>
                    <w:wordWrap/>
                    <w:overflowPunct/>
                    <w:topLinePunct w:val="0"/>
                    <w:autoSpaceDE/>
                    <w:autoSpaceDN/>
                    <w:bidi w:val="0"/>
                    <w:adjustRightInd/>
                    <w:snapToGrid/>
                    <w:spacing w:before="313" w:beforeLines="10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UV油墨</w:t>
                  </w:r>
                </w:p>
              </w:tc>
              <w:tc>
                <w:tcPr>
                  <w:tcW w:w="1810" w:type="dxa"/>
                </w:tcPr>
                <w:p w14:paraId="4066BE23">
                  <w:pPr>
                    <w:keepNext/>
                    <w:keepLines/>
                    <w:pageBreakBefore w:val="0"/>
                    <w:widowControl w:val="0"/>
                    <w:numPr>
                      <w:ilvl w:val="0"/>
                      <w:numId w:val="0"/>
                    </w:numPr>
                    <w:kinsoku/>
                    <w:wordWrap/>
                    <w:overflowPunct/>
                    <w:topLinePunct w:val="0"/>
                    <w:autoSpaceDE/>
                    <w:autoSpaceDN/>
                    <w:bidi w:val="0"/>
                    <w:adjustRightInd/>
                    <w:snapToGrid/>
                    <w:spacing w:before="313" w:beforeLines="10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5.8%</w:t>
                  </w:r>
                </w:p>
              </w:tc>
              <w:tc>
                <w:tcPr>
                  <w:tcW w:w="5046" w:type="dxa"/>
                  <w:tcBorders>
                    <w:right w:val="nil"/>
                  </w:tcBorders>
                </w:tcPr>
                <w:p w14:paraId="146DE427">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《油墨中可挥发性有机化合物（VOCs）含量的限值》（GB 38507-2020）</w:t>
                  </w:r>
                  <w:r>
                    <w:rPr>
                      <w:rFonts w:hint="eastAsia" w:cs="Times New Roman"/>
                      <w:b w:val="0"/>
                      <w:bCs/>
                      <w:color w:val="auto"/>
                      <w:kern w:val="2"/>
                      <w:sz w:val="21"/>
                      <w:szCs w:val="21"/>
                      <w:vertAlign w:val="baseline"/>
                      <w:lang w:val="en-US" w:eastAsia="zh-CN" w:bidi="ar-SA"/>
                    </w:rPr>
                    <w:t>，能量固化油墨-喷墨印刷油墨，限值10%</w:t>
                  </w:r>
                </w:p>
              </w:tc>
            </w:tr>
            <w:tr w14:paraId="2E9B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left w:val="nil"/>
                  </w:tcBorders>
                </w:tcPr>
                <w:p w14:paraId="56B8A6E4">
                  <w:pPr>
                    <w:keepNext/>
                    <w:keepLines/>
                    <w:pageBreakBefore w:val="0"/>
                    <w:widowControl w:val="0"/>
                    <w:numPr>
                      <w:ilvl w:val="0"/>
                      <w:numId w:val="0"/>
                    </w:numPr>
                    <w:kinsoku/>
                    <w:wordWrap/>
                    <w:overflowPunct/>
                    <w:topLinePunct w:val="0"/>
                    <w:autoSpaceDE/>
                    <w:autoSpaceDN/>
                    <w:bidi w:val="0"/>
                    <w:adjustRightInd/>
                    <w:snapToGrid/>
                    <w:spacing w:before="625" w:beforeLines="20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水性漆</w:t>
                  </w:r>
                </w:p>
              </w:tc>
              <w:tc>
                <w:tcPr>
                  <w:tcW w:w="1810" w:type="dxa"/>
                </w:tcPr>
                <w:p w14:paraId="64211A31">
                  <w:pPr>
                    <w:keepNext/>
                    <w:keepLines/>
                    <w:pageBreakBefore w:val="0"/>
                    <w:widowControl w:val="0"/>
                    <w:numPr>
                      <w:ilvl w:val="0"/>
                      <w:numId w:val="0"/>
                    </w:numPr>
                    <w:kinsoku/>
                    <w:wordWrap/>
                    <w:overflowPunct/>
                    <w:topLinePunct w:val="0"/>
                    <w:autoSpaceDE/>
                    <w:autoSpaceDN/>
                    <w:bidi w:val="0"/>
                    <w:adjustRightInd/>
                    <w:snapToGrid/>
                    <w:spacing w:before="625" w:beforeLines="20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104g/L</w:t>
                  </w:r>
                </w:p>
              </w:tc>
              <w:tc>
                <w:tcPr>
                  <w:tcW w:w="5046" w:type="dxa"/>
                  <w:tcBorders>
                    <w:right w:val="nil"/>
                  </w:tcBorders>
                </w:tcPr>
                <w:p w14:paraId="7056D8C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《低挥发性有机化合物含量涂料产品技术要求》（GB/T38597-2020）的限值要求</w:t>
                  </w:r>
                  <w:r>
                    <w:rPr>
                      <w:rFonts w:hint="eastAsia" w:cs="Times New Roman"/>
                      <w:b w:val="0"/>
                      <w:bCs/>
                      <w:color w:val="auto"/>
                      <w:kern w:val="2"/>
                      <w:sz w:val="21"/>
                      <w:szCs w:val="21"/>
                      <w:vertAlign w:val="baseline"/>
                      <w:lang w:val="en-US" w:eastAsia="zh-CN" w:bidi="ar-SA"/>
                    </w:rPr>
                    <w:t>，参考表1水性涂料中VOC含量要求中工业防护涂料-金属基材防腐涂料-双组份面漆，≤250g/L</w:t>
                  </w:r>
                </w:p>
              </w:tc>
            </w:tr>
            <w:tr w14:paraId="6F69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left w:val="nil"/>
                    <w:bottom w:val="single" w:color="auto" w:sz="12" w:space="0"/>
                  </w:tcBorders>
                </w:tcPr>
                <w:p w14:paraId="4EA8B588">
                  <w:pPr>
                    <w:keepNext/>
                    <w:keepLines/>
                    <w:pageBreakBefore w:val="0"/>
                    <w:widowControl w:val="0"/>
                    <w:numPr>
                      <w:ilvl w:val="0"/>
                      <w:numId w:val="0"/>
                    </w:numPr>
                    <w:kinsoku/>
                    <w:wordWrap/>
                    <w:overflowPunct/>
                    <w:topLinePunct w:val="0"/>
                    <w:autoSpaceDE/>
                    <w:autoSpaceDN/>
                    <w:bidi w:val="0"/>
                    <w:adjustRightInd/>
                    <w:snapToGrid/>
                    <w:spacing w:before="469" w:beforeLines="15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油性漆</w:t>
                  </w:r>
                </w:p>
              </w:tc>
              <w:tc>
                <w:tcPr>
                  <w:tcW w:w="1810" w:type="dxa"/>
                  <w:tcBorders>
                    <w:bottom w:val="single" w:color="auto" w:sz="12" w:space="0"/>
                  </w:tcBorders>
                </w:tcPr>
                <w:p w14:paraId="1D3CAF78">
                  <w:pPr>
                    <w:keepNext/>
                    <w:keepLines/>
                    <w:pageBreakBefore w:val="0"/>
                    <w:widowControl w:val="0"/>
                    <w:numPr>
                      <w:ilvl w:val="0"/>
                      <w:numId w:val="0"/>
                    </w:numPr>
                    <w:kinsoku/>
                    <w:wordWrap/>
                    <w:overflowPunct/>
                    <w:topLinePunct w:val="0"/>
                    <w:autoSpaceDE/>
                    <w:autoSpaceDN/>
                    <w:bidi w:val="0"/>
                    <w:adjustRightInd/>
                    <w:snapToGrid/>
                    <w:spacing w:before="469" w:beforeLines="150"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282g/L</w:t>
                  </w:r>
                </w:p>
              </w:tc>
              <w:tc>
                <w:tcPr>
                  <w:tcW w:w="5046" w:type="dxa"/>
                  <w:tcBorders>
                    <w:bottom w:val="single" w:color="auto" w:sz="12" w:space="0"/>
                    <w:right w:val="nil"/>
                  </w:tcBorders>
                </w:tcPr>
                <w:p w14:paraId="7524723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《低挥发性有机化合物含量涂料产品技术要求》（GB/T38597-2020）的限值要求</w:t>
                  </w:r>
                  <w:r>
                    <w:rPr>
                      <w:rFonts w:hint="eastAsia" w:cs="Times New Roman"/>
                      <w:b w:val="0"/>
                      <w:bCs/>
                      <w:color w:val="auto"/>
                      <w:kern w:val="2"/>
                      <w:sz w:val="21"/>
                      <w:szCs w:val="21"/>
                      <w:vertAlign w:val="baseline"/>
                      <w:lang w:val="en-US" w:eastAsia="zh-CN" w:bidi="ar-SA"/>
                    </w:rPr>
                    <w:t>，参考表2溶剂型涂料中VOC含量要求中工业防护涂料一金属基材防腐涂料-双组分清漆，≤480g/L</w:t>
                  </w:r>
                </w:p>
              </w:tc>
            </w:tr>
          </w:tbl>
          <w:p w14:paraId="58AAC577">
            <w:pPr>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9"/>
              <w:rPr>
                <w:rFonts w:hint="eastAsia"/>
                <w:b w:val="0"/>
                <w:bCs/>
                <w:color w:val="auto"/>
                <w:lang w:val="en-US" w:eastAsia="zh-CN"/>
              </w:rPr>
            </w:pPr>
            <w:r>
              <w:rPr>
                <w:rFonts w:hint="eastAsia" w:ascii="Times New Roman" w:hAnsi="Times New Roman" w:eastAsia="宋体" w:cs="Times New Roman"/>
                <w:b w:val="0"/>
                <w:bCs/>
                <w:color w:val="auto"/>
                <w:kern w:val="2"/>
                <w:sz w:val="24"/>
                <w:szCs w:val="24"/>
                <w:lang w:val="en-US" w:eastAsia="zh-CN" w:bidi="ar-SA"/>
              </w:rPr>
              <w:t>（3）</w:t>
            </w:r>
            <w:r>
              <w:rPr>
                <w:rFonts w:hint="eastAsia"/>
                <w:b w:val="0"/>
                <w:bCs/>
                <w:color w:val="auto"/>
                <w:lang w:val="en-US" w:eastAsia="zh-CN"/>
              </w:rPr>
              <w:t>油性漆替代说明</w:t>
            </w:r>
          </w:p>
          <w:p w14:paraId="23FAE5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户外标识主要用于户外，需长期暴露于紫外线、雨水、温差等环境中，对产品的稳定性、防水性、防护性等要求较高，油性漆具有较好的耐水性和耐候性，适合户外使用。建设单位承诺日后若有适用的低VOCs涂料，会将涂料及时更换为低VOCs涂料，减少大气污染物的排放。</w:t>
            </w:r>
          </w:p>
          <w:p w14:paraId="6D10FB9A">
            <w:pPr>
              <w:pStyle w:val="4"/>
              <w:ind w:firstLine="0" w:firstLineChars="0"/>
              <w:rPr>
                <w:color w:val="auto"/>
              </w:rPr>
            </w:pPr>
            <w:r>
              <w:rPr>
                <w:rFonts w:hint="eastAsia"/>
                <w:color w:val="auto"/>
              </w:rPr>
              <w:t>2.1.7项目</w:t>
            </w:r>
            <w:r>
              <w:rPr>
                <w:rFonts w:hint="eastAsia"/>
                <w:color w:val="auto"/>
                <w:lang w:val="en-US" w:eastAsia="zh-CN"/>
              </w:rPr>
              <w:t>挥发性有机物平衡和</w:t>
            </w:r>
            <w:r>
              <w:rPr>
                <w:rFonts w:hint="eastAsia"/>
                <w:color w:val="auto"/>
              </w:rPr>
              <w:t>水平衡</w:t>
            </w:r>
          </w:p>
          <w:p w14:paraId="4BD40D36">
            <w:pPr>
              <w:ind w:firstLine="480" w:firstLineChars="20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项目挥发性有机物平衡</w:t>
            </w:r>
          </w:p>
          <w:p w14:paraId="382BE854">
            <w:pPr>
              <w:ind w:firstLine="480" w:firstLineChars="200"/>
              <w:rPr>
                <w:rFonts w:hint="eastAsia"/>
                <w:color w:val="auto"/>
                <w:lang w:val="en-US" w:eastAsia="zh-CN"/>
              </w:rPr>
            </w:pPr>
            <w:r>
              <w:rPr>
                <w:rFonts w:hint="eastAsia"/>
                <w:color w:val="auto"/>
                <w:lang w:val="en-US" w:eastAsia="zh-CN"/>
              </w:rPr>
              <w:t>项目挥发性有机物平衡详见图2.1-1。</w:t>
            </w:r>
          </w:p>
          <w:p w14:paraId="389F180E">
            <w:pPr>
              <w:ind w:left="0" w:leftChars="0" w:firstLine="0" w:firstLineChars="0"/>
              <w:rPr>
                <w:rFonts w:hint="default"/>
                <w:color w:val="auto"/>
                <w:lang w:val="en-US" w:eastAsia="zh-CN"/>
              </w:rPr>
            </w:pPr>
            <w:r>
              <w:rPr>
                <w:color w:val="auto"/>
              </w:rPr>
              <w:drawing>
                <wp:inline distT="0" distB="0" distL="114300" distR="114300">
                  <wp:extent cx="5041265" cy="2668270"/>
                  <wp:effectExtent l="0" t="0" r="6985" b="17780"/>
                  <wp:docPr id="20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73"/>
                          <pic:cNvPicPr>
                            <a:picLocks noChangeAspect="1"/>
                          </pic:cNvPicPr>
                        </pic:nvPicPr>
                        <pic:blipFill>
                          <a:blip r:embed="rId14"/>
                          <a:stretch>
                            <a:fillRect/>
                          </a:stretch>
                        </pic:blipFill>
                        <pic:spPr>
                          <a:xfrm>
                            <a:off x="0" y="0"/>
                            <a:ext cx="5041265" cy="2668270"/>
                          </a:xfrm>
                          <a:prstGeom prst="rect">
                            <a:avLst/>
                          </a:prstGeom>
                          <a:noFill/>
                          <a:ln>
                            <a:noFill/>
                          </a:ln>
                        </pic:spPr>
                      </pic:pic>
                    </a:graphicData>
                  </a:graphic>
                </wp:inline>
              </w:drawing>
            </w:r>
          </w:p>
          <w:p w14:paraId="234BF3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lang w:val="en-US" w:eastAsia="zh-CN"/>
              </w:rPr>
            </w:pPr>
            <w:r>
              <w:rPr>
                <w:rFonts w:hint="eastAsia"/>
                <w:b/>
                <w:bCs/>
                <w:color w:val="auto"/>
                <w:lang w:val="en-US" w:eastAsia="zh-CN"/>
              </w:rPr>
              <w:t>图2.1-1  项目挥发性有机物平衡 单位：t/a</w:t>
            </w:r>
          </w:p>
          <w:p w14:paraId="5D3AA8F9">
            <w:pPr>
              <w:ind w:firstLine="480" w:firstLineChars="200"/>
              <w:rPr>
                <w:rFonts w:hint="eastAsia" w:eastAsia="宋体"/>
                <w:color w:val="auto"/>
                <w:lang w:val="en-US" w:eastAsia="zh-CN"/>
              </w:rPr>
            </w:pP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水平衡</w:t>
            </w:r>
          </w:p>
          <w:p w14:paraId="3F9131EA">
            <w:pPr>
              <w:ind w:firstLine="480" w:firstLineChars="200"/>
              <w:rPr>
                <w:color w:val="auto"/>
              </w:rPr>
            </w:pPr>
            <w:r>
              <w:rPr>
                <w:color w:val="auto"/>
              </w:rPr>
              <w:t>①</w:t>
            </w:r>
            <w:r>
              <w:rPr>
                <w:rFonts w:hint="eastAsia"/>
                <w:color w:val="auto"/>
              </w:rPr>
              <w:t>给水</w:t>
            </w:r>
          </w:p>
          <w:p w14:paraId="4034B84C">
            <w:pPr>
              <w:ind w:firstLine="480" w:firstLineChars="200"/>
              <w:rPr>
                <w:color w:val="auto"/>
              </w:rPr>
            </w:pPr>
            <w:r>
              <w:rPr>
                <w:rFonts w:hint="eastAsia"/>
                <w:color w:val="auto"/>
              </w:rPr>
              <w:t>项目用水主要来源于</w:t>
            </w:r>
            <w:r>
              <w:rPr>
                <w:color w:val="auto"/>
              </w:rPr>
              <w:t>喷漆</w:t>
            </w:r>
            <w:r>
              <w:rPr>
                <w:rFonts w:hint="eastAsia"/>
                <w:color w:val="auto"/>
              </w:rPr>
              <w:t>水帘柜用水以及员工办公生活用水。用水依托园区市政供水管网直接供给，水量、水压满足项目需求。</w:t>
            </w:r>
          </w:p>
          <w:p w14:paraId="418F10BA">
            <w:pPr>
              <w:ind w:firstLine="480" w:firstLineChars="200"/>
              <w:rPr>
                <w:color w:val="auto"/>
              </w:rPr>
            </w:pPr>
            <w:r>
              <w:rPr>
                <w:rFonts w:hint="eastAsia"/>
                <w:color w:val="auto"/>
                <w:lang w:val="en-US" w:eastAsia="zh-CN"/>
              </w:rPr>
              <w:t>A.</w:t>
            </w:r>
            <w:r>
              <w:rPr>
                <w:color w:val="auto"/>
              </w:rPr>
              <w:t>生活用水</w:t>
            </w:r>
          </w:p>
          <w:p w14:paraId="28819699">
            <w:pPr>
              <w:ind w:firstLine="480" w:firstLineChars="200"/>
              <w:rPr>
                <w:color w:val="auto"/>
              </w:rPr>
            </w:pPr>
            <w:r>
              <w:rPr>
                <w:color w:val="auto"/>
              </w:rPr>
              <w:t>项目劳动定员</w:t>
            </w:r>
            <w:r>
              <w:rPr>
                <w:rFonts w:hint="eastAsia"/>
                <w:color w:val="auto"/>
              </w:rPr>
              <w:t>85</w:t>
            </w:r>
            <w:r>
              <w:rPr>
                <w:color w:val="auto"/>
              </w:rPr>
              <w:t>人，</w:t>
            </w:r>
            <w:r>
              <w:rPr>
                <w:rFonts w:hint="eastAsia" w:cs="宋体"/>
                <w:snapToGrid w:val="0"/>
                <w:color w:val="auto"/>
                <w:szCs w:val="20"/>
              </w:rPr>
              <w:t>均不住厂，根据《建筑给水排水设计规范》（GB50015-2019），不住宿员工用水量按50L/人·d计算</w:t>
            </w:r>
            <w:r>
              <w:rPr>
                <w:color w:val="auto"/>
              </w:rPr>
              <w:t>，则职工生活用水量为</w:t>
            </w:r>
            <w:r>
              <w:rPr>
                <w:rFonts w:hint="eastAsia"/>
                <w:color w:val="auto"/>
              </w:rPr>
              <w:t>4.25t</w:t>
            </w:r>
            <w:r>
              <w:rPr>
                <w:color w:val="auto"/>
              </w:rPr>
              <w:t>/d（</w:t>
            </w:r>
            <w:r>
              <w:rPr>
                <w:rFonts w:hint="eastAsia"/>
                <w:color w:val="auto"/>
              </w:rPr>
              <w:t>1190</w:t>
            </w:r>
            <w:r>
              <w:rPr>
                <w:color w:val="auto"/>
              </w:rPr>
              <w:t>t/a），排放系数按80%计，则项目职工生活污水产生量为</w:t>
            </w:r>
            <w:r>
              <w:rPr>
                <w:rFonts w:hint="eastAsia"/>
                <w:color w:val="auto"/>
              </w:rPr>
              <w:t>3.4t</w:t>
            </w:r>
            <w:r>
              <w:rPr>
                <w:color w:val="auto"/>
              </w:rPr>
              <w:t>/d（</w:t>
            </w:r>
            <w:r>
              <w:rPr>
                <w:rFonts w:hint="eastAsia"/>
                <w:color w:val="auto"/>
              </w:rPr>
              <w:t>952</w:t>
            </w:r>
            <w:r>
              <w:rPr>
                <w:color w:val="auto"/>
              </w:rPr>
              <w:t>t/a）。</w:t>
            </w:r>
          </w:p>
          <w:p w14:paraId="0E7B3C0F">
            <w:pPr>
              <w:ind w:firstLine="480" w:firstLineChars="200"/>
              <w:rPr>
                <w:color w:val="auto"/>
              </w:rPr>
            </w:pPr>
            <w:r>
              <w:rPr>
                <w:rFonts w:hint="eastAsia"/>
                <w:color w:val="auto"/>
                <w:lang w:val="en-US" w:eastAsia="zh-CN"/>
              </w:rPr>
              <w:t>B.</w:t>
            </w:r>
            <w:r>
              <w:rPr>
                <w:color w:val="auto"/>
              </w:rPr>
              <w:t>喷漆</w:t>
            </w:r>
            <w:r>
              <w:rPr>
                <w:rFonts w:hint="eastAsia"/>
                <w:color w:val="auto"/>
              </w:rPr>
              <w:t>水帘柜用水</w:t>
            </w:r>
          </w:p>
          <w:p w14:paraId="5889E0BC">
            <w:pPr>
              <w:pStyle w:val="5"/>
              <w:ind w:firstLine="480"/>
              <w:rPr>
                <w:rFonts w:hint="default" w:eastAsia="宋体"/>
                <w:color w:val="auto"/>
                <w:lang w:val="en-US" w:eastAsia="zh-CN"/>
              </w:rPr>
            </w:pPr>
            <w:r>
              <w:rPr>
                <w:rFonts w:hint="eastAsia"/>
                <w:color w:val="auto"/>
                <w:lang w:val="en-US" w:eastAsia="zh-CN"/>
              </w:rPr>
              <w:t>a.损耗用水</w:t>
            </w:r>
          </w:p>
          <w:p w14:paraId="72D40797">
            <w:pPr>
              <w:pStyle w:val="5"/>
              <w:ind w:firstLine="480"/>
              <w:rPr>
                <w:color w:val="auto"/>
              </w:rPr>
            </w:pPr>
            <w:r>
              <w:rPr>
                <w:color w:val="auto"/>
              </w:rPr>
              <w:t>项目喷漆工序拟设置1个喷漆水帘，喷漆水帘柜在喷漆过程中有少量有机物进入水中形成了含漆废水</w:t>
            </w:r>
            <w:r>
              <w:rPr>
                <w:rFonts w:hint="eastAsia"/>
                <w:color w:val="auto"/>
              </w:rPr>
              <w:t>。根据建设单位提供资料，</w:t>
            </w:r>
            <w:r>
              <w:rPr>
                <w:color w:val="auto"/>
              </w:rPr>
              <w:t>水帘柜循环水池的储水量约为</w:t>
            </w:r>
            <w:r>
              <w:rPr>
                <w:rFonts w:hint="eastAsia"/>
                <w:color w:val="auto"/>
              </w:rPr>
              <w:t>4</w:t>
            </w:r>
            <w:r>
              <w:rPr>
                <w:color w:val="auto"/>
              </w:rPr>
              <w:t>m</w:t>
            </w:r>
            <w:r>
              <w:rPr>
                <w:color w:val="auto"/>
                <w:vertAlign w:val="superscript"/>
              </w:rPr>
              <w:t>3</w:t>
            </w:r>
            <w:r>
              <w:rPr>
                <w:color w:val="auto"/>
              </w:rPr>
              <w:t>。项目喷漆水帘柜用水对水质要求不高，建设单位在</w:t>
            </w:r>
            <w:r>
              <w:rPr>
                <w:rFonts w:hint="eastAsia"/>
                <w:color w:val="auto"/>
              </w:rPr>
              <w:t>循环水池中</w:t>
            </w:r>
            <w:r>
              <w:rPr>
                <w:color w:val="auto"/>
              </w:rPr>
              <w:t>直接添加漆雾絮凝剂</w:t>
            </w:r>
            <w:r>
              <w:rPr>
                <w:rFonts w:hint="eastAsia"/>
                <w:color w:val="auto"/>
              </w:rPr>
              <w:t>作沉渣处理，</w:t>
            </w:r>
            <w:r>
              <w:rPr>
                <w:color w:val="auto"/>
              </w:rPr>
              <w:t>净化处理</w:t>
            </w:r>
            <w:r>
              <w:rPr>
                <w:rFonts w:hint="eastAsia"/>
                <w:color w:val="auto"/>
              </w:rPr>
              <w:t>的水</w:t>
            </w:r>
            <w:r>
              <w:rPr>
                <w:color w:val="auto"/>
              </w:rPr>
              <w:t>后回用到水帘柜</w:t>
            </w:r>
            <w:r>
              <w:rPr>
                <w:rFonts w:hint="eastAsia"/>
                <w:color w:val="auto"/>
              </w:rPr>
              <w:t>中继续使用</w:t>
            </w:r>
            <w:r>
              <w:rPr>
                <w:color w:val="auto"/>
              </w:rPr>
              <w:t>。</w:t>
            </w:r>
          </w:p>
          <w:p w14:paraId="3615FAF0">
            <w:pPr>
              <w:pStyle w:val="5"/>
              <w:ind w:firstLine="480"/>
              <w:rPr>
                <w:color w:val="auto"/>
              </w:rPr>
            </w:pPr>
            <w:r>
              <w:rPr>
                <w:color w:val="auto"/>
              </w:rPr>
              <w:t>建设单位拟将该喷漆水帘柜的水循环使用，该废水由于蒸发等损耗需定期补充新鲜水，喷漆水帘柜循环水</w:t>
            </w:r>
            <w:r>
              <w:rPr>
                <w:rFonts w:hint="eastAsia"/>
                <w:color w:val="auto"/>
              </w:rPr>
              <w:t>在</w:t>
            </w:r>
            <w:r>
              <w:rPr>
                <w:color w:val="auto"/>
              </w:rPr>
              <w:t>使用过程中损耗水量按用水量的10%计算，则损耗水量</w:t>
            </w:r>
            <w:r>
              <w:rPr>
                <w:rFonts w:hint="eastAsia"/>
                <w:color w:val="auto"/>
              </w:rPr>
              <w:t>为0.4t</w:t>
            </w:r>
            <w:r>
              <w:rPr>
                <w:color w:val="auto"/>
              </w:rPr>
              <w:t>/</w:t>
            </w:r>
            <w:r>
              <w:rPr>
                <w:rFonts w:hint="eastAsia"/>
                <w:color w:val="auto"/>
              </w:rPr>
              <w:t>d</w:t>
            </w:r>
            <w:r>
              <w:rPr>
                <w:color w:val="auto"/>
              </w:rPr>
              <w:t>（</w:t>
            </w:r>
            <w:r>
              <w:rPr>
                <w:rFonts w:hint="eastAsia"/>
                <w:color w:val="auto"/>
              </w:rPr>
              <w:t>112t</w:t>
            </w:r>
            <w:r>
              <w:rPr>
                <w:color w:val="auto"/>
              </w:rPr>
              <w:t>/a）。</w:t>
            </w:r>
          </w:p>
          <w:p w14:paraId="508EB7C7">
            <w:pPr>
              <w:pStyle w:val="5"/>
              <w:ind w:firstLine="480"/>
              <w:rPr>
                <w:rFonts w:hint="default" w:eastAsia="宋体"/>
                <w:color w:val="auto"/>
                <w:highlight w:val="none"/>
                <w:lang w:val="en-US" w:eastAsia="zh-CN"/>
              </w:rPr>
            </w:pPr>
            <w:r>
              <w:rPr>
                <w:rFonts w:hint="eastAsia"/>
                <w:color w:val="auto"/>
                <w:lang w:val="en-US" w:eastAsia="zh-CN"/>
              </w:rPr>
              <w:t>b.更换用水</w:t>
            </w:r>
          </w:p>
          <w:p w14:paraId="23894C64">
            <w:pPr>
              <w:pStyle w:val="5"/>
              <w:ind w:firstLine="480"/>
              <w:rPr>
                <w:color w:val="auto"/>
                <w:highlight w:val="none"/>
              </w:rPr>
            </w:pPr>
            <w:r>
              <w:rPr>
                <w:color w:val="auto"/>
                <w:highlight w:val="none"/>
              </w:rPr>
              <w:t>因循环使用时间较长后水质变浑浊，废水</w:t>
            </w:r>
            <w:r>
              <w:rPr>
                <w:rFonts w:hint="eastAsia"/>
                <w:color w:val="auto"/>
                <w:highlight w:val="none"/>
              </w:rPr>
              <w:t>多次</w:t>
            </w:r>
            <w:r>
              <w:rPr>
                <w:color w:val="auto"/>
                <w:highlight w:val="none"/>
              </w:rPr>
              <w:t>循环使用导致盐分增加，需定期对喷漆水帘柜循环水进行更换，</w:t>
            </w:r>
            <w:r>
              <w:rPr>
                <w:rFonts w:hint="eastAsia"/>
                <w:color w:val="auto"/>
                <w:highlight w:val="none"/>
              </w:rPr>
              <w:t>项目</w:t>
            </w:r>
            <w:r>
              <w:rPr>
                <w:color w:val="auto"/>
                <w:highlight w:val="none"/>
              </w:rPr>
              <w:t>喷漆水帘柜用水</w:t>
            </w:r>
            <w:r>
              <w:rPr>
                <w:rFonts w:hint="eastAsia"/>
                <w:color w:val="auto"/>
                <w:highlight w:val="none"/>
              </w:rPr>
              <w:t>计划</w:t>
            </w:r>
            <w:r>
              <w:rPr>
                <w:rFonts w:hint="eastAsia"/>
                <w:color w:val="auto"/>
                <w:highlight w:val="none"/>
                <w:lang w:val="en-US" w:eastAsia="zh-CN"/>
              </w:rPr>
              <w:t>半年</w:t>
            </w:r>
            <w:r>
              <w:rPr>
                <w:color w:val="auto"/>
                <w:highlight w:val="none"/>
              </w:rPr>
              <w:t>更换一次，每次喷漆水帘柜</w:t>
            </w:r>
            <w:r>
              <w:rPr>
                <w:rFonts w:hint="eastAsia"/>
                <w:color w:val="auto"/>
                <w:highlight w:val="none"/>
              </w:rPr>
              <w:t>废</w:t>
            </w:r>
            <w:r>
              <w:rPr>
                <w:color w:val="auto"/>
                <w:highlight w:val="none"/>
              </w:rPr>
              <w:t>水全部更换，更换废水产生量为</w:t>
            </w:r>
            <w:r>
              <w:rPr>
                <w:rFonts w:hint="eastAsia"/>
                <w:color w:val="auto"/>
                <w:highlight w:val="none"/>
                <w:lang w:val="en-US" w:eastAsia="zh-CN"/>
              </w:rPr>
              <w:t>8</w:t>
            </w:r>
            <w:r>
              <w:rPr>
                <w:rFonts w:hint="eastAsia"/>
                <w:color w:val="auto"/>
                <w:highlight w:val="none"/>
              </w:rPr>
              <w:t>t</w:t>
            </w:r>
            <w:r>
              <w:rPr>
                <w:color w:val="auto"/>
                <w:highlight w:val="none"/>
              </w:rPr>
              <w:t>/a</w:t>
            </w:r>
            <w:r>
              <w:rPr>
                <w:rFonts w:hint="eastAsia"/>
                <w:color w:val="auto"/>
                <w:highlight w:val="none"/>
              </w:rPr>
              <w:t>。</w:t>
            </w:r>
            <w:r>
              <w:rPr>
                <w:rFonts w:hint="eastAsia"/>
                <w:color w:val="auto"/>
                <w:highlight w:val="none"/>
                <w:lang w:val="en-US" w:eastAsia="zh-CN"/>
              </w:rPr>
              <w:t>定期</w:t>
            </w:r>
            <w:r>
              <w:rPr>
                <w:rFonts w:hint="eastAsia"/>
                <w:color w:val="auto"/>
                <w:highlight w:val="none"/>
              </w:rPr>
              <w:t>更换的</w:t>
            </w:r>
            <w:r>
              <w:rPr>
                <w:rFonts w:hint="eastAsia"/>
                <w:color w:val="auto"/>
                <w:highlight w:val="none"/>
                <w:lang w:val="en-US" w:eastAsia="zh-CN"/>
              </w:rPr>
              <w:t>水帘柜废水集中收集，</w:t>
            </w:r>
            <w:r>
              <w:rPr>
                <w:rFonts w:hint="eastAsia"/>
                <w:color w:val="auto"/>
                <w:highlight w:val="none"/>
              </w:rPr>
              <w:t>当作危险废物委托有资质单位统一处置</w:t>
            </w:r>
            <w:r>
              <w:rPr>
                <w:rFonts w:hint="eastAsia"/>
                <w:color w:val="auto"/>
                <w:highlight w:val="none"/>
                <w:lang w:eastAsia="zh-CN"/>
              </w:rPr>
              <w:t>。</w:t>
            </w:r>
          </w:p>
          <w:p w14:paraId="0DEFDEB0">
            <w:pPr>
              <w:pStyle w:val="5"/>
              <w:ind w:firstLine="480"/>
              <w:rPr>
                <w:color w:val="auto"/>
              </w:rPr>
            </w:pPr>
            <w:r>
              <w:rPr>
                <w:color w:val="auto"/>
              </w:rPr>
              <w:t>项目水平衡见图2.1-</w:t>
            </w:r>
            <w:r>
              <w:rPr>
                <w:rFonts w:hint="eastAsia"/>
                <w:color w:val="auto"/>
              </w:rPr>
              <w:t>1</w:t>
            </w:r>
            <w:r>
              <w:rPr>
                <w:color w:val="auto"/>
              </w:rPr>
              <w:t>。</w:t>
            </w:r>
          </w:p>
          <w:p w14:paraId="463EBC7C">
            <w:pPr>
              <w:pStyle w:val="39"/>
              <w:spacing w:before="0" w:beforeLines="0" w:after="0" w:afterLines="0"/>
              <w:rPr>
                <w:color w:val="auto"/>
              </w:rPr>
            </w:pPr>
            <w:r>
              <w:rPr>
                <w:color w:val="auto"/>
              </w:rPr>
              <w:drawing>
                <wp:inline distT="0" distB="0" distL="114300" distR="114300">
                  <wp:extent cx="5105400" cy="2335530"/>
                  <wp:effectExtent l="0" t="0" r="0" b="11430"/>
                  <wp:docPr id="1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2"/>
                          <pic:cNvPicPr>
                            <a:picLocks noChangeAspect="1"/>
                          </pic:cNvPicPr>
                        </pic:nvPicPr>
                        <pic:blipFill>
                          <a:blip r:embed="rId15"/>
                          <a:stretch>
                            <a:fillRect/>
                          </a:stretch>
                        </pic:blipFill>
                        <pic:spPr>
                          <a:xfrm>
                            <a:off x="0" y="0"/>
                            <a:ext cx="5105400" cy="2335530"/>
                          </a:xfrm>
                          <a:prstGeom prst="rect">
                            <a:avLst/>
                          </a:prstGeom>
                          <a:noFill/>
                          <a:ln>
                            <a:noFill/>
                          </a:ln>
                        </pic:spPr>
                      </pic:pic>
                    </a:graphicData>
                  </a:graphic>
                </wp:inline>
              </w:drawing>
            </w:r>
          </w:p>
          <w:p w14:paraId="6FD1C3E0">
            <w:pPr>
              <w:pStyle w:val="4"/>
              <w:ind w:firstLine="0" w:firstLineChars="0"/>
              <w:jc w:val="center"/>
              <w:rPr>
                <w:color w:val="auto"/>
              </w:rPr>
            </w:pPr>
            <w:r>
              <w:rPr>
                <w:rFonts w:hint="eastAsia"/>
                <w:color w:val="auto"/>
              </w:rPr>
              <w:t>图2.1-1  项目水平衡图（t/a）</w:t>
            </w:r>
          </w:p>
          <w:p w14:paraId="5D54589E">
            <w:pPr>
              <w:keepNext/>
              <w:keepLines/>
              <w:ind w:firstLine="480" w:firstLineChars="200"/>
              <w:rPr>
                <w:bCs/>
                <w:color w:val="auto"/>
              </w:rPr>
            </w:pPr>
            <w:r>
              <w:rPr>
                <w:rFonts w:hint="default" w:ascii="Times New Roman" w:hAnsi="Times New Roman" w:cs="Times New Roman"/>
                <w:bCs/>
                <w:color w:val="auto"/>
              </w:rPr>
              <w:t>②</w:t>
            </w:r>
            <w:r>
              <w:rPr>
                <w:rFonts w:hint="eastAsia"/>
                <w:bCs/>
                <w:color w:val="auto"/>
              </w:rPr>
              <w:t>排水</w:t>
            </w:r>
          </w:p>
          <w:p w14:paraId="07D88323">
            <w:pPr>
              <w:adjustRightInd w:val="0"/>
              <w:ind w:firstLine="480" w:firstLineChars="200"/>
              <w:rPr>
                <w:color w:val="auto"/>
              </w:rPr>
            </w:pPr>
            <w:r>
              <w:rPr>
                <w:rFonts w:hint="eastAsia"/>
                <w:color w:val="auto"/>
                <w:kern w:val="0"/>
                <w:lang w:bidi="ar"/>
              </w:rPr>
              <w:t>项目</w:t>
            </w:r>
            <w:r>
              <w:rPr>
                <w:color w:val="auto"/>
                <w:kern w:val="0"/>
                <w:lang w:bidi="ar"/>
              </w:rPr>
              <w:t>排水采取雨污分流的形式。雨水经收集汇流后，由雨水管排入园区市政雨水管网。</w:t>
            </w:r>
            <w:r>
              <w:rPr>
                <w:color w:val="auto"/>
              </w:rPr>
              <w:t>喷漆水帘柜</w:t>
            </w:r>
            <w:r>
              <w:rPr>
                <w:rFonts w:hint="eastAsia"/>
                <w:color w:val="auto"/>
              </w:rPr>
              <w:t>废水定期更换，做危废处理。</w:t>
            </w:r>
            <w:r>
              <w:rPr>
                <w:color w:val="auto"/>
                <w:kern w:val="0"/>
                <w:lang w:bidi="ar"/>
              </w:rPr>
              <w:t>项目外排废水主要来自员工</w:t>
            </w:r>
            <w:r>
              <w:rPr>
                <w:rFonts w:hint="eastAsia"/>
                <w:color w:val="auto"/>
                <w:kern w:val="0"/>
                <w:lang w:bidi="ar"/>
              </w:rPr>
              <w:t>办公</w:t>
            </w:r>
            <w:r>
              <w:rPr>
                <w:color w:val="auto"/>
                <w:kern w:val="0"/>
                <w:lang w:bidi="ar"/>
              </w:rPr>
              <w:t>生活污水</w:t>
            </w:r>
            <w:r>
              <w:rPr>
                <w:rFonts w:hint="eastAsia"/>
                <w:color w:val="auto"/>
                <w:kern w:val="0"/>
                <w:lang w:bidi="ar"/>
              </w:rPr>
              <w:t>，生活污水经园区化粪池处理达标后排入市政污水管网，由大学城污水处理厂集中处理。</w:t>
            </w:r>
          </w:p>
          <w:p w14:paraId="182B921C">
            <w:pPr>
              <w:pStyle w:val="4"/>
              <w:ind w:firstLine="0" w:firstLineChars="0"/>
              <w:rPr>
                <w:color w:val="auto"/>
              </w:rPr>
            </w:pPr>
            <w:r>
              <w:rPr>
                <w:rFonts w:hint="eastAsia"/>
                <w:color w:val="auto"/>
              </w:rPr>
              <w:t>2.1.8平面布置合理性分析</w:t>
            </w:r>
          </w:p>
          <w:p w14:paraId="5A90FF15">
            <w:pPr>
              <w:pStyle w:val="5"/>
              <w:ind w:firstLine="480"/>
              <w:rPr>
                <w:color w:val="auto"/>
              </w:rPr>
            </w:pPr>
            <w:r>
              <w:rPr>
                <w:color w:val="auto"/>
              </w:rPr>
              <w:t>项目位于</w:t>
            </w:r>
            <w:r>
              <w:rPr>
                <w:rFonts w:hint="eastAsia"/>
                <w:color w:val="auto"/>
              </w:rPr>
              <w:t>福建省闽侯县南屿镇智慧大道20号保利通信福州高新科技产业园13号楼</w:t>
            </w:r>
            <w:r>
              <w:rPr>
                <w:color w:val="auto"/>
              </w:rPr>
              <w:t>。厂区总平面布置在符合规定及要求的基础上，结合工艺生产要求及用地现有自然条件，满足生产运输、安全卫生、环境保护及施工管理等方面的需要，同时考虑企业在生产、交通运输、动力设施等方面的协作关系，做到生产工艺流程顺畅，通道宽度适中。总体布置统筹规划，远近期结合，各子项布局合理紧凑，协调统一。总图设计根据企业规划发展要求，本着总体规划，分步实施的原则，统筹考虑了场地的利用和总体布置。</w:t>
            </w:r>
          </w:p>
          <w:p w14:paraId="0796AA57">
            <w:pPr>
              <w:pStyle w:val="5"/>
              <w:ind w:firstLine="480"/>
              <w:rPr>
                <w:color w:val="auto"/>
              </w:rPr>
            </w:pPr>
            <w:r>
              <w:rPr>
                <w:color w:val="auto"/>
              </w:rPr>
              <w:t>每层楼的功能划分明确清晰，便于工艺流程的进行和成品的堆放，物料流向顺畅，符合防火、安全、卫生等有关规范，总体布局功能分区明确，便于生产的连续性，项目平面布置基本合理。</w:t>
            </w:r>
          </w:p>
        </w:tc>
      </w:tr>
      <w:tr w14:paraId="2D8C6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823" w:type="dxa"/>
            <w:vAlign w:val="center"/>
          </w:tcPr>
          <w:p w14:paraId="4B76239D">
            <w:pPr>
              <w:adjustRightInd w:val="0"/>
              <w:snapToGrid w:val="0"/>
              <w:jc w:val="center"/>
              <w:rPr>
                <w:rFonts w:cs="宋体"/>
                <w:color w:val="auto"/>
                <w:sz w:val="21"/>
                <w:szCs w:val="21"/>
              </w:rPr>
            </w:pPr>
            <w:r>
              <w:rPr>
                <w:rFonts w:hint="eastAsia" w:cs="宋体"/>
                <w:color w:val="auto"/>
              </w:rPr>
              <w:t>工艺流程和产排污环节</w:t>
            </w:r>
          </w:p>
        </w:tc>
        <w:tc>
          <w:tcPr>
            <w:tcW w:w="8161" w:type="dxa"/>
          </w:tcPr>
          <w:p w14:paraId="0E410D3D">
            <w:pPr>
              <w:pStyle w:val="3"/>
              <w:spacing w:before="0" w:after="0"/>
              <w:rPr>
                <w:color w:val="auto"/>
              </w:rPr>
            </w:pPr>
            <w:r>
              <w:rPr>
                <w:rFonts w:hint="eastAsia"/>
                <w:color w:val="auto"/>
              </w:rPr>
              <w:t>2.2生产工艺流程及产污环节</w:t>
            </w:r>
          </w:p>
          <w:p w14:paraId="70A59069">
            <w:pPr>
              <w:pStyle w:val="4"/>
              <w:ind w:firstLine="0" w:firstLineChars="0"/>
              <w:rPr>
                <w:color w:val="auto"/>
              </w:rPr>
            </w:pPr>
            <w:r>
              <w:rPr>
                <w:rFonts w:hint="eastAsia"/>
                <w:color w:val="auto"/>
              </w:rPr>
              <w:t>2.2.1工艺流程及工艺介绍</w:t>
            </w:r>
          </w:p>
          <w:p w14:paraId="1AA1EF47">
            <w:pPr>
              <w:pStyle w:val="54"/>
              <w:rPr>
                <w:color w:val="auto"/>
              </w:rPr>
            </w:pPr>
            <w:r>
              <w:rPr>
                <w:rFonts w:hint="eastAsia"/>
                <w:color w:val="auto"/>
              </w:rPr>
              <w:t>本</w:t>
            </w:r>
            <w:r>
              <w:rPr>
                <w:color w:val="auto"/>
              </w:rPr>
              <w:t>项目生产工艺流程及产污环节</w:t>
            </w:r>
            <w:r>
              <w:rPr>
                <w:rFonts w:hint="eastAsia"/>
                <w:color w:val="auto"/>
              </w:rPr>
              <w:t>如图2.2-1~图2.2-3所示。</w:t>
            </w:r>
          </w:p>
          <w:p w14:paraId="51653642">
            <w:pPr>
              <w:pStyle w:val="54"/>
              <w:ind w:firstLine="482"/>
              <w:rPr>
                <w:b/>
                <w:bCs/>
                <w:color w:val="auto"/>
              </w:rPr>
            </w:pPr>
            <w:r>
              <w:rPr>
                <w:rFonts w:hint="eastAsia"/>
                <w:b/>
                <w:bCs/>
                <w:color w:val="auto"/>
              </w:rPr>
              <w:t>（1）金属发光字、灯箱生产工艺流程</w:t>
            </w:r>
          </w:p>
          <w:p w14:paraId="32DF560C">
            <w:pPr>
              <w:pStyle w:val="5"/>
              <w:spacing w:line="240" w:lineRule="auto"/>
              <w:ind w:firstLine="0" w:firstLineChars="0"/>
              <w:jc w:val="center"/>
              <w:rPr>
                <w:color w:val="auto"/>
              </w:rPr>
            </w:pPr>
            <w:r>
              <w:rPr>
                <w:color w:val="auto"/>
              </w:rPr>
              <w:drawing>
                <wp:inline distT="0" distB="0" distL="114300" distR="114300">
                  <wp:extent cx="3508375" cy="5669280"/>
                  <wp:effectExtent l="0" t="0" r="15875" b="762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16"/>
                          <a:stretch>
                            <a:fillRect/>
                          </a:stretch>
                        </pic:blipFill>
                        <pic:spPr>
                          <a:xfrm>
                            <a:off x="0" y="0"/>
                            <a:ext cx="3508375" cy="5669280"/>
                          </a:xfrm>
                          <a:prstGeom prst="rect">
                            <a:avLst/>
                          </a:prstGeom>
                          <a:noFill/>
                          <a:ln>
                            <a:noFill/>
                          </a:ln>
                        </pic:spPr>
                      </pic:pic>
                    </a:graphicData>
                  </a:graphic>
                </wp:inline>
              </w:drawing>
            </w:r>
          </w:p>
          <w:p w14:paraId="3CF4DC8E">
            <w:pPr>
              <w:pStyle w:val="39"/>
              <w:spacing w:before="24" w:after="24"/>
              <w:rPr>
                <w:color w:val="auto"/>
              </w:rPr>
            </w:pPr>
            <w:r>
              <w:rPr>
                <w:rFonts w:hint="eastAsia"/>
                <w:color w:val="auto"/>
              </w:rPr>
              <w:t>图2.2-1  金属发光字、灯箱生产工艺流程及产污环节示意图</w:t>
            </w:r>
          </w:p>
          <w:p w14:paraId="18BE1765">
            <w:pPr>
              <w:pStyle w:val="22"/>
              <w:spacing w:line="360" w:lineRule="auto"/>
              <w:ind w:left="0" w:leftChars="0" w:firstLine="482" w:firstLineChars="200"/>
              <w:jc w:val="left"/>
              <w:rPr>
                <w:b/>
                <w:bCs/>
                <w:color w:val="auto"/>
              </w:rPr>
            </w:pPr>
            <w:r>
              <w:rPr>
                <w:b/>
                <w:bCs/>
                <w:color w:val="auto"/>
              </w:rPr>
              <w:t>工艺流程简述：</w:t>
            </w:r>
          </w:p>
          <w:p w14:paraId="4F942F12">
            <w:pPr>
              <w:pStyle w:val="22"/>
              <w:spacing w:line="360" w:lineRule="auto"/>
              <w:ind w:left="0" w:leftChars="0" w:firstLine="480" w:firstLineChars="200"/>
              <w:jc w:val="left"/>
              <w:rPr>
                <w:color w:val="auto"/>
              </w:rPr>
            </w:pPr>
            <w:r>
              <w:rPr>
                <w:color w:val="auto"/>
              </w:rPr>
              <w:t>①</w:t>
            </w:r>
            <w:r>
              <w:rPr>
                <w:rFonts w:hint="eastAsia"/>
                <w:color w:val="auto"/>
              </w:rPr>
              <w:t>切割：</w:t>
            </w:r>
            <w:r>
              <w:rPr>
                <w:color w:val="auto"/>
              </w:rPr>
              <w:t>用切割机对金属板材按设计要求切割成所需的规格或形状。此工序产生的主要污染物是切割烟尘、</w:t>
            </w:r>
            <w:r>
              <w:rPr>
                <w:rFonts w:hint="eastAsia"/>
                <w:color w:val="auto"/>
              </w:rPr>
              <w:t>废</w:t>
            </w:r>
            <w:r>
              <w:rPr>
                <w:color w:val="auto"/>
              </w:rPr>
              <w:t>边角料和噪声。</w:t>
            </w:r>
          </w:p>
          <w:p w14:paraId="02DE93EB">
            <w:pPr>
              <w:pStyle w:val="22"/>
              <w:spacing w:line="360" w:lineRule="auto"/>
              <w:ind w:left="0" w:leftChars="0" w:firstLine="480" w:firstLineChars="200"/>
              <w:jc w:val="left"/>
              <w:rPr>
                <w:color w:val="auto"/>
              </w:rPr>
            </w:pPr>
            <w:r>
              <w:rPr>
                <w:color w:val="auto"/>
              </w:rPr>
              <w:t>②开槽折弯：对切割后的金属板材用开槽折弯机进行弯折，形成字体</w:t>
            </w:r>
            <w:r>
              <w:rPr>
                <w:rFonts w:hint="eastAsia"/>
                <w:color w:val="auto"/>
              </w:rPr>
              <w:t>或灯箱</w:t>
            </w:r>
            <w:r>
              <w:rPr>
                <w:color w:val="auto"/>
              </w:rPr>
              <w:t>。此工序产生的主要污染物是</w:t>
            </w:r>
            <w:r>
              <w:rPr>
                <w:rFonts w:hint="eastAsia"/>
                <w:color w:val="auto"/>
              </w:rPr>
              <w:t>废</w:t>
            </w:r>
            <w:r>
              <w:rPr>
                <w:color w:val="auto"/>
              </w:rPr>
              <w:t>边角料和噪声。</w:t>
            </w:r>
          </w:p>
          <w:p w14:paraId="2FDD51B3">
            <w:pPr>
              <w:pStyle w:val="22"/>
              <w:spacing w:line="360" w:lineRule="auto"/>
              <w:ind w:left="0" w:leftChars="0" w:firstLine="480" w:firstLineChars="200"/>
              <w:jc w:val="left"/>
              <w:rPr>
                <w:color w:val="auto"/>
              </w:rPr>
            </w:pPr>
            <w:r>
              <w:rPr>
                <w:color w:val="auto"/>
              </w:rPr>
              <w:t>③</w:t>
            </w:r>
            <w:r>
              <w:rPr>
                <w:rFonts w:hint="eastAsia"/>
                <w:color w:val="auto"/>
              </w:rPr>
              <w:t>激光</w:t>
            </w:r>
            <w:r>
              <w:rPr>
                <w:color w:val="auto"/>
              </w:rPr>
              <w:t>焊接：对弯折后的</w:t>
            </w:r>
            <w:r>
              <w:rPr>
                <w:rFonts w:hint="eastAsia" w:ascii="宋体" w:hAnsi="宋体" w:cs="宋体"/>
                <w:color w:val="auto"/>
              </w:rPr>
              <w:t>字体和灯箱</w:t>
            </w:r>
            <w:r>
              <w:rPr>
                <w:color w:val="auto"/>
              </w:rPr>
              <w:t>进行造型焊接形成底盒，</w:t>
            </w:r>
            <w:r>
              <w:rPr>
                <w:rFonts w:hint="eastAsia" w:ascii="宋体" w:hAnsi="宋体" w:cs="宋体"/>
                <w:color w:val="auto"/>
              </w:rPr>
              <w:t>本项目使用的焊接设备为氩弧焊机，焊接材料为焊丝</w:t>
            </w:r>
            <w:r>
              <w:rPr>
                <w:color w:val="auto"/>
              </w:rPr>
              <w:t>。此工序产生的主要污染物是焊接烟尘。</w:t>
            </w:r>
          </w:p>
          <w:p w14:paraId="6F0C8EB5">
            <w:pPr>
              <w:pStyle w:val="22"/>
              <w:spacing w:line="360" w:lineRule="auto"/>
              <w:ind w:left="0" w:leftChars="0" w:firstLine="480" w:firstLineChars="200"/>
              <w:jc w:val="left"/>
              <w:rPr>
                <w:rFonts w:hint="default" w:eastAsia="宋体"/>
                <w:color w:val="auto"/>
                <w:lang w:val="en-US" w:eastAsia="zh-CN"/>
              </w:rPr>
            </w:pPr>
            <w:r>
              <w:rPr>
                <w:color w:val="auto"/>
              </w:rPr>
              <w:t>④</w:t>
            </w:r>
            <w:r>
              <w:rPr>
                <w:rFonts w:hint="eastAsia"/>
                <w:color w:val="auto"/>
                <w:lang w:val="en-US" w:eastAsia="zh-CN"/>
              </w:rPr>
              <w:t>调漆：调漆工序在喷漆房中进行，不单独设置调漆房，项目使用的水性漆和油性漆经调配后使用。</w:t>
            </w:r>
            <w:r>
              <w:rPr>
                <w:color w:val="auto"/>
                <w:szCs w:val="21"/>
              </w:rPr>
              <w:t>此工序产生的主要污染物是有机废气、废</w:t>
            </w:r>
            <w:r>
              <w:rPr>
                <w:rFonts w:hint="eastAsia"/>
                <w:color w:val="auto"/>
                <w:szCs w:val="21"/>
              </w:rPr>
              <w:t>原料</w:t>
            </w:r>
            <w:r>
              <w:rPr>
                <w:color w:val="auto"/>
                <w:szCs w:val="21"/>
              </w:rPr>
              <w:t>桶。</w:t>
            </w:r>
          </w:p>
          <w:p w14:paraId="589403C4">
            <w:pPr>
              <w:pStyle w:val="22"/>
              <w:spacing w:line="360" w:lineRule="auto"/>
              <w:ind w:left="0" w:leftChars="0" w:firstLine="480" w:firstLineChars="200"/>
              <w:jc w:val="left"/>
              <w:rPr>
                <w:color w:val="auto"/>
              </w:rPr>
            </w:pPr>
            <w:r>
              <w:rPr>
                <w:color w:val="auto"/>
              </w:rPr>
              <w:t>⑤喷漆：</w:t>
            </w:r>
            <w:r>
              <w:rPr>
                <w:color w:val="auto"/>
                <w:szCs w:val="21"/>
              </w:rPr>
              <w:t>将焊接后的底盒送至密闭</w:t>
            </w:r>
            <w:r>
              <w:rPr>
                <w:rFonts w:hint="eastAsia"/>
                <w:color w:val="auto"/>
                <w:szCs w:val="21"/>
                <w:lang w:val="en-US" w:eastAsia="zh-CN"/>
              </w:rPr>
              <w:t>喷</w:t>
            </w:r>
            <w:r>
              <w:rPr>
                <w:color w:val="auto"/>
                <w:szCs w:val="21"/>
              </w:rPr>
              <w:t>漆房进行喷漆处理，喷漆房</w:t>
            </w:r>
            <w:r>
              <w:rPr>
                <w:rStyle w:val="35"/>
                <w:rFonts w:hint="eastAsia"/>
                <w:color w:val="auto"/>
                <w:sz w:val="24"/>
                <w:szCs w:val="24"/>
                <w:lang w:eastAsia="zh-CN"/>
              </w:rPr>
              <w:t>（</w:t>
            </w:r>
            <w:r>
              <w:rPr>
                <w:rStyle w:val="35"/>
                <w:rFonts w:hint="eastAsia"/>
                <w:color w:val="auto"/>
                <w:sz w:val="24"/>
                <w:szCs w:val="24"/>
                <w:lang w:val="en-US" w:eastAsia="zh-CN"/>
              </w:rPr>
              <w:t>约25m</w:t>
            </w:r>
            <w:r>
              <w:rPr>
                <w:rStyle w:val="35"/>
                <w:rFonts w:hint="eastAsia"/>
                <w:color w:val="auto"/>
                <w:sz w:val="24"/>
                <w:szCs w:val="24"/>
                <w:vertAlign w:val="superscript"/>
                <w:lang w:val="en-US" w:eastAsia="zh-CN"/>
              </w:rPr>
              <w:t>2</w:t>
            </w:r>
            <w:r>
              <w:rPr>
                <w:rStyle w:val="35"/>
                <w:rFonts w:hint="eastAsia"/>
                <w:color w:val="auto"/>
                <w:sz w:val="24"/>
                <w:szCs w:val="24"/>
                <w:lang w:eastAsia="zh-CN"/>
              </w:rPr>
              <w:t>）</w:t>
            </w:r>
            <w:r>
              <w:rPr>
                <w:color w:val="auto"/>
                <w:szCs w:val="21"/>
              </w:rPr>
              <w:t>在生产运营过程中应保持</w:t>
            </w:r>
            <w:r>
              <w:rPr>
                <w:rFonts w:hint="eastAsia"/>
                <w:color w:val="auto"/>
                <w:szCs w:val="21"/>
              </w:rPr>
              <w:t>密闭</w:t>
            </w:r>
            <w:r>
              <w:rPr>
                <w:color w:val="auto"/>
                <w:szCs w:val="21"/>
              </w:rPr>
              <w:t>负压抽风状态。此工序产生的主要污染物是漆雾</w:t>
            </w:r>
            <w:r>
              <w:rPr>
                <w:rFonts w:hint="eastAsia"/>
                <w:color w:val="auto"/>
                <w:szCs w:val="21"/>
              </w:rPr>
              <w:t>（颗粒物）</w:t>
            </w:r>
            <w:r>
              <w:rPr>
                <w:color w:val="auto"/>
                <w:szCs w:val="21"/>
              </w:rPr>
              <w:t>、有机废气、漆渣。</w:t>
            </w:r>
          </w:p>
          <w:p w14:paraId="4161487A">
            <w:pPr>
              <w:pStyle w:val="22"/>
              <w:spacing w:line="360" w:lineRule="auto"/>
              <w:ind w:left="0" w:leftChars="0" w:firstLine="480" w:firstLineChars="200"/>
              <w:jc w:val="left"/>
              <w:rPr>
                <w:color w:val="auto"/>
              </w:rPr>
            </w:pPr>
            <w:r>
              <w:rPr>
                <w:rFonts w:eastAsia="微软雅黑"/>
                <w:color w:val="auto"/>
              </w:rPr>
              <w:t>⑥</w:t>
            </w:r>
            <w:r>
              <w:rPr>
                <w:color w:val="auto"/>
              </w:rPr>
              <w:t>烤漆：</w:t>
            </w:r>
            <w:r>
              <w:rPr>
                <w:color w:val="auto"/>
                <w:szCs w:val="21"/>
                <w:highlight w:val="none"/>
              </w:rPr>
              <w:t>将喷漆后的底盒转运至烤漆房进行烤干，项目烤干工序在密闭烤漆房中进行，生产过</w:t>
            </w:r>
            <w:r>
              <w:rPr>
                <w:color w:val="auto"/>
                <w:szCs w:val="21"/>
              </w:rPr>
              <w:t>程中保持</w:t>
            </w:r>
            <w:r>
              <w:rPr>
                <w:rFonts w:hint="eastAsia"/>
                <w:color w:val="auto"/>
                <w:szCs w:val="21"/>
              </w:rPr>
              <w:t>密闭</w:t>
            </w:r>
            <w:r>
              <w:rPr>
                <w:color w:val="auto"/>
                <w:szCs w:val="21"/>
              </w:rPr>
              <w:t>负压抽风状态。此工序产生的主要污染物是有机废气。</w:t>
            </w:r>
          </w:p>
          <w:p w14:paraId="4C2634BB">
            <w:pPr>
              <w:pStyle w:val="22"/>
              <w:spacing w:line="360" w:lineRule="auto"/>
              <w:ind w:left="0" w:leftChars="0" w:firstLine="480" w:firstLineChars="200"/>
              <w:jc w:val="left"/>
              <w:rPr>
                <w:color w:val="auto"/>
              </w:rPr>
            </w:pPr>
            <w:r>
              <w:rPr>
                <w:rFonts w:eastAsia="微软雅黑"/>
                <w:color w:val="auto"/>
              </w:rPr>
              <w:t>⑦</w:t>
            </w:r>
            <w:r>
              <w:rPr>
                <w:color w:val="auto"/>
              </w:rPr>
              <w:t>布灯：将外购的LED灯装入喷漆后的底盒中，注意排线均匀，优先装入边角较深位置，以免打光不均匀，装完后打上玻璃胶加固位置。</w:t>
            </w:r>
            <w:r>
              <w:rPr>
                <w:color w:val="auto"/>
                <w:szCs w:val="21"/>
              </w:rPr>
              <w:t>此工序产生的主要污染物是有机废气。</w:t>
            </w:r>
          </w:p>
          <w:p w14:paraId="5391BF56">
            <w:pPr>
              <w:pStyle w:val="22"/>
              <w:spacing w:line="360" w:lineRule="auto"/>
              <w:ind w:left="0" w:leftChars="0" w:firstLine="480" w:firstLineChars="200"/>
              <w:jc w:val="left"/>
              <w:rPr>
                <w:bCs/>
                <w:color w:val="auto"/>
                <w:szCs w:val="21"/>
              </w:rPr>
            </w:pPr>
            <w:r>
              <w:rPr>
                <w:rFonts w:eastAsia="微软雅黑"/>
                <w:color w:val="auto"/>
              </w:rPr>
              <w:t>⑧</w:t>
            </w:r>
            <w:r>
              <w:rPr>
                <w:color w:val="auto"/>
              </w:rPr>
              <w:t>雕刻：此工序主要加工产品面板，部分面板使用PVC板或亚克力板雕刻成型</w:t>
            </w:r>
            <w:r>
              <w:rPr>
                <w:rFonts w:hint="eastAsia"/>
                <w:color w:val="auto"/>
                <w:lang w:eastAsia="zh-CN"/>
              </w:rPr>
              <w:t>。</w:t>
            </w:r>
            <w:r>
              <w:rPr>
                <w:color w:val="auto"/>
              </w:rPr>
              <w:t>项目雕刻过程为常温，在电脑中输入产品设计图，雕刻机自动对亚克力板材和PVC板材进行雕刻，雕刻出符合图纸要求的外形，</w:t>
            </w:r>
            <w:r>
              <w:rPr>
                <w:bCs/>
                <w:color w:val="auto"/>
                <w:szCs w:val="21"/>
              </w:rPr>
              <w:t>此工序产生的主要污染物是雕刻粉尘、</w:t>
            </w:r>
            <w:r>
              <w:rPr>
                <w:rFonts w:hint="eastAsia"/>
                <w:bCs/>
                <w:color w:val="auto"/>
                <w:szCs w:val="21"/>
              </w:rPr>
              <w:t>废</w:t>
            </w:r>
            <w:r>
              <w:rPr>
                <w:bCs/>
                <w:color w:val="auto"/>
                <w:szCs w:val="21"/>
              </w:rPr>
              <w:t>边角料和噪声。</w:t>
            </w:r>
          </w:p>
          <w:p w14:paraId="7D5F9D81">
            <w:pPr>
              <w:pStyle w:val="22"/>
              <w:spacing w:line="360" w:lineRule="auto"/>
              <w:ind w:left="0" w:leftChars="0" w:firstLine="480" w:firstLineChars="200"/>
              <w:jc w:val="left"/>
              <w:rPr>
                <w:rFonts w:hint="default" w:ascii="Times New Roman" w:hAnsi="Times New Roman" w:cs="Times New Roman"/>
                <w:color w:val="auto"/>
              </w:rPr>
            </w:pPr>
            <w:r>
              <w:rPr>
                <w:rFonts w:eastAsia="微软雅黑"/>
                <w:color w:val="auto"/>
              </w:rPr>
              <w:t>⑨</w:t>
            </w:r>
            <w:r>
              <w:rPr>
                <w:color w:val="auto"/>
              </w:rPr>
              <w:t>人工组装：将布灯后的底盒与雕刻后的面板或</w:t>
            </w:r>
            <w:r>
              <w:rPr>
                <w:rFonts w:hint="eastAsia"/>
                <w:color w:val="auto"/>
              </w:rPr>
              <w:t>UV</w:t>
            </w:r>
            <w:r>
              <w:rPr>
                <w:color w:val="auto"/>
              </w:rPr>
              <w:t>打印后的面板进行组装，将制作完成的底盒沿着面板边缘的缝隙装入，并用玻璃胶固定。</w:t>
            </w:r>
            <w:r>
              <w:rPr>
                <w:color w:val="auto"/>
                <w:szCs w:val="21"/>
              </w:rPr>
              <w:t>此工序产</w:t>
            </w:r>
            <w:r>
              <w:rPr>
                <w:rFonts w:hint="default" w:ascii="Times New Roman" w:hAnsi="Times New Roman" w:cs="Times New Roman"/>
                <w:color w:val="auto"/>
                <w:szCs w:val="21"/>
              </w:rPr>
              <w:t>生的主要污染物是有机废气。</w:t>
            </w:r>
          </w:p>
          <w:p w14:paraId="582A639C">
            <w:pPr>
              <w:pStyle w:val="22"/>
              <w:spacing w:line="360" w:lineRule="auto"/>
              <w:ind w:left="0" w:leftChars="0" w:firstLine="480" w:firstLineChars="200"/>
              <w:jc w:val="left"/>
              <w:rPr>
                <w:color w:val="auto"/>
              </w:rPr>
            </w:pPr>
            <w:r>
              <w:rPr>
                <w:rFonts w:hint="default" w:ascii="Times New Roman" w:hAnsi="Times New Roman" w:eastAsia="微软雅黑" w:cs="Times New Roman"/>
                <w:color w:val="auto"/>
              </w:rPr>
              <w:t>⑩</w:t>
            </w:r>
            <w:r>
              <w:rPr>
                <w:color w:val="auto"/>
              </w:rPr>
              <w:t>打包入库：用打包机将产品进行打包，转运至仓库储存。</w:t>
            </w:r>
          </w:p>
          <w:p w14:paraId="6D3C3A5A">
            <w:pPr>
              <w:ind w:firstLine="482" w:firstLineChars="200"/>
              <w:rPr>
                <w:b/>
                <w:bCs/>
                <w:color w:val="auto"/>
              </w:rPr>
            </w:pPr>
          </w:p>
          <w:p w14:paraId="3A977100">
            <w:pPr>
              <w:ind w:firstLine="482" w:firstLineChars="200"/>
              <w:rPr>
                <w:b/>
                <w:bCs/>
                <w:color w:val="auto"/>
              </w:rPr>
            </w:pPr>
          </w:p>
          <w:p w14:paraId="30C5C01E">
            <w:pPr>
              <w:ind w:firstLine="482" w:firstLineChars="200"/>
              <w:rPr>
                <w:b/>
                <w:bCs/>
                <w:color w:val="auto"/>
              </w:rPr>
            </w:pPr>
          </w:p>
          <w:p w14:paraId="6AD880E0">
            <w:pPr>
              <w:ind w:firstLine="482" w:firstLineChars="200"/>
              <w:rPr>
                <w:b/>
                <w:bCs/>
                <w:color w:val="auto"/>
              </w:rPr>
            </w:pPr>
          </w:p>
          <w:p w14:paraId="5EF40A7B">
            <w:pPr>
              <w:ind w:firstLine="482" w:firstLineChars="200"/>
              <w:rPr>
                <w:b/>
                <w:bCs/>
                <w:color w:val="auto"/>
              </w:rPr>
            </w:pPr>
          </w:p>
          <w:p w14:paraId="4573331C">
            <w:pPr>
              <w:ind w:firstLine="482" w:firstLineChars="200"/>
              <w:rPr>
                <w:b/>
                <w:bCs/>
                <w:color w:val="auto"/>
              </w:rPr>
            </w:pPr>
          </w:p>
          <w:p w14:paraId="1E0D1807">
            <w:pPr>
              <w:ind w:firstLine="482" w:firstLineChars="200"/>
              <w:rPr>
                <w:b/>
                <w:bCs/>
                <w:color w:val="auto"/>
              </w:rPr>
            </w:pPr>
          </w:p>
          <w:p w14:paraId="677DBB7D">
            <w:pPr>
              <w:ind w:firstLine="482" w:firstLineChars="200"/>
              <w:rPr>
                <w:b/>
                <w:bCs/>
                <w:color w:val="auto"/>
              </w:rPr>
            </w:pPr>
          </w:p>
          <w:p w14:paraId="5669EABE">
            <w:pPr>
              <w:ind w:firstLine="482" w:firstLineChars="200"/>
              <w:rPr>
                <w:b/>
                <w:bCs/>
                <w:color w:val="auto"/>
              </w:rPr>
            </w:pPr>
          </w:p>
          <w:p w14:paraId="2727C8F8">
            <w:pPr>
              <w:ind w:firstLine="482" w:firstLineChars="200"/>
              <w:rPr>
                <w:b/>
                <w:bCs/>
                <w:color w:val="auto"/>
              </w:rPr>
            </w:pPr>
            <w:r>
              <w:rPr>
                <w:rFonts w:hint="eastAsia"/>
                <w:b/>
                <w:bCs/>
                <w:color w:val="auto"/>
              </w:rPr>
              <w:t>（2）亚克力发光字、PVC发光字生产工艺流程</w:t>
            </w:r>
          </w:p>
          <w:p w14:paraId="3C55AC28">
            <w:pPr>
              <w:jc w:val="center"/>
              <w:rPr>
                <w:b/>
                <w:bCs/>
                <w:color w:val="auto"/>
              </w:rPr>
            </w:pPr>
            <w:r>
              <w:rPr>
                <w:color w:val="auto"/>
              </w:rPr>
              <w:drawing>
                <wp:inline distT="0" distB="0" distL="114300" distR="114300">
                  <wp:extent cx="4531360" cy="4206875"/>
                  <wp:effectExtent l="0" t="0" r="2540" b="3175"/>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17"/>
                          <a:stretch>
                            <a:fillRect/>
                          </a:stretch>
                        </pic:blipFill>
                        <pic:spPr>
                          <a:xfrm>
                            <a:off x="0" y="0"/>
                            <a:ext cx="4531360" cy="4206875"/>
                          </a:xfrm>
                          <a:prstGeom prst="rect">
                            <a:avLst/>
                          </a:prstGeom>
                          <a:noFill/>
                          <a:ln>
                            <a:noFill/>
                          </a:ln>
                        </pic:spPr>
                      </pic:pic>
                    </a:graphicData>
                  </a:graphic>
                </wp:inline>
              </w:drawing>
            </w:r>
          </w:p>
          <w:p w14:paraId="3DBA611C">
            <w:pPr>
              <w:pStyle w:val="39"/>
              <w:spacing w:before="24" w:after="24"/>
              <w:rPr>
                <w:color w:val="auto"/>
              </w:rPr>
            </w:pPr>
            <w:r>
              <w:rPr>
                <w:rFonts w:hint="eastAsia"/>
                <w:color w:val="auto"/>
              </w:rPr>
              <w:t xml:space="preserve">图2.2-2  </w:t>
            </w:r>
            <w:r>
              <w:rPr>
                <w:rFonts w:hint="eastAsia"/>
                <w:bCs/>
                <w:color w:val="auto"/>
              </w:rPr>
              <w:t>亚克力发光字、PVC发光字</w:t>
            </w:r>
            <w:r>
              <w:rPr>
                <w:rFonts w:hint="eastAsia"/>
                <w:color w:val="auto"/>
              </w:rPr>
              <w:t>生产工艺流程及产污环节示意图</w:t>
            </w:r>
          </w:p>
          <w:p w14:paraId="322C3C33">
            <w:pPr>
              <w:pStyle w:val="22"/>
              <w:spacing w:line="360" w:lineRule="auto"/>
              <w:ind w:left="0" w:leftChars="0" w:firstLine="480" w:firstLineChars="200"/>
              <w:rPr>
                <w:color w:val="auto"/>
              </w:rPr>
            </w:pPr>
            <w:r>
              <w:rPr>
                <w:color w:val="auto"/>
              </w:rPr>
              <w:t>①雕刻/热压：亚克力发光字和PVC发光字成型一般有雕刻和热压两种方式。</w:t>
            </w:r>
          </w:p>
          <w:p w14:paraId="660E3FE0">
            <w:pPr>
              <w:pStyle w:val="22"/>
              <w:numPr>
                <w:ilvl w:val="0"/>
                <w:numId w:val="1"/>
              </w:numPr>
              <w:spacing w:line="360" w:lineRule="auto"/>
              <w:ind w:left="0" w:leftChars="0" w:firstLine="480" w:firstLineChars="200"/>
              <w:rPr>
                <w:color w:val="auto"/>
                <w:szCs w:val="21"/>
              </w:rPr>
            </w:pPr>
            <w:r>
              <w:rPr>
                <w:color w:val="auto"/>
              </w:rPr>
              <w:t>雕刻：项目雕刻过程为常温，在电脑中输入产品设计图，雕刻机自动对PVC板材进行雕刻，雕刻出符合图纸要求的外形，</w:t>
            </w:r>
            <w:r>
              <w:rPr>
                <w:color w:val="auto"/>
                <w:szCs w:val="21"/>
              </w:rPr>
              <w:t>此工序产生的主要污染物是雕刻粉尘、</w:t>
            </w:r>
            <w:r>
              <w:rPr>
                <w:rFonts w:hint="eastAsia"/>
                <w:color w:val="auto"/>
                <w:szCs w:val="21"/>
              </w:rPr>
              <w:t>废</w:t>
            </w:r>
            <w:r>
              <w:rPr>
                <w:color w:val="auto"/>
                <w:szCs w:val="21"/>
              </w:rPr>
              <w:t>边角料和噪声。</w:t>
            </w:r>
          </w:p>
          <w:p w14:paraId="4BB55BED">
            <w:pPr>
              <w:pStyle w:val="22"/>
              <w:numPr>
                <w:ilvl w:val="0"/>
                <w:numId w:val="1"/>
              </w:numPr>
              <w:spacing w:line="360" w:lineRule="auto"/>
              <w:ind w:left="0" w:leftChars="0" w:firstLine="480" w:firstLineChars="200"/>
              <w:rPr>
                <w:color w:val="auto"/>
              </w:rPr>
            </w:pPr>
            <w:r>
              <w:rPr>
                <w:color w:val="auto"/>
              </w:rPr>
              <w:t>热压：将PVC板</w:t>
            </w:r>
            <w:r>
              <w:rPr>
                <w:rFonts w:hint="eastAsia"/>
                <w:color w:val="auto"/>
              </w:rPr>
              <w:t>或</w:t>
            </w:r>
            <w:r>
              <w:rPr>
                <w:color w:val="auto"/>
              </w:rPr>
              <w:t>亚克力</w:t>
            </w:r>
            <w:r>
              <w:rPr>
                <w:rFonts w:hint="eastAsia"/>
                <w:color w:val="auto"/>
              </w:rPr>
              <w:t>板</w:t>
            </w:r>
            <w:r>
              <w:rPr>
                <w:color w:val="auto"/>
              </w:rPr>
              <w:t>置入热压机中按照预设的形状进行热压</w:t>
            </w:r>
            <w:r>
              <w:rPr>
                <w:rFonts w:hint="eastAsia"/>
                <w:color w:val="auto"/>
                <w:lang w:eastAsia="zh-CN"/>
              </w:rPr>
              <w:t>（</w:t>
            </w:r>
            <w:r>
              <w:rPr>
                <w:rFonts w:hint="eastAsia"/>
                <w:color w:val="auto"/>
                <w:lang w:val="en-US" w:eastAsia="zh-CN"/>
              </w:rPr>
              <w:t>120℃~180℃</w:t>
            </w:r>
            <w:r>
              <w:rPr>
                <w:rFonts w:hint="eastAsia"/>
                <w:color w:val="auto"/>
                <w:lang w:eastAsia="zh-CN"/>
              </w:rPr>
              <w:t>）</w:t>
            </w:r>
            <w:r>
              <w:rPr>
                <w:color w:val="auto"/>
              </w:rPr>
              <w:t>，形成立体的</w:t>
            </w:r>
            <w:r>
              <w:rPr>
                <w:rFonts w:hint="eastAsia"/>
                <w:color w:val="auto"/>
              </w:rPr>
              <w:t>热压</w:t>
            </w:r>
            <w:r>
              <w:rPr>
                <w:color w:val="auto"/>
              </w:rPr>
              <w:t>字，此工序产生的主要污染物是有机废气</w:t>
            </w:r>
            <w:r>
              <w:rPr>
                <w:rFonts w:hint="eastAsia"/>
                <w:color w:val="auto"/>
              </w:rPr>
              <w:t>和废</w:t>
            </w:r>
            <w:r>
              <w:rPr>
                <w:color w:val="auto"/>
              </w:rPr>
              <w:t>边角料。</w:t>
            </w:r>
          </w:p>
          <w:p w14:paraId="0C4787B8">
            <w:pPr>
              <w:pStyle w:val="22"/>
              <w:spacing w:line="360" w:lineRule="auto"/>
              <w:ind w:left="0" w:leftChars="0" w:firstLine="480" w:firstLineChars="200"/>
              <w:jc w:val="left"/>
              <w:rPr>
                <w:rFonts w:hint="default" w:eastAsia="宋体"/>
                <w:color w:val="auto"/>
                <w:lang w:val="en-US" w:eastAsia="zh-CN"/>
              </w:rPr>
            </w:pPr>
            <w:r>
              <w:rPr>
                <w:rFonts w:eastAsia="微软雅黑"/>
                <w:color w:val="auto"/>
              </w:rPr>
              <w:t>②</w:t>
            </w:r>
            <w:r>
              <w:rPr>
                <w:rFonts w:hint="eastAsia"/>
                <w:color w:val="auto"/>
                <w:lang w:val="en-US" w:eastAsia="zh-CN"/>
              </w:rPr>
              <w:t>调漆：调漆工序在喷漆房中进行，不单独设置调漆房，项目使用的水性漆和油性漆经调配后使用。</w:t>
            </w:r>
            <w:r>
              <w:rPr>
                <w:color w:val="auto"/>
                <w:szCs w:val="21"/>
              </w:rPr>
              <w:t>此工序产生的主要污染物是有机废气、废</w:t>
            </w:r>
            <w:r>
              <w:rPr>
                <w:rFonts w:hint="eastAsia"/>
                <w:color w:val="auto"/>
                <w:szCs w:val="21"/>
              </w:rPr>
              <w:t>原料</w:t>
            </w:r>
            <w:r>
              <w:rPr>
                <w:color w:val="auto"/>
                <w:szCs w:val="21"/>
              </w:rPr>
              <w:t>桶。</w:t>
            </w:r>
          </w:p>
          <w:p w14:paraId="07946DFD">
            <w:pPr>
              <w:pStyle w:val="22"/>
              <w:spacing w:line="360" w:lineRule="auto"/>
              <w:ind w:left="0" w:leftChars="0" w:firstLine="480" w:firstLineChars="200"/>
              <w:jc w:val="left"/>
              <w:rPr>
                <w:rFonts w:eastAsia="微软雅黑"/>
                <w:color w:val="auto"/>
              </w:rPr>
            </w:pPr>
            <w:r>
              <w:rPr>
                <w:rFonts w:eastAsia="微软雅黑"/>
                <w:color w:val="auto"/>
              </w:rPr>
              <w:t>③</w:t>
            </w:r>
            <w:r>
              <w:rPr>
                <w:rFonts w:hint="eastAsia"/>
                <w:color w:val="auto"/>
              </w:rPr>
              <w:t>喷漆：</w:t>
            </w:r>
            <w:r>
              <w:rPr>
                <w:color w:val="auto"/>
                <w:szCs w:val="21"/>
              </w:rPr>
              <w:t>将</w:t>
            </w:r>
            <w:r>
              <w:rPr>
                <w:rFonts w:hint="eastAsia"/>
                <w:color w:val="auto"/>
                <w:szCs w:val="21"/>
              </w:rPr>
              <w:t>雕刻/热压后的半成品送至密闭漆房</w:t>
            </w:r>
            <w:r>
              <w:rPr>
                <w:color w:val="auto"/>
                <w:szCs w:val="21"/>
              </w:rPr>
              <w:t>进行喷漆处理</w:t>
            </w:r>
            <w:r>
              <w:rPr>
                <w:rFonts w:hint="eastAsia"/>
                <w:color w:val="auto"/>
                <w:szCs w:val="21"/>
              </w:rPr>
              <w:t>，漆房在生产</w:t>
            </w:r>
            <w:r>
              <w:rPr>
                <w:color w:val="auto"/>
                <w:szCs w:val="21"/>
              </w:rPr>
              <w:t>运营过程中应保持</w:t>
            </w:r>
            <w:r>
              <w:rPr>
                <w:rFonts w:hint="eastAsia"/>
                <w:color w:val="auto"/>
                <w:szCs w:val="21"/>
              </w:rPr>
              <w:t>密闭</w:t>
            </w:r>
            <w:r>
              <w:rPr>
                <w:color w:val="auto"/>
                <w:szCs w:val="21"/>
              </w:rPr>
              <w:t>负压抽风状态。此工序产生的主要污染物是漆雾</w:t>
            </w:r>
            <w:r>
              <w:rPr>
                <w:rFonts w:hint="eastAsia"/>
                <w:color w:val="auto"/>
                <w:szCs w:val="21"/>
              </w:rPr>
              <w:t>（颗粒物）</w:t>
            </w:r>
            <w:r>
              <w:rPr>
                <w:color w:val="auto"/>
                <w:szCs w:val="21"/>
              </w:rPr>
              <w:t>、有机废气、漆渣。</w:t>
            </w:r>
          </w:p>
          <w:p w14:paraId="644C430C">
            <w:pPr>
              <w:pStyle w:val="22"/>
              <w:spacing w:line="360" w:lineRule="auto"/>
              <w:ind w:left="0" w:leftChars="0" w:firstLine="480" w:firstLineChars="200"/>
              <w:jc w:val="left"/>
              <w:rPr>
                <w:color w:val="auto"/>
                <w:szCs w:val="21"/>
              </w:rPr>
            </w:pPr>
            <w:r>
              <w:rPr>
                <w:rFonts w:eastAsia="微软雅黑"/>
                <w:color w:val="auto"/>
              </w:rPr>
              <w:t>④</w:t>
            </w:r>
            <w:r>
              <w:rPr>
                <w:color w:val="auto"/>
                <w:szCs w:val="21"/>
              </w:rPr>
              <w:t>烤</w:t>
            </w:r>
            <w:r>
              <w:rPr>
                <w:rFonts w:hint="eastAsia"/>
                <w:color w:val="auto"/>
              </w:rPr>
              <w:t>漆：</w:t>
            </w:r>
            <w:r>
              <w:rPr>
                <w:color w:val="auto"/>
                <w:szCs w:val="21"/>
              </w:rPr>
              <w:t>将喷漆后的底盒转运至烤漆房进行烤干，项目烤干工序在密闭烤漆房中进行，生产过程中保持负压抽风状态。此工序产生的主要污染物是有机废气。</w:t>
            </w:r>
          </w:p>
          <w:p w14:paraId="5CB50FC7">
            <w:pPr>
              <w:pStyle w:val="22"/>
              <w:spacing w:line="360" w:lineRule="auto"/>
              <w:ind w:left="0" w:leftChars="0" w:firstLine="480" w:firstLineChars="200"/>
              <w:jc w:val="left"/>
              <w:rPr>
                <w:color w:val="auto"/>
              </w:rPr>
            </w:pPr>
            <w:r>
              <w:rPr>
                <w:rFonts w:eastAsia="微软雅黑"/>
                <w:color w:val="auto"/>
              </w:rPr>
              <w:t>⑤</w:t>
            </w:r>
            <w:r>
              <w:rPr>
                <w:color w:val="auto"/>
              </w:rPr>
              <w:t>布灯：将外购的LED灯装入喷漆后的底盒中，注意排线均匀，优先装入边角较深位置，以免打光不均匀，装完后打上玻璃胶加固位置。</w:t>
            </w:r>
            <w:r>
              <w:rPr>
                <w:color w:val="auto"/>
                <w:szCs w:val="21"/>
              </w:rPr>
              <w:t>此工序产生的主要污染物是有机废气。</w:t>
            </w:r>
          </w:p>
          <w:p w14:paraId="292B3F21">
            <w:pPr>
              <w:pStyle w:val="22"/>
              <w:spacing w:line="360" w:lineRule="auto"/>
              <w:ind w:left="0" w:leftChars="0" w:firstLine="480" w:firstLineChars="200"/>
              <w:jc w:val="left"/>
              <w:rPr>
                <w:color w:val="auto"/>
              </w:rPr>
            </w:pPr>
            <w:r>
              <w:rPr>
                <w:rFonts w:eastAsia="微软雅黑"/>
                <w:color w:val="auto"/>
              </w:rPr>
              <w:t>⑥</w:t>
            </w:r>
            <w:r>
              <w:rPr>
                <w:color w:val="auto"/>
              </w:rPr>
              <w:t>人工组装：将布灯后的底盒与雕刻后的面板进行组装，将制作完成的底盒沿着面板边缘的缝隙装入，并用玻璃胶固定。</w:t>
            </w:r>
            <w:r>
              <w:rPr>
                <w:color w:val="auto"/>
                <w:szCs w:val="21"/>
              </w:rPr>
              <w:t>此工序产生的主要污染物是有机废气。</w:t>
            </w:r>
          </w:p>
          <w:p w14:paraId="7B2195CC">
            <w:pPr>
              <w:pStyle w:val="22"/>
              <w:spacing w:line="360" w:lineRule="auto"/>
              <w:ind w:left="0" w:leftChars="0" w:firstLine="480" w:firstLineChars="200"/>
              <w:jc w:val="left"/>
              <w:rPr>
                <w:color w:val="auto"/>
              </w:rPr>
            </w:pPr>
            <w:r>
              <w:rPr>
                <w:rFonts w:hint="default" w:ascii="Times New Roman" w:hAnsi="Times New Roman" w:eastAsia="微软雅黑" w:cs="Times New Roman"/>
                <w:color w:val="auto"/>
              </w:rPr>
              <w:t>⑦</w:t>
            </w:r>
            <w:r>
              <w:rPr>
                <w:rFonts w:hint="default" w:ascii="Times New Roman" w:hAnsi="Times New Roman" w:cs="Times New Roman"/>
                <w:color w:val="auto"/>
              </w:rPr>
              <w:t>打</w:t>
            </w:r>
            <w:r>
              <w:rPr>
                <w:color w:val="auto"/>
              </w:rPr>
              <w:t>包入库：用打包机将产品进行打包，转运至仓库储存。</w:t>
            </w:r>
          </w:p>
          <w:p w14:paraId="527CB7E2">
            <w:pPr>
              <w:ind w:firstLine="482" w:firstLineChars="200"/>
              <w:rPr>
                <w:color w:val="auto"/>
              </w:rPr>
            </w:pPr>
            <w:r>
              <w:rPr>
                <w:b/>
                <w:bCs/>
                <w:color w:val="auto"/>
              </w:rPr>
              <w:t>（</w:t>
            </w:r>
            <w:r>
              <w:rPr>
                <w:rFonts w:hint="eastAsia"/>
                <w:b/>
                <w:bCs/>
                <w:color w:val="auto"/>
              </w:rPr>
              <w:t>3</w:t>
            </w:r>
            <w:r>
              <w:rPr>
                <w:b/>
                <w:bCs/>
                <w:color w:val="auto"/>
              </w:rPr>
              <w:t>）标识标牌生产工艺流程</w:t>
            </w:r>
          </w:p>
          <w:p w14:paraId="15A72DD9">
            <w:pPr>
              <w:jc w:val="center"/>
              <w:rPr>
                <w:color w:val="auto"/>
              </w:rPr>
            </w:pPr>
            <w:r>
              <w:rPr>
                <w:color w:val="auto"/>
              </w:rPr>
              <w:drawing>
                <wp:inline distT="0" distB="0" distL="114300" distR="114300">
                  <wp:extent cx="5043170" cy="4053205"/>
                  <wp:effectExtent l="0" t="0" r="508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a:stretch>
                            <a:fillRect/>
                          </a:stretch>
                        </pic:blipFill>
                        <pic:spPr>
                          <a:xfrm>
                            <a:off x="0" y="0"/>
                            <a:ext cx="5043170" cy="4053205"/>
                          </a:xfrm>
                          <a:prstGeom prst="rect">
                            <a:avLst/>
                          </a:prstGeom>
                          <a:noFill/>
                          <a:ln>
                            <a:noFill/>
                          </a:ln>
                        </pic:spPr>
                      </pic:pic>
                    </a:graphicData>
                  </a:graphic>
                </wp:inline>
              </w:drawing>
            </w:r>
          </w:p>
          <w:p w14:paraId="4996A204">
            <w:pPr>
              <w:pStyle w:val="39"/>
              <w:spacing w:before="24" w:after="24"/>
              <w:rPr>
                <w:color w:val="auto"/>
              </w:rPr>
            </w:pPr>
            <w:r>
              <w:rPr>
                <w:rFonts w:hint="eastAsia"/>
                <w:color w:val="auto"/>
              </w:rPr>
              <w:t xml:space="preserve">图2.2-3  </w:t>
            </w:r>
            <w:r>
              <w:rPr>
                <w:bCs/>
                <w:color w:val="auto"/>
              </w:rPr>
              <w:t>标识标牌</w:t>
            </w:r>
            <w:r>
              <w:rPr>
                <w:rFonts w:hint="eastAsia"/>
                <w:color w:val="auto"/>
              </w:rPr>
              <w:t>生产工艺流程及产污环节示意图</w:t>
            </w:r>
          </w:p>
          <w:p w14:paraId="32D25888">
            <w:pPr>
              <w:pStyle w:val="22"/>
              <w:spacing w:line="360" w:lineRule="auto"/>
              <w:ind w:left="0" w:leftChars="0" w:firstLine="482" w:firstLineChars="200"/>
              <w:jc w:val="left"/>
              <w:rPr>
                <w:rFonts w:eastAsia="微软雅黑"/>
                <w:color w:val="auto"/>
              </w:rPr>
            </w:pPr>
            <w:r>
              <w:rPr>
                <w:b/>
                <w:bCs/>
                <w:color w:val="auto"/>
              </w:rPr>
              <w:t>工艺流程简述：</w:t>
            </w:r>
          </w:p>
          <w:p w14:paraId="4A9B3485">
            <w:pPr>
              <w:pStyle w:val="22"/>
              <w:spacing w:line="360" w:lineRule="auto"/>
              <w:ind w:left="0" w:leftChars="0" w:firstLine="480" w:firstLineChars="200"/>
              <w:rPr>
                <w:color w:val="auto"/>
              </w:rPr>
            </w:pPr>
            <w:r>
              <w:rPr>
                <w:rFonts w:eastAsia="微软雅黑"/>
                <w:color w:val="auto"/>
              </w:rPr>
              <w:t>①</w:t>
            </w:r>
            <w:r>
              <w:rPr>
                <w:color w:val="auto"/>
              </w:rPr>
              <w:t>切割：用切割机对金属板材</w:t>
            </w:r>
            <w:r>
              <w:rPr>
                <w:rFonts w:hint="eastAsia"/>
                <w:color w:val="auto"/>
                <w:lang w:val="en-US" w:eastAsia="zh-CN"/>
              </w:rPr>
              <w:t>或PVC板、亚克力板</w:t>
            </w:r>
            <w:r>
              <w:rPr>
                <w:color w:val="auto"/>
              </w:rPr>
              <w:t>按设计要求切割成所需的规格或形状。此工序产生的主要污染物是切割</w:t>
            </w:r>
            <w:r>
              <w:rPr>
                <w:rFonts w:hint="eastAsia"/>
                <w:color w:val="auto"/>
                <w:lang w:val="en-US" w:eastAsia="zh-CN"/>
              </w:rPr>
              <w:t>粉尘</w:t>
            </w:r>
            <w:r>
              <w:rPr>
                <w:color w:val="auto"/>
              </w:rPr>
              <w:t>、</w:t>
            </w:r>
            <w:r>
              <w:rPr>
                <w:rFonts w:hint="eastAsia"/>
                <w:color w:val="auto"/>
              </w:rPr>
              <w:t>废</w:t>
            </w:r>
            <w:r>
              <w:rPr>
                <w:color w:val="auto"/>
              </w:rPr>
              <w:t>边角料和噪声。</w:t>
            </w:r>
          </w:p>
          <w:p w14:paraId="3F3AA75C">
            <w:pPr>
              <w:pStyle w:val="22"/>
              <w:spacing w:line="360" w:lineRule="auto"/>
              <w:ind w:left="0" w:leftChars="0" w:firstLine="480" w:firstLineChars="200"/>
              <w:jc w:val="left"/>
              <w:rPr>
                <w:color w:val="auto"/>
              </w:rPr>
            </w:pPr>
            <w:r>
              <w:rPr>
                <w:color w:val="auto"/>
              </w:rPr>
              <w:t>②</w:t>
            </w:r>
            <w:r>
              <w:rPr>
                <w:rFonts w:hint="eastAsia"/>
                <w:color w:val="auto"/>
              </w:rPr>
              <w:t>激光</w:t>
            </w:r>
            <w:r>
              <w:rPr>
                <w:color w:val="auto"/>
              </w:rPr>
              <w:t>焊接：</w:t>
            </w:r>
            <w:r>
              <w:rPr>
                <w:rFonts w:hint="eastAsia" w:ascii="宋体" w:hAnsi="宋体" w:cs="宋体"/>
                <w:color w:val="auto"/>
              </w:rPr>
              <w:t>将切割后的金属板材进行焊接，本项目使用的焊接设备为氩弧焊机，焊接材料为焊丝。此工序产生的主要污染物是焊接烟尘。</w:t>
            </w:r>
          </w:p>
          <w:p w14:paraId="60B0F9ED">
            <w:pPr>
              <w:pStyle w:val="22"/>
              <w:spacing w:line="360" w:lineRule="auto"/>
              <w:ind w:left="0" w:leftChars="0" w:firstLine="480" w:firstLineChars="200"/>
              <w:jc w:val="left"/>
              <w:rPr>
                <w:rFonts w:hint="default" w:eastAsia="宋体"/>
                <w:color w:val="auto"/>
                <w:lang w:val="en-US" w:eastAsia="zh-CN"/>
              </w:rPr>
            </w:pPr>
            <w:r>
              <w:rPr>
                <w:rFonts w:eastAsia="微软雅黑"/>
                <w:color w:val="auto"/>
              </w:rPr>
              <w:t>③</w:t>
            </w:r>
            <w:r>
              <w:rPr>
                <w:rFonts w:hint="eastAsia"/>
                <w:color w:val="auto"/>
                <w:lang w:val="en-US" w:eastAsia="zh-CN"/>
              </w:rPr>
              <w:t>调漆：调漆工序在喷漆房中进行，不单独设置调漆房，项目使用的水性漆和油性漆经调配后使用。</w:t>
            </w:r>
            <w:r>
              <w:rPr>
                <w:color w:val="auto"/>
                <w:szCs w:val="21"/>
              </w:rPr>
              <w:t>此工序产生的主要污染物是有机废气、废</w:t>
            </w:r>
            <w:r>
              <w:rPr>
                <w:rFonts w:hint="eastAsia"/>
                <w:color w:val="auto"/>
                <w:szCs w:val="21"/>
              </w:rPr>
              <w:t>原料</w:t>
            </w:r>
            <w:r>
              <w:rPr>
                <w:color w:val="auto"/>
                <w:szCs w:val="21"/>
              </w:rPr>
              <w:t>桶。</w:t>
            </w:r>
          </w:p>
          <w:p w14:paraId="4833547B">
            <w:pPr>
              <w:pStyle w:val="22"/>
              <w:spacing w:line="360" w:lineRule="auto"/>
              <w:ind w:left="0" w:leftChars="0" w:firstLine="480" w:firstLineChars="200"/>
              <w:rPr>
                <w:color w:val="auto"/>
              </w:rPr>
            </w:pPr>
            <w:r>
              <w:rPr>
                <w:rFonts w:eastAsia="微软雅黑"/>
                <w:color w:val="auto"/>
              </w:rPr>
              <w:t>④</w:t>
            </w:r>
            <w:r>
              <w:rPr>
                <w:color w:val="auto"/>
              </w:rPr>
              <w:t>喷漆：</w:t>
            </w:r>
            <w:r>
              <w:rPr>
                <w:color w:val="auto"/>
                <w:szCs w:val="21"/>
              </w:rPr>
              <w:t>将焊接后的</w:t>
            </w:r>
            <w:r>
              <w:rPr>
                <w:rFonts w:hint="eastAsia"/>
                <w:color w:val="auto"/>
                <w:szCs w:val="21"/>
              </w:rPr>
              <w:t>半成品</w:t>
            </w:r>
            <w:r>
              <w:rPr>
                <w:color w:val="auto"/>
                <w:szCs w:val="21"/>
              </w:rPr>
              <w:t>送至密闭漆房进行喷漆处理，漆房在生产运营过程中应保持</w:t>
            </w:r>
            <w:r>
              <w:rPr>
                <w:rFonts w:hint="eastAsia"/>
                <w:color w:val="auto"/>
                <w:szCs w:val="21"/>
              </w:rPr>
              <w:t>密闭</w:t>
            </w:r>
            <w:r>
              <w:rPr>
                <w:color w:val="auto"/>
                <w:szCs w:val="21"/>
              </w:rPr>
              <w:t>负压抽风状态。此工序产生的主要污染物是漆雾、有机废气、漆渣。</w:t>
            </w:r>
          </w:p>
          <w:p w14:paraId="743CC746">
            <w:pPr>
              <w:pStyle w:val="22"/>
              <w:spacing w:line="360" w:lineRule="auto"/>
              <w:ind w:left="0" w:leftChars="0" w:firstLine="480" w:firstLineChars="200"/>
              <w:rPr>
                <w:color w:val="auto"/>
              </w:rPr>
            </w:pPr>
            <w:r>
              <w:rPr>
                <w:rFonts w:hint="default" w:ascii="Times New Roman" w:hAnsi="Times New Roman" w:eastAsia="宋体" w:cs="Times New Roman"/>
                <w:color w:val="auto"/>
              </w:rPr>
              <w:t>⑤</w:t>
            </w:r>
            <w:r>
              <w:rPr>
                <w:color w:val="auto"/>
              </w:rPr>
              <w:t>烤漆：</w:t>
            </w:r>
            <w:r>
              <w:rPr>
                <w:color w:val="auto"/>
                <w:szCs w:val="21"/>
              </w:rPr>
              <w:t>将喷漆后的</w:t>
            </w:r>
            <w:r>
              <w:rPr>
                <w:rFonts w:hint="eastAsia"/>
                <w:color w:val="auto"/>
                <w:szCs w:val="21"/>
              </w:rPr>
              <w:t>半成品</w:t>
            </w:r>
            <w:r>
              <w:rPr>
                <w:color w:val="auto"/>
                <w:szCs w:val="21"/>
              </w:rPr>
              <w:t>转运至烤漆房进行烤干，项目烤干工序在密闭烤漆房中进行，生产过程中保持负压抽风状态。此工序产生的主要污染物是有机废气。</w:t>
            </w:r>
          </w:p>
          <w:p w14:paraId="5D0EDE43">
            <w:pPr>
              <w:pStyle w:val="22"/>
              <w:spacing w:line="360" w:lineRule="auto"/>
              <w:ind w:left="0" w:leftChars="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微软雅黑" w:cs="Times New Roman"/>
                <w:color w:val="auto"/>
              </w:rPr>
              <w:t>⑥</w:t>
            </w:r>
            <w:r>
              <w:rPr>
                <w:rFonts w:hint="default" w:ascii="Times New Roman" w:hAnsi="Times New Roman" w:eastAsia="宋体" w:cs="Times New Roman"/>
                <w:color w:val="auto"/>
                <w:lang w:val="en-US" w:eastAsia="zh-CN"/>
              </w:rPr>
              <w:t>亚克力板/PVC板</w:t>
            </w:r>
            <w:r>
              <w:rPr>
                <w:rFonts w:hint="eastAsia" w:ascii="Times New Roman" w:hAnsi="Times New Roman" w:eastAsia="宋体" w:cs="Times New Roman"/>
                <w:color w:val="auto"/>
                <w:lang w:val="en-US" w:eastAsia="zh-CN"/>
              </w:rPr>
              <w:t>类标识牌</w:t>
            </w:r>
            <w:r>
              <w:rPr>
                <w:rFonts w:hint="default" w:ascii="Times New Roman" w:hAnsi="Times New Roman" w:eastAsia="宋体" w:cs="Times New Roman"/>
                <w:color w:val="auto"/>
                <w:lang w:val="en-US" w:eastAsia="zh-CN"/>
              </w:rPr>
              <w:t>：</w:t>
            </w:r>
            <w:r>
              <w:rPr>
                <w:rFonts w:ascii="Times New Roman" w:hAnsi="宋体"/>
                <w:color w:val="auto"/>
                <w:sz w:val="24"/>
              </w:rPr>
              <w:t>亚克力板</w:t>
            </w:r>
            <w:r>
              <w:rPr>
                <w:rFonts w:hint="eastAsia" w:ascii="Times New Roman" w:hAnsi="宋体"/>
                <w:color w:val="auto"/>
                <w:sz w:val="24"/>
                <w:lang w:val="en-US" w:eastAsia="zh-CN"/>
              </w:rPr>
              <w:t>或PVC板</w:t>
            </w:r>
            <w:r>
              <w:rPr>
                <w:rFonts w:ascii="Times New Roman" w:hAnsi="宋体"/>
                <w:color w:val="auto"/>
                <w:sz w:val="24"/>
              </w:rPr>
              <w:t>采用切割机</w:t>
            </w:r>
            <w:r>
              <w:rPr>
                <w:rFonts w:hint="eastAsia" w:ascii="Times New Roman" w:hAnsi="宋体"/>
                <w:color w:val="auto"/>
                <w:sz w:val="24"/>
                <w:lang w:eastAsia="zh-CN"/>
              </w:rPr>
              <w:t>、</w:t>
            </w:r>
            <w:r>
              <w:rPr>
                <w:rFonts w:hint="eastAsia" w:ascii="Times New Roman" w:hAnsi="宋体"/>
                <w:color w:val="auto"/>
                <w:sz w:val="24"/>
                <w:lang w:val="en-US" w:eastAsia="zh-CN"/>
              </w:rPr>
              <w:t>雕刻机</w:t>
            </w:r>
            <w:r>
              <w:rPr>
                <w:color w:val="auto"/>
              </w:rPr>
              <w:t>按设计要求切割成所需的规格或形状</w:t>
            </w:r>
            <w:r>
              <w:rPr>
                <w:rFonts w:hint="eastAsia"/>
                <w:color w:val="auto"/>
                <w:lang w:eastAsia="zh-CN"/>
              </w:rPr>
              <w:t>；</w:t>
            </w:r>
            <w:r>
              <w:rPr>
                <w:rFonts w:ascii="Times New Roman" w:hAnsi="宋体"/>
                <w:color w:val="auto"/>
                <w:sz w:val="24"/>
              </w:rPr>
              <w:t>此工序会产生噪声、废气及</w:t>
            </w:r>
            <w:r>
              <w:rPr>
                <w:rFonts w:hint="eastAsia" w:ascii="Times New Roman" w:hAnsi="宋体"/>
                <w:color w:val="auto"/>
                <w:sz w:val="24"/>
                <w:lang w:val="en-US" w:eastAsia="zh-CN"/>
              </w:rPr>
              <w:t>废</w:t>
            </w:r>
            <w:r>
              <w:rPr>
                <w:rFonts w:ascii="Times New Roman" w:hAnsi="宋体"/>
                <w:color w:val="auto"/>
                <w:sz w:val="24"/>
              </w:rPr>
              <w:t>边角料</w:t>
            </w:r>
            <w:r>
              <w:rPr>
                <w:rFonts w:hint="eastAsia" w:ascii="Times New Roman" w:hAnsi="宋体"/>
                <w:color w:val="auto"/>
                <w:sz w:val="24"/>
                <w:lang w:eastAsia="zh-CN"/>
              </w:rPr>
              <w:t>。</w:t>
            </w:r>
            <w:r>
              <w:rPr>
                <w:rFonts w:hint="default" w:ascii="Times New Roman" w:hAnsi="Times New Roman" w:eastAsia="宋体" w:cs="Times New Roman"/>
                <w:color w:val="auto"/>
                <w:lang w:val="en-US" w:eastAsia="zh-CN"/>
              </w:rPr>
              <w:t>根据设计，使用UV打印对半成品进行打印，打印过程中会有轻微的油墨气味。</w:t>
            </w:r>
          </w:p>
          <w:p w14:paraId="5AB5CB67">
            <w:pPr>
              <w:pStyle w:val="22"/>
              <w:spacing w:line="360" w:lineRule="auto"/>
              <w:ind w:left="0" w:leftChars="0" w:firstLine="480" w:firstLineChars="200"/>
              <w:jc w:val="left"/>
              <w:rPr>
                <w:color w:val="auto"/>
              </w:rPr>
            </w:pPr>
            <w:r>
              <w:rPr>
                <w:rFonts w:hint="default" w:ascii="Times New Roman" w:hAnsi="Times New Roman" w:eastAsia="微软雅黑" w:cs="Times New Roman"/>
                <w:color w:val="auto"/>
              </w:rPr>
              <w:t>⑦</w:t>
            </w:r>
            <w:r>
              <w:rPr>
                <w:rFonts w:hint="default" w:ascii="Times New Roman" w:hAnsi="Times New Roman" w:cs="Times New Roman"/>
                <w:color w:val="auto"/>
              </w:rPr>
              <w:t>打</w:t>
            </w:r>
            <w:r>
              <w:rPr>
                <w:color w:val="auto"/>
              </w:rPr>
              <w:t>包入库：用打包机将产品进行打包，转运至仓库储存。</w:t>
            </w:r>
          </w:p>
          <w:p w14:paraId="0B491BBE">
            <w:pPr>
              <w:ind w:firstLine="480" w:firstLineChars="200"/>
              <w:rPr>
                <w:color w:val="auto"/>
              </w:rPr>
            </w:pPr>
            <w:r>
              <w:rPr>
                <w:color w:val="auto"/>
              </w:rPr>
              <w:t>本项目产污情况见表2.</w:t>
            </w:r>
            <w:r>
              <w:rPr>
                <w:rFonts w:hint="eastAsia"/>
                <w:color w:val="auto"/>
              </w:rPr>
              <w:t>2</w:t>
            </w:r>
            <w:r>
              <w:rPr>
                <w:color w:val="auto"/>
              </w:rPr>
              <w:t>-1。</w:t>
            </w:r>
          </w:p>
          <w:p w14:paraId="0EB9FC07">
            <w:pPr>
              <w:pStyle w:val="36"/>
              <w:spacing w:before="0" w:after="0"/>
              <w:rPr>
                <w:color w:val="auto"/>
              </w:rPr>
            </w:pPr>
            <w:r>
              <w:rPr>
                <w:rFonts w:hint="eastAsia"/>
                <w:color w:val="auto"/>
              </w:rPr>
              <w:t>表2.2-1  产污环节一览表</w:t>
            </w:r>
          </w:p>
          <w:tbl>
            <w:tblPr>
              <w:tblStyle w:val="30"/>
              <w:tblW w:w="79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32"/>
              <w:gridCol w:w="1755"/>
              <w:gridCol w:w="2125"/>
              <w:gridCol w:w="2938"/>
            </w:tblGrid>
            <w:tr w14:paraId="0007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gridSpan w:val="2"/>
                  <w:tcBorders>
                    <w:top w:val="single" w:color="auto" w:sz="12" w:space="0"/>
                    <w:left w:val="nil"/>
                  </w:tcBorders>
                  <w:vAlign w:val="center"/>
                </w:tcPr>
                <w:p w14:paraId="10064E45">
                  <w:pPr>
                    <w:adjustRightInd w:val="0"/>
                    <w:snapToGrid w:val="0"/>
                    <w:spacing w:before="24" w:beforeLines="10" w:after="24" w:afterLines="10" w:line="240" w:lineRule="auto"/>
                    <w:jc w:val="center"/>
                    <w:rPr>
                      <w:color w:val="auto"/>
                      <w:kern w:val="0"/>
                      <w:sz w:val="21"/>
                      <w:szCs w:val="20"/>
                    </w:rPr>
                  </w:pPr>
                  <w:r>
                    <w:rPr>
                      <w:color w:val="auto"/>
                      <w:kern w:val="0"/>
                      <w:sz w:val="21"/>
                      <w:szCs w:val="20"/>
                    </w:rPr>
                    <w:t>类别</w:t>
                  </w:r>
                </w:p>
              </w:tc>
              <w:tc>
                <w:tcPr>
                  <w:tcW w:w="1755" w:type="dxa"/>
                  <w:tcBorders>
                    <w:top w:val="single" w:color="auto" w:sz="12" w:space="0"/>
                  </w:tcBorders>
                  <w:vAlign w:val="center"/>
                </w:tcPr>
                <w:p w14:paraId="5CF5699B">
                  <w:pPr>
                    <w:adjustRightInd w:val="0"/>
                    <w:snapToGrid w:val="0"/>
                    <w:spacing w:before="24" w:beforeLines="10" w:after="24" w:afterLines="10" w:line="240" w:lineRule="auto"/>
                    <w:jc w:val="center"/>
                    <w:rPr>
                      <w:color w:val="auto"/>
                      <w:kern w:val="0"/>
                      <w:sz w:val="21"/>
                      <w:szCs w:val="20"/>
                    </w:rPr>
                  </w:pPr>
                  <w:r>
                    <w:rPr>
                      <w:color w:val="auto"/>
                      <w:kern w:val="0"/>
                      <w:sz w:val="21"/>
                      <w:szCs w:val="20"/>
                    </w:rPr>
                    <w:t>污染物来源</w:t>
                  </w:r>
                  <w:r>
                    <w:rPr>
                      <w:rFonts w:hint="eastAsia"/>
                      <w:color w:val="auto"/>
                      <w:kern w:val="0"/>
                      <w:sz w:val="21"/>
                      <w:szCs w:val="20"/>
                    </w:rPr>
                    <w:t>或污染工序</w:t>
                  </w:r>
                </w:p>
              </w:tc>
              <w:tc>
                <w:tcPr>
                  <w:tcW w:w="2125" w:type="dxa"/>
                  <w:tcBorders>
                    <w:top w:val="single" w:color="auto" w:sz="12" w:space="0"/>
                  </w:tcBorders>
                  <w:vAlign w:val="center"/>
                </w:tcPr>
                <w:p w14:paraId="4DE15685">
                  <w:pPr>
                    <w:adjustRightInd w:val="0"/>
                    <w:snapToGrid w:val="0"/>
                    <w:spacing w:before="24" w:beforeLines="10" w:after="24" w:afterLines="10" w:line="240" w:lineRule="auto"/>
                    <w:jc w:val="center"/>
                    <w:rPr>
                      <w:color w:val="auto"/>
                      <w:kern w:val="0"/>
                      <w:sz w:val="21"/>
                      <w:szCs w:val="20"/>
                    </w:rPr>
                  </w:pPr>
                  <w:r>
                    <w:rPr>
                      <w:color w:val="auto"/>
                      <w:kern w:val="0"/>
                      <w:sz w:val="21"/>
                      <w:szCs w:val="20"/>
                    </w:rPr>
                    <w:t>主要污染物</w:t>
                  </w:r>
                </w:p>
              </w:tc>
              <w:tc>
                <w:tcPr>
                  <w:tcW w:w="2938" w:type="dxa"/>
                  <w:tcBorders>
                    <w:top w:val="single" w:color="auto" w:sz="12" w:space="0"/>
                    <w:right w:val="nil"/>
                  </w:tcBorders>
                  <w:vAlign w:val="center"/>
                </w:tcPr>
                <w:p w14:paraId="58C105C8">
                  <w:pPr>
                    <w:adjustRightInd w:val="0"/>
                    <w:snapToGrid w:val="0"/>
                    <w:spacing w:before="24" w:beforeLines="10" w:after="24" w:afterLines="10" w:line="240" w:lineRule="auto"/>
                    <w:jc w:val="center"/>
                    <w:rPr>
                      <w:color w:val="auto"/>
                      <w:kern w:val="0"/>
                      <w:sz w:val="21"/>
                      <w:szCs w:val="20"/>
                    </w:rPr>
                  </w:pPr>
                  <w:r>
                    <w:rPr>
                      <w:color w:val="auto"/>
                      <w:kern w:val="0"/>
                      <w:sz w:val="21"/>
                      <w:szCs w:val="20"/>
                    </w:rPr>
                    <w:t>治理措施</w:t>
                  </w:r>
                </w:p>
              </w:tc>
            </w:tr>
            <w:tr w14:paraId="3D1C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32" w:type="dxa"/>
                  <w:gridSpan w:val="2"/>
                  <w:tcBorders>
                    <w:left w:val="nil"/>
                  </w:tcBorders>
                  <w:vAlign w:val="center"/>
                </w:tcPr>
                <w:p w14:paraId="3F65D8D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废水</w:t>
                  </w:r>
                </w:p>
              </w:tc>
              <w:tc>
                <w:tcPr>
                  <w:tcW w:w="1755" w:type="dxa"/>
                  <w:vAlign w:val="center"/>
                </w:tcPr>
                <w:p w14:paraId="413C095F">
                  <w:pPr>
                    <w:adjustRightInd w:val="0"/>
                    <w:snapToGrid w:val="0"/>
                    <w:spacing w:before="24" w:beforeLines="10" w:after="24" w:afterLines="10" w:line="240" w:lineRule="auto"/>
                    <w:jc w:val="center"/>
                    <w:rPr>
                      <w:color w:val="auto"/>
                      <w:kern w:val="0"/>
                      <w:sz w:val="21"/>
                      <w:szCs w:val="20"/>
                    </w:rPr>
                  </w:pPr>
                  <w:r>
                    <w:rPr>
                      <w:color w:val="auto"/>
                      <w:kern w:val="0"/>
                      <w:sz w:val="21"/>
                      <w:szCs w:val="20"/>
                    </w:rPr>
                    <w:t>职工生活</w:t>
                  </w:r>
                </w:p>
              </w:tc>
              <w:tc>
                <w:tcPr>
                  <w:tcW w:w="2125" w:type="dxa"/>
                  <w:vAlign w:val="center"/>
                </w:tcPr>
                <w:p w14:paraId="37404626">
                  <w:pPr>
                    <w:adjustRightInd w:val="0"/>
                    <w:snapToGrid w:val="0"/>
                    <w:spacing w:before="24" w:beforeLines="10" w:after="24" w:afterLines="10" w:line="240" w:lineRule="auto"/>
                    <w:jc w:val="center"/>
                    <w:rPr>
                      <w:color w:val="auto"/>
                      <w:kern w:val="0"/>
                      <w:sz w:val="21"/>
                      <w:szCs w:val="20"/>
                    </w:rPr>
                  </w:pPr>
                  <w:r>
                    <w:rPr>
                      <w:color w:val="auto"/>
                      <w:kern w:val="0"/>
                      <w:sz w:val="21"/>
                      <w:szCs w:val="20"/>
                    </w:rPr>
                    <w:t>生活污水</w:t>
                  </w:r>
                </w:p>
              </w:tc>
              <w:tc>
                <w:tcPr>
                  <w:tcW w:w="2938" w:type="dxa"/>
                  <w:tcBorders>
                    <w:right w:val="nil"/>
                  </w:tcBorders>
                  <w:vAlign w:val="center"/>
                </w:tcPr>
                <w:p w14:paraId="37CFE1F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生活污水经化粪池处理达标后统一纳入市政污水管网，由大学城污水处理厂集中处理</w:t>
                  </w:r>
                </w:p>
              </w:tc>
            </w:tr>
            <w:tr w14:paraId="5B14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gridSpan w:val="2"/>
                  <w:vMerge w:val="restart"/>
                  <w:tcBorders>
                    <w:left w:val="nil"/>
                  </w:tcBorders>
                  <w:vAlign w:val="center"/>
                </w:tcPr>
                <w:p w14:paraId="0F9EAAFA">
                  <w:pPr>
                    <w:adjustRightInd w:val="0"/>
                    <w:snapToGrid w:val="0"/>
                    <w:spacing w:before="24" w:beforeLines="10" w:after="24" w:afterLines="10" w:line="240" w:lineRule="auto"/>
                    <w:jc w:val="center"/>
                    <w:rPr>
                      <w:color w:val="auto"/>
                      <w:kern w:val="0"/>
                      <w:sz w:val="21"/>
                      <w:szCs w:val="20"/>
                      <w:highlight w:val="none"/>
                    </w:rPr>
                  </w:pPr>
                  <w:r>
                    <w:rPr>
                      <w:color w:val="auto"/>
                      <w:kern w:val="0"/>
                      <w:sz w:val="21"/>
                      <w:szCs w:val="20"/>
                      <w:highlight w:val="none"/>
                    </w:rPr>
                    <w:t>废气</w:t>
                  </w:r>
                </w:p>
              </w:tc>
              <w:tc>
                <w:tcPr>
                  <w:tcW w:w="1755" w:type="dxa"/>
                  <w:vAlign w:val="center"/>
                </w:tcPr>
                <w:p w14:paraId="551203BF">
                  <w:pPr>
                    <w:adjustRightInd w:val="0"/>
                    <w:snapToGrid w:val="0"/>
                    <w:spacing w:before="24" w:beforeLines="10" w:after="24" w:afterLines="10" w:line="240" w:lineRule="auto"/>
                    <w:jc w:val="center"/>
                    <w:rPr>
                      <w:color w:val="auto"/>
                      <w:kern w:val="0"/>
                      <w:sz w:val="21"/>
                      <w:szCs w:val="20"/>
                      <w:highlight w:val="none"/>
                    </w:rPr>
                  </w:pPr>
                  <w:r>
                    <w:rPr>
                      <w:rFonts w:hint="eastAsia"/>
                      <w:color w:val="auto"/>
                      <w:kern w:val="0"/>
                      <w:sz w:val="21"/>
                      <w:szCs w:val="20"/>
                      <w:highlight w:val="none"/>
                    </w:rPr>
                    <w:t>调漆、喷漆、烤漆、喷枪清洗</w:t>
                  </w:r>
                </w:p>
              </w:tc>
              <w:tc>
                <w:tcPr>
                  <w:tcW w:w="2125" w:type="dxa"/>
                  <w:vAlign w:val="center"/>
                </w:tcPr>
                <w:p w14:paraId="2F26A8C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非甲烷总烃、乙酸乙酯与乙酸丁酯合计、二甲苯，漆雾（颗粒物）</w:t>
                  </w:r>
                </w:p>
              </w:tc>
              <w:tc>
                <w:tcPr>
                  <w:tcW w:w="2938" w:type="dxa"/>
                  <w:vMerge w:val="restart"/>
                  <w:tcBorders>
                    <w:right w:val="nil"/>
                  </w:tcBorders>
                  <w:vAlign w:val="center"/>
                </w:tcPr>
                <w:p w14:paraId="7926A852">
                  <w:pPr>
                    <w:adjustRightInd w:val="0"/>
                    <w:snapToGrid w:val="0"/>
                    <w:spacing w:before="24" w:beforeLines="10" w:after="24" w:afterLines="10" w:line="240" w:lineRule="auto"/>
                    <w:jc w:val="center"/>
                    <w:rPr>
                      <w:color w:val="auto"/>
                      <w:kern w:val="0"/>
                      <w:sz w:val="21"/>
                      <w:szCs w:val="20"/>
                    </w:rPr>
                  </w:pPr>
                  <w:r>
                    <w:rPr>
                      <w:color w:val="auto"/>
                      <w:kern w:val="0"/>
                      <w:sz w:val="21"/>
                      <w:szCs w:val="20"/>
                    </w:rPr>
                    <w:t>漆雾</w:t>
                  </w:r>
                  <w:r>
                    <w:rPr>
                      <w:rFonts w:hint="eastAsia"/>
                      <w:color w:val="auto"/>
                      <w:kern w:val="0"/>
                      <w:sz w:val="21"/>
                      <w:szCs w:val="20"/>
                    </w:rPr>
                    <w:t>（颗粒物）首先</w:t>
                  </w:r>
                  <w:r>
                    <w:rPr>
                      <w:color w:val="auto"/>
                      <w:kern w:val="0"/>
                      <w:sz w:val="21"/>
                      <w:szCs w:val="20"/>
                    </w:rPr>
                    <w:t>通过水帘柜（水幕洗涤）进行捕集</w:t>
                  </w:r>
                  <w:r>
                    <w:rPr>
                      <w:rFonts w:hint="eastAsia"/>
                      <w:color w:val="auto"/>
                      <w:kern w:val="0"/>
                      <w:sz w:val="21"/>
                      <w:szCs w:val="20"/>
                    </w:rPr>
                    <w:t>，残余漆雾和</w:t>
                  </w:r>
                  <w:r>
                    <w:rPr>
                      <w:color w:val="auto"/>
                      <w:kern w:val="0"/>
                      <w:sz w:val="21"/>
                      <w:szCs w:val="20"/>
                    </w:rPr>
                    <w:t>有机废气通过密闭车间负压收集，经</w:t>
                  </w:r>
                  <w:r>
                    <w:rPr>
                      <w:rFonts w:hint="eastAsia"/>
                      <w:color w:val="auto"/>
                      <w:kern w:val="0"/>
                      <w:sz w:val="21"/>
                      <w:szCs w:val="20"/>
                      <w:lang w:eastAsia="zh-CN"/>
                    </w:rPr>
                    <w:t>“</w:t>
                  </w:r>
                  <w:r>
                    <w:rPr>
                      <w:color w:val="auto"/>
                      <w:kern w:val="0"/>
                      <w:sz w:val="21"/>
                      <w:szCs w:val="20"/>
                    </w:rPr>
                    <w:t>干式过滤+二级活性炭吸附装置</w:t>
                  </w:r>
                  <w:r>
                    <w:rPr>
                      <w:rFonts w:hint="eastAsia"/>
                      <w:color w:val="auto"/>
                      <w:kern w:val="0"/>
                      <w:sz w:val="21"/>
                      <w:szCs w:val="20"/>
                      <w:lang w:eastAsia="zh-CN"/>
                    </w:rPr>
                    <w:t>”</w:t>
                  </w:r>
                  <w:r>
                    <w:rPr>
                      <w:color w:val="auto"/>
                      <w:kern w:val="0"/>
                      <w:sz w:val="21"/>
                      <w:szCs w:val="20"/>
                    </w:rPr>
                    <w:t>，处理达标后的废气通过一根22m高的排气筒（DA001）排放</w:t>
                  </w:r>
                </w:p>
              </w:tc>
            </w:tr>
            <w:tr w14:paraId="3852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32" w:type="dxa"/>
                  <w:gridSpan w:val="2"/>
                  <w:vMerge w:val="continue"/>
                  <w:tcBorders>
                    <w:left w:val="nil"/>
                  </w:tcBorders>
                  <w:vAlign w:val="center"/>
                </w:tcPr>
                <w:p w14:paraId="34301F51">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352E34F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UV打印及其设备清洗</w:t>
                  </w:r>
                </w:p>
              </w:tc>
              <w:tc>
                <w:tcPr>
                  <w:tcW w:w="2125" w:type="dxa"/>
                  <w:vAlign w:val="center"/>
                </w:tcPr>
                <w:p w14:paraId="48B235E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VOCs（以非甲烷总烃计）</w:t>
                  </w:r>
                </w:p>
              </w:tc>
              <w:tc>
                <w:tcPr>
                  <w:tcW w:w="2938" w:type="dxa"/>
                  <w:vMerge w:val="continue"/>
                  <w:tcBorders>
                    <w:right w:val="nil"/>
                  </w:tcBorders>
                  <w:vAlign w:val="center"/>
                </w:tcPr>
                <w:p w14:paraId="77CAC0C5">
                  <w:pPr>
                    <w:adjustRightInd w:val="0"/>
                    <w:snapToGrid w:val="0"/>
                    <w:spacing w:before="24" w:beforeLines="10" w:after="24" w:afterLines="10" w:line="240" w:lineRule="auto"/>
                    <w:jc w:val="center"/>
                    <w:rPr>
                      <w:color w:val="auto"/>
                      <w:kern w:val="0"/>
                      <w:sz w:val="21"/>
                      <w:szCs w:val="20"/>
                    </w:rPr>
                  </w:pPr>
                </w:p>
              </w:tc>
            </w:tr>
            <w:tr w14:paraId="21D3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32" w:type="dxa"/>
                  <w:gridSpan w:val="2"/>
                  <w:vMerge w:val="continue"/>
                  <w:tcBorders>
                    <w:left w:val="nil"/>
                  </w:tcBorders>
                  <w:vAlign w:val="center"/>
                </w:tcPr>
                <w:p w14:paraId="48931992">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4E48CCF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热压</w:t>
                  </w:r>
                </w:p>
              </w:tc>
              <w:tc>
                <w:tcPr>
                  <w:tcW w:w="2125" w:type="dxa"/>
                  <w:vAlign w:val="center"/>
                </w:tcPr>
                <w:p w14:paraId="59EBA17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VOCs（以非甲烷总烃计）</w:t>
                  </w:r>
                </w:p>
              </w:tc>
              <w:tc>
                <w:tcPr>
                  <w:tcW w:w="2938" w:type="dxa"/>
                  <w:vMerge w:val="restart"/>
                  <w:tcBorders>
                    <w:right w:val="nil"/>
                  </w:tcBorders>
                  <w:vAlign w:val="center"/>
                </w:tcPr>
                <w:p w14:paraId="3F9DBFCC">
                  <w:pPr>
                    <w:adjustRightInd w:val="0"/>
                    <w:snapToGrid w:val="0"/>
                    <w:spacing w:before="24" w:beforeLines="10" w:after="24" w:afterLines="10" w:line="240" w:lineRule="auto"/>
                    <w:jc w:val="center"/>
                    <w:rPr>
                      <w:color w:val="auto"/>
                      <w:kern w:val="0"/>
                      <w:sz w:val="21"/>
                      <w:szCs w:val="20"/>
                    </w:rPr>
                  </w:pPr>
                  <w:r>
                    <w:rPr>
                      <w:bCs/>
                      <w:color w:val="auto"/>
                      <w:sz w:val="21"/>
                      <w:szCs w:val="21"/>
                    </w:rPr>
                    <w:t>热压、</w:t>
                  </w:r>
                  <w:r>
                    <w:rPr>
                      <w:rFonts w:hint="eastAsia"/>
                      <w:bCs/>
                      <w:color w:val="auto"/>
                      <w:sz w:val="21"/>
                      <w:szCs w:val="21"/>
                    </w:rPr>
                    <w:t>组装</w:t>
                  </w:r>
                  <w:r>
                    <w:rPr>
                      <w:bCs/>
                      <w:color w:val="auto"/>
                      <w:sz w:val="21"/>
                      <w:szCs w:val="21"/>
                    </w:rPr>
                    <w:t>工序产生的有机废气较少，瞬间产生的浓度较低，不易收集，经过车间通风无组织排放即可达标</w:t>
                  </w:r>
                </w:p>
              </w:tc>
            </w:tr>
            <w:tr w14:paraId="674D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32" w:type="dxa"/>
                  <w:gridSpan w:val="2"/>
                  <w:vMerge w:val="continue"/>
                  <w:tcBorders>
                    <w:left w:val="nil"/>
                  </w:tcBorders>
                  <w:vAlign w:val="center"/>
                </w:tcPr>
                <w:p w14:paraId="5788BCFF">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33C772F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玻璃胶组装</w:t>
                  </w:r>
                </w:p>
              </w:tc>
              <w:tc>
                <w:tcPr>
                  <w:tcW w:w="2125" w:type="dxa"/>
                  <w:vAlign w:val="center"/>
                </w:tcPr>
                <w:p w14:paraId="0591DF3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VOCs（以非甲烷总烃计）</w:t>
                  </w:r>
                </w:p>
              </w:tc>
              <w:tc>
                <w:tcPr>
                  <w:tcW w:w="2938" w:type="dxa"/>
                  <w:vMerge w:val="continue"/>
                  <w:tcBorders>
                    <w:right w:val="nil"/>
                  </w:tcBorders>
                  <w:vAlign w:val="center"/>
                </w:tcPr>
                <w:p w14:paraId="482C51DD">
                  <w:pPr>
                    <w:adjustRightInd w:val="0"/>
                    <w:snapToGrid w:val="0"/>
                    <w:spacing w:before="24" w:beforeLines="10" w:after="24" w:afterLines="10" w:line="240" w:lineRule="auto"/>
                    <w:jc w:val="center"/>
                    <w:rPr>
                      <w:color w:val="auto"/>
                      <w:kern w:val="0"/>
                      <w:sz w:val="21"/>
                      <w:szCs w:val="20"/>
                    </w:rPr>
                  </w:pPr>
                </w:p>
              </w:tc>
            </w:tr>
            <w:tr w14:paraId="2DBA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32" w:type="dxa"/>
                  <w:gridSpan w:val="2"/>
                  <w:vMerge w:val="continue"/>
                  <w:tcBorders>
                    <w:left w:val="nil"/>
                  </w:tcBorders>
                  <w:vAlign w:val="center"/>
                </w:tcPr>
                <w:p w14:paraId="1D084700">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619891E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lang w:val="en-US" w:eastAsia="zh-CN"/>
                    </w:rPr>
                    <w:t>金属板材切割、</w:t>
                  </w:r>
                  <w:r>
                    <w:rPr>
                      <w:rFonts w:hint="eastAsia"/>
                      <w:color w:val="auto"/>
                      <w:kern w:val="0"/>
                      <w:sz w:val="21"/>
                      <w:szCs w:val="20"/>
                    </w:rPr>
                    <w:t>亚克力、PVC板材雕刻、切割</w:t>
                  </w:r>
                </w:p>
              </w:tc>
              <w:tc>
                <w:tcPr>
                  <w:tcW w:w="2125" w:type="dxa"/>
                  <w:vAlign w:val="center"/>
                </w:tcPr>
                <w:p w14:paraId="35215E7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颗粒物</w:t>
                  </w:r>
                </w:p>
              </w:tc>
              <w:tc>
                <w:tcPr>
                  <w:tcW w:w="2938" w:type="dxa"/>
                  <w:tcBorders>
                    <w:right w:val="nil"/>
                  </w:tcBorders>
                  <w:vAlign w:val="center"/>
                </w:tcPr>
                <w:p w14:paraId="5C330E58">
                  <w:pPr>
                    <w:adjustRightInd w:val="0"/>
                    <w:snapToGrid w:val="0"/>
                    <w:spacing w:before="24" w:beforeLines="10" w:after="24" w:afterLines="10" w:line="240" w:lineRule="auto"/>
                    <w:jc w:val="center"/>
                    <w:rPr>
                      <w:color w:val="auto"/>
                      <w:kern w:val="0"/>
                      <w:sz w:val="21"/>
                      <w:szCs w:val="20"/>
                    </w:rPr>
                  </w:pPr>
                  <w:r>
                    <w:rPr>
                      <w:rFonts w:hint="eastAsia"/>
                      <w:color w:val="auto"/>
                      <w:sz w:val="21"/>
                      <w:szCs w:val="18"/>
                    </w:rPr>
                    <w:t>金属板材切割，</w:t>
                  </w:r>
                  <w:r>
                    <w:rPr>
                      <w:rFonts w:hint="eastAsia"/>
                      <w:color w:val="auto"/>
                      <w:kern w:val="0"/>
                      <w:sz w:val="21"/>
                      <w:szCs w:val="20"/>
                    </w:rPr>
                    <w:t>亚克力板、PVC板材雕刻、切割工序产生的颗粒物采用集气罩集中收集，经布袋除尘器处理达标后通过一根22m高的排气筒（DA002）排放</w:t>
                  </w:r>
                </w:p>
              </w:tc>
            </w:tr>
            <w:tr w14:paraId="6958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132" w:type="dxa"/>
                  <w:gridSpan w:val="2"/>
                  <w:vMerge w:val="continue"/>
                  <w:tcBorders>
                    <w:left w:val="nil"/>
                  </w:tcBorders>
                  <w:vAlign w:val="center"/>
                </w:tcPr>
                <w:p w14:paraId="1CCA6561">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1BA00578">
                  <w:pPr>
                    <w:adjustRightInd w:val="0"/>
                    <w:snapToGrid w:val="0"/>
                    <w:spacing w:line="240" w:lineRule="auto"/>
                    <w:jc w:val="center"/>
                    <w:rPr>
                      <w:color w:val="auto"/>
                      <w:sz w:val="21"/>
                      <w:szCs w:val="18"/>
                    </w:rPr>
                  </w:pPr>
                  <w:r>
                    <w:rPr>
                      <w:rFonts w:hint="eastAsia"/>
                      <w:color w:val="auto"/>
                      <w:sz w:val="21"/>
                      <w:szCs w:val="18"/>
                    </w:rPr>
                    <w:t>焊接</w:t>
                  </w:r>
                </w:p>
              </w:tc>
              <w:tc>
                <w:tcPr>
                  <w:tcW w:w="2125" w:type="dxa"/>
                  <w:vAlign w:val="center"/>
                </w:tcPr>
                <w:p w14:paraId="64FE8E2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颗粒物</w:t>
                  </w:r>
                </w:p>
              </w:tc>
              <w:tc>
                <w:tcPr>
                  <w:tcW w:w="2938" w:type="dxa"/>
                  <w:tcBorders>
                    <w:right w:val="nil"/>
                  </w:tcBorders>
                  <w:vAlign w:val="center"/>
                </w:tcPr>
                <w:p w14:paraId="14A06BE7">
                  <w:pPr>
                    <w:adjustRightInd w:val="0"/>
                    <w:snapToGrid w:val="0"/>
                    <w:spacing w:before="24" w:beforeLines="10" w:after="24" w:afterLines="10" w:line="240" w:lineRule="auto"/>
                    <w:jc w:val="center"/>
                    <w:rPr>
                      <w:color w:val="auto"/>
                      <w:kern w:val="0"/>
                      <w:sz w:val="21"/>
                      <w:szCs w:val="20"/>
                    </w:rPr>
                  </w:pPr>
                  <w:r>
                    <w:rPr>
                      <w:rFonts w:hint="eastAsia"/>
                      <w:color w:val="auto"/>
                      <w:sz w:val="21"/>
                      <w:szCs w:val="18"/>
                    </w:rPr>
                    <w:t>焊接工序产生的</w:t>
                  </w:r>
                  <w:r>
                    <w:rPr>
                      <w:rFonts w:hint="eastAsia"/>
                      <w:color w:val="auto"/>
                      <w:kern w:val="0"/>
                      <w:sz w:val="21"/>
                      <w:szCs w:val="20"/>
                    </w:rPr>
                    <w:t>烟尘（颗粒物）由移动式焊烟净化器处理后通过车间通风无组织排放</w:t>
                  </w:r>
                </w:p>
              </w:tc>
            </w:tr>
            <w:tr w14:paraId="251F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gridSpan w:val="2"/>
                  <w:tcBorders>
                    <w:left w:val="nil"/>
                  </w:tcBorders>
                  <w:vAlign w:val="center"/>
                </w:tcPr>
                <w:p w14:paraId="7614B212">
                  <w:pPr>
                    <w:adjustRightInd w:val="0"/>
                    <w:snapToGrid w:val="0"/>
                    <w:spacing w:before="24" w:beforeLines="10" w:after="24" w:afterLines="10" w:line="240" w:lineRule="auto"/>
                    <w:jc w:val="center"/>
                    <w:rPr>
                      <w:color w:val="auto"/>
                      <w:kern w:val="0"/>
                      <w:sz w:val="21"/>
                      <w:szCs w:val="20"/>
                    </w:rPr>
                  </w:pPr>
                  <w:r>
                    <w:rPr>
                      <w:color w:val="auto"/>
                      <w:kern w:val="0"/>
                      <w:sz w:val="21"/>
                      <w:szCs w:val="20"/>
                    </w:rPr>
                    <w:t>噪声</w:t>
                  </w:r>
                </w:p>
              </w:tc>
              <w:tc>
                <w:tcPr>
                  <w:tcW w:w="1755" w:type="dxa"/>
                  <w:vAlign w:val="center"/>
                </w:tcPr>
                <w:p w14:paraId="130044C4">
                  <w:pPr>
                    <w:adjustRightInd w:val="0"/>
                    <w:snapToGrid w:val="0"/>
                    <w:spacing w:before="24" w:beforeLines="10" w:after="24" w:afterLines="10" w:line="240" w:lineRule="auto"/>
                    <w:jc w:val="center"/>
                    <w:rPr>
                      <w:color w:val="auto"/>
                      <w:kern w:val="0"/>
                      <w:sz w:val="21"/>
                      <w:szCs w:val="20"/>
                    </w:rPr>
                  </w:pPr>
                  <w:r>
                    <w:rPr>
                      <w:color w:val="auto"/>
                      <w:kern w:val="0"/>
                      <w:sz w:val="21"/>
                      <w:szCs w:val="20"/>
                    </w:rPr>
                    <w:t>生产设备</w:t>
                  </w:r>
                </w:p>
              </w:tc>
              <w:tc>
                <w:tcPr>
                  <w:tcW w:w="2125" w:type="dxa"/>
                  <w:vAlign w:val="center"/>
                </w:tcPr>
                <w:p w14:paraId="0C5AE028">
                  <w:pPr>
                    <w:adjustRightInd w:val="0"/>
                    <w:snapToGrid w:val="0"/>
                    <w:spacing w:before="24" w:beforeLines="10" w:after="24" w:afterLines="10" w:line="240" w:lineRule="auto"/>
                    <w:jc w:val="center"/>
                    <w:rPr>
                      <w:color w:val="auto"/>
                      <w:kern w:val="0"/>
                      <w:sz w:val="21"/>
                      <w:szCs w:val="20"/>
                    </w:rPr>
                  </w:pPr>
                  <w:r>
                    <w:rPr>
                      <w:color w:val="auto"/>
                      <w:kern w:val="0"/>
                      <w:sz w:val="21"/>
                      <w:szCs w:val="20"/>
                    </w:rPr>
                    <w:t>生产噪声</w:t>
                  </w:r>
                </w:p>
              </w:tc>
              <w:tc>
                <w:tcPr>
                  <w:tcW w:w="2938" w:type="dxa"/>
                  <w:tcBorders>
                    <w:right w:val="nil"/>
                  </w:tcBorders>
                  <w:vAlign w:val="center"/>
                </w:tcPr>
                <w:p w14:paraId="155626EA">
                  <w:pPr>
                    <w:adjustRightInd w:val="0"/>
                    <w:snapToGrid w:val="0"/>
                    <w:spacing w:before="24" w:beforeLines="10" w:after="24" w:afterLines="10" w:line="240" w:lineRule="auto"/>
                    <w:jc w:val="center"/>
                    <w:rPr>
                      <w:color w:val="auto"/>
                      <w:kern w:val="0"/>
                      <w:sz w:val="21"/>
                      <w:szCs w:val="20"/>
                    </w:rPr>
                  </w:pPr>
                  <w:r>
                    <w:rPr>
                      <w:color w:val="auto"/>
                      <w:kern w:val="0"/>
                      <w:sz w:val="21"/>
                      <w:szCs w:val="20"/>
                    </w:rPr>
                    <w:t>优先选用低噪声级设备，对高噪声设备应合理布局，并采取消声、隔声、减振等综合降噪措施</w:t>
                  </w:r>
                </w:p>
              </w:tc>
            </w:tr>
            <w:tr w14:paraId="4AA3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restart"/>
                  <w:tcBorders>
                    <w:left w:val="nil"/>
                  </w:tcBorders>
                  <w:vAlign w:val="center"/>
                </w:tcPr>
                <w:p w14:paraId="49EF91F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固废</w:t>
                  </w:r>
                </w:p>
              </w:tc>
              <w:tc>
                <w:tcPr>
                  <w:tcW w:w="732" w:type="dxa"/>
                  <w:vMerge w:val="restart"/>
                  <w:tcBorders>
                    <w:left w:val="nil"/>
                  </w:tcBorders>
                  <w:vAlign w:val="center"/>
                </w:tcPr>
                <w:p w14:paraId="06BE8E37">
                  <w:pPr>
                    <w:adjustRightInd w:val="0"/>
                    <w:snapToGrid w:val="0"/>
                    <w:spacing w:before="24" w:beforeLines="10" w:after="24" w:afterLines="10" w:line="240" w:lineRule="auto"/>
                    <w:jc w:val="center"/>
                    <w:rPr>
                      <w:color w:val="auto"/>
                      <w:kern w:val="0"/>
                      <w:sz w:val="21"/>
                      <w:szCs w:val="20"/>
                    </w:rPr>
                  </w:pPr>
                  <w:r>
                    <w:rPr>
                      <w:color w:val="auto"/>
                      <w:kern w:val="0"/>
                      <w:sz w:val="21"/>
                      <w:szCs w:val="20"/>
                    </w:rPr>
                    <w:t>一般工业固废</w:t>
                  </w:r>
                </w:p>
              </w:tc>
              <w:tc>
                <w:tcPr>
                  <w:tcW w:w="1755" w:type="dxa"/>
                  <w:vAlign w:val="center"/>
                </w:tcPr>
                <w:p w14:paraId="5762884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切割、雕刻、焊接</w:t>
                  </w:r>
                </w:p>
              </w:tc>
              <w:tc>
                <w:tcPr>
                  <w:tcW w:w="2125" w:type="dxa"/>
                  <w:vAlign w:val="center"/>
                </w:tcPr>
                <w:p w14:paraId="7A1303C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废边角料</w:t>
                  </w:r>
                </w:p>
              </w:tc>
              <w:tc>
                <w:tcPr>
                  <w:tcW w:w="2938" w:type="dxa"/>
                  <w:vMerge w:val="restart"/>
                  <w:tcBorders>
                    <w:right w:val="nil"/>
                  </w:tcBorders>
                  <w:vAlign w:val="center"/>
                </w:tcPr>
                <w:p w14:paraId="4683D58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暂存一般固废间，外售给回收企业综合利用</w:t>
                  </w:r>
                </w:p>
              </w:tc>
            </w:tr>
            <w:tr w14:paraId="5E53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064E3948">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01F8284C">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282E945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w:t>
                  </w:r>
                </w:p>
              </w:tc>
              <w:tc>
                <w:tcPr>
                  <w:tcW w:w="2125" w:type="dxa"/>
                  <w:vAlign w:val="center"/>
                </w:tcPr>
                <w:p w14:paraId="1DFED32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除尘器收集粉尘</w:t>
                  </w:r>
                </w:p>
              </w:tc>
              <w:tc>
                <w:tcPr>
                  <w:tcW w:w="2938" w:type="dxa"/>
                  <w:vMerge w:val="continue"/>
                  <w:tcBorders>
                    <w:right w:val="nil"/>
                  </w:tcBorders>
                  <w:vAlign w:val="center"/>
                </w:tcPr>
                <w:p w14:paraId="53F7A3C9">
                  <w:pPr>
                    <w:adjustRightInd w:val="0"/>
                    <w:snapToGrid w:val="0"/>
                    <w:spacing w:before="24" w:beforeLines="10" w:after="24" w:afterLines="10" w:line="240" w:lineRule="auto"/>
                    <w:jc w:val="center"/>
                    <w:rPr>
                      <w:color w:val="auto"/>
                      <w:kern w:val="0"/>
                      <w:sz w:val="21"/>
                      <w:szCs w:val="20"/>
                    </w:rPr>
                  </w:pPr>
                </w:p>
              </w:tc>
            </w:tr>
            <w:tr w14:paraId="03CE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00" w:type="dxa"/>
                  <w:vMerge w:val="continue"/>
                  <w:tcBorders>
                    <w:left w:val="nil"/>
                  </w:tcBorders>
                  <w:vAlign w:val="center"/>
                </w:tcPr>
                <w:p w14:paraId="38BEB854">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07B23301">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5A5B619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包装</w:t>
                  </w:r>
                </w:p>
              </w:tc>
              <w:tc>
                <w:tcPr>
                  <w:tcW w:w="2125" w:type="dxa"/>
                  <w:vAlign w:val="center"/>
                </w:tcPr>
                <w:p w14:paraId="7EBBA87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废包装材料</w:t>
                  </w:r>
                </w:p>
              </w:tc>
              <w:tc>
                <w:tcPr>
                  <w:tcW w:w="2938" w:type="dxa"/>
                  <w:vMerge w:val="continue"/>
                  <w:tcBorders>
                    <w:right w:val="nil"/>
                  </w:tcBorders>
                  <w:vAlign w:val="center"/>
                </w:tcPr>
                <w:p w14:paraId="003B7398">
                  <w:pPr>
                    <w:adjustRightInd w:val="0"/>
                    <w:snapToGrid w:val="0"/>
                    <w:spacing w:before="24" w:beforeLines="10" w:after="24" w:afterLines="10" w:line="240" w:lineRule="auto"/>
                    <w:jc w:val="center"/>
                    <w:rPr>
                      <w:color w:val="auto"/>
                      <w:kern w:val="0"/>
                      <w:sz w:val="21"/>
                      <w:szCs w:val="20"/>
                    </w:rPr>
                  </w:pPr>
                </w:p>
              </w:tc>
            </w:tr>
            <w:tr w14:paraId="4FB5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199028CA">
                  <w:pPr>
                    <w:adjustRightInd w:val="0"/>
                    <w:snapToGrid w:val="0"/>
                    <w:spacing w:before="24" w:beforeLines="10" w:after="24" w:afterLines="10" w:line="240" w:lineRule="auto"/>
                    <w:jc w:val="center"/>
                    <w:rPr>
                      <w:color w:val="auto"/>
                      <w:kern w:val="0"/>
                      <w:sz w:val="21"/>
                      <w:szCs w:val="20"/>
                    </w:rPr>
                  </w:pPr>
                </w:p>
              </w:tc>
              <w:tc>
                <w:tcPr>
                  <w:tcW w:w="732" w:type="dxa"/>
                  <w:tcBorders>
                    <w:left w:val="nil"/>
                  </w:tcBorders>
                  <w:vAlign w:val="center"/>
                </w:tcPr>
                <w:p w14:paraId="4A799560">
                  <w:pPr>
                    <w:adjustRightInd w:val="0"/>
                    <w:snapToGrid w:val="0"/>
                    <w:spacing w:before="24" w:beforeLines="10" w:after="24" w:afterLines="10" w:line="240" w:lineRule="auto"/>
                    <w:jc w:val="center"/>
                    <w:rPr>
                      <w:color w:val="auto"/>
                      <w:kern w:val="0"/>
                      <w:sz w:val="21"/>
                      <w:szCs w:val="20"/>
                    </w:rPr>
                  </w:pPr>
                  <w:r>
                    <w:rPr>
                      <w:color w:val="auto"/>
                      <w:kern w:val="0"/>
                      <w:sz w:val="21"/>
                      <w:szCs w:val="20"/>
                    </w:rPr>
                    <w:t>生活垃圾</w:t>
                  </w:r>
                </w:p>
              </w:tc>
              <w:tc>
                <w:tcPr>
                  <w:tcW w:w="1755" w:type="dxa"/>
                  <w:vAlign w:val="center"/>
                </w:tcPr>
                <w:p w14:paraId="35645C2E">
                  <w:pPr>
                    <w:adjustRightInd w:val="0"/>
                    <w:snapToGrid w:val="0"/>
                    <w:spacing w:before="24" w:beforeLines="10" w:after="24" w:afterLines="10" w:line="240" w:lineRule="auto"/>
                    <w:jc w:val="center"/>
                    <w:rPr>
                      <w:color w:val="auto"/>
                      <w:kern w:val="0"/>
                      <w:sz w:val="21"/>
                      <w:szCs w:val="20"/>
                    </w:rPr>
                  </w:pPr>
                  <w:r>
                    <w:rPr>
                      <w:color w:val="auto"/>
                      <w:kern w:val="0"/>
                      <w:sz w:val="21"/>
                      <w:szCs w:val="20"/>
                    </w:rPr>
                    <w:t>职工生活</w:t>
                  </w:r>
                </w:p>
              </w:tc>
              <w:tc>
                <w:tcPr>
                  <w:tcW w:w="2125" w:type="dxa"/>
                  <w:vAlign w:val="center"/>
                </w:tcPr>
                <w:p w14:paraId="663119D7">
                  <w:pPr>
                    <w:adjustRightInd w:val="0"/>
                    <w:snapToGrid w:val="0"/>
                    <w:spacing w:before="24" w:beforeLines="10" w:after="24" w:afterLines="10" w:line="240" w:lineRule="auto"/>
                    <w:jc w:val="center"/>
                    <w:rPr>
                      <w:color w:val="auto"/>
                      <w:kern w:val="0"/>
                      <w:sz w:val="21"/>
                      <w:szCs w:val="20"/>
                    </w:rPr>
                  </w:pPr>
                  <w:r>
                    <w:rPr>
                      <w:color w:val="auto"/>
                      <w:kern w:val="0"/>
                      <w:sz w:val="21"/>
                      <w:szCs w:val="20"/>
                    </w:rPr>
                    <w:t>生活垃圾</w:t>
                  </w:r>
                </w:p>
              </w:tc>
              <w:tc>
                <w:tcPr>
                  <w:tcW w:w="2938" w:type="dxa"/>
                  <w:tcBorders>
                    <w:right w:val="nil"/>
                  </w:tcBorders>
                  <w:vAlign w:val="center"/>
                </w:tcPr>
                <w:p w14:paraId="04B931BD">
                  <w:pPr>
                    <w:adjustRightInd w:val="0"/>
                    <w:snapToGrid w:val="0"/>
                    <w:spacing w:before="24" w:beforeLines="10" w:after="24" w:afterLines="10" w:line="240" w:lineRule="auto"/>
                    <w:jc w:val="center"/>
                    <w:rPr>
                      <w:color w:val="auto"/>
                      <w:kern w:val="0"/>
                      <w:sz w:val="21"/>
                      <w:szCs w:val="20"/>
                    </w:rPr>
                  </w:pPr>
                  <w:r>
                    <w:rPr>
                      <w:color w:val="auto"/>
                      <w:kern w:val="0"/>
                      <w:sz w:val="21"/>
                      <w:szCs w:val="20"/>
                    </w:rPr>
                    <w:t>委托环卫部门统一清运</w:t>
                  </w:r>
                </w:p>
              </w:tc>
            </w:tr>
            <w:tr w14:paraId="53F6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0D1E5B24">
                  <w:pPr>
                    <w:adjustRightInd w:val="0"/>
                    <w:snapToGrid w:val="0"/>
                    <w:spacing w:before="24" w:beforeLines="10" w:after="24" w:afterLines="10" w:line="240" w:lineRule="auto"/>
                    <w:jc w:val="center"/>
                    <w:rPr>
                      <w:color w:val="auto"/>
                      <w:kern w:val="0"/>
                      <w:sz w:val="21"/>
                      <w:szCs w:val="20"/>
                    </w:rPr>
                  </w:pPr>
                </w:p>
              </w:tc>
              <w:tc>
                <w:tcPr>
                  <w:tcW w:w="732" w:type="dxa"/>
                  <w:vMerge w:val="restart"/>
                  <w:tcBorders>
                    <w:left w:val="nil"/>
                  </w:tcBorders>
                  <w:vAlign w:val="center"/>
                </w:tcPr>
                <w:p w14:paraId="609B2B86">
                  <w:pPr>
                    <w:adjustRightInd w:val="0"/>
                    <w:snapToGrid w:val="0"/>
                    <w:spacing w:before="24" w:beforeLines="10" w:after="24" w:afterLines="10" w:line="240" w:lineRule="auto"/>
                    <w:jc w:val="center"/>
                    <w:rPr>
                      <w:color w:val="auto"/>
                      <w:kern w:val="0"/>
                      <w:sz w:val="21"/>
                      <w:szCs w:val="20"/>
                    </w:rPr>
                  </w:pPr>
                  <w:r>
                    <w:rPr>
                      <w:color w:val="auto"/>
                      <w:kern w:val="0"/>
                      <w:sz w:val="21"/>
                      <w:szCs w:val="20"/>
                    </w:rPr>
                    <w:t>危险废物</w:t>
                  </w:r>
                </w:p>
              </w:tc>
              <w:tc>
                <w:tcPr>
                  <w:tcW w:w="1755" w:type="dxa"/>
                  <w:vAlign w:val="center"/>
                </w:tcPr>
                <w:p w14:paraId="3BE19D6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w:t>
                  </w:r>
                </w:p>
              </w:tc>
              <w:tc>
                <w:tcPr>
                  <w:tcW w:w="2125" w:type="dxa"/>
                  <w:vAlign w:val="center"/>
                </w:tcPr>
                <w:p w14:paraId="59605D9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废活性炭</w:t>
                  </w:r>
                </w:p>
              </w:tc>
              <w:tc>
                <w:tcPr>
                  <w:tcW w:w="2938" w:type="dxa"/>
                  <w:vMerge w:val="restart"/>
                  <w:tcBorders>
                    <w:right w:val="nil"/>
                  </w:tcBorders>
                  <w:vAlign w:val="center"/>
                </w:tcPr>
                <w:p w14:paraId="60F28C1E">
                  <w:pPr>
                    <w:adjustRightInd w:val="0"/>
                    <w:snapToGrid w:val="0"/>
                    <w:spacing w:before="24" w:beforeLines="10" w:after="24" w:afterLines="10" w:line="240" w:lineRule="auto"/>
                    <w:jc w:val="center"/>
                    <w:rPr>
                      <w:color w:val="auto"/>
                      <w:kern w:val="0"/>
                      <w:sz w:val="21"/>
                      <w:szCs w:val="20"/>
                    </w:rPr>
                  </w:pPr>
                  <w:r>
                    <w:rPr>
                      <w:color w:val="auto"/>
                      <w:kern w:val="0"/>
                      <w:sz w:val="21"/>
                      <w:szCs w:val="20"/>
                    </w:rPr>
                    <w:t>妥善收集后存放于危险废物</w:t>
                  </w:r>
                  <w:r>
                    <w:rPr>
                      <w:rFonts w:hint="eastAsia"/>
                      <w:color w:val="auto"/>
                      <w:kern w:val="0"/>
                      <w:sz w:val="21"/>
                      <w:szCs w:val="20"/>
                    </w:rPr>
                    <w:t>贮存</w:t>
                  </w:r>
                  <w:r>
                    <w:rPr>
                      <w:color w:val="auto"/>
                      <w:kern w:val="0"/>
                      <w:sz w:val="21"/>
                      <w:szCs w:val="20"/>
                    </w:rPr>
                    <w:t>间中，定期委托有危废处置资质单位进行处理</w:t>
                  </w:r>
                </w:p>
              </w:tc>
            </w:tr>
            <w:tr w14:paraId="5EC3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2BBBB582">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5B2F0D4C">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371E0AF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w:t>
                  </w:r>
                </w:p>
              </w:tc>
              <w:tc>
                <w:tcPr>
                  <w:tcW w:w="2125" w:type="dxa"/>
                  <w:vAlign w:val="center"/>
                </w:tcPr>
                <w:p w14:paraId="1698080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废过滤棉</w:t>
                  </w:r>
                </w:p>
              </w:tc>
              <w:tc>
                <w:tcPr>
                  <w:tcW w:w="2938" w:type="dxa"/>
                  <w:vMerge w:val="continue"/>
                  <w:tcBorders>
                    <w:right w:val="nil"/>
                  </w:tcBorders>
                  <w:vAlign w:val="center"/>
                </w:tcPr>
                <w:p w14:paraId="61784A35">
                  <w:pPr>
                    <w:adjustRightInd w:val="0"/>
                    <w:snapToGrid w:val="0"/>
                    <w:spacing w:before="24" w:beforeLines="10" w:after="24" w:afterLines="10" w:line="240" w:lineRule="auto"/>
                    <w:jc w:val="center"/>
                    <w:rPr>
                      <w:color w:val="auto"/>
                      <w:kern w:val="0"/>
                      <w:sz w:val="21"/>
                      <w:szCs w:val="20"/>
                    </w:rPr>
                  </w:pPr>
                </w:p>
              </w:tc>
            </w:tr>
            <w:tr w14:paraId="4B85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15F94AB1">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17B32DD6">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4FF233C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水帘柜废液</w:t>
                  </w:r>
                </w:p>
              </w:tc>
              <w:tc>
                <w:tcPr>
                  <w:tcW w:w="2125" w:type="dxa"/>
                  <w:vAlign w:val="center"/>
                </w:tcPr>
                <w:p w14:paraId="19B9F6C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highlight w:val="none"/>
                    </w:rPr>
                    <w:t>水性漆</w:t>
                  </w:r>
                  <w:r>
                    <w:rPr>
                      <w:rFonts w:hint="eastAsia"/>
                      <w:color w:val="auto"/>
                      <w:kern w:val="0"/>
                      <w:sz w:val="21"/>
                      <w:szCs w:val="20"/>
                    </w:rPr>
                    <w:t>、油漆</w:t>
                  </w:r>
                </w:p>
              </w:tc>
              <w:tc>
                <w:tcPr>
                  <w:tcW w:w="2938" w:type="dxa"/>
                  <w:vMerge w:val="continue"/>
                  <w:tcBorders>
                    <w:right w:val="nil"/>
                  </w:tcBorders>
                  <w:vAlign w:val="center"/>
                </w:tcPr>
                <w:p w14:paraId="0E3CBF5B">
                  <w:pPr>
                    <w:adjustRightInd w:val="0"/>
                    <w:snapToGrid w:val="0"/>
                    <w:spacing w:before="24" w:beforeLines="10" w:after="24" w:afterLines="10" w:line="240" w:lineRule="auto"/>
                    <w:jc w:val="center"/>
                    <w:rPr>
                      <w:color w:val="auto"/>
                      <w:kern w:val="0"/>
                      <w:sz w:val="21"/>
                      <w:szCs w:val="20"/>
                    </w:rPr>
                  </w:pPr>
                </w:p>
              </w:tc>
            </w:tr>
            <w:tr w14:paraId="3EF6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6719CCAF">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63CE53E7">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7D75A83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喷漆</w:t>
                  </w:r>
                </w:p>
              </w:tc>
              <w:tc>
                <w:tcPr>
                  <w:tcW w:w="2125" w:type="dxa"/>
                  <w:vAlign w:val="center"/>
                </w:tcPr>
                <w:p w14:paraId="25C279D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漆渣</w:t>
                  </w:r>
                </w:p>
              </w:tc>
              <w:tc>
                <w:tcPr>
                  <w:tcW w:w="2938" w:type="dxa"/>
                  <w:vMerge w:val="continue"/>
                  <w:tcBorders>
                    <w:right w:val="nil"/>
                  </w:tcBorders>
                  <w:vAlign w:val="center"/>
                </w:tcPr>
                <w:p w14:paraId="30C98B6B">
                  <w:pPr>
                    <w:adjustRightInd w:val="0"/>
                    <w:snapToGrid w:val="0"/>
                    <w:spacing w:before="24" w:beforeLines="10" w:after="24" w:afterLines="10" w:line="240" w:lineRule="auto"/>
                    <w:jc w:val="center"/>
                    <w:rPr>
                      <w:color w:val="auto"/>
                      <w:kern w:val="0"/>
                      <w:sz w:val="21"/>
                      <w:szCs w:val="20"/>
                    </w:rPr>
                  </w:pPr>
                </w:p>
              </w:tc>
            </w:tr>
            <w:tr w14:paraId="02D4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tcBorders>
                  <w:vAlign w:val="center"/>
                </w:tcPr>
                <w:p w14:paraId="0CA4F994">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tcBorders>
                  <w:vAlign w:val="center"/>
                </w:tcPr>
                <w:p w14:paraId="300754D2">
                  <w:pPr>
                    <w:adjustRightInd w:val="0"/>
                    <w:snapToGrid w:val="0"/>
                    <w:spacing w:before="24" w:beforeLines="10" w:after="24" w:afterLines="10" w:line="240" w:lineRule="auto"/>
                    <w:jc w:val="center"/>
                    <w:rPr>
                      <w:color w:val="auto"/>
                      <w:kern w:val="0"/>
                      <w:sz w:val="21"/>
                      <w:szCs w:val="20"/>
                    </w:rPr>
                  </w:pPr>
                </w:p>
              </w:tc>
              <w:tc>
                <w:tcPr>
                  <w:tcW w:w="1755" w:type="dxa"/>
                  <w:vAlign w:val="center"/>
                </w:tcPr>
                <w:p w14:paraId="244DBCA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w:t>
                  </w:r>
                </w:p>
              </w:tc>
              <w:tc>
                <w:tcPr>
                  <w:tcW w:w="2125" w:type="dxa"/>
                  <w:vAlign w:val="center"/>
                </w:tcPr>
                <w:p w14:paraId="554B2DA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废原料桶</w:t>
                  </w:r>
                </w:p>
              </w:tc>
              <w:tc>
                <w:tcPr>
                  <w:tcW w:w="2938" w:type="dxa"/>
                  <w:vMerge w:val="continue"/>
                  <w:tcBorders>
                    <w:right w:val="nil"/>
                  </w:tcBorders>
                  <w:vAlign w:val="center"/>
                </w:tcPr>
                <w:p w14:paraId="402266F5">
                  <w:pPr>
                    <w:adjustRightInd w:val="0"/>
                    <w:snapToGrid w:val="0"/>
                    <w:spacing w:before="24" w:beforeLines="10" w:after="24" w:afterLines="10" w:line="240" w:lineRule="auto"/>
                    <w:jc w:val="center"/>
                    <w:rPr>
                      <w:color w:val="auto"/>
                      <w:kern w:val="0"/>
                      <w:sz w:val="21"/>
                      <w:szCs w:val="20"/>
                    </w:rPr>
                  </w:pPr>
                </w:p>
              </w:tc>
            </w:tr>
            <w:tr w14:paraId="1907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nil"/>
                    <w:bottom w:val="single" w:color="auto" w:sz="12" w:space="0"/>
                  </w:tcBorders>
                  <w:vAlign w:val="center"/>
                </w:tcPr>
                <w:p w14:paraId="34095D2F">
                  <w:pPr>
                    <w:adjustRightInd w:val="0"/>
                    <w:snapToGrid w:val="0"/>
                    <w:spacing w:before="24" w:beforeLines="10" w:after="24" w:afterLines="10" w:line="240" w:lineRule="auto"/>
                    <w:jc w:val="center"/>
                    <w:rPr>
                      <w:color w:val="auto"/>
                      <w:kern w:val="0"/>
                      <w:sz w:val="21"/>
                      <w:szCs w:val="20"/>
                    </w:rPr>
                  </w:pPr>
                </w:p>
              </w:tc>
              <w:tc>
                <w:tcPr>
                  <w:tcW w:w="732" w:type="dxa"/>
                  <w:vMerge w:val="continue"/>
                  <w:tcBorders>
                    <w:left w:val="nil"/>
                    <w:bottom w:val="single" w:color="auto" w:sz="12" w:space="0"/>
                  </w:tcBorders>
                  <w:vAlign w:val="center"/>
                </w:tcPr>
                <w:p w14:paraId="6648915E">
                  <w:pPr>
                    <w:adjustRightInd w:val="0"/>
                    <w:snapToGrid w:val="0"/>
                    <w:spacing w:before="24" w:beforeLines="10" w:after="24" w:afterLines="10" w:line="240" w:lineRule="auto"/>
                    <w:jc w:val="center"/>
                    <w:rPr>
                      <w:color w:val="auto"/>
                      <w:kern w:val="0"/>
                      <w:sz w:val="21"/>
                      <w:szCs w:val="20"/>
                    </w:rPr>
                  </w:pPr>
                </w:p>
              </w:tc>
              <w:tc>
                <w:tcPr>
                  <w:tcW w:w="1755" w:type="dxa"/>
                  <w:tcBorders>
                    <w:bottom w:val="single" w:color="auto" w:sz="12" w:space="0"/>
                  </w:tcBorders>
                  <w:vAlign w:val="center"/>
                </w:tcPr>
                <w:p w14:paraId="08FDA3F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设备维修</w:t>
                  </w:r>
                </w:p>
              </w:tc>
              <w:tc>
                <w:tcPr>
                  <w:tcW w:w="2125" w:type="dxa"/>
                  <w:tcBorders>
                    <w:bottom w:val="single" w:color="auto" w:sz="12" w:space="0"/>
                  </w:tcBorders>
                  <w:vAlign w:val="center"/>
                </w:tcPr>
                <w:p w14:paraId="0587BB8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废机油</w:t>
                  </w:r>
                </w:p>
              </w:tc>
              <w:tc>
                <w:tcPr>
                  <w:tcW w:w="2938" w:type="dxa"/>
                  <w:vMerge w:val="continue"/>
                  <w:tcBorders>
                    <w:bottom w:val="single" w:color="auto" w:sz="12" w:space="0"/>
                    <w:right w:val="nil"/>
                  </w:tcBorders>
                  <w:vAlign w:val="center"/>
                </w:tcPr>
                <w:p w14:paraId="4333105A">
                  <w:pPr>
                    <w:adjustRightInd w:val="0"/>
                    <w:snapToGrid w:val="0"/>
                    <w:spacing w:before="24" w:beforeLines="10" w:after="24" w:afterLines="10" w:line="240" w:lineRule="auto"/>
                    <w:jc w:val="center"/>
                    <w:rPr>
                      <w:color w:val="auto"/>
                      <w:kern w:val="0"/>
                      <w:sz w:val="21"/>
                      <w:szCs w:val="20"/>
                    </w:rPr>
                  </w:pPr>
                </w:p>
              </w:tc>
            </w:tr>
          </w:tbl>
          <w:p w14:paraId="40198191">
            <w:pPr>
              <w:pStyle w:val="5"/>
              <w:ind w:firstLine="480"/>
              <w:rPr>
                <w:color w:val="auto"/>
              </w:rPr>
            </w:pPr>
          </w:p>
        </w:tc>
      </w:tr>
      <w:tr w14:paraId="22B47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7E1FBB50">
            <w:pPr>
              <w:adjustRightInd w:val="0"/>
              <w:snapToGrid w:val="0"/>
              <w:jc w:val="center"/>
              <w:rPr>
                <w:rFonts w:cs="宋体"/>
                <w:color w:val="auto"/>
                <w:sz w:val="21"/>
                <w:szCs w:val="21"/>
              </w:rPr>
            </w:pPr>
            <w:r>
              <w:rPr>
                <w:rFonts w:hint="eastAsia" w:cs="宋体"/>
                <w:bCs/>
                <w:color w:val="auto"/>
              </w:rPr>
              <w:t>与项目有关的原有环境污染问题</w:t>
            </w:r>
          </w:p>
        </w:tc>
        <w:tc>
          <w:tcPr>
            <w:tcW w:w="8161" w:type="dxa"/>
          </w:tcPr>
          <w:p w14:paraId="2261F303">
            <w:pPr>
              <w:pStyle w:val="5"/>
              <w:spacing w:before="960" w:beforeLines="400"/>
              <w:ind w:firstLine="480"/>
              <w:rPr>
                <w:color w:val="auto"/>
              </w:rPr>
            </w:pPr>
            <w:r>
              <w:rPr>
                <w:rFonts w:hint="eastAsia"/>
                <w:color w:val="auto"/>
              </w:rPr>
              <w:t>本项目为新建项目，不存在现有项目的原有环境污染问题。</w:t>
            </w:r>
          </w:p>
        </w:tc>
      </w:tr>
    </w:tbl>
    <w:p w14:paraId="7FA55C4B">
      <w:pPr>
        <w:adjustRightInd w:val="0"/>
        <w:snapToGrid w:val="0"/>
        <w:spacing w:line="15" w:lineRule="auto"/>
        <w:jc w:val="center"/>
        <w:rPr>
          <w:rFonts w:hint="eastAsia" w:ascii="黑体" w:hAnsi="黑体" w:eastAsia="黑体"/>
          <w:snapToGrid w:val="0"/>
          <w:color w:val="auto"/>
          <w:sz w:val="30"/>
          <w:szCs w:val="30"/>
        </w:rPr>
      </w:pPr>
    </w:p>
    <w:p w14:paraId="05D29512">
      <w:pPr>
        <w:pStyle w:val="6"/>
        <w:rPr>
          <w:color w:val="auto"/>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AAD95B3">
      <w:pPr>
        <w:pStyle w:val="2"/>
        <w:spacing w:before="0" w:after="0" w:line="360" w:lineRule="auto"/>
        <w:ind w:left="0" w:firstLine="0"/>
        <w:jc w:val="center"/>
        <w:rPr>
          <w:b w:val="0"/>
          <w:bCs w:val="0"/>
          <w:color w:val="auto"/>
        </w:rPr>
      </w:pPr>
      <w:r>
        <w:rPr>
          <w:rFonts w:hint="eastAsia"/>
          <w:b w:val="0"/>
          <w:bCs w:val="0"/>
          <w:color w:val="auto"/>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4B76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800" w:type="dxa"/>
            <w:vAlign w:val="center"/>
          </w:tcPr>
          <w:p w14:paraId="7054DCC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区域环境质量现状</w:t>
            </w:r>
          </w:p>
        </w:tc>
        <w:tc>
          <w:tcPr>
            <w:tcW w:w="8190" w:type="dxa"/>
            <w:vAlign w:val="center"/>
          </w:tcPr>
          <w:p w14:paraId="02A695BD">
            <w:pPr>
              <w:pStyle w:val="3"/>
              <w:spacing w:before="0" w:after="0"/>
              <w:rPr>
                <w:color w:val="auto"/>
              </w:rPr>
            </w:pPr>
            <w:r>
              <w:rPr>
                <w:rFonts w:hint="eastAsia"/>
                <w:color w:val="auto"/>
              </w:rPr>
              <w:t>3.1大气环境质量现状</w:t>
            </w:r>
          </w:p>
          <w:p w14:paraId="4BCB263D">
            <w:pPr>
              <w:pStyle w:val="4"/>
              <w:ind w:firstLine="0" w:firstLineChars="0"/>
              <w:rPr>
                <w:color w:val="auto"/>
              </w:rPr>
            </w:pPr>
            <w:r>
              <w:rPr>
                <w:rFonts w:hint="eastAsia"/>
                <w:color w:val="auto"/>
              </w:rPr>
              <w:t>3.1.1</w:t>
            </w:r>
            <w:r>
              <w:rPr>
                <w:color w:val="auto"/>
              </w:rPr>
              <w:t>环境空气质量功能区划</w:t>
            </w:r>
          </w:p>
          <w:p w14:paraId="4B86BCF1">
            <w:pPr>
              <w:widowControl/>
              <w:adjustRightInd w:val="0"/>
              <w:snapToGrid w:val="0"/>
              <w:ind w:firstLine="480"/>
              <w:rPr>
                <w:color w:val="auto"/>
              </w:rPr>
            </w:pPr>
            <w:r>
              <w:rPr>
                <w:rFonts w:hint="eastAsia"/>
                <w:color w:val="auto"/>
              </w:rPr>
              <w:t>本</w:t>
            </w:r>
            <w:r>
              <w:rPr>
                <w:color w:val="auto"/>
              </w:rPr>
              <w:t>项目位于</w:t>
            </w:r>
            <w:r>
              <w:rPr>
                <w:rFonts w:hint="eastAsia"/>
                <w:color w:val="auto"/>
              </w:rPr>
              <w:t>福州市高新区</w:t>
            </w:r>
            <w:r>
              <w:rPr>
                <w:color w:val="auto"/>
              </w:rPr>
              <w:t>，根据福州市人民政府正式批复实施的《福州市环境空气质量功能区划（报批稿）》（榕政综</w:t>
            </w:r>
            <w:r>
              <w:rPr>
                <w:color w:val="auto"/>
                <w:kern w:val="0"/>
              </w:rPr>
              <w:t>〔</w:t>
            </w:r>
            <w:r>
              <w:rPr>
                <w:color w:val="auto"/>
              </w:rPr>
              <w:t>2014</w:t>
            </w:r>
            <w:r>
              <w:rPr>
                <w:color w:val="auto"/>
                <w:kern w:val="0"/>
              </w:rPr>
              <w:t>〕</w:t>
            </w:r>
            <w:r>
              <w:rPr>
                <w:color w:val="auto"/>
              </w:rPr>
              <w:t>30号）的规定，项目所在区域环境空气功能区划为二类区，环境空气执行《环境空气质量标准》（GB3095-2012）及修改单中的二级标准，非甲烷总烃参照执行《大气污染物综合排放标准详解》（GB16297-1996）中规定</w:t>
            </w:r>
            <w:r>
              <w:rPr>
                <w:rFonts w:ascii="宋体" w:hAnsi="宋体" w:cs="宋体"/>
                <w:color w:val="auto"/>
              </w:rPr>
              <w:t>的标准限值</w:t>
            </w:r>
            <w:r>
              <w:rPr>
                <w:rFonts w:hint="eastAsia" w:ascii="宋体" w:hAnsi="宋体" w:cs="宋体"/>
                <w:color w:val="auto"/>
              </w:rPr>
              <w:t>，</w:t>
            </w:r>
            <w:r>
              <w:rPr>
                <w:color w:val="auto"/>
                <w:spacing w:val="-8"/>
              </w:rPr>
              <w:t>二甲苯参照执</w:t>
            </w:r>
            <w:r>
              <w:rPr>
                <w:color w:val="auto"/>
                <w:spacing w:val="-3"/>
              </w:rPr>
              <w:t>行《环境影响评价技术导则 大气环境》</w:t>
            </w:r>
            <w:r>
              <w:rPr>
                <w:rFonts w:hint="eastAsia"/>
                <w:color w:val="auto"/>
                <w:spacing w:val="-3"/>
              </w:rPr>
              <w:t>（</w:t>
            </w:r>
            <w:r>
              <w:rPr>
                <w:rFonts w:eastAsia="Times New Roman"/>
                <w:color w:val="auto"/>
              </w:rPr>
              <w:t>HJ2.2-2018</w:t>
            </w:r>
            <w:r>
              <w:rPr>
                <w:rFonts w:hint="eastAsia"/>
                <w:color w:val="auto"/>
              </w:rPr>
              <w:t>）</w:t>
            </w:r>
            <w:r>
              <w:rPr>
                <w:color w:val="auto"/>
                <w:spacing w:val="-10"/>
              </w:rPr>
              <w:t>附录</w:t>
            </w:r>
            <w:r>
              <w:rPr>
                <w:rFonts w:eastAsia="Times New Roman"/>
                <w:color w:val="auto"/>
              </w:rPr>
              <w:t>D</w:t>
            </w:r>
            <w:r>
              <w:rPr>
                <w:color w:val="auto"/>
                <w:spacing w:val="-10"/>
              </w:rPr>
              <w:t>中表</w:t>
            </w:r>
            <w:r>
              <w:rPr>
                <w:rFonts w:eastAsia="Times New Roman"/>
                <w:color w:val="auto"/>
              </w:rPr>
              <w:t>D.1</w:t>
            </w:r>
            <w:r>
              <w:rPr>
                <w:color w:val="auto"/>
              </w:rPr>
              <w:t>中标准</w:t>
            </w:r>
            <w:r>
              <w:rPr>
                <w:color w:val="auto"/>
                <w:spacing w:val="-6"/>
              </w:rPr>
              <w:t>限值</w:t>
            </w:r>
            <w:r>
              <w:rPr>
                <w:rFonts w:hint="eastAsia"/>
                <w:color w:val="auto"/>
                <w:spacing w:val="-6"/>
              </w:rPr>
              <w:t>，乙酸乙酯、乙酸丁酯</w:t>
            </w:r>
            <w:r>
              <w:rPr>
                <w:color w:val="auto"/>
                <w:spacing w:val="-8"/>
              </w:rPr>
              <w:t>参照执</w:t>
            </w:r>
            <w:r>
              <w:rPr>
                <w:color w:val="auto"/>
                <w:spacing w:val="-3"/>
              </w:rPr>
              <w:t>行</w:t>
            </w:r>
            <w:r>
              <w:rPr>
                <w:rFonts w:hint="eastAsia"/>
                <w:color w:val="auto"/>
                <w:spacing w:val="-6"/>
              </w:rPr>
              <w:t>《苏联居民区大气中有害物质的最大允许浓度》（CH245-71）</w:t>
            </w:r>
            <w:r>
              <w:rPr>
                <w:color w:val="auto"/>
              </w:rPr>
              <w:t>具体限值</w:t>
            </w:r>
            <w:r>
              <w:rPr>
                <w:rFonts w:hint="eastAsia"/>
                <w:color w:val="auto"/>
              </w:rPr>
              <w:t>，</w:t>
            </w:r>
            <w:r>
              <w:rPr>
                <w:color w:val="auto"/>
              </w:rPr>
              <w:t>详见表3</w:t>
            </w:r>
            <w:r>
              <w:rPr>
                <w:rFonts w:hint="eastAsia"/>
                <w:color w:val="auto"/>
              </w:rPr>
              <w:t>.1</w:t>
            </w:r>
            <w:r>
              <w:rPr>
                <w:color w:val="auto"/>
              </w:rPr>
              <w:t>-</w:t>
            </w:r>
            <w:r>
              <w:rPr>
                <w:rFonts w:hint="eastAsia"/>
                <w:color w:val="auto"/>
              </w:rPr>
              <w:t>1</w:t>
            </w:r>
            <w:r>
              <w:rPr>
                <w:color w:val="auto"/>
              </w:rPr>
              <w:t>。</w:t>
            </w:r>
          </w:p>
          <w:p w14:paraId="0B0B3EAC">
            <w:pPr>
              <w:pStyle w:val="46"/>
              <w:spacing w:line="240" w:lineRule="auto"/>
              <w:rPr>
                <w:color w:val="auto"/>
              </w:rPr>
            </w:pPr>
            <w:bookmarkStart w:id="2" w:name="_Ref104720251"/>
            <w:r>
              <w:rPr>
                <w:color w:val="auto"/>
              </w:rPr>
              <w:t>表3</w:t>
            </w:r>
            <w:r>
              <w:rPr>
                <w:rFonts w:hint="eastAsia"/>
                <w:color w:val="auto"/>
              </w:rPr>
              <w:t>.1</w:t>
            </w:r>
            <w:r>
              <w:rPr>
                <w:color w:val="auto"/>
              </w:rPr>
              <w:t>-</w:t>
            </w:r>
            <w:r>
              <w:rPr>
                <w:rFonts w:hint="eastAsia"/>
                <w:color w:val="auto"/>
              </w:rPr>
              <w:t>1</w:t>
            </w:r>
            <w:r>
              <w:rPr>
                <w:color w:val="auto"/>
              </w:rPr>
              <w:t xml:space="preserve">  环境空气质量标准（GB3095-2012）</w:t>
            </w:r>
          </w:p>
          <w:tbl>
            <w:tblPr>
              <w:tblStyle w:val="31"/>
              <w:tblW w:w="79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912"/>
              <w:gridCol w:w="1788"/>
              <w:gridCol w:w="2836"/>
            </w:tblGrid>
            <w:tr w14:paraId="3D14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top w:val="single" w:color="auto" w:sz="12" w:space="0"/>
                    <w:left w:val="nil"/>
                  </w:tcBorders>
                </w:tcPr>
                <w:p w14:paraId="49700D26">
                  <w:pPr>
                    <w:spacing w:line="288" w:lineRule="auto"/>
                    <w:jc w:val="center"/>
                    <w:rPr>
                      <w:color w:val="auto"/>
                      <w:sz w:val="21"/>
                      <w:szCs w:val="21"/>
                    </w:rPr>
                  </w:pPr>
                  <w:r>
                    <w:rPr>
                      <w:color w:val="auto"/>
                      <w:sz w:val="21"/>
                      <w:szCs w:val="21"/>
                    </w:rPr>
                    <w:t>污染物</w:t>
                  </w:r>
                </w:p>
              </w:tc>
              <w:tc>
                <w:tcPr>
                  <w:tcW w:w="1912" w:type="dxa"/>
                  <w:tcBorders>
                    <w:top w:val="single" w:color="auto" w:sz="12" w:space="0"/>
                  </w:tcBorders>
                </w:tcPr>
                <w:p w14:paraId="6AB53B47">
                  <w:pPr>
                    <w:spacing w:line="288" w:lineRule="auto"/>
                    <w:jc w:val="center"/>
                    <w:rPr>
                      <w:color w:val="auto"/>
                      <w:sz w:val="21"/>
                      <w:szCs w:val="21"/>
                    </w:rPr>
                  </w:pPr>
                  <w:r>
                    <w:rPr>
                      <w:color w:val="auto"/>
                      <w:sz w:val="21"/>
                      <w:szCs w:val="21"/>
                    </w:rPr>
                    <w:t>平均时间</w:t>
                  </w:r>
                </w:p>
              </w:tc>
              <w:tc>
                <w:tcPr>
                  <w:tcW w:w="1788" w:type="dxa"/>
                  <w:tcBorders>
                    <w:top w:val="single" w:color="auto" w:sz="12" w:space="0"/>
                  </w:tcBorders>
                </w:tcPr>
                <w:p w14:paraId="45AFEFC7">
                  <w:pPr>
                    <w:spacing w:line="288" w:lineRule="auto"/>
                    <w:jc w:val="center"/>
                    <w:rPr>
                      <w:color w:val="auto"/>
                      <w:sz w:val="21"/>
                      <w:szCs w:val="21"/>
                    </w:rPr>
                  </w:pPr>
                  <w:r>
                    <w:rPr>
                      <w:color w:val="auto"/>
                      <w:sz w:val="21"/>
                      <w:szCs w:val="21"/>
                    </w:rPr>
                    <w:t>标准值</w:t>
                  </w:r>
                  <w:r>
                    <w:rPr>
                      <w:rFonts w:hint="eastAsia"/>
                      <w:color w:val="auto"/>
                      <w:sz w:val="21"/>
                      <w:szCs w:val="21"/>
                    </w:rPr>
                    <w:t>（</w:t>
                  </w:r>
                  <w:r>
                    <w:rPr>
                      <w:color w:val="auto"/>
                      <w:sz w:val="21"/>
                      <w:szCs w:val="21"/>
                    </w:rPr>
                    <w:t>mg/m</w:t>
                  </w:r>
                  <w:r>
                    <w:rPr>
                      <w:color w:val="auto"/>
                      <w:sz w:val="21"/>
                      <w:szCs w:val="21"/>
                      <w:vertAlign w:val="superscript"/>
                    </w:rPr>
                    <w:t>3</w:t>
                  </w:r>
                  <w:r>
                    <w:rPr>
                      <w:rFonts w:hint="eastAsia"/>
                      <w:color w:val="auto"/>
                      <w:sz w:val="21"/>
                      <w:szCs w:val="21"/>
                    </w:rPr>
                    <w:t>）</w:t>
                  </w:r>
                </w:p>
              </w:tc>
              <w:tc>
                <w:tcPr>
                  <w:tcW w:w="2836" w:type="dxa"/>
                  <w:tcBorders>
                    <w:top w:val="single" w:color="auto" w:sz="12" w:space="0"/>
                    <w:right w:val="nil"/>
                  </w:tcBorders>
                </w:tcPr>
                <w:p w14:paraId="098E8F18">
                  <w:pPr>
                    <w:spacing w:line="288" w:lineRule="auto"/>
                    <w:jc w:val="center"/>
                    <w:rPr>
                      <w:color w:val="auto"/>
                      <w:sz w:val="21"/>
                      <w:szCs w:val="21"/>
                    </w:rPr>
                  </w:pPr>
                  <w:r>
                    <w:rPr>
                      <w:rFonts w:hint="eastAsia"/>
                      <w:color w:val="auto"/>
                      <w:sz w:val="21"/>
                      <w:szCs w:val="21"/>
                    </w:rPr>
                    <w:t>标准来源</w:t>
                  </w:r>
                </w:p>
              </w:tc>
            </w:tr>
            <w:tr w14:paraId="6EF6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4F869348">
                  <w:pPr>
                    <w:spacing w:before="360" w:beforeLines="150" w:line="288" w:lineRule="auto"/>
                    <w:jc w:val="center"/>
                    <w:rPr>
                      <w:color w:val="auto"/>
                      <w:sz w:val="21"/>
                      <w:szCs w:val="21"/>
                    </w:rPr>
                  </w:pPr>
                  <w:r>
                    <w:rPr>
                      <w:color w:val="auto"/>
                      <w:sz w:val="21"/>
                      <w:szCs w:val="21"/>
                    </w:rPr>
                    <w:t>SO</w:t>
                  </w:r>
                  <w:r>
                    <w:rPr>
                      <w:color w:val="auto"/>
                      <w:sz w:val="21"/>
                      <w:szCs w:val="21"/>
                      <w:vertAlign w:val="subscript"/>
                    </w:rPr>
                    <w:t>2</w:t>
                  </w:r>
                </w:p>
              </w:tc>
              <w:tc>
                <w:tcPr>
                  <w:tcW w:w="1912" w:type="dxa"/>
                </w:tcPr>
                <w:p w14:paraId="78CD0273">
                  <w:pPr>
                    <w:spacing w:line="288" w:lineRule="auto"/>
                    <w:jc w:val="center"/>
                    <w:rPr>
                      <w:color w:val="auto"/>
                      <w:sz w:val="21"/>
                      <w:szCs w:val="21"/>
                    </w:rPr>
                  </w:pPr>
                  <w:r>
                    <w:rPr>
                      <w:color w:val="auto"/>
                      <w:sz w:val="21"/>
                      <w:szCs w:val="21"/>
                    </w:rPr>
                    <w:t>年平均</w:t>
                  </w:r>
                </w:p>
              </w:tc>
              <w:tc>
                <w:tcPr>
                  <w:tcW w:w="1788" w:type="dxa"/>
                </w:tcPr>
                <w:p w14:paraId="6BE3F90D">
                  <w:pPr>
                    <w:spacing w:line="288" w:lineRule="auto"/>
                    <w:jc w:val="center"/>
                    <w:rPr>
                      <w:color w:val="auto"/>
                      <w:sz w:val="21"/>
                      <w:szCs w:val="21"/>
                    </w:rPr>
                  </w:pPr>
                  <w:r>
                    <w:rPr>
                      <w:color w:val="auto"/>
                      <w:sz w:val="21"/>
                      <w:szCs w:val="21"/>
                    </w:rPr>
                    <w:t>0.06</w:t>
                  </w:r>
                </w:p>
              </w:tc>
              <w:tc>
                <w:tcPr>
                  <w:tcW w:w="2836" w:type="dxa"/>
                  <w:vMerge w:val="restart"/>
                  <w:tcBorders>
                    <w:right w:val="nil"/>
                  </w:tcBorders>
                </w:tcPr>
                <w:p w14:paraId="23D64A8E">
                  <w:pPr>
                    <w:spacing w:before="2400" w:beforeLines="1000" w:line="288" w:lineRule="auto"/>
                    <w:jc w:val="center"/>
                    <w:rPr>
                      <w:color w:val="auto"/>
                      <w:sz w:val="21"/>
                      <w:szCs w:val="21"/>
                    </w:rPr>
                  </w:pPr>
                  <w:r>
                    <w:rPr>
                      <w:color w:val="auto"/>
                      <w:sz w:val="21"/>
                      <w:szCs w:val="21"/>
                    </w:rPr>
                    <w:t>《环境空气质量标准》（GB3095-2012）及修改单中的二级标准</w:t>
                  </w:r>
                </w:p>
              </w:tc>
            </w:tr>
            <w:tr w14:paraId="118D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12E9D9B1">
                  <w:pPr>
                    <w:spacing w:line="288" w:lineRule="auto"/>
                    <w:jc w:val="center"/>
                    <w:rPr>
                      <w:color w:val="auto"/>
                      <w:sz w:val="21"/>
                      <w:szCs w:val="21"/>
                    </w:rPr>
                  </w:pPr>
                </w:p>
              </w:tc>
              <w:tc>
                <w:tcPr>
                  <w:tcW w:w="1912" w:type="dxa"/>
                </w:tcPr>
                <w:p w14:paraId="305105C9">
                  <w:pPr>
                    <w:spacing w:line="288" w:lineRule="auto"/>
                    <w:jc w:val="center"/>
                    <w:rPr>
                      <w:color w:val="auto"/>
                      <w:sz w:val="21"/>
                      <w:szCs w:val="21"/>
                    </w:rPr>
                  </w:pPr>
                  <w:r>
                    <w:rPr>
                      <w:color w:val="auto"/>
                      <w:sz w:val="21"/>
                      <w:szCs w:val="21"/>
                    </w:rPr>
                    <w:t>24小时平均</w:t>
                  </w:r>
                </w:p>
              </w:tc>
              <w:tc>
                <w:tcPr>
                  <w:tcW w:w="1788" w:type="dxa"/>
                </w:tcPr>
                <w:p w14:paraId="2F57C97C">
                  <w:pPr>
                    <w:spacing w:line="288" w:lineRule="auto"/>
                    <w:jc w:val="center"/>
                    <w:rPr>
                      <w:color w:val="auto"/>
                      <w:sz w:val="21"/>
                      <w:szCs w:val="21"/>
                    </w:rPr>
                  </w:pPr>
                  <w:r>
                    <w:rPr>
                      <w:color w:val="auto"/>
                      <w:sz w:val="21"/>
                      <w:szCs w:val="21"/>
                    </w:rPr>
                    <w:t>0.15</w:t>
                  </w:r>
                </w:p>
              </w:tc>
              <w:tc>
                <w:tcPr>
                  <w:tcW w:w="2836" w:type="dxa"/>
                  <w:vMerge w:val="continue"/>
                  <w:tcBorders>
                    <w:right w:val="nil"/>
                  </w:tcBorders>
                </w:tcPr>
                <w:p w14:paraId="55D96F3D">
                  <w:pPr>
                    <w:jc w:val="center"/>
                    <w:rPr>
                      <w:color w:val="auto"/>
                      <w:sz w:val="21"/>
                      <w:szCs w:val="21"/>
                    </w:rPr>
                  </w:pPr>
                </w:p>
              </w:tc>
            </w:tr>
            <w:tr w14:paraId="62AD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786E7BE1">
                  <w:pPr>
                    <w:spacing w:line="288" w:lineRule="auto"/>
                    <w:jc w:val="center"/>
                    <w:rPr>
                      <w:color w:val="auto"/>
                      <w:sz w:val="21"/>
                      <w:szCs w:val="21"/>
                    </w:rPr>
                  </w:pPr>
                </w:p>
              </w:tc>
              <w:tc>
                <w:tcPr>
                  <w:tcW w:w="1912" w:type="dxa"/>
                </w:tcPr>
                <w:p w14:paraId="41936A76">
                  <w:pPr>
                    <w:spacing w:line="288" w:lineRule="auto"/>
                    <w:jc w:val="center"/>
                    <w:rPr>
                      <w:color w:val="auto"/>
                      <w:sz w:val="21"/>
                      <w:szCs w:val="21"/>
                    </w:rPr>
                  </w:pPr>
                  <w:r>
                    <w:rPr>
                      <w:color w:val="auto"/>
                      <w:sz w:val="21"/>
                      <w:szCs w:val="21"/>
                    </w:rPr>
                    <w:t>1小时平均</w:t>
                  </w:r>
                </w:p>
              </w:tc>
              <w:tc>
                <w:tcPr>
                  <w:tcW w:w="1788" w:type="dxa"/>
                </w:tcPr>
                <w:p w14:paraId="4F68174B">
                  <w:pPr>
                    <w:spacing w:line="288" w:lineRule="auto"/>
                    <w:jc w:val="center"/>
                    <w:rPr>
                      <w:color w:val="auto"/>
                      <w:sz w:val="21"/>
                      <w:szCs w:val="21"/>
                    </w:rPr>
                  </w:pPr>
                  <w:r>
                    <w:rPr>
                      <w:color w:val="auto"/>
                      <w:sz w:val="21"/>
                      <w:szCs w:val="21"/>
                    </w:rPr>
                    <w:t>0.5</w:t>
                  </w:r>
                </w:p>
              </w:tc>
              <w:tc>
                <w:tcPr>
                  <w:tcW w:w="2836" w:type="dxa"/>
                  <w:vMerge w:val="continue"/>
                  <w:tcBorders>
                    <w:right w:val="nil"/>
                  </w:tcBorders>
                </w:tcPr>
                <w:p w14:paraId="67527DB2">
                  <w:pPr>
                    <w:jc w:val="center"/>
                    <w:rPr>
                      <w:color w:val="auto"/>
                      <w:sz w:val="21"/>
                      <w:szCs w:val="21"/>
                    </w:rPr>
                  </w:pPr>
                </w:p>
              </w:tc>
            </w:tr>
            <w:tr w14:paraId="1290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24D67B34">
                  <w:pPr>
                    <w:spacing w:before="360" w:beforeLines="150" w:line="288" w:lineRule="auto"/>
                    <w:jc w:val="center"/>
                    <w:rPr>
                      <w:color w:val="auto"/>
                      <w:sz w:val="21"/>
                      <w:szCs w:val="21"/>
                    </w:rPr>
                  </w:pPr>
                  <w:r>
                    <w:rPr>
                      <w:color w:val="auto"/>
                      <w:sz w:val="21"/>
                      <w:szCs w:val="21"/>
                    </w:rPr>
                    <w:t>NO</w:t>
                  </w:r>
                  <w:r>
                    <w:rPr>
                      <w:color w:val="auto"/>
                      <w:sz w:val="21"/>
                      <w:szCs w:val="21"/>
                      <w:vertAlign w:val="subscript"/>
                    </w:rPr>
                    <w:t>2</w:t>
                  </w:r>
                </w:p>
              </w:tc>
              <w:tc>
                <w:tcPr>
                  <w:tcW w:w="1912" w:type="dxa"/>
                </w:tcPr>
                <w:p w14:paraId="53413575">
                  <w:pPr>
                    <w:spacing w:line="288" w:lineRule="auto"/>
                    <w:jc w:val="center"/>
                    <w:rPr>
                      <w:color w:val="auto"/>
                      <w:sz w:val="21"/>
                      <w:szCs w:val="21"/>
                    </w:rPr>
                  </w:pPr>
                  <w:r>
                    <w:rPr>
                      <w:color w:val="auto"/>
                      <w:sz w:val="21"/>
                      <w:szCs w:val="21"/>
                    </w:rPr>
                    <w:t>年平均</w:t>
                  </w:r>
                </w:p>
              </w:tc>
              <w:tc>
                <w:tcPr>
                  <w:tcW w:w="1788" w:type="dxa"/>
                </w:tcPr>
                <w:p w14:paraId="07ACB2DB">
                  <w:pPr>
                    <w:spacing w:line="288" w:lineRule="auto"/>
                    <w:jc w:val="center"/>
                    <w:rPr>
                      <w:color w:val="auto"/>
                      <w:sz w:val="21"/>
                      <w:szCs w:val="21"/>
                    </w:rPr>
                  </w:pPr>
                  <w:r>
                    <w:rPr>
                      <w:color w:val="auto"/>
                      <w:sz w:val="21"/>
                      <w:szCs w:val="21"/>
                    </w:rPr>
                    <w:t>0.04</w:t>
                  </w:r>
                </w:p>
              </w:tc>
              <w:tc>
                <w:tcPr>
                  <w:tcW w:w="2836" w:type="dxa"/>
                  <w:vMerge w:val="continue"/>
                  <w:tcBorders>
                    <w:right w:val="nil"/>
                  </w:tcBorders>
                </w:tcPr>
                <w:p w14:paraId="07563DE0">
                  <w:pPr>
                    <w:jc w:val="center"/>
                    <w:rPr>
                      <w:color w:val="auto"/>
                      <w:sz w:val="21"/>
                      <w:szCs w:val="21"/>
                    </w:rPr>
                  </w:pPr>
                </w:p>
              </w:tc>
            </w:tr>
            <w:tr w14:paraId="372E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4866064B">
                  <w:pPr>
                    <w:spacing w:line="288" w:lineRule="auto"/>
                    <w:jc w:val="center"/>
                    <w:rPr>
                      <w:color w:val="auto"/>
                      <w:sz w:val="21"/>
                      <w:szCs w:val="21"/>
                    </w:rPr>
                  </w:pPr>
                </w:p>
              </w:tc>
              <w:tc>
                <w:tcPr>
                  <w:tcW w:w="1912" w:type="dxa"/>
                </w:tcPr>
                <w:p w14:paraId="0D0C36ED">
                  <w:pPr>
                    <w:spacing w:line="288" w:lineRule="auto"/>
                    <w:jc w:val="center"/>
                    <w:rPr>
                      <w:color w:val="auto"/>
                      <w:sz w:val="21"/>
                      <w:szCs w:val="21"/>
                    </w:rPr>
                  </w:pPr>
                  <w:r>
                    <w:rPr>
                      <w:color w:val="auto"/>
                      <w:sz w:val="21"/>
                      <w:szCs w:val="21"/>
                    </w:rPr>
                    <w:t>24小时平均</w:t>
                  </w:r>
                </w:p>
              </w:tc>
              <w:tc>
                <w:tcPr>
                  <w:tcW w:w="1788" w:type="dxa"/>
                </w:tcPr>
                <w:p w14:paraId="28A3E71C">
                  <w:pPr>
                    <w:spacing w:line="288" w:lineRule="auto"/>
                    <w:jc w:val="center"/>
                    <w:rPr>
                      <w:color w:val="auto"/>
                      <w:sz w:val="21"/>
                      <w:szCs w:val="21"/>
                    </w:rPr>
                  </w:pPr>
                  <w:r>
                    <w:rPr>
                      <w:color w:val="auto"/>
                      <w:sz w:val="21"/>
                      <w:szCs w:val="21"/>
                    </w:rPr>
                    <w:t>0.08</w:t>
                  </w:r>
                </w:p>
              </w:tc>
              <w:tc>
                <w:tcPr>
                  <w:tcW w:w="2836" w:type="dxa"/>
                  <w:vMerge w:val="continue"/>
                  <w:tcBorders>
                    <w:right w:val="nil"/>
                  </w:tcBorders>
                </w:tcPr>
                <w:p w14:paraId="32E5DBD0">
                  <w:pPr>
                    <w:jc w:val="center"/>
                    <w:rPr>
                      <w:color w:val="auto"/>
                      <w:sz w:val="21"/>
                      <w:szCs w:val="21"/>
                    </w:rPr>
                  </w:pPr>
                </w:p>
              </w:tc>
            </w:tr>
            <w:tr w14:paraId="2F1D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10258EEC">
                  <w:pPr>
                    <w:spacing w:line="288" w:lineRule="auto"/>
                    <w:jc w:val="center"/>
                    <w:rPr>
                      <w:color w:val="auto"/>
                      <w:sz w:val="21"/>
                      <w:szCs w:val="21"/>
                    </w:rPr>
                  </w:pPr>
                </w:p>
              </w:tc>
              <w:tc>
                <w:tcPr>
                  <w:tcW w:w="1912" w:type="dxa"/>
                </w:tcPr>
                <w:p w14:paraId="0BE8AD0F">
                  <w:pPr>
                    <w:spacing w:line="288" w:lineRule="auto"/>
                    <w:jc w:val="center"/>
                    <w:rPr>
                      <w:color w:val="auto"/>
                      <w:sz w:val="21"/>
                      <w:szCs w:val="21"/>
                    </w:rPr>
                  </w:pPr>
                  <w:r>
                    <w:rPr>
                      <w:color w:val="auto"/>
                      <w:sz w:val="21"/>
                      <w:szCs w:val="21"/>
                    </w:rPr>
                    <w:t>1小时平均</w:t>
                  </w:r>
                </w:p>
              </w:tc>
              <w:tc>
                <w:tcPr>
                  <w:tcW w:w="1788" w:type="dxa"/>
                </w:tcPr>
                <w:p w14:paraId="7843CA33">
                  <w:pPr>
                    <w:spacing w:line="288" w:lineRule="auto"/>
                    <w:jc w:val="center"/>
                    <w:rPr>
                      <w:color w:val="auto"/>
                      <w:sz w:val="21"/>
                      <w:szCs w:val="21"/>
                    </w:rPr>
                  </w:pPr>
                  <w:r>
                    <w:rPr>
                      <w:color w:val="auto"/>
                      <w:sz w:val="21"/>
                      <w:szCs w:val="21"/>
                    </w:rPr>
                    <w:t>0.2</w:t>
                  </w:r>
                </w:p>
              </w:tc>
              <w:tc>
                <w:tcPr>
                  <w:tcW w:w="2836" w:type="dxa"/>
                  <w:vMerge w:val="continue"/>
                  <w:tcBorders>
                    <w:right w:val="nil"/>
                  </w:tcBorders>
                </w:tcPr>
                <w:p w14:paraId="5BB0F7BE">
                  <w:pPr>
                    <w:jc w:val="center"/>
                    <w:rPr>
                      <w:color w:val="auto"/>
                      <w:sz w:val="21"/>
                      <w:szCs w:val="21"/>
                    </w:rPr>
                  </w:pPr>
                </w:p>
              </w:tc>
            </w:tr>
            <w:tr w14:paraId="18EB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0B500A71">
                  <w:pPr>
                    <w:spacing w:before="120" w:beforeLines="50" w:line="288" w:lineRule="auto"/>
                    <w:jc w:val="center"/>
                    <w:rPr>
                      <w:color w:val="auto"/>
                      <w:sz w:val="21"/>
                      <w:szCs w:val="21"/>
                    </w:rPr>
                  </w:pPr>
                  <w:r>
                    <w:rPr>
                      <w:color w:val="auto"/>
                      <w:sz w:val="21"/>
                      <w:szCs w:val="21"/>
                    </w:rPr>
                    <w:t>CO</w:t>
                  </w:r>
                </w:p>
              </w:tc>
              <w:tc>
                <w:tcPr>
                  <w:tcW w:w="1912" w:type="dxa"/>
                </w:tcPr>
                <w:p w14:paraId="18AD3698">
                  <w:pPr>
                    <w:spacing w:line="288" w:lineRule="auto"/>
                    <w:jc w:val="center"/>
                    <w:rPr>
                      <w:color w:val="auto"/>
                      <w:sz w:val="21"/>
                      <w:szCs w:val="21"/>
                    </w:rPr>
                  </w:pPr>
                  <w:r>
                    <w:rPr>
                      <w:color w:val="auto"/>
                      <w:sz w:val="21"/>
                      <w:szCs w:val="21"/>
                    </w:rPr>
                    <w:t>24小时平均</w:t>
                  </w:r>
                </w:p>
              </w:tc>
              <w:tc>
                <w:tcPr>
                  <w:tcW w:w="1788" w:type="dxa"/>
                </w:tcPr>
                <w:p w14:paraId="481418C5">
                  <w:pPr>
                    <w:spacing w:line="288" w:lineRule="auto"/>
                    <w:jc w:val="center"/>
                    <w:rPr>
                      <w:color w:val="auto"/>
                      <w:sz w:val="21"/>
                      <w:szCs w:val="21"/>
                    </w:rPr>
                  </w:pPr>
                  <w:r>
                    <w:rPr>
                      <w:color w:val="auto"/>
                      <w:sz w:val="21"/>
                      <w:szCs w:val="21"/>
                    </w:rPr>
                    <w:t>4</w:t>
                  </w:r>
                </w:p>
              </w:tc>
              <w:tc>
                <w:tcPr>
                  <w:tcW w:w="2836" w:type="dxa"/>
                  <w:vMerge w:val="continue"/>
                  <w:tcBorders>
                    <w:right w:val="nil"/>
                  </w:tcBorders>
                </w:tcPr>
                <w:p w14:paraId="46071635">
                  <w:pPr>
                    <w:jc w:val="center"/>
                    <w:rPr>
                      <w:color w:val="auto"/>
                      <w:sz w:val="21"/>
                      <w:szCs w:val="21"/>
                    </w:rPr>
                  </w:pPr>
                </w:p>
              </w:tc>
            </w:tr>
            <w:tr w14:paraId="1D44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27DF1748">
                  <w:pPr>
                    <w:spacing w:before="120" w:beforeLines="50" w:line="288" w:lineRule="auto"/>
                    <w:jc w:val="center"/>
                    <w:rPr>
                      <w:color w:val="auto"/>
                      <w:sz w:val="21"/>
                      <w:szCs w:val="21"/>
                    </w:rPr>
                  </w:pPr>
                </w:p>
              </w:tc>
              <w:tc>
                <w:tcPr>
                  <w:tcW w:w="1912" w:type="dxa"/>
                </w:tcPr>
                <w:p w14:paraId="348CED63">
                  <w:pPr>
                    <w:spacing w:line="288" w:lineRule="auto"/>
                    <w:jc w:val="center"/>
                    <w:rPr>
                      <w:color w:val="auto"/>
                      <w:sz w:val="21"/>
                      <w:szCs w:val="21"/>
                    </w:rPr>
                  </w:pPr>
                  <w:r>
                    <w:rPr>
                      <w:color w:val="auto"/>
                      <w:sz w:val="21"/>
                      <w:szCs w:val="21"/>
                    </w:rPr>
                    <w:t>1小时平均</w:t>
                  </w:r>
                </w:p>
              </w:tc>
              <w:tc>
                <w:tcPr>
                  <w:tcW w:w="1788" w:type="dxa"/>
                </w:tcPr>
                <w:p w14:paraId="1D7BCCB4">
                  <w:pPr>
                    <w:spacing w:line="288" w:lineRule="auto"/>
                    <w:jc w:val="center"/>
                    <w:rPr>
                      <w:color w:val="auto"/>
                      <w:sz w:val="21"/>
                      <w:szCs w:val="21"/>
                    </w:rPr>
                  </w:pPr>
                  <w:r>
                    <w:rPr>
                      <w:color w:val="auto"/>
                      <w:sz w:val="21"/>
                      <w:szCs w:val="21"/>
                    </w:rPr>
                    <w:t>10</w:t>
                  </w:r>
                </w:p>
              </w:tc>
              <w:tc>
                <w:tcPr>
                  <w:tcW w:w="2836" w:type="dxa"/>
                  <w:vMerge w:val="continue"/>
                  <w:tcBorders>
                    <w:right w:val="nil"/>
                  </w:tcBorders>
                </w:tcPr>
                <w:p w14:paraId="3168D1C9">
                  <w:pPr>
                    <w:jc w:val="center"/>
                    <w:rPr>
                      <w:color w:val="auto"/>
                      <w:sz w:val="21"/>
                      <w:szCs w:val="21"/>
                    </w:rPr>
                  </w:pPr>
                </w:p>
              </w:tc>
            </w:tr>
            <w:tr w14:paraId="0A84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73C3622A">
                  <w:pPr>
                    <w:spacing w:before="120" w:beforeLines="50" w:line="288" w:lineRule="auto"/>
                    <w:jc w:val="center"/>
                    <w:rPr>
                      <w:color w:val="auto"/>
                      <w:sz w:val="21"/>
                      <w:szCs w:val="21"/>
                    </w:rPr>
                  </w:pPr>
                  <w:r>
                    <w:rPr>
                      <w:color w:val="auto"/>
                      <w:sz w:val="21"/>
                      <w:szCs w:val="21"/>
                    </w:rPr>
                    <w:t>PM</w:t>
                  </w:r>
                  <w:r>
                    <w:rPr>
                      <w:color w:val="auto"/>
                      <w:sz w:val="21"/>
                      <w:szCs w:val="21"/>
                      <w:vertAlign w:val="subscript"/>
                    </w:rPr>
                    <w:t>10</w:t>
                  </w:r>
                </w:p>
              </w:tc>
              <w:tc>
                <w:tcPr>
                  <w:tcW w:w="1912" w:type="dxa"/>
                </w:tcPr>
                <w:p w14:paraId="2999E011">
                  <w:pPr>
                    <w:spacing w:line="288" w:lineRule="auto"/>
                    <w:jc w:val="center"/>
                    <w:rPr>
                      <w:color w:val="auto"/>
                      <w:sz w:val="21"/>
                      <w:szCs w:val="21"/>
                    </w:rPr>
                  </w:pPr>
                  <w:r>
                    <w:rPr>
                      <w:color w:val="auto"/>
                      <w:sz w:val="21"/>
                      <w:szCs w:val="21"/>
                    </w:rPr>
                    <w:t>年平均</w:t>
                  </w:r>
                </w:p>
              </w:tc>
              <w:tc>
                <w:tcPr>
                  <w:tcW w:w="1788" w:type="dxa"/>
                </w:tcPr>
                <w:p w14:paraId="0F35BAEE">
                  <w:pPr>
                    <w:spacing w:line="288" w:lineRule="auto"/>
                    <w:jc w:val="center"/>
                    <w:rPr>
                      <w:color w:val="auto"/>
                      <w:sz w:val="21"/>
                      <w:szCs w:val="21"/>
                    </w:rPr>
                  </w:pPr>
                  <w:r>
                    <w:rPr>
                      <w:color w:val="auto"/>
                      <w:sz w:val="21"/>
                      <w:szCs w:val="21"/>
                    </w:rPr>
                    <w:t>0.07</w:t>
                  </w:r>
                </w:p>
              </w:tc>
              <w:tc>
                <w:tcPr>
                  <w:tcW w:w="2836" w:type="dxa"/>
                  <w:vMerge w:val="continue"/>
                  <w:tcBorders>
                    <w:right w:val="nil"/>
                  </w:tcBorders>
                </w:tcPr>
                <w:p w14:paraId="1B50EC45">
                  <w:pPr>
                    <w:jc w:val="center"/>
                    <w:rPr>
                      <w:color w:val="auto"/>
                      <w:sz w:val="21"/>
                      <w:szCs w:val="21"/>
                    </w:rPr>
                  </w:pPr>
                </w:p>
              </w:tc>
            </w:tr>
            <w:tr w14:paraId="726A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221ADBAC">
                  <w:pPr>
                    <w:spacing w:line="288" w:lineRule="auto"/>
                    <w:jc w:val="center"/>
                    <w:rPr>
                      <w:color w:val="auto"/>
                      <w:sz w:val="21"/>
                      <w:szCs w:val="21"/>
                    </w:rPr>
                  </w:pPr>
                </w:p>
              </w:tc>
              <w:tc>
                <w:tcPr>
                  <w:tcW w:w="1912" w:type="dxa"/>
                </w:tcPr>
                <w:p w14:paraId="7B6A1159">
                  <w:pPr>
                    <w:spacing w:line="288" w:lineRule="auto"/>
                    <w:jc w:val="center"/>
                    <w:rPr>
                      <w:color w:val="auto"/>
                      <w:sz w:val="21"/>
                      <w:szCs w:val="21"/>
                    </w:rPr>
                  </w:pPr>
                  <w:r>
                    <w:rPr>
                      <w:color w:val="auto"/>
                      <w:sz w:val="21"/>
                      <w:szCs w:val="21"/>
                    </w:rPr>
                    <w:t>24小时平均</w:t>
                  </w:r>
                </w:p>
              </w:tc>
              <w:tc>
                <w:tcPr>
                  <w:tcW w:w="1788" w:type="dxa"/>
                </w:tcPr>
                <w:p w14:paraId="2F28888E">
                  <w:pPr>
                    <w:spacing w:line="288" w:lineRule="auto"/>
                    <w:jc w:val="center"/>
                    <w:rPr>
                      <w:color w:val="auto"/>
                      <w:sz w:val="21"/>
                      <w:szCs w:val="21"/>
                    </w:rPr>
                  </w:pPr>
                  <w:r>
                    <w:rPr>
                      <w:color w:val="auto"/>
                      <w:sz w:val="21"/>
                      <w:szCs w:val="21"/>
                    </w:rPr>
                    <w:t>0.15</w:t>
                  </w:r>
                </w:p>
              </w:tc>
              <w:tc>
                <w:tcPr>
                  <w:tcW w:w="2836" w:type="dxa"/>
                  <w:vMerge w:val="continue"/>
                  <w:tcBorders>
                    <w:right w:val="nil"/>
                  </w:tcBorders>
                </w:tcPr>
                <w:p w14:paraId="410B87ED">
                  <w:pPr>
                    <w:jc w:val="center"/>
                    <w:rPr>
                      <w:color w:val="auto"/>
                      <w:sz w:val="21"/>
                      <w:szCs w:val="21"/>
                    </w:rPr>
                  </w:pPr>
                </w:p>
              </w:tc>
            </w:tr>
            <w:tr w14:paraId="7B30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782BA6A4">
                  <w:pPr>
                    <w:spacing w:before="120" w:beforeLines="50" w:line="288" w:lineRule="auto"/>
                    <w:jc w:val="center"/>
                    <w:rPr>
                      <w:color w:val="auto"/>
                      <w:sz w:val="21"/>
                      <w:szCs w:val="21"/>
                    </w:rPr>
                  </w:pPr>
                  <w:r>
                    <w:rPr>
                      <w:color w:val="auto"/>
                      <w:sz w:val="21"/>
                      <w:szCs w:val="21"/>
                    </w:rPr>
                    <w:t>PM</w:t>
                  </w:r>
                  <w:r>
                    <w:rPr>
                      <w:color w:val="auto"/>
                      <w:sz w:val="21"/>
                      <w:szCs w:val="21"/>
                      <w:vertAlign w:val="subscript"/>
                    </w:rPr>
                    <w:t>2.5</w:t>
                  </w:r>
                </w:p>
              </w:tc>
              <w:tc>
                <w:tcPr>
                  <w:tcW w:w="1912" w:type="dxa"/>
                </w:tcPr>
                <w:p w14:paraId="3DA4CEC0">
                  <w:pPr>
                    <w:spacing w:line="288" w:lineRule="auto"/>
                    <w:jc w:val="center"/>
                    <w:rPr>
                      <w:color w:val="auto"/>
                      <w:sz w:val="21"/>
                      <w:szCs w:val="21"/>
                    </w:rPr>
                  </w:pPr>
                  <w:r>
                    <w:rPr>
                      <w:color w:val="auto"/>
                      <w:sz w:val="21"/>
                      <w:szCs w:val="21"/>
                    </w:rPr>
                    <w:t>年平均</w:t>
                  </w:r>
                </w:p>
              </w:tc>
              <w:tc>
                <w:tcPr>
                  <w:tcW w:w="1788" w:type="dxa"/>
                </w:tcPr>
                <w:p w14:paraId="769C6840">
                  <w:pPr>
                    <w:spacing w:line="288" w:lineRule="auto"/>
                    <w:jc w:val="center"/>
                    <w:rPr>
                      <w:color w:val="auto"/>
                      <w:sz w:val="21"/>
                      <w:szCs w:val="21"/>
                    </w:rPr>
                  </w:pPr>
                  <w:r>
                    <w:rPr>
                      <w:color w:val="auto"/>
                      <w:sz w:val="21"/>
                      <w:szCs w:val="21"/>
                    </w:rPr>
                    <w:t>0.035</w:t>
                  </w:r>
                </w:p>
              </w:tc>
              <w:tc>
                <w:tcPr>
                  <w:tcW w:w="2836" w:type="dxa"/>
                  <w:vMerge w:val="continue"/>
                  <w:tcBorders>
                    <w:right w:val="nil"/>
                  </w:tcBorders>
                </w:tcPr>
                <w:p w14:paraId="69584A8C">
                  <w:pPr>
                    <w:jc w:val="center"/>
                    <w:rPr>
                      <w:color w:val="auto"/>
                      <w:sz w:val="21"/>
                      <w:szCs w:val="21"/>
                    </w:rPr>
                  </w:pPr>
                </w:p>
              </w:tc>
            </w:tr>
            <w:tr w14:paraId="2D47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177EBB76">
                  <w:pPr>
                    <w:spacing w:before="120" w:beforeLines="50" w:line="288" w:lineRule="auto"/>
                    <w:jc w:val="center"/>
                    <w:rPr>
                      <w:color w:val="auto"/>
                      <w:sz w:val="21"/>
                      <w:szCs w:val="21"/>
                    </w:rPr>
                  </w:pPr>
                </w:p>
              </w:tc>
              <w:tc>
                <w:tcPr>
                  <w:tcW w:w="1912" w:type="dxa"/>
                </w:tcPr>
                <w:p w14:paraId="73EA5071">
                  <w:pPr>
                    <w:spacing w:line="288" w:lineRule="auto"/>
                    <w:jc w:val="center"/>
                    <w:rPr>
                      <w:color w:val="auto"/>
                      <w:sz w:val="21"/>
                      <w:szCs w:val="21"/>
                    </w:rPr>
                  </w:pPr>
                  <w:r>
                    <w:rPr>
                      <w:color w:val="auto"/>
                      <w:sz w:val="21"/>
                      <w:szCs w:val="21"/>
                    </w:rPr>
                    <w:t>24小时平均</w:t>
                  </w:r>
                </w:p>
              </w:tc>
              <w:tc>
                <w:tcPr>
                  <w:tcW w:w="1788" w:type="dxa"/>
                </w:tcPr>
                <w:p w14:paraId="7F1CF030">
                  <w:pPr>
                    <w:spacing w:line="288" w:lineRule="auto"/>
                    <w:jc w:val="center"/>
                    <w:rPr>
                      <w:color w:val="auto"/>
                      <w:sz w:val="21"/>
                      <w:szCs w:val="21"/>
                    </w:rPr>
                  </w:pPr>
                  <w:r>
                    <w:rPr>
                      <w:color w:val="auto"/>
                      <w:sz w:val="21"/>
                      <w:szCs w:val="21"/>
                    </w:rPr>
                    <w:t>0.075</w:t>
                  </w:r>
                </w:p>
              </w:tc>
              <w:tc>
                <w:tcPr>
                  <w:tcW w:w="2836" w:type="dxa"/>
                  <w:vMerge w:val="continue"/>
                  <w:tcBorders>
                    <w:right w:val="nil"/>
                  </w:tcBorders>
                </w:tcPr>
                <w:p w14:paraId="14376C6F">
                  <w:pPr>
                    <w:jc w:val="center"/>
                    <w:rPr>
                      <w:color w:val="auto"/>
                      <w:sz w:val="21"/>
                      <w:szCs w:val="21"/>
                    </w:rPr>
                  </w:pPr>
                </w:p>
              </w:tc>
            </w:tr>
            <w:tr w14:paraId="12D7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2D60BAC4">
                  <w:pPr>
                    <w:spacing w:before="120" w:beforeLines="50" w:line="288" w:lineRule="auto"/>
                    <w:jc w:val="center"/>
                    <w:rPr>
                      <w:color w:val="auto"/>
                      <w:sz w:val="21"/>
                      <w:szCs w:val="21"/>
                    </w:rPr>
                  </w:pPr>
                  <w:r>
                    <w:rPr>
                      <w:color w:val="auto"/>
                      <w:sz w:val="21"/>
                      <w:szCs w:val="21"/>
                    </w:rPr>
                    <w:t>TSP</w:t>
                  </w:r>
                </w:p>
              </w:tc>
              <w:tc>
                <w:tcPr>
                  <w:tcW w:w="1912" w:type="dxa"/>
                </w:tcPr>
                <w:p w14:paraId="72E9CAE4">
                  <w:pPr>
                    <w:spacing w:line="288" w:lineRule="auto"/>
                    <w:jc w:val="center"/>
                    <w:rPr>
                      <w:color w:val="auto"/>
                      <w:sz w:val="21"/>
                      <w:szCs w:val="21"/>
                    </w:rPr>
                  </w:pPr>
                  <w:r>
                    <w:rPr>
                      <w:color w:val="auto"/>
                      <w:sz w:val="21"/>
                      <w:szCs w:val="21"/>
                    </w:rPr>
                    <w:t>年平均</w:t>
                  </w:r>
                </w:p>
              </w:tc>
              <w:tc>
                <w:tcPr>
                  <w:tcW w:w="1788" w:type="dxa"/>
                </w:tcPr>
                <w:p w14:paraId="0E1976EE">
                  <w:pPr>
                    <w:spacing w:line="288" w:lineRule="auto"/>
                    <w:jc w:val="center"/>
                    <w:rPr>
                      <w:color w:val="auto"/>
                      <w:sz w:val="21"/>
                      <w:szCs w:val="21"/>
                    </w:rPr>
                  </w:pPr>
                  <w:r>
                    <w:rPr>
                      <w:color w:val="auto"/>
                      <w:sz w:val="21"/>
                      <w:szCs w:val="21"/>
                    </w:rPr>
                    <w:t>0.2</w:t>
                  </w:r>
                </w:p>
              </w:tc>
              <w:tc>
                <w:tcPr>
                  <w:tcW w:w="2836" w:type="dxa"/>
                  <w:vMerge w:val="continue"/>
                  <w:tcBorders>
                    <w:right w:val="nil"/>
                  </w:tcBorders>
                </w:tcPr>
                <w:p w14:paraId="01F443BC">
                  <w:pPr>
                    <w:jc w:val="center"/>
                    <w:rPr>
                      <w:color w:val="auto"/>
                      <w:sz w:val="21"/>
                      <w:szCs w:val="21"/>
                    </w:rPr>
                  </w:pPr>
                </w:p>
              </w:tc>
            </w:tr>
            <w:tr w14:paraId="2602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6382D0F1">
                  <w:pPr>
                    <w:spacing w:before="120" w:beforeLines="50" w:line="288" w:lineRule="auto"/>
                    <w:jc w:val="center"/>
                    <w:rPr>
                      <w:color w:val="auto"/>
                      <w:sz w:val="21"/>
                      <w:szCs w:val="21"/>
                    </w:rPr>
                  </w:pPr>
                </w:p>
              </w:tc>
              <w:tc>
                <w:tcPr>
                  <w:tcW w:w="1912" w:type="dxa"/>
                </w:tcPr>
                <w:p w14:paraId="2C969361">
                  <w:pPr>
                    <w:spacing w:line="288" w:lineRule="auto"/>
                    <w:jc w:val="center"/>
                    <w:rPr>
                      <w:color w:val="auto"/>
                      <w:sz w:val="21"/>
                      <w:szCs w:val="21"/>
                    </w:rPr>
                  </w:pPr>
                  <w:r>
                    <w:rPr>
                      <w:color w:val="auto"/>
                      <w:sz w:val="21"/>
                      <w:szCs w:val="21"/>
                    </w:rPr>
                    <w:t>24小时平均</w:t>
                  </w:r>
                </w:p>
              </w:tc>
              <w:tc>
                <w:tcPr>
                  <w:tcW w:w="1788" w:type="dxa"/>
                </w:tcPr>
                <w:p w14:paraId="27A0C44F">
                  <w:pPr>
                    <w:spacing w:line="288" w:lineRule="auto"/>
                    <w:jc w:val="center"/>
                    <w:rPr>
                      <w:color w:val="auto"/>
                      <w:sz w:val="21"/>
                      <w:szCs w:val="21"/>
                    </w:rPr>
                  </w:pPr>
                  <w:r>
                    <w:rPr>
                      <w:color w:val="auto"/>
                      <w:sz w:val="21"/>
                      <w:szCs w:val="21"/>
                    </w:rPr>
                    <w:t>0.3</w:t>
                  </w:r>
                </w:p>
              </w:tc>
              <w:tc>
                <w:tcPr>
                  <w:tcW w:w="2836" w:type="dxa"/>
                  <w:vMerge w:val="continue"/>
                  <w:tcBorders>
                    <w:right w:val="nil"/>
                  </w:tcBorders>
                </w:tcPr>
                <w:p w14:paraId="5D97DCE5">
                  <w:pPr>
                    <w:jc w:val="center"/>
                    <w:rPr>
                      <w:color w:val="auto"/>
                      <w:sz w:val="21"/>
                      <w:szCs w:val="21"/>
                    </w:rPr>
                  </w:pPr>
                </w:p>
              </w:tc>
            </w:tr>
            <w:tr w14:paraId="62C5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tcBorders>
                    <w:left w:val="nil"/>
                  </w:tcBorders>
                </w:tcPr>
                <w:p w14:paraId="3AB8AE61">
                  <w:pPr>
                    <w:spacing w:before="120" w:beforeLines="50" w:line="288" w:lineRule="auto"/>
                    <w:jc w:val="center"/>
                    <w:rPr>
                      <w:color w:val="auto"/>
                      <w:sz w:val="21"/>
                      <w:szCs w:val="21"/>
                    </w:rPr>
                  </w:pPr>
                  <w:r>
                    <w:rPr>
                      <w:color w:val="auto"/>
                      <w:sz w:val="21"/>
                      <w:szCs w:val="21"/>
                    </w:rPr>
                    <w:t>O</w:t>
                  </w:r>
                  <w:r>
                    <w:rPr>
                      <w:color w:val="auto"/>
                      <w:sz w:val="21"/>
                      <w:szCs w:val="21"/>
                      <w:vertAlign w:val="subscript"/>
                    </w:rPr>
                    <w:t>3</w:t>
                  </w:r>
                </w:p>
              </w:tc>
              <w:tc>
                <w:tcPr>
                  <w:tcW w:w="1912" w:type="dxa"/>
                </w:tcPr>
                <w:p w14:paraId="5A068D9D">
                  <w:pPr>
                    <w:spacing w:line="288" w:lineRule="auto"/>
                    <w:jc w:val="center"/>
                    <w:rPr>
                      <w:color w:val="auto"/>
                      <w:sz w:val="21"/>
                      <w:szCs w:val="21"/>
                    </w:rPr>
                  </w:pPr>
                  <w:r>
                    <w:rPr>
                      <w:color w:val="auto"/>
                      <w:sz w:val="21"/>
                      <w:szCs w:val="21"/>
                    </w:rPr>
                    <w:t>日最大8小时平均</w:t>
                  </w:r>
                </w:p>
              </w:tc>
              <w:tc>
                <w:tcPr>
                  <w:tcW w:w="1788" w:type="dxa"/>
                </w:tcPr>
                <w:p w14:paraId="487399B9">
                  <w:pPr>
                    <w:spacing w:line="288" w:lineRule="auto"/>
                    <w:jc w:val="center"/>
                    <w:rPr>
                      <w:color w:val="auto"/>
                      <w:sz w:val="21"/>
                      <w:szCs w:val="21"/>
                    </w:rPr>
                  </w:pPr>
                  <w:r>
                    <w:rPr>
                      <w:color w:val="auto"/>
                      <w:sz w:val="21"/>
                      <w:szCs w:val="21"/>
                    </w:rPr>
                    <w:t>0.16</w:t>
                  </w:r>
                </w:p>
              </w:tc>
              <w:tc>
                <w:tcPr>
                  <w:tcW w:w="2836" w:type="dxa"/>
                  <w:vMerge w:val="continue"/>
                  <w:tcBorders>
                    <w:right w:val="nil"/>
                  </w:tcBorders>
                </w:tcPr>
                <w:p w14:paraId="15DD384F">
                  <w:pPr>
                    <w:jc w:val="center"/>
                    <w:rPr>
                      <w:color w:val="auto"/>
                      <w:sz w:val="21"/>
                      <w:szCs w:val="21"/>
                    </w:rPr>
                  </w:pPr>
                </w:p>
              </w:tc>
            </w:tr>
            <w:tr w14:paraId="31C8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left w:val="nil"/>
                  </w:tcBorders>
                </w:tcPr>
                <w:p w14:paraId="5DAD9C91">
                  <w:pPr>
                    <w:spacing w:line="288" w:lineRule="auto"/>
                    <w:jc w:val="center"/>
                    <w:rPr>
                      <w:color w:val="auto"/>
                      <w:sz w:val="21"/>
                      <w:szCs w:val="21"/>
                    </w:rPr>
                  </w:pPr>
                </w:p>
              </w:tc>
              <w:tc>
                <w:tcPr>
                  <w:tcW w:w="1912" w:type="dxa"/>
                </w:tcPr>
                <w:p w14:paraId="685C5FD5">
                  <w:pPr>
                    <w:spacing w:line="288" w:lineRule="auto"/>
                    <w:jc w:val="center"/>
                    <w:rPr>
                      <w:color w:val="auto"/>
                      <w:sz w:val="21"/>
                      <w:szCs w:val="21"/>
                    </w:rPr>
                  </w:pPr>
                  <w:r>
                    <w:rPr>
                      <w:color w:val="auto"/>
                      <w:sz w:val="21"/>
                      <w:szCs w:val="21"/>
                    </w:rPr>
                    <w:t>1小时平均</w:t>
                  </w:r>
                </w:p>
              </w:tc>
              <w:tc>
                <w:tcPr>
                  <w:tcW w:w="1788" w:type="dxa"/>
                </w:tcPr>
                <w:p w14:paraId="3AD56391">
                  <w:pPr>
                    <w:spacing w:line="288" w:lineRule="auto"/>
                    <w:jc w:val="center"/>
                    <w:rPr>
                      <w:color w:val="auto"/>
                      <w:sz w:val="21"/>
                      <w:szCs w:val="21"/>
                    </w:rPr>
                  </w:pPr>
                  <w:r>
                    <w:rPr>
                      <w:color w:val="auto"/>
                      <w:sz w:val="21"/>
                      <w:szCs w:val="21"/>
                    </w:rPr>
                    <w:t>0.2</w:t>
                  </w:r>
                </w:p>
              </w:tc>
              <w:tc>
                <w:tcPr>
                  <w:tcW w:w="2836" w:type="dxa"/>
                  <w:vMerge w:val="continue"/>
                  <w:tcBorders>
                    <w:right w:val="nil"/>
                  </w:tcBorders>
                </w:tcPr>
                <w:p w14:paraId="27598ED0">
                  <w:pPr>
                    <w:jc w:val="center"/>
                    <w:rPr>
                      <w:color w:val="auto"/>
                      <w:sz w:val="21"/>
                      <w:szCs w:val="21"/>
                    </w:rPr>
                  </w:pPr>
                </w:p>
              </w:tc>
            </w:tr>
            <w:tr w14:paraId="1811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left w:val="nil"/>
                  </w:tcBorders>
                </w:tcPr>
                <w:p w14:paraId="76B9BEB3">
                  <w:pPr>
                    <w:spacing w:before="120" w:beforeLines="50" w:line="240" w:lineRule="auto"/>
                    <w:jc w:val="center"/>
                    <w:rPr>
                      <w:color w:val="auto"/>
                      <w:sz w:val="21"/>
                      <w:szCs w:val="21"/>
                    </w:rPr>
                  </w:pPr>
                  <w:bookmarkStart w:id="3" w:name="_Toc133251543"/>
                  <w:bookmarkStart w:id="4" w:name="_Toc11923"/>
                  <w:bookmarkStart w:id="5" w:name="_Toc14387"/>
                  <w:r>
                    <w:rPr>
                      <w:rFonts w:hint="eastAsia"/>
                      <w:color w:val="auto"/>
                      <w:sz w:val="21"/>
                      <w:szCs w:val="21"/>
                    </w:rPr>
                    <w:t>非甲烷总烃</w:t>
                  </w:r>
                </w:p>
              </w:tc>
              <w:tc>
                <w:tcPr>
                  <w:tcW w:w="1912" w:type="dxa"/>
                </w:tcPr>
                <w:p w14:paraId="4ED5DE19">
                  <w:pPr>
                    <w:spacing w:before="120" w:beforeLines="50" w:line="240" w:lineRule="auto"/>
                    <w:jc w:val="center"/>
                    <w:rPr>
                      <w:color w:val="auto"/>
                      <w:sz w:val="21"/>
                      <w:szCs w:val="21"/>
                    </w:rPr>
                  </w:pPr>
                  <w:r>
                    <w:rPr>
                      <w:color w:val="auto"/>
                      <w:sz w:val="21"/>
                      <w:szCs w:val="21"/>
                    </w:rPr>
                    <w:t>1小时平均</w:t>
                  </w:r>
                  <w:r>
                    <w:rPr>
                      <w:rFonts w:hint="eastAsia"/>
                      <w:color w:val="auto"/>
                      <w:sz w:val="21"/>
                      <w:szCs w:val="21"/>
                    </w:rPr>
                    <w:t>值</w:t>
                  </w:r>
                </w:p>
              </w:tc>
              <w:tc>
                <w:tcPr>
                  <w:tcW w:w="1788" w:type="dxa"/>
                </w:tcPr>
                <w:p w14:paraId="7DB655B2">
                  <w:pPr>
                    <w:spacing w:before="120" w:beforeLines="50" w:line="240" w:lineRule="auto"/>
                    <w:jc w:val="center"/>
                    <w:rPr>
                      <w:color w:val="auto"/>
                      <w:sz w:val="21"/>
                      <w:szCs w:val="21"/>
                    </w:rPr>
                  </w:pPr>
                  <w:r>
                    <w:rPr>
                      <w:rFonts w:hint="eastAsia"/>
                      <w:color w:val="auto"/>
                      <w:sz w:val="21"/>
                      <w:szCs w:val="21"/>
                    </w:rPr>
                    <w:t>2.0</w:t>
                  </w:r>
                </w:p>
              </w:tc>
              <w:tc>
                <w:tcPr>
                  <w:tcW w:w="2836" w:type="dxa"/>
                  <w:tcBorders>
                    <w:right w:val="nil"/>
                  </w:tcBorders>
                </w:tcPr>
                <w:p w14:paraId="57028E17">
                  <w:pPr>
                    <w:spacing w:line="240" w:lineRule="auto"/>
                    <w:jc w:val="center"/>
                    <w:rPr>
                      <w:color w:val="auto"/>
                      <w:sz w:val="21"/>
                      <w:szCs w:val="21"/>
                    </w:rPr>
                  </w:pPr>
                  <w:r>
                    <w:rPr>
                      <w:rFonts w:hint="eastAsia"/>
                      <w:color w:val="auto"/>
                      <w:sz w:val="21"/>
                      <w:szCs w:val="21"/>
                    </w:rPr>
                    <w:t>《大气污染物综合排放标准详解》（GB16297-1996）</w:t>
                  </w:r>
                </w:p>
              </w:tc>
            </w:tr>
            <w:tr w14:paraId="59B6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left w:val="nil"/>
                  </w:tcBorders>
                </w:tcPr>
                <w:p w14:paraId="030DD399">
                  <w:pPr>
                    <w:spacing w:before="240" w:beforeLines="100" w:line="240" w:lineRule="auto"/>
                    <w:jc w:val="center"/>
                    <w:rPr>
                      <w:color w:val="auto"/>
                      <w:sz w:val="21"/>
                      <w:szCs w:val="21"/>
                    </w:rPr>
                  </w:pPr>
                  <w:r>
                    <w:rPr>
                      <w:rFonts w:hint="eastAsia"/>
                      <w:color w:val="auto"/>
                      <w:sz w:val="21"/>
                      <w:szCs w:val="21"/>
                    </w:rPr>
                    <w:t>二甲苯</w:t>
                  </w:r>
                </w:p>
              </w:tc>
              <w:tc>
                <w:tcPr>
                  <w:tcW w:w="1912" w:type="dxa"/>
                </w:tcPr>
                <w:p w14:paraId="447B3553">
                  <w:pPr>
                    <w:spacing w:before="240" w:beforeLines="100" w:line="240" w:lineRule="auto"/>
                    <w:jc w:val="center"/>
                    <w:rPr>
                      <w:color w:val="auto"/>
                      <w:sz w:val="21"/>
                      <w:szCs w:val="21"/>
                    </w:rPr>
                  </w:pPr>
                  <w:r>
                    <w:rPr>
                      <w:color w:val="auto"/>
                      <w:sz w:val="21"/>
                      <w:szCs w:val="21"/>
                    </w:rPr>
                    <w:t>1小时平均</w:t>
                  </w:r>
                  <w:r>
                    <w:rPr>
                      <w:rFonts w:hint="eastAsia"/>
                      <w:color w:val="auto"/>
                      <w:sz w:val="21"/>
                      <w:szCs w:val="21"/>
                    </w:rPr>
                    <w:t>值</w:t>
                  </w:r>
                </w:p>
              </w:tc>
              <w:tc>
                <w:tcPr>
                  <w:tcW w:w="1788" w:type="dxa"/>
                </w:tcPr>
                <w:p w14:paraId="45B99974">
                  <w:pPr>
                    <w:spacing w:before="240" w:beforeLines="100" w:line="240" w:lineRule="auto"/>
                    <w:jc w:val="center"/>
                    <w:rPr>
                      <w:color w:val="auto"/>
                      <w:sz w:val="21"/>
                      <w:szCs w:val="21"/>
                    </w:rPr>
                  </w:pPr>
                  <w:r>
                    <w:rPr>
                      <w:rFonts w:hint="eastAsia"/>
                      <w:color w:val="auto"/>
                      <w:sz w:val="21"/>
                      <w:szCs w:val="21"/>
                    </w:rPr>
                    <w:t>0.2</w:t>
                  </w:r>
                </w:p>
              </w:tc>
              <w:tc>
                <w:tcPr>
                  <w:tcW w:w="2836" w:type="dxa"/>
                  <w:tcBorders>
                    <w:right w:val="nil"/>
                  </w:tcBorders>
                </w:tcPr>
                <w:p w14:paraId="7C40E1FC">
                  <w:pPr>
                    <w:spacing w:line="240" w:lineRule="auto"/>
                    <w:jc w:val="center"/>
                    <w:rPr>
                      <w:color w:val="auto"/>
                      <w:sz w:val="21"/>
                      <w:szCs w:val="21"/>
                    </w:rPr>
                  </w:pPr>
                  <w:r>
                    <w:rPr>
                      <w:rFonts w:hint="eastAsia"/>
                      <w:color w:val="auto"/>
                      <w:sz w:val="21"/>
                      <w:szCs w:val="21"/>
                    </w:rPr>
                    <w:t>《环境影响评价技术导则大气环境》</w:t>
                  </w:r>
                  <w:r>
                    <w:rPr>
                      <w:color w:val="auto"/>
                      <w:sz w:val="21"/>
                      <w:szCs w:val="21"/>
                    </w:rPr>
                    <w:t>（</w:t>
                  </w:r>
                  <w:r>
                    <w:rPr>
                      <w:rFonts w:hint="eastAsia"/>
                      <w:color w:val="auto"/>
                      <w:sz w:val="21"/>
                      <w:szCs w:val="21"/>
                    </w:rPr>
                    <w:t>HJ2.2-2018</w:t>
                  </w:r>
                  <w:r>
                    <w:rPr>
                      <w:color w:val="auto"/>
                      <w:sz w:val="21"/>
                      <w:szCs w:val="21"/>
                    </w:rPr>
                    <w:t>）</w:t>
                  </w:r>
                  <w:r>
                    <w:rPr>
                      <w:rFonts w:hint="eastAsia"/>
                      <w:color w:val="auto"/>
                      <w:sz w:val="21"/>
                      <w:szCs w:val="21"/>
                    </w:rPr>
                    <w:t>附</w:t>
                  </w:r>
                </w:p>
                <w:p w14:paraId="602A817F">
                  <w:pPr>
                    <w:spacing w:line="240" w:lineRule="auto"/>
                    <w:jc w:val="center"/>
                    <w:rPr>
                      <w:color w:val="auto"/>
                      <w:sz w:val="21"/>
                      <w:szCs w:val="21"/>
                    </w:rPr>
                  </w:pPr>
                  <w:r>
                    <w:rPr>
                      <w:rFonts w:hint="eastAsia"/>
                      <w:color w:val="auto"/>
                      <w:sz w:val="21"/>
                      <w:szCs w:val="21"/>
                    </w:rPr>
                    <w:t>录D中表D.1</w:t>
                  </w:r>
                </w:p>
              </w:tc>
            </w:tr>
            <w:tr w14:paraId="138B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51" w:type="dxa"/>
                  <w:tcBorders>
                    <w:left w:val="nil"/>
                  </w:tcBorders>
                </w:tcPr>
                <w:p w14:paraId="56446666">
                  <w:pPr>
                    <w:spacing w:line="240" w:lineRule="auto"/>
                    <w:jc w:val="center"/>
                    <w:rPr>
                      <w:color w:val="auto"/>
                      <w:sz w:val="21"/>
                      <w:szCs w:val="21"/>
                    </w:rPr>
                  </w:pPr>
                  <w:r>
                    <w:rPr>
                      <w:rFonts w:hint="eastAsia"/>
                      <w:color w:val="auto"/>
                      <w:sz w:val="21"/>
                      <w:szCs w:val="21"/>
                    </w:rPr>
                    <w:t>乙酸乙酯</w:t>
                  </w:r>
                </w:p>
              </w:tc>
              <w:tc>
                <w:tcPr>
                  <w:tcW w:w="1912" w:type="dxa"/>
                </w:tcPr>
                <w:p w14:paraId="19194B45">
                  <w:pPr>
                    <w:spacing w:line="240" w:lineRule="auto"/>
                    <w:jc w:val="center"/>
                    <w:rPr>
                      <w:color w:val="auto"/>
                      <w:sz w:val="21"/>
                      <w:szCs w:val="21"/>
                    </w:rPr>
                  </w:pPr>
                  <w:r>
                    <w:rPr>
                      <w:rFonts w:hint="eastAsia"/>
                      <w:color w:val="auto"/>
                      <w:sz w:val="21"/>
                      <w:szCs w:val="21"/>
                    </w:rPr>
                    <w:t>一次浓度</w:t>
                  </w:r>
                </w:p>
              </w:tc>
              <w:tc>
                <w:tcPr>
                  <w:tcW w:w="1788" w:type="dxa"/>
                </w:tcPr>
                <w:p w14:paraId="7A696556">
                  <w:pPr>
                    <w:spacing w:line="240" w:lineRule="auto"/>
                    <w:jc w:val="center"/>
                    <w:rPr>
                      <w:color w:val="auto"/>
                      <w:sz w:val="21"/>
                      <w:szCs w:val="21"/>
                    </w:rPr>
                  </w:pPr>
                  <w:r>
                    <w:rPr>
                      <w:rFonts w:hint="eastAsia"/>
                      <w:color w:val="auto"/>
                      <w:sz w:val="21"/>
                      <w:szCs w:val="21"/>
                    </w:rPr>
                    <w:t>0.1</w:t>
                  </w:r>
                </w:p>
              </w:tc>
              <w:tc>
                <w:tcPr>
                  <w:tcW w:w="2836" w:type="dxa"/>
                  <w:vMerge w:val="restart"/>
                  <w:tcBorders>
                    <w:right w:val="nil"/>
                  </w:tcBorders>
                </w:tcPr>
                <w:p w14:paraId="38619B30">
                  <w:pPr>
                    <w:spacing w:line="240" w:lineRule="auto"/>
                    <w:jc w:val="center"/>
                    <w:rPr>
                      <w:color w:val="auto"/>
                      <w:sz w:val="21"/>
                      <w:szCs w:val="21"/>
                    </w:rPr>
                  </w:pPr>
                  <w:r>
                    <w:rPr>
                      <w:rFonts w:hint="eastAsia"/>
                      <w:color w:val="auto"/>
                      <w:sz w:val="21"/>
                      <w:szCs w:val="21"/>
                    </w:rPr>
                    <w:t>《苏联居民区大气中有害物质的最大允许浓度》</w:t>
                  </w:r>
                  <w:r>
                    <w:rPr>
                      <w:color w:val="auto"/>
                      <w:sz w:val="21"/>
                      <w:szCs w:val="21"/>
                    </w:rPr>
                    <w:t>（</w:t>
                  </w:r>
                  <w:r>
                    <w:rPr>
                      <w:rFonts w:hint="eastAsia"/>
                      <w:color w:val="auto"/>
                      <w:sz w:val="21"/>
                      <w:szCs w:val="21"/>
                    </w:rPr>
                    <w:t>CH245-71</w:t>
                  </w:r>
                  <w:r>
                    <w:rPr>
                      <w:color w:val="auto"/>
                      <w:sz w:val="21"/>
                      <w:szCs w:val="21"/>
                    </w:rPr>
                    <w:t>）</w:t>
                  </w:r>
                </w:p>
              </w:tc>
            </w:tr>
            <w:tr w14:paraId="7AE8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Borders>
                    <w:left w:val="nil"/>
                    <w:bottom w:val="single" w:color="auto" w:sz="12" w:space="0"/>
                  </w:tcBorders>
                </w:tcPr>
                <w:p w14:paraId="64DC5E69">
                  <w:pPr>
                    <w:spacing w:line="240" w:lineRule="auto"/>
                    <w:jc w:val="center"/>
                    <w:rPr>
                      <w:color w:val="auto"/>
                      <w:sz w:val="21"/>
                      <w:szCs w:val="21"/>
                    </w:rPr>
                  </w:pPr>
                  <w:r>
                    <w:rPr>
                      <w:rFonts w:hint="eastAsia"/>
                      <w:color w:val="auto"/>
                      <w:sz w:val="21"/>
                      <w:szCs w:val="21"/>
                    </w:rPr>
                    <w:t>乙酸丁酯</w:t>
                  </w:r>
                </w:p>
              </w:tc>
              <w:tc>
                <w:tcPr>
                  <w:tcW w:w="1912" w:type="dxa"/>
                  <w:tcBorders>
                    <w:bottom w:val="single" w:color="auto" w:sz="12" w:space="0"/>
                  </w:tcBorders>
                </w:tcPr>
                <w:p w14:paraId="751ECDF7">
                  <w:pPr>
                    <w:spacing w:line="240" w:lineRule="auto"/>
                    <w:jc w:val="center"/>
                    <w:rPr>
                      <w:color w:val="auto"/>
                      <w:sz w:val="21"/>
                      <w:szCs w:val="21"/>
                    </w:rPr>
                  </w:pPr>
                  <w:r>
                    <w:rPr>
                      <w:rFonts w:hint="eastAsia"/>
                      <w:color w:val="auto"/>
                      <w:sz w:val="21"/>
                      <w:szCs w:val="21"/>
                    </w:rPr>
                    <w:t>一次浓度</w:t>
                  </w:r>
                </w:p>
              </w:tc>
              <w:tc>
                <w:tcPr>
                  <w:tcW w:w="1788" w:type="dxa"/>
                  <w:tcBorders>
                    <w:bottom w:val="single" w:color="auto" w:sz="12" w:space="0"/>
                  </w:tcBorders>
                </w:tcPr>
                <w:p w14:paraId="39D0652E">
                  <w:pPr>
                    <w:spacing w:line="240" w:lineRule="auto"/>
                    <w:jc w:val="center"/>
                    <w:rPr>
                      <w:color w:val="auto"/>
                      <w:sz w:val="21"/>
                      <w:szCs w:val="21"/>
                    </w:rPr>
                  </w:pPr>
                  <w:r>
                    <w:rPr>
                      <w:rFonts w:hint="eastAsia"/>
                      <w:color w:val="auto"/>
                      <w:sz w:val="21"/>
                      <w:szCs w:val="21"/>
                    </w:rPr>
                    <w:t>0.1</w:t>
                  </w:r>
                </w:p>
              </w:tc>
              <w:tc>
                <w:tcPr>
                  <w:tcW w:w="2836" w:type="dxa"/>
                  <w:vMerge w:val="continue"/>
                  <w:tcBorders>
                    <w:bottom w:val="single" w:color="auto" w:sz="12" w:space="0"/>
                    <w:right w:val="nil"/>
                  </w:tcBorders>
                </w:tcPr>
                <w:p w14:paraId="0AC677A5">
                  <w:pPr>
                    <w:spacing w:line="240" w:lineRule="auto"/>
                    <w:jc w:val="center"/>
                    <w:rPr>
                      <w:color w:val="auto"/>
                      <w:sz w:val="21"/>
                      <w:szCs w:val="21"/>
                    </w:rPr>
                  </w:pPr>
                </w:p>
              </w:tc>
            </w:tr>
            <w:bookmarkEnd w:id="2"/>
          </w:tbl>
          <w:p w14:paraId="4CE4E7C6">
            <w:pPr>
              <w:pStyle w:val="4"/>
              <w:ind w:firstLine="0" w:firstLineChars="0"/>
              <w:rPr>
                <w:color w:val="auto"/>
              </w:rPr>
            </w:pPr>
            <w:r>
              <w:rPr>
                <w:rFonts w:hint="eastAsia"/>
                <w:color w:val="auto"/>
              </w:rPr>
              <w:t>3.1.2项目所在区域大气达标判定</w:t>
            </w:r>
          </w:p>
          <w:p w14:paraId="049C6755">
            <w:pPr>
              <w:ind w:firstLine="480" w:firstLineChars="200"/>
              <w:rPr>
                <w:rFonts w:hint="eastAsia" w:ascii="宋体" w:hAnsi="宋体" w:cs="宋体"/>
                <w:color w:val="auto"/>
              </w:rPr>
            </w:pPr>
            <w:r>
              <w:rPr>
                <w:color w:val="auto"/>
              </w:rPr>
              <w:t>（1）</w:t>
            </w:r>
            <w:r>
              <w:rPr>
                <w:rFonts w:hint="eastAsia" w:ascii="宋体" w:hAnsi="宋体" w:cs="宋体"/>
                <w:color w:val="auto"/>
              </w:rPr>
              <w:t>常规污染因子</w:t>
            </w:r>
          </w:p>
          <w:p w14:paraId="7F34D788">
            <w:pPr>
              <w:ind w:firstLine="480" w:firstLineChars="200"/>
              <w:rPr>
                <w:color w:val="auto"/>
              </w:rPr>
            </w:pPr>
            <w:r>
              <w:rPr>
                <w:color w:val="auto"/>
              </w:rPr>
              <w:t>①城市达标区域判断</w:t>
            </w:r>
          </w:p>
          <w:p w14:paraId="293D6A54">
            <w:pPr>
              <w:ind w:firstLine="480" w:firstLineChars="200"/>
              <w:rPr>
                <w:b/>
                <w:bCs/>
                <w:color w:val="auto"/>
                <w:lang w:eastAsia="zh-Hans"/>
              </w:rPr>
            </w:pPr>
            <w:r>
              <w:rPr>
                <w:rFonts w:hint="eastAsia"/>
                <w:color w:val="auto"/>
              </w:rPr>
              <w:t>根据福州高新技术产业开发区管委会发布的福州高新区2024年1</w:t>
            </w:r>
            <w:r>
              <w:rPr>
                <w:color w:val="auto"/>
              </w:rPr>
              <w:t>~</w:t>
            </w:r>
            <w:r>
              <w:rPr>
                <w:rFonts w:hint="eastAsia"/>
                <w:color w:val="auto"/>
              </w:rPr>
              <w:t>12月空气质量月报（https://fzgxq.fuzhou.gov.cn/zwgk/zfxxgkzdgz/hjbh/kqzlyb/）</w:t>
            </w:r>
            <w:r>
              <w:rPr>
                <w:color w:val="auto"/>
              </w:rPr>
              <w:t>，202</w:t>
            </w:r>
            <w:r>
              <w:rPr>
                <w:rFonts w:hint="eastAsia"/>
                <w:color w:val="auto"/>
              </w:rPr>
              <w:t>4</w:t>
            </w:r>
            <w:r>
              <w:rPr>
                <w:color w:val="auto"/>
              </w:rPr>
              <w:t>年连续1年的大气常规因子环境空气质量监测数据见表3</w:t>
            </w:r>
            <w:r>
              <w:rPr>
                <w:rFonts w:hint="eastAsia"/>
                <w:color w:val="auto"/>
              </w:rPr>
              <w:t>.1-2</w:t>
            </w:r>
            <w:r>
              <w:rPr>
                <w:color w:val="auto"/>
              </w:rPr>
              <w:t>。</w:t>
            </w:r>
          </w:p>
          <w:p w14:paraId="3424DDFA">
            <w:pPr>
              <w:pStyle w:val="5"/>
              <w:spacing w:line="240" w:lineRule="auto"/>
              <w:ind w:firstLine="482"/>
              <w:jc w:val="center"/>
              <w:rPr>
                <w:b/>
                <w:bCs/>
                <w:color w:val="auto"/>
              </w:rPr>
            </w:pPr>
            <w:r>
              <w:rPr>
                <w:b/>
                <w:bCs/>
                <w:color w:val="auto"/>
              </w:rPr>
              <w:t>表3</w:t>
            </w:r>
            <w:r>
              <w:rPr>
                <w:rFonts w:hint="eastAsia"/>
                <w:b/>
                <w:bCs/>
                <w:color w:val="auto"/>
              </w:rPr>
              <w:t>.1-2</w:t>
            </w:r>
            <w:r>
              <w:rPr>
                <w:b/>
                <w:bCs/>
                <w:color w:val="auto"/>
              </w:rPr>
              <w:t xml:space="preserve"> </w:t>
            </w:r>
            <w:r>
              <w:rPr>
                <w:rFonts w:hint="eastAsia"/>
                <w:b/>
                <w:bCs/>
                <w:color w:val="auto"/>
              </w:rPr>
              <w:t xml:space="preserve"> </w:t>
            </w:r>
            <w:r>
              <w:rPr>
                <w:b/>
                <w:bCs/>
                <w:color w:val="auto"/>
              </w:rPr>
              <w:t>区域空气质量现状评价表</w:t>
            </w:r>
          </w:p>
          <w:tbl>
            <w:tblPr>
              <w:tblStyle w:val="30"/>
              <w:tblW w:w="80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125"/>
              <w:gridCol w:w="1049"/>
              <w:gridCol w:w="1119"/>
              <w:gridCol w:w="1099"/>
              <w:gridCol w:w="1169"/>
              <w:gridCol w:w="1089"/>
            </w:tblGrid>
            <w:tr w14:paraId="46C89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056481E9">
                  <w:pPr>
                    <w:spacing w:line="240" w:lineRule="auto"/>
                    <w:jc w:val="center"/>
                    <w:rPr>
                      <w:color w:val="auto"/>
                      <w:kern w:val="0"/>
                      <w:sz w:val="21"/>
                      <w:szCs w:val="21"/>
                    </w:rPr>
                  </w:pPr>
                  <w:r>
                    <w:rPr>
                      <w:color w:val="auto"/>
                      <w:kern w:val="0"/>
                      <w:sz w:val="21"/>
                      <w:szCs w:val="21"/>
                    </w:rPr>
                    <w:t>时间</w:t>
                  </w:r>
                </w:p>
              </w:tc>
              <w:tc>
                <w:tcPr>
                  <w:tcW w:w="699" w:type="pct"/>
                  <w:vAlign w:val="center"/>
                </w:tcPr>
                <w:p w14:paraId="7BD8830F">
                  <w:pPr>
                    <w:pStyle w:val="40"/>
                    <w:rPr>
                      <w:color w:val="auto"/>
                      <w:sz w:val="21"/>
                      <w:szCs w:val="21"/>
                    </w:rPr>
                  </w:pPr>
                  <w:r>
                    <w:rPr>
                      <w:color w:val="auto"/>
                      <w:sz w:val="21"/>
                      <w:szCs w:val="21"/>
                    </w:rPr>
                    <w:t>SO</w:t>
                  </w:r>
                  <w:r>
                    <w:rPr>
                      <w:color w:val="auto"/>
                      <w:sz w:val="21"/>
                      <w:szCs w:val="21"/>
                      <w:vertAlign w:val="subscript"/>
                    </w:rPr>
                    <w:t>2</w:t>
                  </w:r>
                </w:p>
                <w:p w14:paraId="3C28D83A">
                  <w:pPr>
                    <w:pStyle w:val="40"/>
                    <w:rPr>
                      <w:color w:val="auto"/>
                      <w:sz w:val="21"/>
                      <w:szCs w:val="21"/>
                    </w:rPr>
                  </w:pPr>
                  <w:r>
                    <w:rPr>
                      <w:rFonts w:hint="eastAsia"/>
                      <w:color w:val="auto"/>
                      <w:sz w:val="21"/>
                      <w:szCs w:val="21"/>
                    </w:rPr>
                    <w:t>（</w:t>
                  </w:r>
                  <w:r>
                    <w:rPr>
                      <w:color w:val="auto"/>
                      <w:sz w:val="21"/>
                      <w:szCs w:val="21"/>
                    </w:rPr>
                    <w:t>μg/m</w:t>
                  </w:r>
                  <w:r>
                    <w:rPr>
                      <w:color w:val="auto"/>
                      <w:sz w:val="21"/>
                      <w:szCs w:val="21"/>
                      <w:vertAlign w:val="superscript"/>
                    </w:rPr>
                    <w:t>3</w:t>
                  </w:r>
                  <w:r>
                    <w:rPr>
                      <w:rFonts w:hint="eastAsia"/>
                      <w:color w:val="auto"/>
                      <w:sz w:val="21"/>
                      <w:szCs w:val="21"/>
                    </w:rPr>
                    <w:t>）</w:t>
                  </w:r>
                </w:p>
              </w:tc>
              <w:tc>
                <w:tcPr>
                  <w:tcW w:w="652" w:type="pct"/>
                  <w:vAlign w:val="center"/>
                </w:tcPr>
                <w:p w14:paraId="05FBF3A1">
                  <w:pPr>
                    <w:pStyle w:val="40"/>
                    <w:rPr>
                      <w:color w:val="auto"/>
                      <w:sz w:val="21"/>
                      <w:szCs w:val="21"/>
                    </w:rPr>
                  </w:pPr>
                  <w:r>
                    <w:rPr>
                      <w:color w:val="auto"/>
                      <w:sz w:val="21"/>
                      <w:szCs w:val="21"/>
                    </w:rPr>
                    <w:t>NO</w:t>
                  </w:r>
                  <w:r>
                    <w:rPr>
                      <w:color w:val="auto"/>
                      <w:sz w:val="21"/>
                      <w:szCs w:val="21"/>
                      <w:vertAlign w:val="subscript"/>
                    </w:rPr>
                    <w:t>2</w:t>
                  </w:r>
                </w:p>
                <w:p w14:paraId="2DBE10B3">
                  <w:pPr>
                    <w:pStyle w:val="40"/>
                    <w:rPr>
                      <w:color w:val="auto"/>
                      <w:sz w:val="21"/>
                      <w:szCs w:val="21"/>
                    </w:rPr>
                  </w:pPr>
                  <w:r>
                    <w:rPr>
                      <w:rFonts w:hint="eastAsia"/>
                      <w:color w:val="auto"/>
                      <w:sz w:val="21"/>
                      <w:szCs w:val="21"/>
                    </w:rPr>
                    <w:t>（</w:t>
                  </w:r>
                  <w:r>
                    <w:rPr>
                      <w:color w:val="auto"/>
                      <w:sz w:val="21"/>
                      <w:szCs w:val="21"/>
                    </w:rPr>
                    <w:t>μg/m</w:t>
                  </w:r>
                  <w:r>
                    <w:rPr>
                      <w:color w:val="auto"/>
                      <w:sz w:val="21"/>
                      <w:szCs w:val="21"/>
                      <w:vertAlign w:val="superscript"/>
                    </w:rPr>
                    <w:t>3</w:t>
                  </w:r>
                  <w:r>
                    <w:rPr>
                      <w:rFonts w:hint="eastAsia"/>
                      <w:color w:val="auto"/>
                      <w:sz w:val="21"/>
                      <w:szCs w:val="21"/>
                    </w:rPr>
                    <w:t>）</w:t>
                  </w:r>
                </w:p>
              </w:tc>
              <w:tc>
                <w:tcPr>
                  <w:tcW w:w="696" w:type="pct"/>
                  <w:vAlign w:val="center"/>
                </w:tcPr>
                <w:p w14:paraId="6F93791E">
                  <w:pPr>
                    <w:pStyle w:val="40"/>
                    <w:rPr>
                      <w:color w:val="auto"/>
                      <w:sz w:val="21"/>
                      <w:szCs w:val="21"/>
                      <w:vertAlign w:val="subscript"/>
                    </w:rPr>
                  </w:pPr>
                  <w:r>
                    <w:rPr>
                      <w:color w:val="auto"/>
                      <w:sz w:val="21"/>
                      <w:szCs w:val="21"/>
                    </w:rPr>
                    <w:t>PM</w:t>
                  </w:r>
                  <w:r>
                    <w:rPr>
                      <w:color w:val="auto"/>
                      <w:sz w:val="21"/>
                      <w:szCs w:val="21"/>
                      <w:vertAlign w:val="subscript"/>
                    </w:rPr>
                    <w:t>10</w:t>
                  </w:r>
                </w:p>
                <w:p w14:paraId="079A68CA">
                  <w:pPr>
                    <w:pStyle w:val="40"/>
                    <w:rPr>
                      <w:color w:val="auto"/>
                      <w:sz w:val="21"/>
                      <w:szCs w:val="21"/>
                    </w:rPr>
                  </w:pPr>
                  <w:r>
                    <w:rPr>
                      <w:rFonts w:hint="eastAsia"/>
                      <w:color w:val="auto"/>
                      <w:sz w:val="21"/>
                      <w:szCs w:val="21"/>
                    </w:rPr>
                    <w:t>（</w:t>
                  </w:r>
                  <w:r>
                    <w:rPr>
                      <w:color w:val="auto"/>
                      <w:sz w:val="21"/>
                      <w:szCs w:val="21"/>
                    </w:rPr>
                    <w:t>μg/m</w:t>
                  </w:r>
                  <w:r>
                    <w:rPr>
                      <w:color w:val="auto"/>
                      <w:sz w:val="21"/>
                      <w:szCs w:val="21"/>
                      <w:vertAlign w:val="superscript"/>
                    </w:rPr>
                    <w:t>3</w:t>
                  </w:r>
                  <w:r>
                    <w:rPr>
                      <w:rFonts w:hint="eastAsia"/>
                      <w:color w:val="auto"/>
                      <w:sz w:val="21"/>
                      <w:szCs w:val="21"/>
                    </w:rPr>
                    <w:t>）</w:t>
                  </w:r>
                </w:p>
              </w:tc>
              <w:tc>
                <w:tcPr>
                  <w:tcW w:w="683" w:type="pct"/>
                  <w:vAlign w:val="center"/>
                </w:tcPr>
                <w:p w14:paraId="49B2CEA5">
                  <w:pPr>
                    <w:pStyle w:val="40"/>
                    <w:rPr>
                      <w:color w:val="auto"/>
                      <w:sz w:val="21"/>
                      <w:szCs w:val="21"/>
                      <w:vertAlign w:val="subscript"/>
                    </w:rPr>
                  </w:pPr>
                  <w:r>
                    <w:rPr>
                      <w:color w:val="auto"/>
                      <w:sz w:val="21"/>
                      <w:szCs w:val="21"/>
                    </w:rPr>
                    <w:t>PM</w:t>
                  </w:r>
                  <w:r>
                    <w:rPr>
                      <w:color w:val="auto"/>
                      <w:sz w:val="21"/>
                      <w:szCs w:val="21"/>
                      <w:vertAlign w:val="subscript"/>
                    </w:rPr>
                    <w:t>2.5</w:t>
                  </w:r>
                </w:p>
                <w:p w14:paraId="6BAE71CC">
                  <w:pPr>
                    <w:pStyle w:val="40"/>
                    <w:rPr>
                      <w:color w:val="auto"/>
                      <w:sz w:val="21"/>
                      <w:szCs w:val="21"/>
                    </w:rPr>
                  </w:pPr>
                  <w:r>
                    <w:rPr>
                      <w:rFonts w:hint="eastAsia"/>
                      <w:color w:val="auto"/>
                      <w:sz w:val="21"/>
                      <w:szCs w:val="21"/>
                    </w:rPr>
                    <w:t>（</w:t>
                  </w:r>
                  <w:r>
                    <w:rPr>
                      <w:color w:val="auto"/>
                      <w:sz w:val="21"/>
                      <w:szCs w:val="21"/>
                    </w:rPr>
                    <w:t>μg/m</w:t>
                  </w:r>
                  <w:r>
                    <w:rPr>
                      <w:color w:val="auto"/>
                      <w:sz w:val="21"/>
                      <w:szCs w:val="21"/>
                      <w:vertAlign w:val="superscript"/>
                    </w:rPr>
                    <w:t>3</w:t>
                  </w:r>
                  <w:r>
                    <w:rPr>
                      <w:rFonts w:hint="eastAsia"/>
                      <w:color w:val="auto"/>
                      <w:sz w:val="21"/>
                      <w:szCs w:val="21"/>
                    </w:rPr>
                    <w:t>）</w:t>
                  </w:r>
                </w:p>
              </w:tc>
              <w:tc>
                <w:tcPr>
                  <w:tcW w:w="727" w:type="pct"/>
                  <w:vAlign w:val="center"/>
                </w:tcPr>
                <w:p w14:paraId="1E50817E">
                  <w:pPr>
                    <w:pStyle w:val="40"/>
                    <w:rPr>
                      <w:color w:val="auto"/>
                      <w:sz w:val="21"/>
                      <w:szCs w:val="21"/>
                    </w:rPr>
                  </w:pPr>
                  <w:r>
                    <w:rPr>
                      <w:color w:val="auto"/>
                      <w:sz w:val="21"/>
                      <w:szCs w:val="21"/>
                    </w:rPr>
                    <w:t>CO</w:t>
                  </w:r>
                </w:p>
                <w:p w14:paraId="11848549">
                  <w:pPr>
                    <w:pStyle w:val="40"/>
                    <w:rPr>
                      <w:color w:val="auto"/>
                      <w:sz w:val="21"/>
                      <w:szCs w:val="21"/>
                    </w:rPr>
                  </w:pPr>
                  <w:r>
                    <w:rPr>
                      <w:rFonts w:hint="eastAsia"/>
                      <w:color w:val="auto"/>
                      <w:sz w:val="21"/>
                      <w:szCs w:val="21"/>
                    </w:rPr>
                    <w:t>（</w:t>
                  </w:r>
                  <w:r>
                    <w:rPr>
                      <w:color w:val="auto"/>
                      <w:sz w:val="21"/>
                      <w:szCs w:val="21"/>
                    </w:rPr>
                    <w:t>mg/m</w:t>
                  </w:r>
                  <w:r>
                    <w:rPr>
                      <w:color w:val="auto"/>
                      <w:sz w:val="21"/>
                      <w:szCs w:val="21"/>
                      <w:vertAlign w:val="superscript"/>
                    </w:rPr>
                    <w:t>3</w:t>
                  </w:r>
                  <w:r>
                    <w:rPr>
                      <w:rFonts w:hint="eastAsia"/>
                      <w:color w:val="auto"/>
                      <w:sz w:val="21"/>
                      <w:szCs w:val="21"/>
                    </w:rPr>
                    <w:t>）</w:t>
                  </w:r>
                </w:p>
              </w:tc>
              <w:tc>
                <w:tcPr>
                  <w:tcW w:w="675" w:type="pct"/>
                  <w:vAlign w:val="center"/>
                </w:tcPr>
                <w:p w14:paraId="23F9F213">
                  <w:pPr>
                    <w:pStyle w:val="40"/>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w:t>
                  </w:r>
                  <w:r>
                    <w:rPr>
                      <w:color w:val="auto"/>
                      <w:sz w:val="21"/>
                      <w:szCs w:val="21"/>
                    </w:rPr>
                    <w:t>μg/m</w:t>
                  </w:r>
                  <w:r>
                    <w:rPr>
                      <w:color w:val="auto"/>
                      <w:sz w:val="21"/>
                      <w:szCs w:val="21"/>
                      <w:vertAlign w:val="superscript"/>
                    </w:rPr>
                    <w:t>3</w:t>
                  </w:r>
                  <w:r>
                    <w:rPr>
                      <w:rFonts w:hint="eastAsia"/>
                      <w:color w:val="auto"/>
                      <w:sz w:val="21"/>
                      <w:szCs w:val="21"/>
                    </w:rPr>
                    <w:t>）</w:t>
                  </w:r>
                </w:p>
              </w:tc>
            </w:tr>
            <w:tr w14:paraId="1BE82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177D0A5B">
                  <w:pPr>
                    <w:spacing w:line="240" w:lineRule="auto"/>
                    <w:jc w:val="center"/>
                    <w:rPr>
                      <w:color w:val="auto"/>
                      <w:kern w:val="0"/>
                      <w:sz w:val="21"/>
                      <w:szCs w:val="21"/>
                    </w:rPr>
                  </w:pPr>
                  <w:r>
                    <w:rPr>
                      <w:color w:val="auto"/>
                      <w:kern w:val="0"/>
                      <w:sz w:val="21"/>
                      <w:szCs w:val="21"/>
                    </w:rPr>
                    <w:t>202</w:t>
                  </w:r>
                  <w:r>
                    <w:rPr>
                      <w:rFonts w:hint="eastAsia"/>
                      <w:color w:val="auto"/>
                      <w:kern w:val="0"/>
                      <w:sz w:val="21"/>
                      <w:szCs w:val="21"/>
                    </w:rPr>
                    <w:t>4</w:t>
                  </w:r>
                  <w:r>
                    <w:rPr>
                      <w:color w:val="auto"/>
                      <w:kern w:val="0"/>
                      <w:sz w:val="21"/>
                      <w:szCs w:val="21"/>
                    </w:rPr>
                    <w:t>年1月</w:t>
                  </w:r>
                </w:p>
              </w:tc>
              <w:tc>
                <w:tcPr>
                  <w:tcW w:w="699" w:type="pct"/>
                  <w:vAlign w:val="center"/>
                </w:tcPr>
                <w:p w14:paraId="330304AD">
                  <w:pPr>
                    <w:spacing w:line="240" w:lineRule="auto"/>
                    <w:jc w:val="center"/>
                    <w:rPr>
                      <w:color w:val="auto"/>
                      <w:kern w:val="0"/>
                      <w:sz w:val="21"/>
                      <w:szCs w:val="21"/>
                    </w:rPr>
                  </w:pPr>
                  <w:r>
                    <w:rPr>
                      <w:rFonts w:hint="eastAsia"/>
                      <w:color w:val="auto"/>
                      <w:kern w:val="0"/>
                      <w:sz w:val="21"/>
                      <w:szCs w:val="21"/>
                    </w:rPr>
                    <w:t>6</w:t>
                  </w:r>
                </w:p>
              </w:tc>
              <w:tc>
                <w:tcPr>
                  <w:tcW w:w="652" w:type="pct"/>
                  <w:vAlign w:val="center"/>
                </w:tcPr>
                <w:p w14:paraId="15D71C7E">
                  <w:pPr>
                    <w:spacing w:line="240" w:lineRule="auto"/>
                    <w:jc w:val="center"/>
                    <w:rPr>
                      <w:color w:val="auto"/>
                      <w:kern w:val="0"/>
                      <w:sz w:val="21"/>
                      <w:szCs w:val="21"/>
                    </w:rPr>
                  </w:pPr>
                  <w:r>
                    <w:rPr>
                      <w:rFonts w:hint="eastAsia"/>
                      <w:color w:val="auto"/>
                      <w:kern w:val="0"/>
                      <w:sz w:val="21"/>
                      <w:szCs w:val="21"/>
                    </w:rPr>
                    <w:t>22</w:t>
                  </w:r>
                </w:p>
              </w:tc>
              <w:tc>
                <w:tcPr>
                  <w:tcW w:w="696" w:type="pct"/>
                  <w:vAlign w:val="center"/>
                </w:tcPr>
                <w:p w14:paraId="786CD7B9">
                  <w:pPr>
                    <w:spacing w:line="240" w:lineRule="auto"/>
                    <w:jc w:val="center"/>
                    <w:rPr>
                      <w:color w:val="auto"/>
                      <w:kern w:val="0"/>
                      <w:sz w:val="21"/>
                      <w:szCs w:val="21"/>
                    </w:rPr>
                  </w:pPr>
                  <w:r>
                    <w:rPr>
                      <w:rFonts w:hint="eastAsia"/>
                      <w:color w:val="auto"/>
                      <w:kern w:val="0"/>
                      <w:sz w:val="21"/>
                      <w:szCs w:val="21"/>
                    </w:rPr>
                    <w:t>44</w:t>
                  </w:r>
                </w:p>
              </w:tc>
              <w:tc>
                <w:tcPr>
                  <w:tcW w:w="683" w:type="pct"/>
                  <w:vAlign w:val="center"/>
                </w:tcPr>
                <w:p w14:paraId="029CDF21">
                  <w:pPr>
                    <w:spacing w:line="240" w:lineRule="auto"/>
                    <w:jc w:val="center"/>
                    <w:rPr>
                      <w:color w:val="auto"/>
                      <w:kern w:val="0"/>
                      <w:sz w:val="21"/>
                      <w:szCs w:val="21"/>
                    </w:rPr>
                  </w:pPr>
                  <w:r>
                    <w:rPr>
                      <w:rFonts w:hint="eastAsia"/>
                      <w:color w:val="auto"/>
                      <w:kern w:val="0"/>
                      <w:sz w:val="21"/>
                      <w:szCs w:val="21"/>
                    </w:rPr>
                    <w:t>30</w:t>
                  </w:r>
                </w:p>
              </w:tc>
              <w:tc>
                <w:tcPr>
                  <w:tcW w:w="727" w:type="pct"/>
                  <w:vAlign w:val="center"/>
                </w:tcPr>
                <w:p w14:paraId="57289F79">
                  <w:pPr>
                    <w:spacing w:line="240" w:lineRule="auto"/>
                    <w:jc w:val="center"/>
                    <w:rPr>
                      <w:color w:val="auto"/>
                      <w:kern w:val="0"/>
                      <w:sz w:val="21"/>
                      <w:szCs w:val="21"/>
                    </w:rPr>
                  </w:pPr>
                  <w:r>
                    <w:rPr>
                      <w:rFonts w:hint="eastAsia"/>
                      <w:color w:val="auto"/>
                      <w:kern w:val="0"/>
                      <w:sz w:val="21"/>
                      <w:szCs w:val="21"/>
                    </w:rPr>
                    <w:t>0.7</w:t>
                  </w:r>
                </w:p>
              </w:tc>
              <w:tc>
                <w:tcPr>
                  <w:tcW w:w="675" w:type="pct"/>
                  <w:vAlign w:val="center"/>
                </w:tcPr>
                <w:p w14:paraId="4C7ABE6C">
                  <w:pPr>
                    <w:spacing w:line="240" w:lineRule="auto"/>
                    <w:jc w:val="center"/>
                    <w:rPr>
                      <w:color w:val="auto"/>
                      <w:kern w:val="0"/>
                      <w:sz w:val="21"/>
                      <w:szCs w:val="21"/>
                    </w:rPr>
                  </w:pPr>
                  <w:r>
                    <w:rPr>
                      <w:rFonts w:hint="eastAsia"/>
                      <w:color w:val="auto"/>
                      <w:kern w:val="0"/>
                      <w:sz w:val="21"/>
                      <w:szCs w:val="21"/>
                    </w:rPr>
                    <w:t>110</w:t>
                  </w:r>
                </w:p>
              </w:tc>
            </w:tr>
            <w:tr w14:paraId="233CF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33575DE4">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年2月</w:t>
                  </w:r>
                </w:p>
              </w:tc>
              <w:tc>
                <w:tcPr>
                  <w:tcW w:w="699" w:type="pct"/>
                  <w:vAlign w:val="center"/>
                </w:tcPr>
                <w:p w14:paraId="39B9C101">
                  <w:pPr>
                    <w:spacing w:line="240" w:lineRule="auto"/>
                    <w:jc w:val="center"/>
                    <w:rPr>
                      <w:color w:val="auto"/>
                      <w:kern w:val="0"/>
                      <w:sz w:val="21"/>
                      <w:szCs w:val="21"/>
                    </w:rPr>
                  </w:pPr>
                  <w:r>
                    <w:rPr>
                      <w:rFonts w:hint="eastAsia"/>
                      <w:color w:val="auto"/>
                      <w:kern w:val="0"/>
                      <w:sz w:val="21"/>
                      <w:szCs w:val="21"/>
                    </w:rPr>
                    <w:t>6</w:t>
                  </w:r>
                </w:p>
              </w:tc>
              <w:tc>
                <w:tcPr>
                  <w:tcW w:w="652" w:type="pct"/>
                  <w:vAlign w:val="center"/>
                </w:tcPr>
                <w:p w14:paraId="262E20A7">
                  <w:pPr>
                    <w:spacing w:line="240" w:lineRule="auto"/>
                    <w:jc w:val="center"/>
                    <w:rPr>
                      <w:color w:val="auto"/>
                      <w:kern w:val="0"/>
                      <w:sz w:val="21"/>
                      <w:szCs w:val="21"/>
                    </w:rPr>
                  </w:pPr>
                  <w:r>
                    <w:rPr>
                      <w:rFonts w:hint="eastAsia"/>
                      <w:color w:val="auto"/>
                      <w:kern w:val="0"/>
                      <w:sz w:val="21"/>
                      <w:szCs w:val="21"/>
                    </w:rPr>
                    <w:t>12</w:t>
                  </w:r>
                </w:p>
              </w:tc>
              <w:tc>
                <w:tcPr>
                  <w:tcW w:w="696" w:type="pct"/>
                  <w:vAlign w:val="center"/>
                </w:tcPr>
                <w:p w14:paraId="52A75F9D">
                  <w:pPr>
                    <w:spacing w:line="240" w:lineRule="auto"/>
                    <w:jc w:val="center"/>
                    <w:rPr>
                      <w:color w:val="auto"/>
                      <w:kern w:val="0"/>
                      <w:sz w:val="21"/>
                      <w:szCs w:val="21"/>
                    </w:rPr>
                  </w:pPr>
                  <w:r>
                    <w:rPr>
                      <w:rFonts w:hint="eastAsia"/>
                      <w:color w:val="auto"/>
                      <w:kern w:val="0"/>
                      <w:sz w:val="21"/>
                      <w:szCs w:val="21"/>
                    </w:rPr>
                    <w:t>28</w:t>
                  </w:r>
                </w:p>
              </w:tc>
              <w:tc>
                <w:tcPr>
                  <w:tcW w:w="683" w:type="pct"/>
                  <w:vAlign w:val="center"/>
                </w:tcPr>
                <w:p w14:paraId="7A0BE5AB">
                  <w:pPr>
                    <w:spacing w:line="240" w:lineRule="auto"/>
                    <w:jc w:val="center"/>
                    <w:rPr>
                      <w:color w:val="auto"/>
                      <w:kern w:val="0"/>
                      <w:sz w:val="21"/>
                      <w:szCs w:val="21"/>
                    </w:rPr>
                  </w:pPr>
                  <w:r>
                    <w:rPr>
                      <w:rFonts w:hint="eastAsia"/>
                      <w:color w:val="auto"/>
                      <w:kern w:val="0"/>
                      <w:sz w:val="21"/>
                      <w:szCs w:val="21"/>
                    </w:rPr>
                    <w:t>22</w:t>
                  </w:r>
                </w:p>
              </w:tc>
              <w:tc>
                <w:tcPr>
                  <w:tcW w:w="727" w:type="pct"/>
                  <w:vAlign w:val="center"/>
                </w:tcPr>
                <w:p w14:paraId="3576D6F2">
                  <w:pPr>
                    <w:spacing w:line="240" w:lineRule="auto"/>
                    <w:jc w:val="center"/>
                    <w:rPr>
                      <w:color w:val="auto"/>
                      <w:kern w:val="0"/>
                      <w:sz w:val="21"/>
                      <w:szCs w:val="21"/>
                    </w:rPr>
                  </w:pPr>
                  <w:r>
                    <w:rPr>
                      <w:rFonts w:hint="eastAsia"/>
                      <w:color w:val="auto"/>
                      <w:kern w:val="0"/>
                      <w:sz w:val="21"/>
                      <w:szCs w:val="21"/>
                    </w:rPr>
                    <w:t>0.7</w:t>
                  </w:r>
                </w:p>
              </w:tc>
              <w:tc>
                <w:tcPr>
                  <w:tcW w:w="675" w:type="pct"/>
                  <w:vAlign w:val="center"/>
                </w:tcPr>
                <w:p w14:paraId="2B20C547">
                  <w:pPr>
                    <w:spacing w:line="240" w:lineRule="auto"/>
                    <w:jc w:val="center"/>
                    <w:rPr>
                      <w:color w:val="auto"/>
                      <w:kern w:val="0"/>
                      <w:sz w:val="21"/>
                      <w:szCs w:val="21"/>
                    </w:rPr>
                  </w:pPr>
                  <w:r>
                    <w:rPr>
                      <w:rFonts w:hint="eastAsia"/>
                      <w:color w:val="auto"/>
                      <w:kern w:val="0"/>
                      <w:sz w:val="21"/>
                      <w:szCs w:val="21"/>
                    </w:rPr>
                    <w:t>87</w:t>
                  </w:r>
                </w:p>
              </w:tc>
            </w:tr>
            <w:tr w14:paraId="63620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74597D35">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年3月</w:t>
                  </w:r>
                </w:p>
              </w:tc>
              <w:tc>
                <w:tcPr>
                  <w:tcW w:w="699" w:type="pct"/>
                  <w:vAlign w:val="center"/>
                </w:tcPr>
                <w:p w14:paraId="2825518B">
                  <w:pPr>
                    <w:spacing w:line="240" w:lineRule="auto"/>
                    <w:jc w:val="center"/>
                    <w:rPr>
                      <w:color w:val="auto"/>
                      <w:kern w:val="0"/>
                      <w:sz w:val="21"/>
                      <w:szCs w:val="21"/>
                    </w:rPr>
                  </w:pPr>
                  <w:r>
                    <w:rPr>
                      <w:rFonts w:hint="eastAsia"/>
                      <w:color w:val="auto"/>
                      <w:kern w:val="0"/>
                      <w:sz w:val="21"/>
                      <w:szCs w:val="21"/>
                    </w:rPr>
                    <w:t>6</w:t>
                  </w:r>
                </w:p>
              </w:tc>
              <w:tc>
                <w:tcPr>
                  <w:tcW w:w="652" w:type="pct"/>
                  <w:vAlign w:val="center"/>
                </w:tcPr>
                <w:p w14:paraId="3AB5FB91">
                  <w:pPr>
                    <w:spacing w:line="240" w:lineRule="auto"/>
                    <w:jc w:val="center"/>
                    <w:rPr>
                      <w:color w:val="auto"/>
                      <w:kern w:val="0"/>
                      <w:sz w:val="21"/>
                      <w:szCs w:val="21"/>
                    </w:rPr>
                  </w:pPr>
                  <w:r>
                    <w:rPr>
                      <w:rFonts w:hint="eastAsia"/>
                      <w:color w:val="auto"/>
                      <w:kern w:val="0"/>
                      <w:sz w:val="21"/>
                      <w:szCs w:val="21"/>
                    </w:rPr>
                    <w:t>20</w:t>
                  </w:r>
                </w:p>
              </w:tc>
              <w:tc>
                <w:tcPr>
                  <w:tcW w:w="696" w:type="pct"/>
                  <w:vAlign w:val="center"/>
                </w:tcPr>
                <w:p w14:paraId="7280BABF">
                  <w:pPr>
                    <w:spacing w:line="240" w:lineRule="auto"/>
                    <w:jc w:val="center"/>
                    <w:rPr>
                      <w:color w:val="auto"/>
                      <w:kern w:val="0"/>
                      <w:sz w:val="21"/>
                      <w:szCs w:val="21"/>
                    </w:rPr>
                  </w:pPr>
                  <w:r>
                    <w:rPr>
                      <w:rFonts w:hint="eastAsia"/>
                      <w:color w:val="auto"/>
                      <w:kern w:val="0"/>
                      <w:sz w:val="21"/>
                      <w:szCs w:val="21"/>
                    </w:rPr>
                    <w:t>44</w:t>
                  </w:r>
                </w:p>
              </w:tc>
              <w:tc>
                <w:tcPr>
                  <w:tcW w:w="683" w:type="pct"/>
                  <w:vAlign w:val="center"/>
                </w:tcPr>
                <w:p w14:paraId="4F891FC1">
                  <w:pPr>
                    <w:spacing w:line="240" w:lineRule="auto"/>
                    <w:jc w:val="center"/>
                    <w:rPr>
                      <w:color w:val="auto"/>
                      <w:kern w:val="0"/>
                      <w:sz w:val="21"/>
                      <w:szCs w:val="21"/>
                    </w:rPr>
                  </w:pPr>
                  <w:r>
                    <w:rPr>
                      <w:rFonts w:hint="eastAsia"/>
                      <w:color w:val="auto"/>
                      <w:kern w:val="0"/>
                      <w:sz w:val="21"/>
                      <w:szCs w:val="21"/>
                    </w:rPr>
                    <w:t>26</w:t>
                  </w:r>
                </w:p>
              </w:tc>
              <w:tc>
                <w:tcPr>
                  <w:tcW w:w="727" w:type="pct"/>
                  <w:vAlign w:val="center"/>
                </w:tcPr>
                <w:p w14:paraId="5A941E61">
                  <w:pPr>
                    <w:spacing w:line="240" w:lineRule="auto"/>
                    <w:jc w:val="center"/>
                    <w:rPr>
                      <w:color w:val="auto"/>
                      <w:kern w:val="0"/>
                      <w:sz w:val="21"/>
                      <w:szCs w:val="21"/>
                    </w:rPr>
                  </w:pPr>
                  <w:r>
                    <w:rPr>
                      <w:rFonts w:hint="eastAsia"/>
                      <w:color w:val="auto"/>
                      <w:kern w:val="0"/>
                      <w:sz w:val="21"/>
                      <w:szCs w:val="21"/>
                    </w:rPr>
                    <w:t>0.6</w:t>
                  </w:r>
                </w:p>
              </w:tc>
              <w:tc>
                <w:tcPr>
                  <w:tcW w:w="675" w:type="pct"/>
                  <w:vAlign w:val="center"/>
                </w:tcPr>
                <w:p w14:paraId="7F5E6552">
                  <w:pPr>
                    <w:spacing w:line="240" w:lineRule="auto"/>
                    <w:jc w:val="center"/>
                    <w:rPr>
                      <w:color w:val="auto"/>
                      <w:kern w:val="0"/>
                      <w:sz w:val="21"/>
                      <w:szCs w:val="21"/>
                    </w:rPr>
                  </w:pPr>
                  <w:r>
                    <w:rPr>
                      <w:rFonts w:hint="eastAsia"/>
                      <w:color w:val="auto"/>
                      <w:kern w:val="0"/>
                      <w:sz w:val="21"/>
                      <w:szCs w:val="21"/>
                    </w:rPr>
                    <w:t>114</w:t>
                  </w:r>
                </w:p>
              </w:tc>
            </w:tr>
            <w:tr w14:paraId="4FABD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426DA26F">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年4月</w:t>
                  </w:r>
                </w:p>
              </w:tc>
              <w:tc>
                <w:tcPr>
                  <w:tcW w:w="699" w:type="pct"/>
                  <w:vAlign w:val="center"/>
                </w:tcPr>
                <w:p w14:paraId="02FD454F">
                  <w:pPr>
                    <w:spacing w:line="240" w:lineRule="auto"/>
                    <w:jc w:val="center"/>
                    <w:rPr>
                      <w:color w:val="auto"/>
                      <w:kern w:val="0"/>
                      <w:sz w:val="21"/>
                      <w:szCs w:val="21"/>
                    </w:rPr>
                  </w:pPr>
                  <w:r>
                    <w:rPr>
                      <w:rFonts w:hint="eastAsia"/>
                      <w:color w:val="auto"/>
                      <w:kern w:val="0"/>
                      <w:sz w:val="21"/>
                      <w:szCs w:val="21"/>
                    </w:rPr>
                    <w:t>2</w:t>
                  </w:r>
                </w:p>
              </w:tc>
              <w:tc>
                <w:tcPr>
                  <w:tcW w:w="652" w:type="pct"/>
                  <w:vAlign w:val="center"/>
                </w:tcPr>
                <w:p w14:paraId="49589807">
                  <w:pPr>
                    <w:spacing w:line="240" w:lineRule="auto"/>
                    <w:jc w:val="center"/>
                    <w:rPr>
                      <w:color w:val="auto"/>
                      <w:kern w:val="0"/>
                      <w:sz w:val="21"/>
                      <w:szCs w:val="21"/>
                    </w:rPr>
                  </w:pPr>
                  <w:r>
                    <w:rPr>
                      <w:rFonts w:hint="eastAsia"/>
                      <w:color w:val="auto"/>
                      <w:kern w:val="0"/>
                      <w:sz w:val="21"/>
                      <w:szCs w:val="21"/>
                    </w:rPr>
                    <w:t>19</w:t>
                  </w:r>
                </w:p>
              </w:tc>
              <w:tc>
                <w:tcPr>
                  <w:tcW w:w="696" w:type="pct"/>
                  <w:vAlign w:val="center"/>
                </w:tcPr>
                <w:p w14:paraId="66CD2474">
                  <w:pPr>
                    <w:spacing w:line="240" w:lineRule="auto"/>
                    <w:jc w:val="center"/>
                    <w:rPr>
                      <w:color w:val="auto"/>
                      <w:kern w:val="0"/>
                      <w:sz w:val="21"/>
                      <w:szCs w:val="21"/>
                    </w:rPr>
                  </w:pPr>
                  <w:r>
                    <w:rPr>
                      <w:rFonts w:hint="eastAsia"/>
                      <w:color w:val="auto"/>
                      <w:kern w:val="0"/>
                      <w:sz w:val="21"/>
                      <w:szCs w:val="21"/>
                    </w:rPr>
                    <w:t>36</w:t>
                  </w:r>
                </w:p>
              </w:tc>
              <w:tc>
                <w:tcPr>
                  <w:tcW w:w="683" w:type="pct"/>
                  <w:vAlign w:val="center"/>
                </w:tcPr>
                <w:p w14:paraId="66FC53CD">
                  <w:pPr>
                    <w:spacing w:line="240" w:lineRule="auto"/>
                    <w:jc w:val="center"/>
                    <w:rPr>
                      <w:color w:val="auto"/>
                      <w:kern w:val="0"/>
                      <w:sz w:val="21"/>
                      <w:szCs w:val="21"/>
                    </w:rPr>
                  </w:pPr>
                  <w:r>
                    <w:rPr>
                      <w:rFonts w:hint="eastAsia"/>
                      <w:color w:val="auto"/>
                      <w:kern w:val="0"/>
                      <w:sz w:val="21"/>
                      <w:szCs w:val="21"/>
                    </w:rPr>
                    <w:t>26</w:t>
                  </w:r>
                </w:p>
              </w:tc>
              <w:tc>
                <w:tcPr>
                  <w:tcW w:w="727" w:type="pct"/>
                  <w:vAlign w:val="center"/>
                </w:tcPr>
                <w:p w14:paraId="7927BB42">
                  <w:pPr>
                    <w:spacing w:line="240" w:lineRule="auto"/>
                    <w:jc w:val="center"/>
                    <w:rPr>
                      <w:color w:val="auto"/>
                      <w:kern w:val="0"/>
                      <w:sz w:val="21"/>
                      <w:szCs w:val="21"/>
                    </w:rPr>
                  </w:pPr>
                  <w:r>
                    <w:rPr>
                      <w:rFonts w:hint="eastAsia"/>
                      <w:color w:val="auto"/>
                      <w:kern w:val="0"/>
                      <w:sz w:val="21"/>
                      <w:szCs w:val="21"/>
                    </w:rPr>
                    <w:t>0.7</w:t>
                  </w:r>
                </w:p>
              </w:tc>
              <w:tc>
                <w:tcPr>
                  <w:tcW w:w="675" w:type="pct"/>
                  <w:vAlign w:val="center"/>
                </w:tcPr>
                <w:p w14:paraId="0447C060">
                  <w:pPr>
                    <w:spacing w:line="240" w:lineRule="auto"/>
                    <w:jc w:val="center"/>
                    <w:rPr>
                      <w:color w:val="auto"/>
                      <w:kern w:val="0"/>
                      <w:sz w:val="21"/>
                      <w:szCs w:val="21"/>
                    </w:rPr>
                  </w:pPr>
                  <w:r>
                    <w:rPr>
                      <w:rFonts w:hint="eastAsia"/>
                      <w:color w:val="auto"/>
                      <w:kern w:val="0"/>
                      <w:sz w:val="21"/>
                      <w:szCs w:val="21"/>
                    </w:rPr>
                    <w:t>106</w:t>
                  </w:r>
                </w:p>
              </w:tc>
            </w:tr>
            <w:tr w14:paraId="758C4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0F6A7F70">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年5月</w:t>
                  </w:r>
                </w:p>
              </w:tc>
              <w:tc>
                <w:tcPr>
                  <w:tcW w:w="699" w:type="pct"/>
                  <w:vAlign w:val="center"/>
                </w:tcPr>
                <w:p w14:paraId="03A7A89C">
                  <w:pPr>
                    <w:spacing w:line="240" w:lineRule="auto"/>
                    <w:jc w:val="center"/>
                    <w:rPr>
                      <w:color w:val="auto"/>
                      <w:kern w:val="0"/>
                      <w:sz w:val="21"/>
                      <w:szCs w:val="21"/>
                    </w:rPr>
                  </w:pPr>
                  <w:r>
                    <w:rPr>
                      <w:rFonts w:hint="eastAsia"/>
                      <w:color w:val="auto"/>
                      <w:kern w:val="0"/>
                      <w:sz w:val="21"/>
                      <w:szCs w:val="21"/>
                    </w:rPr>
                    <w:t>2</w:t>
                  </w:r>
                </w:p>
              </w:tc>
              <w:tc>
                <w:tcPr>
                  <w:tcW w:w="652" w:type="pct"/>
                  <w:vAlign w:val="center"/>
                </w:tcPr>
                <w:p w14:paraId="51FC0FA2">
                  <w:pPr>
                    <w:spacing w:line="240" w:lineRule="auto"/>
                    <w:jc w:val="center"/>
                    <w:rPr>
                      <w:color w:val="auto"/>
                      <w:kern w:val="0"/>
                      <w:sz w:val="21"/>
                      <w:szCs w:val="21"/>
                    </w:rPr>
                  </w:pPr>
                  <w:r>
                    <w:rPr>
                      <w:rFonts w:hint="eastAsia"/>
                      <w:color w:val="auto"/>
                      <w:kern w:val="0"/>
                      <w:sz w:val="21"/>
                      <w:szCs w:val="21"/>
                    </w:rPr>
                    <w:t>10</w:t>
                  </w:r>
                </w:p>
              </w:tc>
              <w:tc>
                <w:tcPr>
                  <w:tcW w:w="696" w:type="pct"/>
                  <w:vAlign w:val="center"/>
                </w:tcPr>
                <w:p w14:paraId="4DF0A513">
                  <w:pPr>
                    <w:spacing w:line="240" w:lineRule="auto"/>
                    <w:jc w:val="center"/>
                    <w:rPr>
                      <w:color w:val="auto"/>
                      <w:kern w:val="0"/>
                      <w:sz w:val="21"/>
                      <w:szCs w:val="21"/>
                    </w:rPr>
                  </w:pPr>
                  <w:r>
                    <w:rPr>
                      <w:rFonts w:hint="eastAsia"/>
                      <w:color w:val="auto"/>
                      <w:kern w:val="0"/>
                      <w:sz w:val="21"/>
                      <w:szCs w:val="21"/>
                    </w:rPr>
                    <w:t>25</w:t>
                  </w:r>
                </w:p>
              </w:tc>
              <w:tc>
                <w:tcPr>
                  <w:tcW w:w="683" w:type="pct"/>
                  <w:vAlign w:val="center"/>
                </w:tcPr>
                <w:p w14:paraId="23F9A0F9">
                  <w:pPr>
                    <w:spacing w:line="240" w:lineRule="auto"/>
                    <w:jc w:val="center"/>
                    <w:rPr>
                      <w:color w:val="auto"/>
                      <w:kern w:val="0"/>
                      <w:sz w:val="21"/>
                      <w:szCs w:val="21"/>
                    </w:rPr>
                  </w:pPr>
                  <w:r>
                    <w:rPr>
                      <w:rFonts w:hint="eastAsia"/>
                      <w:color w:val="auto"/>
                      <w:kern w:val="0"/>
                      <w:sz w:val="21"/>
                      <w:szCs w:val="21"/>
                    </w:rPr>
                    <w:t>16</w:t>
                  </w:r>
                </w:p>
              </w:tc>
              <w:tc>
                <w:tcPr>
                  <w:tcW w:w="727" w:type="pct"/>
                  <w:vAlign w:val="center"/>
                </w:tcPr>
                <w:p w14:paraId="3AA1267B">
                  <w:pPr>
                    <w:spacing w:line="240" w:lineRule="auto"/>
                    <w:jc w:val="center"/>
                    <w:rPr>
                      <w:color w:val="auto"/>
                      <w:kern w:val="0"/>
                      <w:sz w:val="21"/>
                      <w:szCs w:val="21"/>
                    </w:rPr>
                  </w:pPr>
                  <w:r>
                    <w:rPr>
                      <w:rFonts w:hint="eastAsia"/>
                      <w:color w:val="auto"/>
                      <w:kern w:val="0"/>
                      <w:sz w:val="21"/>
                      <w:szCs w:val="21"/>
                    </w:rPr>
                    <w:t>0.5</w:t>
                  </w:r>
                </w:p>
              </w:tc>
              <w:tc>
                <w:tcPr>
                  <w:tcW w:w="675" w:type="pct"/>
                  <w:vAlign w:val="center"/>
                </w:tcPr>
                <w:p w14:paraId="534E1519">
                  <w:pPr>
                    <w:spacing w:line="240" w:lineRule="auto"/>
                    <w:jc w:val="center"/>
                    <w:rPr>
                      <w:color w:val="auto"/>
                      <w:kern w:val="0"/>
                      <w:sz w:val="21"/>
                      <w:szCs w:val="21"/>
                    </w:rPr>
                  </w:pPr>
                  <w:r>
                    <w:rPr>
                      <w:rFonts w:hint="eastAsia"/>
                      <w:color w:val="auto"/>
                      <w:kern w:val="0"/>
                      <w:sz w:val="21"/>
                      <w:szCs w:val="21"/>
                    </w:rPr>
                    <w:t>142</w:t>
                  </w:r>
                </w:p>
              </w:tc>
            </w:tr>
            <w:tr w14:paraId="37BA3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21854E2A">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年6月</w:t>
                  </w:r>
                </w:p>
              </w:tc>
              <w:tc>
                <w:tcPr>
                  <w:tcW w:w="699" w:type="pct"/>
                  <w:vAlign w:val="center"/>
                </w:tcPr>
                <w:p w14:paraId="12146885">
                  <w:pPr>
                    <w:spacing w:line="240" w:lineRule="auto"/>
                    <w:jc w:val="center"/>
                    <w:rPr>
                      <w:color w:val="auto"/>
                      <w:kern w:val="0"/>
                      <w:sz w:val="21"/>
                      <w:szCs w:val="21"/>
                    </w:rPr>
                  </w:pPr>
                  <w:r>
                    <w:rPr>
                      <w:rFonts w:hint="eastAsia"/>
                      <w:color w:val="auto"/>
                      <w:kern w:val="0"/>
                      <w:sz w:val="21"/>
                      <w:szCs w:val="21"/>
                    </w:rPr>
                    <w:t>2</w:t>
                  </w:r>
                </w:p>
              </w:tc>
              <w:tc>
                <w:tcPr>
                  <w:tcW w:w="652" w:type="pct"/>
                  <w:vAlign w:val="center"/>
                </w:tcPr>
                <w:p w14:paraId="33FA5FD4">
                  <w:pPr>
                    <w:spacing w:line="240" w:lineRule="auto"/>
                    <w:jc w:val="center"/>
                    <w:rPr>
                      <w:color w:val="auto"/>
                      <w:kern w:val="0"/>
                      <w:sz w:val="21"/>
                      <w:szCs w:val="21"/>
                    </w:rPr>
                  </w:pPr>
                  <w:r>
                    <w:rPr>
                      <w:rFonts w:hint="eastAsia"/>
                      <w:color w:val="auto"/>
                      <w:kern w:val="0"/>
                      <w:sz w:val="21"/>
                      <w:szCs w:val="21"/>
                    </w:rPr>
                    <w:t>8</w:t>
                  </w:r>
                </w:p>
              </w:tc>
              <w:tc>
                <w:tcPr>
                  <w:tcW w:w="696" w:type="pct"/>
                  <w:vAlign w:val="center"/>
                </w:tcPr>
                <w:p w14:paraId="273B139F">
                  <w:pPr>
                    <w:spacing w:line="240" w:lineRule="auto"/>
                    <w:jc w:val="center"/>
                    <w:rPr>
                      <w:color w:val="auto"/>
                      <w:kern w:val="0"/>
                      <w:sz w:val="21"/>
                      <w:szCs w:val="21"/>
                    </w:rPr>
                  </w:pPr>
                  <w:r>
                    <w:rPr>
                      <w:rFonts w:hint="eastAsia"/>
                      <w:color w:val="auto"/>
                      <w:kern w:val="0"/>
                      <w:sz w:val="21"/>
                      <w:szCs w:val="21"/>
                    </w:rPr>
                    <w:t>22</w:t>
                  </w:r>
                </w:p>
              </w:tc>
              <w:tc>
                <w:tcPr>
                  <w:tcW w:w="683" w:type="pct"/>
                  <w:vAlign w:val="center"/>
                </w:tcPr>
                <w:p w14:paraId="206C78CE">
                  <w:pPr>
                    <w:spacing w:line="240" w:lineRule="auto"/>
                    <w:jc w:val="center"/>
                    <w:rPr>
                      <w:color w:val="auto"/>
                      <w:kern w:val="0"/>
                      <w:sz w:val="21"/>
                      <w:szCs w:val="21"/>
                    </w:rPr>
                  </w:pPr>
                  <w:r>
                    <w:rPr>
                      <w:rFonts w:hint="eastAsia"/>
                      <w:color w:val="auto"/>
                      <w:kern w:val="0"/>
                      <w:sz w:val="21"/>
                      <w:szCs w:val="21"/>
                    </w:rPr>
                    <w:t>11</w:t>
                  </w:r>
                </w:p>
              </w:tc>
              <w:tc>
                <w:tcPr>
                  <w:tcW w:w="727" w:type="pct"/>
                  <w:vAlign w:val="center"/>
                </w:tcPr>
                <w:p w14:paraId="7C633998">
                  <w:pPr>
                    <w:spacing w:line="240" w:lineRule="auto"/>
                    <w:jc w:val="center"/>
                    <w:rPr>
                      <w:color w:val="auto"/>
                      <w:kern w:val="0"/>
                      <w:sz w:val="21"/>
                      <w:szCs w:val="21"/>
                    </w:rPr>
                  </w:pPr>
                  <w:r>
                    <w:rPr>
                      <w:rFonts w:hint="eastAsia"/>
                      <w:color w:val="auto"/>
                      <w:kern w:val="0"/>
                      <w:sz w:val="21"/>
                      <w:szCs w:val="21"/>
                    </w:rPr>
                    <w:t>0.5</w:t>
                  </w:r>
                </w:p>
              </w:tc>
              <w:tc>
                <w:tcPr>
                  <w:tcW w:w="675" w:type="pct"/>
                  <w:vAlign w:val="center"/>
                </w:tcPr>
                <w:p w14:paraId="05A5765B">
                  <w:pPr>
                    <w:spacing w:line="240" w:lineRule="auto"/>
                    <w:jc w:val="center"/>
                    <w:rPr>
                      <w:color w:val="auto"/>
                      <w:kern w:val="0"/>
                      <w:sz w:val="21"/>
                      <w:szCs w:val="21"/>
                    </w:rPr>
                  </w:pPr>
                  <w:r>
                    <w:rPr>
                      <w:rFonts w:hint="eastAsia"/>
                      <w:color w:val="auto"/>
                      <w:kern w:val="0"/>
                      <w:sz w:val="21"/>
                      <w:szCs w:val="21"/>
                    </w:rPr>
                    <w:t>108</w:t>
                  </w:r>
                </w:p>
              </w:tc>
            </w:tr>
            <w:tr w14:paraId="080A5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7DF13844">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年7月</w:t>
                  </w:r>
                </w:p>
              </w:tc>
              <w:tc>
                <w:tcPr>
                  <w:tcW w:w="699" w:type="pct"/>
                  <w:vAlign w:val="center"/>
                </w:tcPr>
                <w:p w14:paraId="2A087D12">
                  <w:pPr>
                    <w:spacing w:line="240" w:lineRule="auto"/>
                    <w:jc w:val="center"/>
                    <w:rPr>
                      <w:color w:val="auto"/>
                      <w:kern w:val="0"/>
                      <w:sz w:val="21"/>
                      <w:szCs w:val="21"/>
                    </w:rPr>
                  </w:pPr>
                  <w:r>
                    <w:rPr>
                      <w:rFonts w:hint="eastAsia"/>
                      <w:color w:val="auto"/>
                      <w:kern w:val="0"/>
                      <w:sz w:val="21"/>
                      <w:szCs w:val="21"/>
                    </w:rPr>
                    <w:t>3</w:t>
                  </w:r>
                </w:p>
              </w:tc>
              <w:tc>
                <w:tcPr>
                  <w:tcW w:w="652" w:type="pct"/>
                  <w:vAlign w:val="center"/>
                </w:tcPr>
                <w:p w14:paraId="22B2D277">
                  <w:pPr>
                    <w:spacing w:line="240" w:lineRule="auto"/>
                    <w:jc w:val="center"/>
                    <w:rPr>
                      <w:color w:val="auto"/>
                      <w:kern w:val="0"/>
                      <w:sz w:val="21"/>
                      <w:szCs w:val="21"/>
                    </w:rPr>
                  </w:pPr>
                  <w:r>
                    <w:rPr>
                      <w:rFonts w:hint="eastAsia"/>
                      <w:color w:val="auto"/>
                      <w:kern w:val="0"/>
                      <w:sz w:val="21"/>
                      <w:szCs w:val="21"/>
                    </w:rPr>
                    <w:t>7</w:t>
                  </w:r>
                </w:p>
              </w:tc>
              <w:tc>
                <w:tcPr>
                  <w:tcW w:w="696" w:type="pct"/>
                  <w:vAlign w:val="center"/>
                </w:tcPr>
                <w:p w14:paraId="4140D82D">
                  <w:pPr>
                    <w:spacing w:line="240" w:lineRule="auto"/>
                    <w:jc w:val="center"/>
                    <w:rPr>
                      <w:color w:val="auto"/>
                      <w:kern w:val="0"/>
                      <w:sz w:val="21"/>
                      <w:szCs w:val="21"/>
                    </w:rPr>
                  </w:pPr>
                  <w:r>
                    <w:rPr>
                      <w:rFonts w:hint="eastAsia"/>
                      <w:color w:val="auto"/>
                      <w:kern w:val="0"/>
                      <w:sz w:val="21"/>
                      <w:szCs w:val="21"/>
                    </w:rPr>
                    <w:t>21</w:t>
                  </w:r>
                </w:p>
              </w:tc>
              <w:tc>
                <w:tcPr>
                  <w:tcW w:w="683" w:type="pct"/>
                  <w:vAlign w:val="center"/>
                </w:tcPr>
                <w:p w14:paraId="6FB211FB">
                  <w:pPr>
                    <w:spacing w:line="240" w:lineRule="auto"/>
                    <w:jc w:val="center"/>
                    <w:rPr>
                      <w:color w:val="auto"/>
                      <w:kern w:val="0"/>
                      <w:sz w:val="21"/>
                      <w:szCs w:val="21"/>
                    </w:rPr>
                  </w:pPr>
                  <w:r>
                    <w:rPr>
                      <w:rFonts w:hint="eastAsia"/>
                      <w:color w:val="auto"/>
                      <w:kern w:val="0"/>
                      <w:sz w:val="21"/>
                      <w:szCs w:val="21"/>
                    </w:rPr>
                    <w:t>12</w:t>
                  </w:r>
                </w:p>
              </w:tc>
              <w:tc>
                <w:tcPr>
                  <w:tcW w:w="727" w:type="pct"/>
                  <w:vAlign w:val="center"/>
                </w:tcPr>
                <w:p w14:paraId="1D68D002">
                  <w:pPr>
                    <w:spacing w:line="240" w:lineRule="auto"/>
                    <w:jc w:val="center"/>
                    <w:rPr>
                      <w:color w:val="auto"/>
                      <w:kern w:val="0"/>
                      <w:sz w:val="21"/>
                      <w:szCs w:val="21"/>
                    </w:rPr>
                  </w:pPr>
                  <w:r>
                    <w:rPr>
                      <w:rFonts w:hint="eastAsia"/>
                      <w:color w:val="auto"/>
                      <w:kern w:val="0"/>
                      <w:sz w:val="21"/>
                      <w:szCs w:val="21"/>
                    </w:rPr>
                    <w:t>0.4</w:t>
                  </w:r>
                </w:p>
              </w:tc>
              <w:tc>
                <w:tcPr>
                  <w:tcW w:w="675" w:type="pct"/>
                  <w:vAlign w:val="center"/>
                </w:tcPr>
                <w:p w14:paraId="5900A016">
                  <w:pPr>
                    <w:spacing w:line="240" w:lineRule="auto"/>
                    <w:jc w:val="center"/>
                    <w:rPr>
                      <w:color w:val="auto"/>
                      <w:kern w:val="0"/>
                      <w:sz w:val="21"/>
                      <w:szCs w:val="21"/>
                    </w:rPr>
                  </w:pPr>
                  <w:r>
                    <w:rPr>
                      <w:rFonts w:hint="eastAsia"/>
                      <w:color w:val="auto"/>
                      <w:kern w:val="0"/>
                      <w:sz w:val="21"/>
                      <w:szCs w:val="21"/>
                    </w:rPr>
                    <w:t>112</w:t>
                  </w:r>
                </w:p>
              </w:tc>
            </w:tr>
            <w:tr w14:paraId="005A3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0ED7DA87">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年8月</w:t>
                  </w:r>
                </w:p>
              </w:tc>
              <w:tc>
                <w:tcPr>
                  <w:tcW w:w="699" w:type="pct"/>
                  <w:vAlign w:val="center"/>
                </w:tcPr>
                <w:p w14:paraId="09E7179B">
                  <w:pPr>
                    <w:spacing w:line="240" w:lineRule="auto"/>
                    <w:jc w:val="center"/>
                    <w:rPr>
                      <w:color w:val="auto"/>
                      <w:kern w:val="0"/>
                      <w:sz w:val="21"/>
                      <w:szCs w:val="21"/>
                    </w:rPr>
                  </w:pPr>
                  <w:r>
                    <w:rPr>
                      <w:rFonts w:hint="eastAsia"/>
                      <w:color w:val="auto"/>
                      <w:kern w:val="0"/>
                      <w:sz w:val="21"/>
                      <w:szCs w:val="21"/>
                    </w:rPr>
                    <w:t>3</w:t>
                  </w:r>
                </w:p>
              </w:tc>
              <w:tc>
                <w:tcPr>
                  <w:tcW w:w="652" w:type="pct"/>
                  <w:vAlign w:val="center"/>
                </w:tcPr>
                <w:p w14:paraId="01814F62">
                  <w:pPr>
                    <w:spacing w:line="240" w:lineRule="auto"/>
                    <w:jc w:val="center"/>
                    <w:rPr>
                      <w:color w:val="auto"/>
                      <w:kern w:val="0"/>
                      <w:sz w:val="21"/>
                      <w:szCs w:val="21"/>
                    </w:rPr>
                  </w:pPr>
                  <w:r>
                    <w:rPr>
                      <w:rFonts w:hint="eastAsia"/>
                      <w:color w:val="auto"/>
                      <w:kern w:val="0"/>
                      <w:sz w:val="21"/>
                      <w:szCs w:val="21"/>
                    </w:rPr>
                    <w:t>9</w:t>
                  </w:r>
                </w:p>
              </w:tc>
              <w:tc>
                <w:tcPr>
                  <w:tcW w:w="696" w:type="pct"/>
                  <w:vAlign w:val="center"/>
                </w:tcPr>
                <w:p w14:paraId="58CF0D4F">
                  <w:pPr>
                    <w:spacing w:line="240" w:lineRule="auto"/>
                    <w:jc w:val="center"/>
                    <w:rPr>
                      <w:color w:val="auto"/>
                      <w:kern w:val="0"/>
                      <w:sz w:val="21"/>
                      <w:szCs w:val="21"/>
                    </w:rPr>
                  </w:pPr>
                  <w:r>
                    <w:rPr>
                      <w:rFonts w:hint="eastAsia"/>
                      <w:color w:val="auto"/>
                      <w:kern w:val="0"/>
                      <w:sz w:val="21"/>
                      <w:szCs w:val="21"/>
                    </w:rPr>
                    <w:t>33</w:t>
                  </w:r>
                </w:p>
              </w:tc>
              <w:tc>
                <w:tcPr>
                  <w:tcW w:w="683" w:type="pct"/>
                  <w:vAlign w:val="center"/>
                </w:tcPr>
                <w:p w14:paraId="1A3E7E13">
                  <w:pPr>
                    <w:spacing w:line="240" w:lineRule="auto"/>
                    <w:jc w:val="center"/>
                    <w:rPr>
                      <w:color w:val="auto"/>
                      <w:kern w:val="0"/>
                      <w:sz w:val="21"/>
                      <w:szCs w:val="21"/>
                    </w:rPr>
                  </w:pPr>
                  <w:r>
                    <w:rPr>
                      <w:rFonts w:hint="eastAsia"/>
                      <w:color w:val="auto"/>
                      <w:kern w:val="0"/>
                      <w:sz w:val="21"/>
                      <w:szCs w:val="21"/>
                    </w:rPr>
                    <w:t>18</w:t>
                  </w:r>
                </w:p>
              </w:tc>
              <w:tc>
                <w:tcPr>
                  <w:tcW w:w="727" w:type="pct"/>
                  <w:vAlign w:val="center"/>
                </w:tcPr>
                <w:p w14:paraId="6A774CD5">
                  <w:pPr>
                    <w:spacing w:line="240" w:lineRule="auto"/>
                    <w:jc w:val="center"/>
                    <w:rPr>
                      <w:color w:val="auto"/>
                      <w:kern w:val="0"/>
                      <w:sz w:val="21"/>
                      <w:szCs w:val="21"/>
                    </w:rPr>
                  </w:pPr>
                  <w:r>
                    <w:rPr>
                      <w:rFonts w:hint="eastAsia"/>
                      <w:color w:val="auto"/>
                      <w:kern w:val="0"/>
                      <w:sz w:val="21"/>
                      <w:szCs w:val="21"/>
                    </w:rPr>
                    <w:t>0.6</w:t>
                  </w:r>
                </w:p>
              </w:tc>
              <w:tc>
                <w:tcPr>
                  <w:tcW w:w="675" w:type="pct"/>
                  <w:vAlign w:val="center"/>
                </w:tcPr>
                <w:p w14:paraId="7DCB6E7A">
                  <w:pPr>
                    <w:spacing w:line="240" w:lineRule="auto"/>
                    <w:jc w:val="center"/>
                    <w:rPr>
                      <w:color w:val="auto"/>
                      <w:kern w:val="0"/>
                      <w:sz w:val="21"/>
                      <w:szCs w:val="21"/>
                    </w:rPr>
                  </w:pPr>
                  <w:r>
                    <w:rPr>
                      <w:rFonts w:hint="eastAsia"/>
                      <w:color w:val="auto"/>
                      <w:kern w:val="0"/>
                      <w:sz w:val="21"/>
                      <w:szCs w:val="21"/>
                    </w:rPr>
                    <w:t>140</w:t>
                  </w:r>
                </w:p>
              </w:tc>
            </w:tr>
            <w:tr w14:paraId="4E484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20C17091">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年9月</w:t>
                  </w:r>
                </w:p>
              </w:tc>
              <w:tc>
                <w:tcPr>
                  <w:tcW w:w="699" w:type="pct"/>
                  <w:vAlign w:val="center"/>
                </w:tcPr>
                <w:p w14:paraId="38083575">
                  <w:pPr>
                    <w:spacing w:line="240" w:lineRule="auto"/>
                    <w:jc w:val="center"/>
                    <w:rPr>
                      <w:color w:val="auto"/>
                      <w:kern w:val="0"/>
                      <w:sz w:val="21"/>
                      <w:szCs w:val="21"/>
                    </w:rPr>
                  </w:pPr>
                  <w:r>
                    <w:rPr>
                      <w:rFonts w:hint="eastAsia"/>
                      <w:color w:val="auto"/>
                      <w:kern w:val="0"/>
                      <w:sz w:val="21"/>
                      <w:szCs w:val="21"/>
                    </w:rPr>
                    <w:t>4</w:t>
                  </w:r>
                </w:p>
              </w:tc>
              <w:tc>
                <w:tcPr>
                  <w:tcW w:w="652" w:type="pct"/>
                  <w:vAlign w:val="center"/>
                </w:tcPr>
                <w:p w14:paraId="2DF79602">
                  <w:pPr>
                    <w:spacing w:line="240" w:lineRule="auto"/>
                    <w:jc w:val="center"/>
                    <w:rPr>
                      <w:color w:val="auto"/>
                      <w:kern w:val="0"/>
                      <w:sz w:val="21"/>
                      <w:szCs w:val="21"/>
                    </w:rPr>
                  </w:pPr>
                  <w:r>
                    <w:rPr>
                      <w:rFonts w:hint="eastAsia"/>
                      <w:color w:val="auto"/>
                      <w:kern w:val="0"/>
                      <w:sz w:val="21"/>
                      <w:szCs w:val="21"/>
                    </w:rPr>
                    <w:t>8</w:t>
                  </w:r>
                </w:p>
              </w:tc>
              <w:tc>
                <w:tcPr>
                  <w:tcW w:w="696" w:type="pct"/>
                  <w:vAlign w:val="center"/>
                </w:tcPr>
                <w:p w14:paraId="0E428FAA">
                  <w:pPr>
                    <w:spacing w:line="240" w:lineRule="auto"/>
                    <w:jc w:val="center"/>
                    <w:rPr>
                      <w:color w:val="auto"/>
                      <w:kern w:val="0"/>
                      <w:sz w:val="21"/>
                      <w:szCs w:val="21"/>
                    </w:rPr>
                  </w:pPr>
                  <w:r>
                    <w:rPr>
                      <w:rFonts w:hint="eastAsia"/>
                      <w:color w:val="auto"/>
                      <w:kern w:val="0"/>
                      <w:sz w:val="21"/>
                      <w:szCs w:val="21"/>
                    </w:rPr>
                    <w:t>22</w:t>
                  </w:r>
                </w:p>
              </w:tc>
              <w:tc>
                <w:tcPr>
                  <w:tcW w:w="683" w:type="pct"/>
                  <w:vAlign w:val="center"/>
                </w:tcPr>
                <w:p w14:paraId="2A8E246E">
                  <w:pPr>
                    <w:spacing w:line="240" w:lineRule="auto"/>
                    <w:jc w:val="center"/>
                    <w:rPr>
                      <w:color w:val="auto"/>
                      <w:kern w:val="0"/>
                      <w:sz w:val="21"/>
                      <w:szCs w:val="21"/>
                    </w:rPr>
                  </w:pPr>
                  <w:r>
                    <w:rPr>
                      <w:rFonts w:hint="eastAsia"/>
                      <w:color w:val="auto"/>
                      <w:kern w:val="0"/>
                      <w:sz w:val="21"/>
                      <w:szCs w:val="21"/>
                    </w:rPr>
                    <w:t>12</w:t>
                  </w:r>
                </w:p>
              </w:tc>
              <w:tc>
                <w:tcPr>
                  <w:tcW w:w="727" w:type="pct"/>
                  <w:vAlign w:val="center"/>
                </w:tcPr>
                <w:p w14:paraId="2A18683A">
                  <w:pPr>
                    <w:spacing w:line="240" w:lineRule="auto"/>
                    <w:jc w:val="center"/>
                    <w:rPr>
                      <w:color w:val="auto"/>
                      <w:kern w:val="0"/>
                      <w:sz w:val="21"/>
                      <w:szCs w:val="21"/>
                    </w:rPr>
                  </w:pPr>
                  <w:r>
                    <w:rPr>
                      <w:rFonts w:hint="eastAsia"/>
                      <w:color w:val="auto"/>
                      <w:kern w:val="0"/>
                      <w:sz w:val="21"/>
                      <w:szCs w:val="21"/>
                    </w:rPr>
                    <w:t>0.6</w:t>
                  </w:r>
                </w:p>
              </w:tc>
              <w:tc>
                <w:tcPr>
                  <w:tcW w:w="675" w:type="pct"/>
                  <w:vAlign w:val="center"/>
                </w:tcPr>
                <w:p w14:paraId="056351DD">
                  <w:pPr>
                    <w:spacing w:line="240" w:lineRule="auto"/>
                    <w:jc w:val="center"/>
                    <w:rPr>
                      <w:color w:val="auto"/>
                      <w:kern w:val="0"/>
                      <w:sz w:val="21"/>
                      <w:szCs w:val="21"/>
                    </w:rPr>
                  </w:pPr>
                  <w:r>
                    <w:rPr>
                      <w:rFonts w:hint="eastAsia"/>
                      <w:color w:val="auto"/>
                      <w:kern w:val="0"/>
                      <w:sz w:val="21"/>
                      <w:szCs w:val="21"/>
                    </w:rPr>
                    <w:t>105</w:t>
                  </w:r>
                </w:p>
              </w:tc>
            </w:tr>
            <w:tr w14:paraId="7295F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4603E059">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年10月</w:t>
                  </w:r>
                </w:p>
              </w:tc>
              <w:tc>
                <w:tcPr>
                  <w:tcW w:w="699" w:type="pct"/>
                  <w:vAlign w:val="center"/>
                </w:tcPr>
                <w:p w14:paraId="1DC27F51">
                  <w:pPr>
                    <w:spacing w:line="240" w:lineRule="auto"/>
                    <w:jc w:val="center"/>
                    <w:rPr>
                      <w:color w:val="auto"/>
                      <w:kern w:val="0"/>
                      <w:sz w:val="21"/>
                      <w:szCs w:val="21"/>
                    </w:rPr>
                  </w:pPr>
                  <w:r>
                    <w:rPr>
                      <w:rFonts w:hint="eastAsia"/>
                      <w:color w:val="auto"/>
                      <w:kern w:val="0"/>
                      <w:sz w:val="21"/>
                      <w:szCs w:val="21"/>
                    </w:rPr>
                    <w:t>4</w:t>
                  </w:r>
                </w:p>
              </w:tc>
              <w:tc>
                <w:tcPr>
                  <w:tcW w:w="652" w:type="pct"/>
                  <w:vAlign w:val="center"/>
                </w:tcPr>
                <w:p w14:paraId="499AF6C1">
                  <w:pPr>
                    <w:spacing w:line="240" w:lineRule="auto"/>
                    <w:jc w:val="center"/>
                    <w:rPr>
                      <w:color w:val="auto"/>
                      <w:kern w:val="0"/>
                      <w:sz w:val="21"/>
                      <w:szCs w:val="21"/>
                    </w:rPr>
                  </w:pPr>
                  <w:r>
                    <w:rPr>
                      <w:rFonts w:hint="eastAsia"/>
                      <w:color w:val="auto"/>
                      <w:kern w:val="0"/>
                      <w:sz w:val="21"/>
                      <w:szCs w:val="21"/>
                    </w:rPr>
                    <w:t>10</w:t>
                  </w:r>
                </w:p>
              </w:tc>
              <w:tc>
                <w:tcPr>
                  <w:tcW w:w="696" w:type="pct"/>
                  <w:vAlign w:val="center"/>
                </w:tcPr>
                <w:p w14:paraId="58F92A05">
                  <w:pPr>
                    <w:spacing w:line="240" w:lineRule="auto"/>
                    <w:jc w:val="center"/>
                    <w:rPr>
                      <w:color w:val="auto"/>
                      <w:kern w:val="0"/>
                      <w:sz w:val="21"/>
                      <w:szCs w:val="21"/>
                    </w:rPr>
                  </w:pPr>
                  <w:r>
                    <w:rPr>
                      <w:rFonts w:hint="eastAsia"/>
                      <w:color w:val="auto"/>
                      <w:kern w:val="0"/>
                      <w:sz w:val="21"/>
                      <w:szCs w:val="21"/>
                    </w:rPr>
                    <w:t>25</w:t>
                  </w:r>
                </w:p>
              </w:tc>
              <w:tc>
                <w:tcPr>
                  <w:tcW w:w="683" w:type="pct"/>
                  <w:vAlign w:val="center"/>
                </w:tcPr>
                <w:p w14:paraId="69CDEED6">
                  <w:pPr>
                    <w:spacing w:line="240" w:lineRule="auto"/>
                    <w:jc w:val="center"/>
                    <w:rPr>
                      <w:color w:val="auto"/>
                      <w:kern w:val="0"/>
                      <w:sz w:val="21"/>
                      <w:szCs w:val="21"/>
                    </w:rPr>
                  </w:pPr>
                  <w:r>
                    <w:rPr>
                      <w:rFonts w:hint="eastAsia"/>
                      <w:color w:val="auto"/>
                      <w:kern w:val="0"/>
                      <w:sz w:val="21"/>
                      <w:szCs w:val="21"/>
                    </w:rPr>
                    <w:t>14</w:t>
                  </w:r>
                </w:p>
              </w:tc>
              <w:tc>
                <w:tcPr>
                  <w:tcW w:w="727" w:type="pct"/>
                  <w:vAlign w:val="center"/>
                </w:tcPr>
                <w:p w14:paraId="1C506C99">
                  <w:pPr>
                    <w:spacing w:line="240" w:lineRule="auto"/>
                    <w:jc w:val="center"/>
                    <w:rPr>
                      <w:color w:val="auto"/>
                      <w:kern w:val="0"/>
                      <w:sz w:val="21"/>
                      <w:szCs w:val="21"/>
                    </w:rPr>
                  </w:pPr>
                  <w:r>
                    <w:rPr>
                      <w:rFonts w:hint="eastAsia"/>
                      <w:color w:val="auto"/>
                      <w:kern w:val="0"/>
                      <w:sz w:val="21"/>
                      <w:szCs w:val="21"/>
                    </w:rPr>
                    <w:t>0.6</w:t>
                  </w:r>
                </w:p>
              </w:tc>
              <w:tc>
                <w:tcPr>
                  <w:tcW w:w="675" w:type="pct"/>
                  <w:vAlign w:val="center"/>
                </w:tcPr>
                <w:p w14:paraId="5462EFCA">
                  <w:pPr>
                    <w:spacing w:line="240" w:lineRule="auto"/>
                    <w:jc w:val="center"/>
                    <w:rPr>
                      <w:color w:val="auto"/>
                      <w:kern w:val="0"/>
                      <w:sz w:val="21"/>
                      <w:szCs w:val="21"/>
                    </w:rPr>
                  </w:pPr>
                  <w:r>
                    <w:rPr>
                      <w:rFonts w:hint="eastAsia"/>
                      <w:color w:val="auto"/>
                      <w:kern w:val="0"/>
                      <w:sz w:val="21"/>
                      <w:szCs w:val="21"/>
                    </w:rPr>
                    <w:t>118</w:t>
                  </w:r>
                </w:p>
              </w:tc>
            </w:tr>
            <w:tr w14:paraId="7FAAD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7E9C9950">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年11月</w:t>
                  </w:r>
                </w:p>
              </w:tc>
              <w:tc>
                <w:tcPr>
                  <w:tcW w:w="699" w:type="pct"/>
                  <w:vAlign w:val="center"/>
                </w:tcPr>
                <w:p w14:paraId="58B297A9">
                  <w:pPr>
                    <w:spacing w:line="240" w:lineRule="auto"/>
                    <w:jc w:val="center"/>
                    <w:rPr>
                      <w:color w:val="auto"/>
                      <w:kern w:val="0"/>
                      <w:sz w:val="21"/>
                      <w:szCs w:val="21"/>
                    </w:rPr>
                  </w:pPr>
                  <w:r>
                    <w:rPr>
                      <w:rFonts w:hint="eastAsia"/>
                      <w:color w:val="auto"/>
                      <w:kern w:val="0"/>
                      <w:sz w:val="21"/>
                      <w:szCs w:val="21"/>
                    </w:rPr>
                    <w:t>2</w:t>
                  </w:r>
                </w:p>
              </w:tc>
              <w:tc>
                <w:tcPr>
                  <w:tcW w:w="652" w:type="pct"/>
                  <w:vAlign w:val="center"/>
                </w:tcPr>
                <w:p w14:paraId="56710323">
                  <w:pPr>
                    <w:spacing w:line="240" w:lineRule="auto"/>
                    <w:jc w:val="center"/>
                    <w:rPr>
                      <w:color w:val="auto"/>
                      <w:kern w:val="0"/>
                      <w:sz w:val="21"/>
                      <w:szCs w:val="21"/>
                    </w:rPr>
                  </w:pPr>
                  <w:r>
                    <w:rPr>
                      <w:rFonts w:hint="eastAsia"/>
                      <w:color w:val="auto"/>
                      <w:kern w:val="0"/>
                      <w:sz w:val="21"/>
                      <w:szCs w:val="21"/>
                    </w:rPr>
                    <w:t>12</w:t>
                  </w:r>
                </w:p>
              </w:tc>
              <w:tc>
                <w:tcPr>
                  <w:tcW w:w="696" w:type="pct"/>
                  <w:vAlign w:val="center"/>
                </w:tcPr>
                <w:p w14:paraId="48924043">
                  <w:pPr>
                    <w:spacing w:line="240" w:lineRule="auto"/>
                    <w:jc w:val="center"/>
                    <w:rPr>
                      <w:color w:val="auto"/>
                      <w:kern w:val="0"/>
                      <w:sz w:val="21"/>
                      <w:szCs w:val="21"/>
                    </w:rPr>
                  </w:pPr>
                  <w:r>
                    <w:rPr>
                      <w:rFonts w:hint="eastAsia"/>
                      <w:color w:val="auto"/>
                      <w:kern w:val="0"/>
                      <w:sz w:val="21"/>
                      <w:szCs w:val="21"/>
                    </w:rPr>
                    <w:t>24</w:t>
                  </w:r>
                </w:p>
              </w:tc>
              <w:tc>
                <w:tcPr>
                  <w:tcW w:w="683" w:type="pct"/>
                  <w:vAlign w:val="center"/>
                </w:tcPr>
                <w:p w14:paraId="2DB82F6B">
                  <w:pPr>
                    <w:spacing w:line="240" w:lineRule="auto"/>
                    <w:jc w:val="center"/>
                    <w:rPr>
                      <w:color w:val="auto"/>
                      <w:kern w:val="0"/>
                      <w:sz w:val="21"/>
                      <w:szCs w:val="21"/>
                    </w:rPr>
                  </w:pPr>
                  <w:r>
                    <w:rPr>
                      <w:rFonts w:hint="eastAsia"/>
                      <w:color w:val="auto"/>
                      <w:kern w:val="0"/>
                      <w:sz w:val="21"/>
                      <w:szCs w:val="21"/>
                    </w:rPr>
                    <w:t>13</w:t>
                  </w:r>
                </w:p>
              </w:tc>
              <w:tc>
                <w:tcPr>
                  <w:tcW w:w="727" w:type="pct"/>
                  <w:vAlign w:val="center"/>
                </w:tcPr>
                <w:p w14:paraId="0DFFF6FD">
                  <w:pPr>
                    <w:spacing w:line="240" w:lineRule="auto"/>
                    <w:jc w:val="center"/>
                    <w:rPr>
                      <w:color w:val="auto"/>
                      <w:kern w:val="0"/>
                      <w:sz w:val="21"/>
                      <w:szCs w:val="21"/>
                    </w:rPr>
                  </w:pPr>
                  <w:r>
                    <w:rPr>
                      <w:rFonts w:hint="eastAsia"/>
                      <w:color w:val="auto"/>
                      <w:kern w:val="0"/>
                      <w:sz w:val="21"/>
                      <w:szCs w:val="21"/>
                    </w:rPr>
                    <w:t>0.7</w:t>
                  </w:r>
                </w:p>
              </w:tc>
              <w:tc>
                <w:tcPr>
                  <w:tcW w:w="675" w:type="pct"/>
                  <w:vAlign w:val="center"/>
                </w:tcPr>
                <w:p w14:paraId="2FB2F698">
                  <w:pPr>
                    <w:spacing w:line="240" w:lineRule="auto"/>
                    <w:jc w:val="center"/>
                    <w:rPr>
                      <w:color w:val="auto"/>
                      <w:kern w:val="0"/>
                      <w:sz w:val="21"/>
                      <w:szCs w:val="21"/>
                    </w:rPr>
                  </w:pPr>
                  <w:r>
                    <w:rPr>
                      <w:rFonts w:hint="eastAsia"/>
                      <w:color w:val="auto"/>
                      <w:kern w:val="0"/>
                      <w:sz w:val="21"/>
                      <w:szCs w:val="21"/>
                    </w:rPr>
                    <w:t>116</w:t>
                  </w:r>
                </w:p>
              </w:tc>
            </w:tr>
            <w:tr w14:paraId="246B5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59368B9A">
                  <w:pPr>
                    <w:spacing w:line="240" w:lineRule="auto"/>
                    <w:jc w:val="center"/>
                    <w:rPr>
                      <w:color w:val="auto"/>
                      <w:sz w:val="21"/>
                      <w:szCs w:val="21"/>
                    </w:rPr>
                  </w:pPr>
                  <w:r>
                    <w:rPr>
                      <w:color w:val="auto"/>
                      <w:sz w:val="21"/>
                      <w:szCs w:val="21"/>
                    </w:rPr>
                    <w:t>202</w:t>
                  </w:r>
                  <w:r>
                    <w:rPr>
                      <w:rFonts w:hint="eastAsia"/>
                      <w:color w:val="auto"/>
                      <w:sz w:val="21"/>
                      <w:szCs w:val="21"/>
                    </w:rPr>
                    <w:t>4</w:t>
                  </w:r>
                  <w:r>
                    <w:rPr>
                      <w:color w:val="auto"/>
                      <w:sz w:val="21"/>
                      <w:szCs w:val="21"/>
                    </w:rPr>
                    <w:t>年12月</w:t>
                  </w:r>
                </w:p>
              </w:tc>
              <w:tc>
                <w:tcPr>
                  <w:tcW w:w="699" w:type="pct"/>
                  <w:vAlign w:val="center"/>
                </w:tcPr>
                <w:p w14:paraId="1C966FA2">
                  <w:pPr>
                    <w:spacing w:line="240" w:lineRule="auto"/>
                    <w:jc w:val="center"/>
                    <w:rPr>
                      <w:color w:val="auto"/>
                      <w:kern w:val="0"/>
                      <w:sz w:val="21"/>
                      <w:szCs w:val="21"/>
                    </w:rPr>
                  </w:pPr>
                  <w:r>
                    <w:rPr>
                      <w:rFonts w:hint="eastAsia"/>
                      <w:color w:val="auto"/>
                      <w:kern w:val="0"/>
                      <w:sz w:val="21"/>
                      <w:szCs w:val="21"/>
                    </w:rPr>
                    <w:t>2</w:t>
                  </w:r>
                </w:p>
              </w:tc>
              <w:tc>
                <w:tcPr>
                  <w:tcW w:w="652" w:type="pct"/>
                  <w:vAlign w:val="center"/>
                </w:tcPr>
                <w:p w14:paraId="524567C7">
                  <w:pPr>
                    <w:spacing w:line="240" w:lineRule="auto"/>
                    <w:jc w:val="center"/>
                    <w:rPr>
                      <w:color w:val="auto"/>
                      <w:kern w:val="0"/>
                      <w:sz w:val="21"/>
                      <w:szCs w:val="21"/>
                    </w:rPr>
                  </w:pPr>
                  <w:r>
                    <w:rPr>
                      <w:rFonts w:hint="eastAsia"/>
                      <w:color w:val="auto"/>
                      <w:kern w:val="0"/>
                      <w:sz w:val="21"/>
                      <w:szCs w:val="21"/>
                    </w:rPr>
                    <w:t>19</w:t>
                  </w:r>
                </w:p>
              </w:tc>
              <w:tc>
                <w:tcPr>
                  <w:tcW w:w="696" w:type="pct"/>
                  <w:vAlign w:val="center"/>
                </w:tcPr>
                <w:p w14:paraId="4BAB1389">
                  <w:pPr>
                    <w:spacing w:line="240" w:lineRule="auto"/>
                    <w:jc w:val="center"/>
                    <w:rPr>
                      <w:color w:val="auto"/>
                      <w:kern w:val="0"/>
                      <w:sz w:val="21"/>
                      <w:szCs w:val="21"/>
                    </w:rPr>
                  </w:pPr>
                  <w:r>
                    <w:rPr>
                      <w:rFonts w:hint="eastAsia"/>
                      <w:color w:val="auto"/>
                      <w:kern w:val="0"/>
                      <w:sz w:val="21"/>
                      <w:szCs w:val="21"/>
                    </w:rPr>
                    <w:t>38</w:t>
                  </w:r>
                </w:p>
              </w:tc>
              <w:tc>
                <w:tcPr>
                  <w:tcW w:w="683" w:type="pct"/>
                  <w:vAlign w:val="center"/>
                </w:tcPr>
                <w:p w14:paraId="7D194B3A">
                  <w:pPr>
                    <w:spacing w:line="240" w:lineRule="auto"/>
                    <w:jc w:val="center"/>
                    <w:rPr>
                      <w:color w:val="auto"/>
                      <w:kern w:val="0"/>
                      <w:sz w:val="21"/>
                      <w:szCs w:val="21"/>
                    </w:rPr>
                  </w:pPr>
                  <w:r>
                    <w:rPr>
                      <w:rFonts w:hint="eastAsia"/>
                      <w:color w:val="auto"/>
                      <w:kern w:val="0"/>
                      <w:sz w:val="21"/>
                      <w:szCs w:val="21"/>
                    </w:rPr>
                    <w:t>26</w:t>
                  </w:r>
                </w:p>
              </w:tc>
              <w:tc>
                <w:tcPr>
                  <w:tcW w:w="727" w:type="pct"/>
                  <w:vAlign w:val="center"/>
                </w:tcPr>
                <w:p w14:paraId="4E67F5D1">
                  <w:pPr>
                    <w:spacing w:line="240" w:lineRule="auto"/>
                    <w:jc w:val="center"/>
                    <w:rPr>
                      <w:color w:val="auto"/>
                      <w:kern w:val="0"/>
                      <w:sz w:val="21"/>
                      <w:szCs w:val="21"/>
                    </w:rPr>
                  </w:pPr>
                  <w:r>
                    <w:rPr>
                      <w:rFonts w:hint="eastAsia"/>
                      <w:color w:val="auto"/>
                      <w:kern w:val="0"/>
                      <w:sz w:val="21"/>
                      <w:szCs w:val="21"/>
                    </w:rPr>
                    <w:t>0.6</w:t>
                  </w:r>
                </w:p>
              </w:tc>
              <w:tc>
                <w:tcPr>
                  <w:tcW w:w="675" w:type="pct"/>
                  <w:vAlign w:val="center"/>
                </w:tcPr>
                <w:p w14:paraId="054E359C">
                  <w:pPr>
                    <w:spacing w:line="240" w:lineRule="auto"/>
                    <w:jc w:val="center"/>
                    <w:rPr>
                      <w:color w:val="auto"/>
                      <w:kern w:val="0"/>
                      <w:sz w:val="21"/>
                      <w:szCs w:val="21"/>
                    </w:rPr>
                  </w:pPr>
                  <w:r>
                    <w:rPr>
                      <w:rFonts w:hint="eastAsia"/>
                      <w:color w:val="auto"/>
                      <w:kern w:val="0"/>
                      <w:sz w:val="21"/>
                      <w:szCs w:val="21"/>
                    </w:rPr>
                    <w:t>102</w:t>
                  </w:r>
                </w:p>
              </w:tc>
            </w:tr>
            <w:tr w14:paraId="5A9AD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45F335DD">
                  <w:pPr>
                    <w:spacing w:line="240" w:lineRule="auto"/>
                    <w:jc w:val="center"/>
                    <w:rPr>
                      <w:color w:val="auto"/>
                      <w:sz w:val="21"/>
                      <w:szCs w:val="21"/>
                    </w:rPr>
                  </w:pPr>
                  <w:r>
                    <w:rPr>
                      <w:color w:val="auto"/>
                      <w:sz w:val="21"/>
                      <w:szCs w:val="21"/>
                    </w:rPr>
                    <w:t>国家二级标准</w:t>
                  </w:r>
                </w:p>
              </w:tc>
              <w:tc>
                <w:tcPr>
                  <w:tcW w:w="699" w:type="pct"/>
                  <w:vAlign w:val="center"/>
                </w:tcPr>
                <w:p w14:paraId="1E66335B">
                  <w:pPr>
                    <w:pStyle w:val="40"/>
                    <w:rPr>
                      <w:color w:val="auto"/>
                      <w:sz w:val="21"/>
                      <w:szCs w:val="21"/>
                    </w:rPr>
                  </w:pPr>
                  <w:r>
                    <w:rPr>
                      <w:rFonts w:hint="eastAsia"/>
                      <w:color w:val="auto"/>
                      <w:sz w:val="21"/>
                      <w:szCs w:val="21"/>
                    </w:rPr>
                    <w:t>150</w:t>
                  </w:r>
                </w:p>
              </w:tc>
              <w:tc>
                <w:tcPr>
                  <w:tcW w:w="652" w:type="pct"/>
                  <w:vAlign w:val="center"/>
                </w:tcPr>
                <w:p w14:paraId="51CCFC41">
                  <w:pPr>
                    <w:pStyle w:val="40"/>
                    <w:rPr>
                      <w:color w:val="auto"/>
                      <w:sz w:val="21"/>
                      <w:szCs w:val="21"/>
                    </w:rPr>
                  </w:pPr>
                  <w:r>
                    <w:rPr>
                      <w:rFonts w:hint="eastAsia"/>
                      <w:color w:val="auto"/>
                      <w:sz w:val="21"/>
                      <w:szCs w:val="21"/>
                    </w:rPr>
                    <w:t>80</w:t>
                  </w:r>
                </w:p>
              </w:tc>
              <w:tc>
                <w:tcPr>
                  <w:tcW w:w="696" w:type="pct"/>
                  <w:vAlign w:val="center"/>
                </w:tcPr>
                <w:p w14:paraId="3FF62D6B">
                  <w:pPr>
                    <w:pStyle w:val="40"/>
                    <w:rPr>
                      <w:color w:val="auto"/>
                      <w:sz w:val="21"/>
                      <w:szCs w:val="21"/>
                    </w:rPr>
                  </w:pPr>
                  <w:r>
                    <w:rPr>
                      <w:rFonts w:hint="eastAsia"/>
                      <w:color w:val="auto"/>
                      <w:sz w:val="21"/>
                      <w:szCs w:val="21"/>
                    </w:rPr>
                    <w:t>150</w:t>
                  </w:r>
                </w:p>
              </w:tc>
              <w:tc>
                <w:tcPr>
                  <w:tcW w:w="683" w:type="pct"/>
                  <w:vAlign w:val="center"/>
                </w:tcPr>
                <w:p w14:paraId="6239399C">
                  <w:pPr>
                    <w:pStyle w:val="40"/>
                    <w:rPr>
                      <w:color w:val="auto"/>
                      <w:sz w:val="21"/>
                      <w:szCs w:val="21"/>
                    </w:rPr>
                  </w:pPr>
                  <w:r>
                    <w:rPr>
                      <w:rFonts w:hint="eastAsia"/>
                      <w:color w:val="auto"/>
                      <w:sz w:val="21"/>
                      <w:szCs w:val="21"/>
                    </w:rPr>
                    <w:t>75</w:t>
                  </w:r>
                </w:p>
              </w:tc>
              <w:tc>
                <w:tcPr>
                  <w:tcW w:w="727" w:type="pct"/>
                  <w:vAlign w:val="center"/>
                </w:tcPr>
                <w:p w14:paraId="48640A69">
                  <w:pPr>
                    <w:pStyle w:val="40"/>
                    <w:rPr>
                      <w:color w:val="auto"/>
                      <w:sz w:val="21"/>
                      <w:szCs w:val="21"/>
                    </w:rPr>
                  </w:pPr>
                  <w:r>
                    <w:rPr>
                      <w:rFonts w:hint="eastAsia"/>
                      <w:color w:val="auto"/>
                      <w:sz w:val="21"/>
                      <w:szCs w:val="21"/>
                    </w:rPr>
                    <w:t>4</w:t>
                  </w:r>
                </w:p>
              </w:tc>
              <w:tc>
                <w:tcPr>
                  <w:tcW w:w="675" w:type="pct"/>
                  <w:vAlign w:val="center"/>
                </w:tcPr>
                <w:p w14:paraId="40F037D5">
                  <w:pPr>
                    <w:pStyle w:val="40"/>
                    <w:rPr>
                      <w:color w:val="auto"/>
                      <w:sz w:val="21"/>
                      <w:szCs w:val="21"/>
                    </w:rPr>
                  </w:pPr>
                  <w:r>
                    <w:rPr>
                      <w:rFonts w:hint="eastAsia"/>
                      <w:color w:val="auto"/>
                      <w:sz w:val="21"/>
                      <w:szCs w:val="21"/>
                    </w:rPr>
                    <w:t>160</w:t>
                  </w:r>
                </w:p>
              </w:tc>
            </w:tr>
            <w:tr w14:paraId="5B36B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Align w:val="center"/>
                </w:tcPr>
                <w:p w14:paraId="003CB9F5">
                  <w:pPr>
                    <w:spacing w:line="240" w:lineRule="auto"/>
                    <w:jc w:val="center"/>
                    <w:rPr>
                      <w:color w:val="auto"/>
                      <w:kern w:val="0"/>
                      <w:sz w:val="21"/>
                      <w:szCs w:val="21"/>
                    </w:rPr>
                  </w:pPr>
                  <w:r>
                    <w:rPr>
                      <w:color w:val="auto"/>
                      <w:kern w:val="0"/>
                      <w:sz w:val="21"/>
                      <w:szCs w:val="21"/>
                    </w:rPr>
                    <w:t>达标情况</w:t>
                  </w:r>
                </w:p>
              </w:tc>
              <w:tc>
                <w:tcPr>
                  <w:tcW w:w="4134" w:type="pct"/>
                  <w:gridSpan w:val="6"/>
                  <w:vAlign w:val="center"/>
                </w:tcPr>
                <w:p w14:paraId="34B6931E">
                  <w:pPr>
                    <w:spacing w:line="240" w:lineRule="auto"/>
                    <w:jc w:val="center"/>
                    <w:rPr>
                      <w:color w:val="auto"/>
                      <w:kern w:val="0"/>
                      <w:sz w:val="21"/>
                      <w:szCs w:val="21"/>
                    </w:rPr>
                  </w:pPr>
                  <w:r>
                    <w:rPr>
                      <w:color w:val="auto"/>
                      <w:kern w:val="0"/>
                      <w:sz w:val="21"/>
                      <w:szCs w:val="21"/>
                    </w:rPr>
                    <w:t>达标</w:t>
                  </w:r>
                </w:p>
              </w:tc>
            </w:tr>
            <w:tr w14:paraId="479B9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65" w:type="pct"/>
                  <w:vAlign w:val="center"/>
                </w:tcPr>
                <w:p w14:paraId="5D5861E0">
                  <w:pPr>
                    <w:spacing w:line="240" w:lineRule="auto"/>
                    <w:jc w:val="center"/>
                    <w:rPr>
                      <w:color w:val="auto"/>
                      <w:kern w:val="0"/>
                      <w:sz w:val="21"/>
                      <w:szCs w:val="21"/>
                    </w:rPr>
                  </w:pPr>
                  <w:r>
                    <w:rPr>
                      <w:color w:val="auto"/>
                      <w:kern w:val="0"/>
                      <w:sz w:val="21"/>
                      <w:szCs w:val="21"/>
                    </w:rPr>
                    <w:t>备注</w:t>
                  </w:r>
                </w:p>
              </w:tc>
              <w:tc>
                <w:tcPr>
                  <w:tcW w:w="4134" w:type="pct"/>
                  <w:gridSpan w:val="6"/>
                  <w:vAlign w:val="center"/>
                </w:tcPr>
                <w:p w14:paraId="22AFA6B8">
                  <w:pPr>
                    <w:spacing w:line="240" w:lineRule="auto"/>
                    <w:jc w:val="center"/>
                    <w:rPr>
                      <w:color w:val="auto"/>
                      <w:kern w:val="0"/>
                      <w:sz w:val="21"/>
                      <w:szCs w:val="21"/>
                    </w:rPr>
                  </w:pPr>
                  <w:r>
                    <w:rPr>
                      <w:color w:val="auto"/>
                      <w:kern w:val="0"/>
                      <w:sz w:val="21"/>
                      <w:szCs w:val="21"/>
                    </w:rPr>
                    <w:t>CO为日均值第95百分位数，O</w:t>
                  </w:r>
                  <w:r>
                    <w:rPr>
                      <w:color w:val="auto"/>
                      <w:kern w:val="0"/>
                      <w:sz w:val="21"/>
                      <w:szCs w:val="21"/>
                      <w:vertAlign w:val="subscript"/>
                    </w:rPr>
                    <w:t>3</w:t>
                  </w:r>
                  <w:r>
                    <w:rPr>
                      <w:color w:val="auto"/>
                      <w:kern w:val="0"/>
                      <w:sz w:val="21"/>
                      <w:szCs w:val="21"/>
                    </w:rPr>
                    <w:t>为日最大8小时值第90百分位数</w:t>
                  </w:r>
                </w:p>
              </w:tc>
            </w:tr>
          </w:tbl>
          <w:p w14:paraId="3778F53F">
            <w:pPr>
              <w:ind w:firstLine="480" w:firstLineChars="200"/>
              <w:rPr>
                <w:color w:val="auto"/>
              </w:rPr>
            </w:pPr>
            <w:r>
              <w:rPr>
                <w:color w:val="auto"/>
              </w:rPr>
              <w:t>由上表可知，</w:t>
            </w:r>
            <w:r>
              <w:rPr>
                <w:rFonts w:hint="eastAsia"/>
                <w:color w:val="auto"/>
              </w:rPr>
              <w:t>福州高新区</w:t>
            </w:r>
            <w:r>
              <w:rPr>
                <w:color w:val="auto"/>
              </w:rPr>
              <w:t>202</w:t>
            </w:r>
            <w:r>
              <w:rPr>
                <w:rFonts w:hint="eastAsia"/>
                <w:color w:val="auto"/>
              </w:rPr>
              <w:t>4</w:t>
            </w:r>
            <w:r>
              <w:rPr>
                <w:color w:val="auto"/>
              </w:rPr>
              <w:t>年1月~202</w:t>
            </w:r>
            <w:r>
              <w:rPr>
                <w:rFonts w:hint="eastAsia"/>
                <w:color w:val="auto"/>
              </w:rPr>
              <w:t>4</w:t>
            </w:r>
            <w:r>
              <w:rPr>
                <w:color w:val="auto"/>
              </w:rPr>
              <w:t>年12月份，空气环境中SO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和PM</w:t>
            </w:r>
            <w:r>
              <w:rPr>
                <w:color w:val="auto"/>
                <w:vertAlign w:val="subscript"/>
              </w:rPr>
              <w:t>2.5</w:t>
            </w:r>
            <w:r>
              <w:rPr>
                <w:color w:val="auto"/>
              </w:rPr>
              <w:t>均未超过国家二级标准，CO日均值第95百分数和O</w:t>
            </w:r>
            <w:r>
              <w:rPr>
                <w:color w:val="auto"/>
                <w:vertAlign w:val="subscript"/>
              </w:rPr>
              <w:t>3</w:t>
            </w:r>
            <w:r>
              <w:rPr>
                <w:color w:val="auto"/>
              </w:rPr>
              <w:t>最大8小时值第90百分数未超过国家二级标准；因此</w:t>
            </w:r>
            <w:r>
              <w:rPr>
                <w:rFonts w:hint="eastAsia"/>
                <w:color w:val="auto"/>
              </w:rPr>
              <w:t>福州高新区</w:t>
            </w:r>
            <w:r>
              <w:rPr>
                <w:color w:val="auto"/>
              </w:rPr>
              <w:t>环境空气质量属于达标区</w:t>
            </w:r>
            <w:r>
              <w:rPr>
                <w:rFonts w:hint="eastAsia"/>
                <w:color w:val="auto"/>
              </w:rPr>
              <w:t>。</w:t>
            </w:r>
          </w:p>
          <w:p w14:paraId="3665389F">
            <w:pPr>
              <w:snapToGrid w:val="0"/>
              <w:ind w:firstLine="480" w:firstLineChars="200"/>
              <w:rPr>
                <w:color w:val="auto"/>
              </w:rPr>
            </w:pPr>
            <w:r>
              <w:rPr>
                <w:color w:val="auto"/>
              </w:rPr>
              <w:t>②引用数据的有效性分析</w:t>
            </w:r>
          </w:p>
          <w:p w14:paraId="6439F138">
            <w:pPr>
              <w:snapToGrid w:val="0"/>
              <w:ind w:firstLine="480" w:firstLineChars="200"/>
              <w:rPr>
                <w:color w:val="auto"/>
              </w:rPr>
            </w:pPr>
            <w:r>
              <w:rPr>
                <w:color w:val="auto"/>
              </w:rPr>
              <w:t>根据《环境影响评价技术导则 大气环境》</w:t>
            </w:r>
            <w:r>
              <w:rPr>
                <w:rFonts w:hint="eastAsia"/>
                <w:color w:val="auto"/>
              </w:rPr>
              <w:t>（</w:t>
            </w:r>
            <w:r>
              <w:rPr>
                <w:color w:val="auto"/>
              </w:rPr>
              <w:t>HJ2.2-2018</w:t>
            </w:r>
            <w:r>
              <w:rPr>
                <w:rFonts w:hint="eastAsia"/>
                <w:color w:val="auto"/>
              </w:rPr>
              <w:t>）</w:t>
            </w:r>
            <w:r>
              <w:rPr>
                <w:color w:val="auto"/>
              </w:rPr>
              <w:t>的6.2.1.1要求：</w:t>
            </w:r>
            <w:r>
              <w:rPr>
                <w:rFonts w:hint="eastAsia"/>
                <w:color w:val="auto"/>
                <w:lang w:eastAsia="zh-CN"/>
              </w:rPr>
              <w:t>“</w:t>
            </w:r>
            <w:r>
              <w:rPr>
                <w:color w:val="auto"/>
              </w:rPr>
              <w:t>项目所在区域达标判定，大气环境质量现状调查应优先采用国家或地方生态环境主管部门发布的评价基准年环境质量公告或环境质量报告中的数据或结论</w:t>
            </w:r>
            <w:r>
              <w:rPr>
                <w:rFonts w:hint="eastAsia"/>
                <w:color w:val="auto"/>
                <w:lang w:eastAsia="zh-CN"/>
              </w:rPr>
              <w:t>”</w:t>
            </w:r>
            <w:r>
              <w:rPr>
                <w:color w:val="auto"/>
              </w:rPr>
              <w:t>，</w:t>
            </w:r>
            <w:r>
              <w:rPr>
                <w:rFonts w:hint="eastAsia"/>
                <w:color w:val="auto"/>
              </w:rPr>
              <w:t>本次</w:t>
            </w:r>
            <w:r>
              <w:rPr>
                <w:color w:val="auto"/>
              </w:rPr>
              <w:t>评价选取</w:t>
            </w:r>
            <w:r>
              <w:rPr>
                <w:rFonts w:hint="eastAsia"/>
                <w:color w:val="auto"/>
              </w:rPr>
              <w:t>福州高新区2024年1</w:t>
            </w:r>
            <w:r>
              <w:rPr>
                <w:color w:val="auto"/>
              </w:rPr>
              <w:t>~</w:t>
            </w:r>
            <w:r>
              <w:rPr>
                <w:rFonts w:hint="eastAsia"/>
                <w:color w:val="auto"/>
              </w:rPr>
              <w:t>12月</w:t>
            </w:r>
            <w:r>
              <w:rPr>
                <w:color w:val="auto"/>
              </w:rPr>
              <w:t>的环境空气质量现状信息，符合《环境影响评价技术导则 大气环境》</w:t>
            </w:r>
            <w:r>
              <w:rPr>
                <w:rFonts w:hint="eastAsia"/>
                <w:color w:val="auto"/>
              </w:rPr>
              <w:t>（</w:t>
            </w:r>
            <w:r>
              <w:rPr>
                <w:color w:val="auto"/>
              </w:rPr>
              <w:t>HJ2.2-2018</w:t>
            </w:r>
            <w:r>
              <w:rPr>
                <w:rFonts w:hint="eastAsia"/>
                <w:color w:val="auto"/>
              </w:rPr>
              <w:t>）</w:t>
            </w:r>
            <w:r>
              <w:rPr>
                <w:color w:val="auto"/>
              </w:rPr>
              <w:t>的要求，环境现状监测数据可行。</w:t>
            </w:r>
          </w:p>
          <w:bookmarkEnd w:id="3"/>
          <w:bookmarkEnd w:id="4"/>
          <w:bookmarkEnd w:id="5"/>
          <w:p w14:paraId="1DE7D9CC">
            <w:pPr>
              <w:pStyle w:val="5"/>
              <w:ind w:firstLine="480"/>
              <w:rPr>
                <w:color w:val="auto"/>
              </w:rPr>
            </w:pPr>
            <w:r>
              <w:rPr>
                <w:rFonts w:cs="Times New Roman"/>
                <w:color w:val="auto"/>
              </w:rPr>
              <w:t>（</w:t>
            </w:r>
            <w:r>
              <w:rPr>
                <w:rFonts w:hint="eastAsia" w:cs="Times New Roman"/>
                <w:color w:val="auto"/>
              </w:rPr>
              <w:t>2</w:t>
            </w:r>
            <w:r>
              <w:rPr>
                <w:rFonts w:cs="Times New Roman"/>
                <w:color w:val="auto"/>
              </w:rPr>
              <w:t>）</w:t>
            </w:r>
            <w:r>
              <w:rPr>
                <w:rFonts w:hint="eastAsia"/>
                <w:color w:val="auto"/>
              </w:rPr>
              <w:t>特征污染物因子</w:t>
            </w:r>
          </w:p>
          <w:p w14:paraId="629B2287">
            <w:pPr>
              <w:adjustRightInd w:val="0"/>
              <w:snapToGrid w:val="0"/>
              <w:ind w:firstLine="480" w:firstLineChars="200"/>
              <w:jc w:val="left"/>
              <w:rPr>
                <w:color w:val="auto"/>
              </w:rPr>
            </w:pPr>
            <w:r>
              <w:rPr>
                <w:color w:val="auto"/>
              </w:rPr>
              <w:t>①环境空气质量现状监测</w:t>
            </w:r>
          </w:p>
          <w:p w14:paraId="74887074">
            <w:pPr>
              <w:adjustRightInd w:val="0"/>
              <w:ind w:firstLine="480" w:firstLineChars="200"/>
              <w:contextualSpacing/>
              <w:rPr>
                <w:color w:val="auto"/>
              </w:rPr>
            </w:pPr>
            <w:r>
              <w:rPr>
                <w:rFonts w:hint="eastAsia"/>
                <w:color w:val="auto"/>
              </w:rPr>
              <w:t>本项目</w:t>
            </w:r>
            <w:r>
              <w:rPr>
                <w:color w:val="auto"/>
              </w:rPr>
              <w:t>排放的其他污染物为非甲烷总烃</w:t>
            </w:r>
            <w:r>
              <w:rPr>
                <w:rFonts w:hint="eastAsia"/>
                <w:color w:val="auto"/>
              </w:rPr>
              <w:t>、</w:t>
            </w:r>
            <w:r>
              <w:rPr>
                <w:color w:val="auto"/>
                <w:spacing w:val="-8"/>
              </w:rPr>
              <w:t>二甲苯</w:t>
            </w:r>
            <w:r>
              <w:rPr>
                <w:rFonts w:hint="eastAsia"/>
                <w:color w:val="auto"/>
                <w:spacing w:val="-8"/>
              </w:rPr>
              <w:t>、乙酸乙酯与乙酸丁酯合计、</w:t>
            </w:r>
            <w:r>
              <w:rPr>
                <w:rFonts w:hint="eastAsia"/>
                <w:color w:val="auto"/>
              </w:rPr>
              <w:t>颗粒物</w:t>
            </w:r>
            <w:r>
              <w:rPr>
                <w:color w:val="auto"/>
              </w:rPr>
              <w:t>，</w:t>
            </w:r>
            <w:r>
              <w:rPr>
                <w:rFonts w:hint="eastAsia"/>
                <w:color w:val="auto"/>
              </w:rPr>
              <w:t>其中</w:t>
            </w:r>
            <w:r>
              <w:rPr>
                <w:color w:val="auto"/>
              </w:rPr>
              <w:t>非甲烷总烃</w:t>
            </w:r>
            <w:r>
              <w:rPr>
                <w:rFonts w:hint="eastAsia"/>
                <w:color w:val="auto"/>
              </w:rPr>
              <w:t>、</w:t>
            </w:r>
            <w:r>
              <w:rPr>
                <w:color w:val="auto"/>
                <w:spacing w:val="-8"/>
              </w:rPr>
              <w:t>二甲苯</w:t>
            </w:r>
            <w:r>
              <w:rPr>
                <w:rFonts w:hint="eastAsia"/>
                <w:color w:val="auto"/>
                <w:spacing w:val="-8"/>
              </w:rPr>
              <w:t>、乙酸乙酯与乙酸丁酯合计</w:t>
            </w:r>
            <w:r>
              <w:rPr>
                <w:color w:val="auto"/>
              </w:rPr>
              <w:t>不属于《环境空气质量标准》</w:t>
            </w:r>
            <w:r>
              <w:rPr>
                <w:rFonts w:hint="eastAsia"/>
                <w:color w:val="auto"/>
              </w:rPr>
              <w:t>（</w:t>
            </w:r>
            <w:r>
              <w:rPr>
                <w:color w:val="auto"/>
              </w:rPr>
              <w:t>GB3095</w:t>
            </w:r>
            <w:r>
              <w:rPr>
                <w:rFonts w:hint="eastAsia"/>
                <w:color w:val="auto"/>
              </w:rPr>
              <w:t>-2012）</w:t>
            </w:r>
            <w:r>
              <w:rPr>
                <w:color w:val="auto"/>
              </w:rPr>
              <w:t>和地方的环境空气质量中有标准限值要求的污染物，因此</w:t>
            </w:r>
            <w:r>
              <w:rPr>
                <w:rFonts w:hint="eastAsia"/>
                <w:color w:val="auto"/>
              </w:rPr>
              <w:t>，</w:t>
            </w:r>
            <w:r>
              <w:rPr>
                <w:color w:val="auto"/>
              </w:rPr>
              <w:t>不</w:t>
            </w:r>
            <w:r>
              <w:rPr>
                <w:rFonts w:hint="eastAsia"/>
                <w:color w:val="auto"/>
              </w:rPr>
              <w:t>对非甲烷总烃</w:t>
            </w:r>
            <w:r>
              <w:rPr>
                <w:color w:val="auto"/>
              </w:rPr>
              <w:t>进行</w:t>
            </w:r>
            <w:r>
              <w:rPr>
                <w:rFonts w:hint="eastAsia"/>
                <w:color w:val="auto"/>
              </w:rPr>
              <w:t>特征污染物</w:t>
            </w:r>
            <w:r>
              <w:rPr>
                <w:color w:val="auto"/>
              </w:rPr>
              <w:t>现状检测评价。</w:t>
            </w:r>
          </w:p>
          <w:p w14:paraId="314F030F">
            <w:pPr>
              <w:pStyle w:val="5"/>
              <w:ind w:firstLine="480"/>
              <w:rPr>
                <w:color w:val="auto"/>
              </w:rPr>
            </w:pPr>
            <w:r>
              <w:rPr>
                <w:rFonts w:hint="eastAsia"/>
                <w:color w:val="auto"/>
              </w:rPr>
              <w:t>为了解项目所在地环境空气的现状，引用《</w:t>
            </w:r>
            <w:r>
              <w:rPr>
                <w:rFonts w:hint="eastAsia"/>
                <w:color w:val="auto"/>
                <w:szCs w:val="22"/>
              </w:rPr>
              <w:t>福建永福环保科技集团有限公司碎石机制砂</w:t>
            </w:r>
            <w:r>
              <w:rPr>
                <w:color w:val="auto"/>
                <w:szCs w:val="22"/>
                <w:lang w:val="zh-CN"/>
              </w:rPr>
              <w:t>项目</w:t>
            </w:r>
            <w:r>
              <w:rPr>
                <w:rFonts w:hint="eastAsia"/>
                <w:color w:val="auto"/>
              </w:rPr>
              <w:t>》中的颗粒物监测数据，检测单位为</w:t>
            </w:r>
            <w:r>
              <w:rPr>
                <w:rFonts w:hint="eastAsia"/>
                <w:color w:val="auto"/>
                <w:szCs w:val="22"/>
                <w:lang w:val="zh-CN"/>
              </w:rPr>
              <w:t>福州中一检测科技有限公司，</w:t>
            </w:r>
            <w:r>
              <w:rPr>
                <w:rFonts w:hint="eastAsia"/>
                <w:color w:val="auto"/>
                <w:szCs w:val="22"/>
              </w:rPr>
              <w:t>采样时间为</w:t>
            </w:r>
            <w:r>
              <w:rPr>
                <w:color w:val="auto"/>
                <w:szCs w:val="22"/>
                <w:lang w:val="zh-CN"/>
              </w:rPr>
              <w:t>20</w:t>
            </w:r>
            <w:r>
              <w:rPr>
                <w:rFonts w:hint="eastAsia"/>
                <w:color w:val="auto"/>
                <w:szCs w:val="22"/>
              </w:rPr>
              <w:t>23</w:t>
            </w:r>
            <w:r>
              <w:rPr>
                <w:color w:val="auto"/>
                <w:szCs w:val="22"/>
                <w:lang w:val="zh-CN"/>
              </w:rPr>
              <w:t>年</w:t>
            </w:r>
            <w:r>
              <w:rPr>
                <w:rFonts w:hint="eastAsia"/>
                <w:color w:val="auto"/>
                <w:szCs w:val="22"/>
              </w:rPr>
              <w:t>7</w:t>
            </w:r>
            <w:r>
              <w:rPr>
                <w:color w:val="auto"/>
                <w:szCs w:val="22"/>
                <w:lang w:val="zh-CN"/>
              </w:rPr>
              <w:t>月</w:t>
            </w:r>
            <w:r>
              <w:rPr>
                <w:rFonts w:hint="eastAsia"/>
                <w:color w:val="auto"/>
                <w:szCs w:val="22"/>
              </w:rPr>
              <w:t>30</w:t>
            </w:r>
            <w:r>
              <w:rPr>
                <w:color w:val="auto"/>
                <w:szCs w:val="22"/>
                <w:lang w:val="zh-CN"/>
              </w:rPr>
              <w:t>日至20</w:t>
            </w:r>
            <w:r>
              <w:rPr>
                <w:rFonts w:hint="eastAsia"/>
                <w:color w:val="auto"/>
                <w:szCs w:val="22"/>
              </w:rPr>
              <w:t>23</w:t>
            </w:r>
            <w:r>
              <w:rPr>
                <w:color w:val="auto"/>
                <w:szCs w:val="22"/>
                <w:lang w:val="zh-CN"/>
              </w:rPr>
              <w:t>年</w:t>
            </w:r>
            <w:r>
              <w:rPr>
                <w:rFonts w:hint="eastAsia"/>
                <w:color w:val="auto"/>
                <w:szCs w:val="22"/>
              </w:rPr>
              <w:t>8</w:t>
            </w:r>
            <w:r>
              <w:rPr>
                <w:color w:val="auto"/>
                <w:szCs w:val="22"/>
                <w:lang w:val="zh-CN"/>
              </w:rPr>
              <w:t>月</w:t>
            </w:r>
            <w:r>
              <w:rPr>
                <w:rFonts w:hint="eastAsia"/>
                <w:color w:val="auto"/>
                <w:szCs w:val="22"/>
              </w:rPr>
              <w:t>1</w:t>
            </w:r>
            <w:r>
              <w:rPr>
                <w:color w:val="auto"/>
                <w:szCs w:val="22"/>
                <w:lang w:val="zh-CN"/>
              </w:rPr>
              <w:t>日</w:t>
            </w:r>
            <w:r>
              <w:rPr>
                <w:rFonts w:hint="eastAsia"/>
                <w:color w:val="auto"/>
                <w:szCs w:val="22"/>
              </w:rPr>
              <w:t>，检测结果见表3.1-3（监测报告见附件8）。</w:t>
            </w:r>
          </w:p>
          <w:p w14:paraId="3F352619">
            <w:pPr>
              <w:pStyle w:val="36"/>
              <w:spacing w:before="0" w:after="0"/>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4089400</wp:posOffset>
                      </wp:positionH>
                      <wp:positionV relativeFrom="paragraph">
                        <wp:posOffset>2794000</wp:posOffset>
                      </wp:positionV>
                      <wp:extent cx="969010" cy="867410"/>
                      <wp:effectExtent l="0" t="0" r="0" b="0"/>
                      <wp:wrapNone/>
                      <wp:docPr id="54" name="文本框 54"/>
                      <wp:cNvGraphicFramePr/>
                      <a:graphic xmlns:a="http://schemas.openxmlformats.org/drawingml/2006/main">
                        <a:graphicData uri="http://schemas.microsoft.com/office/word/2010/wordprocessingShape">
                          <wps:wsp>
                            <wps:cNvSpPr txBox="1"/>
                            <wps:spPr>
                              <a:xfrm>
                                <a:off x="5871845" y="6769735"/>
                                <a:ext cx="969010" cy="867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AC0D4">
                                  <w:r>
                                    <w:drawing>
                                      <wp:inline distT="0" distB="0" distL="114300" distR="114300">
                                        <wp:extent cx="779780" cy="745490"/>
                                        <wp:effectExtent l="0" t="0" r="1270" b="1651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9"/>
                                                <a:stretch>
                                                  <a:fillRect/>
                                                </a:stretch>
                                              </pic:blipFill>
                                              <pic:spPr>
                                                <a:xfrm>
                                                  <a:off x="0" y="0"/>
                                                  <a:ext cx="779780" cy="745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pt;margin-top:220pt;height:68.3pt;width:76.3pt;z-index:251664384;mso-width-relative:page;mso-height-relative:page;" filled="f" stroked="f" coordsize="21600,21600" o:gfxdata="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Q3HwbbAAAACwEAAA8AAAAAAAAA&#10;AQAgAAAAIgAAAGRycy9kb3ducmV2LnhtbFBLAQIUABQAAAAIAIdO4kBBR5LgRwIAAHMEAAAOAAAA&#10;AAAAAAEAIAAAACoBAABkcnMvZTJvRG9jLnhtbFBLBQYAAAAABgAGAFkBAADjBQAAAAA=&#10;">
                      <v:fill on="f" focussize="0,0"/>
                      <v:stroke on="f" weight="0.5pt"/>
                      <v:imagedata o:title=""/>
                      <o:lock v:ext="edit" aspectratio="f"/>
                      <v:textbox>
                        <w:txbxContent>
                          <w:p w14:paraId="330AC0D4">
                            <w:r>
                              <w:drawing>
                                <wp:inline distT="0" distB="0" distL="114300" distR="114300">
                                  <wp:extent cx="779780" cy="745490"/>
                                  <wp:effectExtent l="0" t="0" r="1270" b="1651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9"/>
                                          <a:stretch>
                                            <a:fillRect/>
                                          </a:stretch>
                                        </pic:blipFill>
                                        <pic:spPr>
                                          <a:xfrm>
                                            <a:off x="0" y="0"/>
                                            <a:ext cx="779780" cy="745490"/>
                                          </a:xfrm>
                                          <a:prstGeom prst="rect">
                                            <a:avLst/>
                                          </a:prstGeom>
                                          <a:noFill/>
                                          <a:ln>
                                            <a:noFill/>
                                          </a:ln>
                                        </pic:spPr>
                                      </pic:pic>
                                    </a:graphicData>
                                  </a:graphic>
                                </wp:inline>
                              </w:drawing>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1289685</wp:posOffset>
                      </wp:positionH>
                      <wp:positionV relativeFrom="paragraph">
                        <wp:posOffset>1703070</wp:posOffset>
                      </wp:positionV>
                      <wp:extent cx="1200150" cy="367030"/>
                      <wp:effectExtent l="0" t="0" r="0" b="0"/>
                      <wp:wrapNone/>
                      <wp:docPr id="53" name="文本框 53"/>
                      <wp:cNvGraphicFramePr/>
                      <a:graphic xmlns:a="http://schemas.openxmlformats.org/drawingml/2006/main">
                        <a:graphicData uri="http://schemas.microsoft.com/office/word/2010/wordprocessingShape">
                          <wps:wsp>
                            <wps:cNvSpPr txBox="1"/>
                            <wps:spPr>
                              <a:xfrm>
                                <a:off x="4101465" y="4634865"/>
                                <a:ext cx="120015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E3703">
                                  <w:pPr>
                                    <w:rPr>
                                      <w:b/>
                                      <w:bCs/>
                                      <w:color w:val="FF0000"/>
                                    </w:rPr>
                                  </w:pPr>
                                  <w:r>
                                    <w:rPr>
                                      <w:rFonts w:hint="eastAsia"/>
                                      <w:b/>
                                      <w:bCs/>
                                      <w:color w:val="FF0000"/>
                                    </w:rPr>
                                    <w:t>西南侧1871m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5pt;margin-top:134.1pt;height:28.9pt;width:94.5pt;z-index:251663360;mso-width-relative:page;mso-height-relative:page;" filled="f" stroked="f" coordsize="21600,21600" o:gfxdata="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35G12gAAAAsBAAAPAAAAAAAAAAEA&#10;IAAAACIAAABkcnMvZG93bnJldi54bWxQSwECFAAUAAAACACHTuJA6Va6jEYCAAB0BAAADgAAAAAA&#10;AAABACAAAAApAQAAZHJzL2Uyb0RvYy54bWxQSwUGAAAAAAYABgBZAQAA4QUAAAAA&#10;">
                      <v:fill on="f" focussize="0,0"/>
                      <v:stroke on="f" weight="0.5pt"/>
                      <v:imagedata o:title=""/>
                      <o:lock v:ext="edit" aspectratio="f"/>
                      <v:textbox>
                        <w:txbxContent>
                          <w:p w14:paraId="590E3703">
                            <w:pPr>
                              <w:rPr>
                                <w:b/>
                                <w:bCs/>
                                <w:color w:val="FF0000"/>
                              </w:rPr>
                            </w:pPr>
                            <w:r>
                              <w:rPr>
                                <w:rFonts w:hint="eastAsia"/>
                                <w:b/>
                                <w:bCs/>
                                <w:color w:val="FF0000"/>
                              </w:rPr>
                              <w:t>西南侧1871m</w:t>
                            </w:r>
                          </w:p>
                        </w:txbxContent>
                      </v:textbox>
                    </v:shape>
                  </w:pict>
                </mc:Fallback>
              </mc:AlternateContent>
            </w:r>
            <w:r>
              <w:rPr>
                <w:color w:val="auto"/>
              </w:rPr>
              <w:drawing>
                <wp:inline distT="0" distB="0" distL="114300" distR="114300">
                  <wp:extent cx="5061585" cy="3707130"/>
                  <wp:effectExtent l="0" t="0" r="5715" b="7620"/>
                  <wp:docPr id="2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5"/>
                          <pic:cNvPicPr>
                            <a:picLocks noChangeAspect="1"/>
                          </pic:cNvPicPr>
                        </pic:nvPicPr>
                        <pic:blipFill>
                          <a:blip r:embed="rId20"/>
                          <a:stretch>
                            <a:fillRect/>
                          </a:stretch>
                        </pic:blipFill>
                        <pic:spPr>
                          <a:xfrm>
                            <a:off x="0" y="0"/>
                            <a:ext cx="5061585" cy="3707130"/>
                          </a:xfrm>
                          <a:prstGeom prst="rect">
                            <a:avLst/>
                          </a:prstGeom>
                          <a:noFill/>
                          <a:ln>
                            <a:noFill/>
                          </a:ln>
                        </pic:spPr>
                      </pic:pic>
                    </a:graphicData>
                  </a:graphic>
                </wp:inline>
              </w:drawing>
            </w:r>
          </w:p>
          <w:p w14:paraId="75036A24">
            <w:pPr>
              <w:pStyle w:val="36"/>
              <w:spacing w:before="0" w:after="0"/>
              <w:rPr>
                <w:color w:val="auto"/>
              </w:rPr>
            </w:pPr>
            <w:r>
              <w:rPr>
                <w:rFonts w:hint="eastAsia"/>
                <w:color w:val="auto"/>
              </w:rPr>
              <w:t xml:space="preserve">图3.1-1  </w:t>
            </w:r>
            <w:r>
              <w:rPr>
                <w:color w:val="auto"/>
                <w:szCs w:val="24"/>
                <w:lang w:val="zh-CN"/>
              </w:rPr>
              <w:t>监测</w:t>
            </w:r>
            <w:r>
              <w:rPr>
                <w:color w:val="auto"/>
                <w:szCs w:val="24"/>
              </w:rPr>
              <w:t>点</w:t>
            </w:r>
            <w:r>
              <w:rPr>
                <w:color w:val="auto"/>
                <w:szCs w:val="24"/>
                <w:lang w:val="zh-CN"/>
              </w:rPr>
              <w:t>位布置图</w:t>
            </w:r>
          </w:p>
          <w:p w14:paraId="1F0BD7D9">
            <w:pPr>
              <w:pStyle w:val="36"/>
              <w:spacing w:before="0" w:after="0"/>
              <w:rPr>
                <w:color w:val="auto"/>
              </w:rPr>
            </w:pPr>
            <w:r>
              <w:rPr>
                <w:rFonts w:hint="eastAsia"/>
                <w:color w:val="auto"/>
              </w:rPr>
              <w:t>表3.1-3  颗粒物现状监测结果一览表</w:t>
            </w:r>
          </w:p>
          <w:tbl>
            <w:tblPr>
              <w:tblStyle w:val="30"/>
              <w:tblW w:w="8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213"/>
              <w:gridCol w:w="1514"/>
              <w:gridCol w:w="1309"/>
              <w:gridCol w:w="1296"/>
              <w:gridCol w:w="1089"/>
            </w:tblGrid>
            <w:tr w14:paraId="52C0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3" w:type="dxa"/>
                  <w:tcBorders>
                    <w:top w:val="single" w:color="auto" w:sz="12" w:space="0"/>
                    <w:left w:val="nil"/>
                  </w:tcBorders>
                  <w:vAlign w:val="center"/>
                </w:tcPr>
                <w:p w14:paraId="2464618C">
                  <w:pPr>
                    <w:pStyle w:val="40"/>
                    <w:spacing w:before="24" w:after="24"/>
                    <w:rPr>
                      <w:color w:val="auto"/>
                      <w:sz w:val="21"/>
                      <w:szCs w:val="21"/>
                    </w:rPr>
                  </w:pPr>
                  <w:r>
                    <w:rPr>
                      <w:color w:val="auto"/>
                      <w:sz w:val="21"/>
                      <w:szCs w:val="21"/>
                    </w:rPr>
                    <w:t>检测点位</w:t>
                  </w:r>
                </w:p>
              </w:tc>
              <w:tc>
                <w:tcPr>
                  <w:tcW w:w="1213" w:type="dxa"/>
                  <w:tcBorders>
                    <w:top w:val="single" w:color="auto" w:sz="12" w:space="0"/>
                  </w:tcBorders>
                  <w:vAlign w:val="center"/>
                </w:tcPr>
                <w:p w14:paraId="39FEF6CD">
                  <w:pPr>
                    <w:pStyle w:val="40"/>
                    <w:spacing w:before="24" w:after="24"/>
                    <w:rPr>
                      <w:color w:val="auto"/>
                      <w:sz w:val="21"/>
                      <w:szCs w:val="21"/>
                    </w:rPr>
                  </w:pPr>
                  <w:r>
                    <w:rPr>
                      <w:color w:val="auto"/>
                      <w:sz w:val="21"/>
                      <w:szCs w:val="21"/>
                    </w:rPr>
                    <w:t>采样日期</w:t>
                  </w:r>
                </w:p>
              </w:tc>
              <w:tc>
                <w:tcPr>
                  <w:tcW w:w="1514" w:type="dxa"/>
                  <w:tcBorders>
                    <w:top w:val="single" w:color="auto" w:sz="12" w:space="0"/>
                  </w:tcBorders>
                  <w:vAlign w:val="center"/>
                </w:tcPr>
                <w:p w14:paraId="054EE022">
                  <w:pPr>
                    <w:pStyle w:val="40"/>
                    <w:spacing w:before="24" w:after="24"/>
                    <w:rPr>
                      <w:color w:val="auto"/>
                      <w:sz w:val="21"/>
                      <w:szCs w:val="21"/>
                    </w:rPr>
                  </w:pPr>
                  <w:r>
                    <w:rPr>
                      <w:color w:val="auto"/>
                      <w:sz w:val="21"/>
                      <w:szCs w:val="21"/>
                    </w:rPr>
                    <w:t>检测项目</w:t>
                  </w:r>
                </w:p>
              </w:tc>
              <w:tc>
                <w:tcPr>
                  <w:tcW w:w="1309" w:type="dxa"/>
                  <w:tcBorders>
                    <w:top w:val="single" w:color="auto" w:sz="12" w:space="0"/>
                  </w:tcBorders>
                  <w:vAlign w:val="center"/>
                </w:tcPr>
                <w:p w14:paraId="3DF91AAB">
                  <w:pPr>
                    <w:pStyle w:val="40"/>
                    <w:spacing w:before="24" w:after="24"/>
                    <w:rPr>
                      <w:color w:val="auto"/>
                      <w:sz w:val="21"/>
                      <w:szCs w:val="21"/>
                    </w:rPr>
                  </w:pPr>
                  <w:r>
                    <w:rPr>
                      <w:color w:val="auto"/>
                      <w:sz w:val="21"/>
                      <w:szCs w:val="21"/>
                    </w:rPr>
                    <w:t>检测结果</w:t>
                  </w:r>
                </w:p>
              </w:tc>
              <w:tc>
                <w:tcPr>
                  <w:tcW w:w="1296" w:type="dxa"/>
                  <w:tcBorders>
                    <w:top w:val="single" w:color="auto" w:sz="12" w:space="0"/>
                  </w:tcBorders>
                  <w:vAlign w:val="center"/>
                </w:tcPr>
                <w:p w14:paraId="1880F34E">
                  <w:pPr>
                    <w:pStyle w:val="40"/>
                    <w:spacing w:before="24" w:after="24"/>
                    <w:rPr>
                      <w:color w:val="auto"/>
                      <w:sz w:val="21"/>
                      <w:szCs w:val="21"/>
                    </w:rPr>
                  </w:pPr>
                  <w:r>
                    <w:rPr>
                      <w:color w:val="auto"/>
                      <w:sz w:val="21"/>
                      <w:szCs w:val="21"/>
                    </w:rPr>
                    <w:t>标准限值</w:t>
                  </w:r>
                </w:p>
              </w:tc>
              <w:tc>
                <w:tcPr>
                  <w:tcW w:w="1089" w:type="dxa"/>
                  <w:tcBorders>
                    <w:top w:val="single" w:color="auto" w:sz="12" w:space="0"/>
                    <w:right w:val="nil"/>
                  </w:tcBorders>
                  <w:vAlign w:val="center"/>
                </w:tcPr>
                <w:p w14:paraId="2602C15E">
                  <w:pPr>
                    <w:pStyle w:val="40"/>
                    <w:spacing w:before="24" w:after="24"/>
                    <w:rPr>
                      <w:color w:val="auto"/>
                      <w:sz w:val="21"/>
                      <w:szCs w:val="21"/>
                    </w:rPr>
                  </w:pPr>
                  <w:r>
                    <w:rPr>
                      <w:color w:val="auto"/>
                      <w:sz w:val="21"/>
                      <w:szCs w:val="21"/>
                    </w:rPr>
                    <w:t>单位</w:t>
                  </w:r>
                </w:p>
              </w:tc>
            </w:tr>
            <w:tr w14:paraId="4D61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23" w:type="dxa"/>
                  <w:vMerge w:val="restart"/>
                  <w:tcBorders>
                    <w:left w:val="nil"/>
                  </w:tcBorders>
                  <w:vAlign w:val="center"/>
                </w:tcPr>
                <w:p w14:paraId="5002BB46">
                  <w:pPr>
                    <w:pStyle w:val="40"/>
                    <w:spacing w:before="24" w:after="24"/>
                    <w:rPr>
                      <w:color w:val="auto"/>
                      <w:sz w:val="21"/>
                      <w:szCs w:val="21"/>
                    </w:rPr>
                  </w:pPr>
                  <w:r>
                    <w:rPr>
                      <w:color w:val="auto"/>
                      <w:sz w:val="21"/>
                      <w:szCs w:val="21"/>
                    </w:rPr>
                    <w:t>厂区下风向</w:t>
                  </w:r>
                  <w:r>
                    <w:rPr>
                      <w:rFonts w:hint="eastAsia"/>
                      <w:color w:val="auto"/>
                      <w:sz w:val="21"/>
                      <w:szCs w:val="21"/>
                    </w:rPr>
                    <w:t>○</w:t>
                  </w:r>
                  <w:r>
                    <w:rPr>
                      <w:color w:val="auto"/>
                      <w:sz w:val="21"/>
                      <w:szCs w:val="21"/>
                    </w:rPr>
                    <w:t>Q1</w:t>
                  </w:r>
                </w:p>
              </w:tc>
              <w:tc>
                <w:tcPr>
                  <w:tcW w:w="1213" w:type="dxa"/>
                  <w:vMerge w:val="restart"/>
                  <w:vAlign w:val="center"/>
                </w:tcPr>
                <w:p w14:paraId="13D75EB3">
                  <w:pPr>
                    <w:pStyle w:val="40"/>
                    <w:spacing w:before="24" w:after="24"/>
                    <w:rPr>
                      <w:color w:val="auto"/>
                      <w:sz w:val="21"/>
                      <w:szCs w:val="21"/>
                    </w:rPr>
                  </w:pPr>
                  <w:r>
                    <w:rPr>
                      <w:color w:val="auto"/>
                      <w:sz w:val="21"/>
                      <w:szCs w:val="21"/>
                    </w:rPr>
                    <w:t>颗粒物（mg/m</w:t>
                  </w:r>
                  <w:r>
                    <w:rPr>
                      <w:color w:val="auto"/>
                      <w:sz w:val="21"/>
                      <w:szCs w:val="21"/>
                      <w:vertAlign w:val="superscript"/>
                    </w:rPr>
                    <w:t>3</w:t>
                  </w:r>
                  <w:r>
                    <w:rPr>
                      <w:color w:val="auto"/>
                      <w:sz w:val="21"/>
                      <w:szCs w:val="21"/>
                    </w:rPr>
                    <w:t>）</w:t>
                  </w:r>
                </w:p>
              </w:tc>
              <w:tc>
                <w:tcPr>
                  <w:tcW w:w="1514" w:type="dxa"/>
                  <w:vAlign w:val="center"/>
                </w:tcPr>
                <w:p w14:paraId="4858AC94">
                  <w:pPr>
                    <w:pStyle w:val="40"/>
                    <w:spacing w:before="24" w:after="24"/>
                    <w:rPr>
                      <w:color w:val="auto"/>
                      <w:sz w:val="21"/>
                      <w:szCs w:val="21"/>
                    </w:rPr>
                  </w:pPr>
                  <w:r>
                    <w:rPr>
                      <w:color w:val="auto"/>
                      <w:sz w:val="21"/>
                      <w:szCs w:val="21"/>
                    </w:rPr>
                    <w:t>2023.7.30</w:t>
                  </w:r>
                </w:p>
              </w:tc>
              <w:tc>
                <w:tcPr>
                  <w:tcW w:w="1309" w:type="dxa"/>
                  <w:vAlign w:val="center"/>
                </w:tcPr>
                <w:p w14:paraId="0CE18269">
                  <w:pPr>
                    <w:pStyle w:val="40"/>
                    <w:spacing w:before="24" w:after="24"/>
                    <w:rPr>
                      <w:color w:val="auto"/>
                      <w:sz w:val="21"/>
                      <w:szCs w:val="21"/>
                    </w:rPr>
                  </w:pPr>
                  <w:r>
                    <w:rPr>
                      <w:color w:val="auto"/>
                      <w:sz w:val="21"/>
                      <w:szCs w:val="21"/>
                    </w:rPr>
                    <w:t>0.061</w:t>
                  </w:r>
                </w:p>
              </w:tc>
              <w:tc>
                <w:tcPr>
                  <w:tcW w:w="1296" w:type="dxa"/>
                  <w:vMerge w:val="restart"/>
                  <w:vAlign w:val="center"/>
                </w:tcPr>
                <w:p w14:paraId="4254A50D">
                  <w:pPr>
                    <w:pStyle w:val="40"/>
                    <w:spacing w:before="24" w:after="24"/>
                    <w:rPr>
                      <w:color w:val="auto"/>
                      <w:sz w:val="21"/>
                      <w:szCs w:val="21"/>
                    </w:rPr>
                  </w:pPr>
                  <w:r>
                    <w:rPr>
                      <w:color w:val="auto"/>
                      <w:sz w:val="21"/>
                      <w:szCs w:val="21"/>
                    </w:rPr>
                    <w:t>0.300</w:t>
                  </w:r>
                </w:p>
              </w:tc>
              <w:tc>
                <w:tcPr>
                  <w:tcW w:w="1089" w:type="dxa"/>
                  <w:vMerge w:val="restart"/>
                  <w:tcBorders>
                    <w:right w:val="nil"/>
                  </w:tcBorders>
                  <w:vAlign w:val="center"/>
                </w:tcPr>
                <w:p w14:paraId="444CB253">
                  <w:pPr>
                    <w:pStyle w:val="40"/>
                    <w:spacing w:before="24" w:after="24"/>
                    <w:rPr>
                      <w:color w:val="auto"/>
                      <w:sz w:val="21"/>
                      <w:szCs w:val="21"/>
                    </w:rPr>
                  </w:pPr>
                  <w:r>
                    <w:rPr>
                      <w:color w:val="auto"/>
                      <w:sz w:val="21"/>
                      <w:szCs w:val="21"/>
                    </w:rPr>
                    <w:t>mg/m</w:t>
                  </w:r>
                  <w:r>
                    <w:rPr>
                      <w:rFonts w:hint="eastAsia"/>
                      <w:color w:val="auto"/>
                      <w:sz w:val="21"/>
                      <w:szCs w:val="21"/>
                      <w:vertAlign w:val="superscript"/>
                    </w:rPr>
                    <w:t>3</w:t>
                  </w:r>
                </w:p>
              </w:tc>
            </w:tr>
            <w:tr w14:paraId="32E3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23" w:type="dxa"/>
                  <w:vMerge w:val="continue"/>
                  <w:tcBorders>
                    <w:left w:val="nil"/>
                  </w:tcBorders>
                  <w:vAlign w:val="center"/>
                </w:tcPr>
                <w:p w14:paraId="3F36A756">
                  <w:pPr>
                    <w:pStyle w:val="40"/>
                    <w:spacing w:before="24" w:after="24"/>
                    <w:rPr>
                      <w:color w:val="auto"/>
                      <w:sz w:val="21"/>
                      <w:szCs w:val="21"/>
                    </w:rPr>
                  </w:pPr>
                </w:p>
              </w:tc>
              <w:tc>
                <w:tcPr>
                  <w:tcW w:w="1213" w:type="dxa"/>
                  <w:vMerge w:val="continue"/>
                  <w:vAlign w:val="center"/>
                </w:tcPr>
                <w:p w14:paraId="2EBE7100">
                  <w:pPr>
                    <w:pStyle w:val="40"/>
                    <w:spacing w:before="24" w:after="24"/>
                    <w:rPr>
                      <w:color w:val="auto"/>
                      <w:sz w:val="21"/>
                      <w:szCs w:val="21"/>
                    </w:rPr>
                  </w:pPr>
                </w:p>
              </w:tc>
              <w:tc>
                <w:tcPr>
                  <w:tcW w:w="1514" w:type="dxa"/>
                  <w:vAlign w:val="center"/>
                </w:tcPr>
                <w:p w14:paraId="5B01CFE9">
                  <w:pPr>
                    <w:pStyle w:val="40"/>
                    <w:spacing w:before="24" w:after="24"/>
                    <w:rPr>
                      <w:color w:val="auto"/>
                      <w:sz w:val="21"/>
                      <w:szCs w:val="21"/>
                    </w:rPr>
                  </w:pPr>
                  <w:r>
                    <w:rPr>
                      <w:color w:val="auto"/>
                      <w:sz w:val="21"/>
                      <w:szCs w:val="21"/>
                    </w:rPr>
                    <w:t>2023.7.31</w:t>
                  </w:r>
                </w:p>
              </w:tc>
              <w:tc>
                <w:tcPr>
                  <w:tcW w:w="1309" w:type="dxa"/>
                  <w:vAlign w:val="center"/>
                </w:tcPr>
                <w:p w14:paraId="6F91FF59">
                  <w:pPr>
                    <w:pStyle w:val="40"/>
                    <w:spacing w:before="24" w:after="24"/>
                    <w:rPr>
                      <w:color w:val="auto"/>
                      <w:sz w:val="21"/>
                      <w:szCs w:val="21"/>
                    </w:rPr>
                  </w:pPr>
                  <w:r>
                    <w:rPr>
                      <w:color w:val="auto"/>
                      <w:sz w:val="21"/>
                      <w:szCs w:val="21"/>
                    </w:rPr>
                    <w:t>0.068</w:t>
                  </w:r>
                </w:p>
              </w:tc>
              <w:tc>
                <w:tcPr>
                  <w:tcW w:w="1296" w:type="dxa"/>
                  <w:vMerge w:val="continue"/>
                  <w:vAlign w:val="center"/>
                </w:tcPr>
                <w:p w14:paraId="4EFDF424">
                  <w:pPr>
                    <w:pStyle w:val="40"/>
                    <w:spacing w:before="24" w:after="24"/>
                    <w:rPr>
                      <w:color w:val="auto"/>
                      <w:sz w:val="21"/>
                      <w:szCs w:val="21"/>
                    </w:rPr>
                  </w:pPr>
                </w:p>
              </w:tc>
              <w:tc>
                <w:tcPr>
                  <w:tcW w:w="1089" w:type="dxa"/>
                  <w:vMerge w:val="continue"/>
                  <w:tcBorders>
                    <w:right w:val="nil"/>
                  </w:tcBorders>
                  <w:vAlign w:val="center"/>
                </w:tcPr>
                <w:p w14:paraId="7F8BD7D3">
                  <w:pPr>
                    <w:pStyle w:val="40"/>
                    <w:spacing w:before="24" w:after="24"/>
                    <w:rPr>
                      <w:color w:val="auto"/>
                      <w:sz w:val="21"/>
                      <w:szCs w:val="21"/>
                    </w:rPr>
                  </w:pPr>
                </w:p>
              </w:tc>
            </w:tr>
            <w:tr w14:paraId="65A2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23" w:type="dxa"/>
                  <w:vMerge w:val="continue"/>
                  <w:tcBorders>
                    <w:left w:val="nil"/>
                  </w:tcBorders>
                  <w:vAlign w:val="center"/>
                </w:tcPr>
                <w:p w14:paraId="64D0FEB7">
                  <w:pPr>
                    <w:pStyle w:val="40"/>
                    <w:spacing w:before="24" w:after="24"/>
                    <w:rPr>
                      <w:color w:val="auto"/>
                      <w:sz w:val="21"/>
                      <w:szCs w:val="21"/>
                    </w:rPr>
                  </w:pPr>
                </w:p>
              </w:tc>
              <w:tc>
                <w:tcPr>
                  <w:tcW w:w="1213" w:type="dxa"/>
                  <w:vMerge w:val="continue"/>
                  <w:vAlign w:val="center"/>
                </w:tcPr>
                <w:p w14:paraId="40C8A3EC">
                  <w:pPr>
                    <w:pStyle w:val="40"/>
                    <w:spacing w:before="24" w:after="24"/>
                    <w:rPr>
                      <w:color w:val="auto"/>
                      <w:sz w:val="21"/>
                      <w:szCs w:val="21"/>
                    </w:rPr>
                  </w:pPr>
                </w:p>
              </w:tc>
              <w:tc>
                <w:tcPr>
                  <w:tcW w:w="1514" w:type="dxa"/>
                  <w:vAlign w:val="center"/>
                </w:tcPr>
                <w:p w14:paraId="6C456EB9">
                  <w:pPr>
                    <w:pStyle w:val="40"/>
                    <w:spacing w:before="24" w:after="24"/>
                    <w:rPr>
                      <w:color w:val="auto"/>
                      <w:sz w:val="21"/>
                      <w:szCs w:val="21"/>
                    </w:rPr>
                  </w:pPr>
                  <w:r>
                    <w:rPr>
                      <w:color w:val="auto"/>
                      <w:sz w:val="21"/>
                      <w:szCs w:val="21"/>
                    </w:rPr>
                    <w:t>2023.8.1</w:t>
                  </w:r>
                </w:p>
              </w:tc>
              <w:tc>
                <w:tcPr>
                  <w:tcW w:w="1309" w:type="dxa"/>
                  <w:vAlign w:val="center"/>
                </w:tcPr>
                <w:p w14:paraId="3EB58ED1">
                  <w:pPr>
                    <w:pStyle w:val="40"/>
                    <w:spacing w:before="24" w:after="24"/>
                    <w:rPr>
                      <w:color w:val="auto"/>
                      <w:sz w:val="21"/>
                      <w:szCs w:val="21"/>
                    </w:rPr>
                  </w:pPr>
                  <w:r>
                    <w:rPr>
                      <w:color w:val="auto"/>
                      <w:sz w:val="21"/>
                      <w:szCs w:val="21"/>
                    </w:rPr>
                    <w:t>0.073</w:t>
                  </w:r>
                </w:p>
              </w:tc>
              <w:tc>
                <w:tcPr>
                  <w:tcW w:w="1296" w:type="dxa"/>
                  <w:vMerge w:val="continue"/>
                  <w:vAlign w:val="center"/>
                </w:tcPr>
                <w:p w14:paraId="5634B912">
                  <w:pPr>
                    <w:pStyle w:val="40"/>
                    <w:spacing w:before="24" w:after="24"/>
                    <w:rPr>
                      <w:color w:val="auto"/>
                      <w:sz w:val="21"/>
                      <w:szCs w:val="21"/>
                    </w:rPr>
                  </w:pPr>
                </w:p>
              </w:tc>
              <w:tc>
                <w:tcPr>
                  <w:tcW w:w="1089" w:type="dxa"/>
                  <w:vMerge w:val="continue"/>
                  <w:tcBorders>
                    <w:right w:val="nil"/>
                  </w:tcBorders>
                  <w:vAlign w:val="center"/>
                </w:tcPr>
                <w:p w14:paraId="3FACDCE1">
                  <w:pPr>
                    <w:pStyle w:val="40"/>
                    <w:spacing w:before="24" w:after="24"/>
                    <w:rPr>
                      <w:color w:val="auto"/>
                      <w:sz w:val="21"/>
                      <w:szCs w:val="21"/>
                    </w:rPr>
                  </w:pPr>
                </w:p>
              </w:tc>
            </w:tr>
            <w:tr w14:paraId="1360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23" w:type="dxa"/>
                  <w:tcBorders>
                    <w:left w:val="nil"/>
                    <w:bottom w:val="single" w:color="auto" w:sz="12" w:space="0"/>
                  </w:tcBorders>
                  <w:vAlign w:val="center"/>
                </w:tcPr>
                <w:p w14:paraId="228DCCE9">
                  <w:pPr>
                    <w:pStyle w:val="40"/>
                    <w:spacing w:before="24" w:after="24"/>
                    <w:rPr>
                      <w:color w:val="auto"/>
                      <w:sz w:val="21"/>
                      <w:szCs w:val="21"/>
                    </w:rPr>
                  </w:pPr>
                  <w:r>
                    <w:rPr>
                      <w:color w:val="auto"/>
                      <w:sz w:val="21"/>
                      <w:szCs w:val="21"/>
                    </w:rPr>
                    <w:t>备注</w:t>
                  </w:r>
                </w:p>
              </w:tc>
              <w:tc>
                <w:tcPr>
                  <w:tcW w:w="6421" w:type="dxa"/>
                  <w:gridSpan w:val="5"/>
                  <w:tcBorders>
                    <w:bottom w:val="single" w:color="auto" w:sz="12" w:space="0"/>
                    <w:right w:val="nil"/>
                  </w:tcBorders>
                  <w:vAlign w:val="center"/>
                </w:tcPr>
                <w:p w14:paraId="34FAC4E9">
                  <w:pPr>
                    <w:pStyle w:val="40"/>
                    <w:spacing w:before="24" w:after="24"/>
                    <w:rPr>
                      <w:color w:val="auto"/>
                      <w:sz w:val="21"/>
                      <w:szCs w:val="21"/>
                    </w:rPr>
                  </w:pPr>
                  <w:r>
                    <w:rPr>
                      <w:color w:val="auto"/>
                      <w:sz w:val="21"/>
                      <w:szCs w:val="21"/>
                    </w:rPr>
                    <w:t>环境空气标准限值参照《环境空气质量标准》</w:t>
                  </w:r>
                  <w:r>
                    <w:rPr>
                      <w:rFonts w:hint="eastAsia"/>
                      <w:color w:val="auto"/>
                      <w:sz w:val="21"/>
                      <w:szCs w:val="21"/>
                    </w:rPr>
                    <w:t>（</w:t>
                  </w:r>
                  <w:r>
                    <w:rPr>
                      <w:color w:val="auto"/>
                      <w:sz w:val="21"/>
                      <w:szCs w:val="21"/>
                    </w:rPr>
                    <w:t>GB3095-2012</w:t>
                  </w:r>
                  <w:r>
                    <w:rPr>
                      <w:rFonts w:hint="eastAsia"/>
                      <w:color w:val="auto"/>
                      <w:sz w:val="21"/>
                      <w:szCs w:val="21"/>
                    </w:rPr>
                    <w:t>）</w:t>
                  </w:r>
                  <w:r>
                    <w:rPr>
                      <w:color w:val="auto"/>
                      <w:sz w:val="21"/>
                      <w:szCs w:val="21"/>
                    </w:rPr>
                    <w:t>表2中二级相关限值</w:t>
                  </w:r>
                </w:p>
              </w:tc>
            </w:tr>
          </w:tbl>
          <w:p w14:paraId="09D62279">
            <w:pPr>
              <w:ind w:firstLine="480" w:firstLineChars="200"/>
              <w:rPr>
                <w:color w:val="auto"/>
              </w:rPr>
            </w:pPr>
            <w:r>
              <w:rPr>
                <w:color w:val="auto"/>
              </w:rPr>
              <w:t>②引用数据的有效性分析</w:t>
            </w:r>
          </w:p>
          <w:p w14:paraId="76F53367">
            <w:pPr>
              <w:ind w:firstLine="480" w:firstLineChars="200"/>
              <w:rPr>
                <w:color w:val="auto"/>
              </w:rPr>
            </w:pPr>
            <w:r>
              <w:rPr>
                <w:rFonts w:hint="eastAsia"/>
                <w:color w:val="auto"/>
              </w:rPr>
              <w:t>根据《建设项目环境影响报告表编制技术指南（污染影响类）（试行）》（环办环评〔2020〕33号）的要求：</w:t>
            </w:r>
            <w:r>
              <w:rPr>
                <w:rFonts w:hint="eastAsia"/>
                <w:color w:val="auto"/>
                <w:lang w:eastAsia="zh-CN"/>
              </w:rPr>
              <w:t>“</w:t>
            </w:r>
            <w:r>
              <w:rPr>
                <w:rFonts w:hint="eastAsia"/>
                <w:color w:val="auto"/>
              </w:rPr>
              <w:t>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color w:val="auto"/>
                <w:lang w:eastAsia="zh-CN"/>
              </w:rPr>
              <w:t>”</w:t>
            </w:r>
            <w:r>
              <w:rPr>
                <w:rFonts w:hint="eastAsia"/>
                <w:color w:val="auto"/>
              </w:rPr>
              <w:t>。该检测位置在5千米范围内，又是3年内，</w:t>
            </w:r>
            <w:r>
              <w:rPr>
                <w:rFonts w:hint="eastAsia"/>
                <w:color w:val="auto"/>
                <w:kern w:val="0"/>
                <w:lang w:val="en-GB" w:bidi="ar"/>
              </w:rPr>
              <w:t>符合《建设项目环境影响报告表编制技术指南（污染影响类）（试行）》（环办环评〔2020〕33号）的要求。</w:t>
            </w:r>
          </w:p>
          <w:p w14:paraId="37C1E025">
            <w:pPr>
              <w:pStyle w:val="3"/>
              <w:numPr>
                <w:ilvl w:val="1"/>
                <w:numId w:val="0"/>
              </w:numPr>
              <w:spacing w:before="0" w:after="0"/>
              <w:rPr>
                <w:color w:val="auto"/>
                <w:szCs w:val="28"/>
              </w:rPr>
            </w:pPr>
            <w:r>
              <w:rPr>
                <w:rFonts w:hint="eastAsia" w:cs="宋体"/>
                <w:color w:val="auto"/>
                <w:kern w:val="0"/>
                <w:szCs w:val="28"/>
              </w:rPr>
              <w:t>3.2</w:t>
            </w:r>
            <w:r>
              <w:rPr>
                <w:color w:val="auto"/>
                <w:szCs w:val="28"/>
              </w:rPr>
              <w:t>地表水环境质量现状</w:t>
            </w:r>
          </w:p>
          <w:p w14:paraId="23C0AA4F">
            <w:pPr>
              <w:pStyle w:val="4"/>
              <w:ind w:firstLine="0" w:firstLineChars="0"/>
              <w:rPr>
                <w:color w:val="auto"/>
              </w:rPr>
            </w:pPr>
            <w:r>
              <w:rPr>
                <w:rFonts w:hint="eastAsia"/>
                <w:color w:val="auto"/>
              </w:rPr>
              <w:t>3.2.1地表水环境功能区划和质量标准</w:t>
            </w:r>
          </w:p>
          <w:p w14:paraId="31525B63">
            <w:pPr>
              <w:widowControl/>
              <w:adjustRightInd w:val="0"/>
              <w:snapToGrid w:val="0"/>
              <w:ind w:firstLine="480"/>
              <w:rPr>
                <w:color w:val="auto"/>
              </w:rPr>
            </w:pPr>
            <w:r>
              <w:rPr>
                <w:color w:val="auto"/>
              </w:rPr>
              <w:t>本项目附近水域为南井溪，南井溪属闽侯内河，根据福建省人民政府闽政文</w:t>
            </w:r>
            <w:r>
              <w:rPr>
                <w:rFonts w:hint="eastAsia"/>
                <w:color w:val="auto"/>
              </w:rPr>
              <w:t>〔2006〕133号</w:t>
            </w:r>
            <w:r>
              <w:rPr>
                <w:color w:val="auto"/>
              </w:rPr>
              <w:t>批准实施《福州市地表水环境功能区划定方案》，闽侯内河全段为一般景观用水，水质执行《地表水环境质量标准》（GB3838-2002）Ⅴ类水质标准。</w:t>
            </w:r>
          </w:p>
          <w:p w14:paraId="3F88B1C4">
            <w:pPr>
              <w:widowControl/>
              <w:adjustRightInd w:val="0"/>
              <w:snapToGrid w:val="0"/>
              <w:ind w:firstLine="480"/>
              <w:rPr>
                <w:color w:val="auto"/>
              </w:rPr>
            </w:pPr>
            <w:r>
              <w:rPr>
                <w:color w:val="auto"/>
              </w:rPr>
              <w:t>项目废水经污水处理厂处理后，最终纳污水体为闽江南港（乌龙江），根据福建省人民政府闽政文</w:t>
            </w:r>
            <w:r>
              <w:rPr>
                <w:rFonts w:hint="eastAsia"/>
                <w:color w:val="auto"/>
              </w:rPr>
              <w:t>〔2006〕133号</w:t>
            </w:r>
            <w:r>
              <w:rPr>
                <w:color w:val="auto"/>
              </w:rPr>
              <w:t>批准实施《福州市地表水环境功能区划定方案》，闽江南港断面其水体功能为渔业用水、农业用水，水质执行《地表水环境质量标准》（GB3838-2002）Ⅲ类水质标准。具体详见表3</w:t>
            </w:r>
            <w:r>
              <w:rPr>
                <w:rFonts w:hint="eastAsia"/>
                <w:color w:val="auto"/>
              </w:rPr>
              <w:t>.2</w:t>
            </w:r>
            <w:r>
              <w:rPr>
                <w:color w:val="auto"/>
              </w:rPr>
              <w:t>-1。</w:t>
            </w:r>
          </w:p>
          <w:p w14:paraId="7A188D02">
            <w:pPr>
              <w:spacing w:line="240" w:lineRule="auto"/>
              <w:jc w:val="center"/>
              <w:rPr>
                <w:b/>
                <w:bCs/>
                <w:color w:val="auto"/>
              </w:rPr>
            </w:pPr>
            <w:r>
              <w:rPr>
                <w:b/>
                <w:bCs/>
                <w:color w:val="auto"/>
              </w:rPr>
              <w:t>表3</w:t>
            </w:r>
            <w:r>
              <w:rPr>
                <w:rFonts w:hint="eastAsia"/>
                <w:b/>
                <w:bCs/>
                <w:color w:val="auto"/>
              </w:rPr>
              <w:t>.2</w:t>
            </w:r>
            <w:r>
              <w:rPr>
                <w:b/>
                <w:bCs/>
                <w:color w:val="auto"/>
              </w:rPr>
              <w:t xml:space="preserve">-1 </w:t>
            </w:r>
            <w:r>
              <w:rPr>
                <w:rFonts w:hint="eastAsia"/>
                <w:b/>
                <w:bCs/>
                <w:color w:val="auto"/>
              </w:rPr>
              <w:t xml:space="preserve"> </w:t>
            </w:r>
            <w:r>
              <w:rPr>
                <w:b/>
                <w:bCs/>
                <w:color w:val="auto"/>
              </w:rPr>
              <w:t>地表水环境质量标准（摘录）</w:t>
            </w:r>
          </w:p>
          <w:tbl>
            <w:tblPr>
              <w:tblStyle w:val="30"/>
              <w:tblpPr w:leftFromText="180" w:rightFromText="180" w:vertAnchor="text" w:tblpXSpec="center" w:tblpY="1"/>
              <w:tblW w:w="76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74"/>
              <w:gridCol w:w="1718"/>
              <w:gridCol w:w="1528"/>
              <w:gridCol w:w="1429"/>
            </w:tblGrid>
            <w:tr w14:paraId="2A02B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28" w:type="dxa"/>
                  <w:vAlign w:val="center"/>
                </w:tcPr>
                <w:p w14:paraId="1AE679A5">
                  <w:pPr>
                    <w:pStyle w:val="47"/>
                    <w:adjustRightInd w:val="0"/>
                    <w:snapToGrid w:val="0"/>
                    <w:spacing w:line="288" w:lineRule="auto"/>
                    <w:rPr>
                      <w:color w:val="auto"/>
                      <w:szCs w:val="21"/>
                    </w:rPr>
                  </w:pPr>
                  <w:r>
                    <w:rPr>
                      <w:color w:val="auto"/>
                      <w:szCs w:val="21"/>
                    </w:rPr>
                    <w:t>序号</w:t>
                  </w:r>
                </w:p>
              </w:tc>
              <w:tc>
                <w:tcPr>
                  <w:tcW w:w="1674" w:type="dxa"/>
                  <w:vAlign w:val="center"/>
                </w:tcPr>
                <w:p w14:paraId="16D5626C">
                  <w:pPr>
                    <w:pStyle w:val="47"/>
                    <w:adjustRightInd w:val="0"/>
                    <w:snapToGrid w:val="0"/>
                    <w:spacing w:line="288" w:lineRule="auto"/>
                    <w:rPr>
                      <w:color w:val="auto"/>
                      <w:szCs w:val="21"/>
                    </w:rPr>
                  </w:pPr>
                  <w:r>
                    <w:rPr>
                      <w:color w:val="auto"/>
                      <w:szCs w:val="21"/>
                    </w:rPr>
                    <w:t>项目</w:t>
                  </w:r>
                </w:p>
              </w:tc>
              <w:tc>
                <w:tcPr>
                  <w:tcW w:w="1718" w:type="dxa"/>
                  <w:vAlign w:val="center"/>
                </w:tcPr>
                <w:p w14:paraId="132D748C">
                  <w:pPr>
                    <w:widowControl/>
                    <w:adjustRightInd w:val="0"/>
                    <w:snapToGrid w:val="0"/>
                    <w:spacing w:line="288" w:lineRule="auto"/>
                    <w:jc w:val="center"/>
                    <w:rPr>
                      <w:bCs/>
                      <w:color w:val="auto"/>
                      <w:sz w:val="21"/>
                      <w:szCs w:val="21"/>
                    </w:rPr>
                  </w:pPr>
                  <w:r>
                    <w:rPr>
                      <w:bCs/>
                      <w:color w:val="auto"/>
                      <w:sz w:val="21"/>
                      <w:szCs w:val="21"/>
                    </w:rPr>
                    <w:t>Ⅲ类</w:t>
                  </w:r>
                </w:p>
              </w:tc>
              <w:tc>
                <w:tcPr>
                  <w:tcW w:w="1528" w:type="dxa"/>
                  <w:vAlign w:val="center"/>
                </w:tcPr>
                <w:p w14:paraId="51DCD1E3">
                  <w:pPr>
                    <w:widowControl/>
                    <w:adjustRightInd w:val="0"/>
                    <w:snapToGrid w:val="0"/>
                    <w:spacing w:line="288" w:lineRule="auto"/>
                    <w:jc w:val="center"/>
                    <w:rPr>
                      <w:bCs/>
                      <w:color w:val="auto"/>
                      <w:sz w:val="21"/>
                      <w:szCs w:val="21"/>
                    </w:rPr>
                  </w:pPr>
                  <w:r>
                    <w:rPr>
                      <w:bCs/>
                      <w:color w:val="auto"/>
                      <w:sz w:val="21"/>
                      <w:szCs w:val="21"/>
                    </w:rPr>
                    <w:t>Ⅳ类</w:t>
                  </w:r>
                </w:p>
              </w:tc>
              <w:tc>
                <w:tcPr>
                  <w:tcW w:w="1429" w:type="dxa"/>
                  <w:vAlign w:val="center"/>
                </w:tcPr>
                <w:p w14:paraId="1F6CBFB1">
                  <w:pPr>
                    <w:widowControl/>
                    <w:adjustRightInd w:val="0"/>
                    <w:snapToGrid w:val="0"/>
                    <w:spacing w:line="288" w:lineRule="auto"/>
                    <w:jc w:val="center"/>
                    <w:rPr>
                      <w:bCs/>
                      <w:color w:val="auto"/>
                      <w:sz w:val="21"/>
                      <w:szCs w:val="21"/>
                    </w:rPr>
                  </w:pPr>
                  <w:r>
                    <w:rPr>
                      <w:bCs/>
                      <w:color w:val="auto"/>
                      <w:sz w:val="21"/>
                      <w:szCs w:val="21"/>
                    </w:rPr>
                    <w:t>Ⅴ类</w:t>
                  </w:r>
                </w:p>
              </w:tc>
            </w:tr>
            <w:tr w14:paraId="017AF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44E8A610">
                  <w:pPr>
                    <w:pStyle w:val="47"/>
                    <w:adjustRightInd w:val="0"/>
                    <w:snapToGrid w:val="0"/>
                    <w:spacing w:line="288" w:lineRule="auto"/>
                    <w:rPr>
                      <w:color w:val="auto"/>
                      <w:szCs w:val="21"/>
                    </w:rPr>
                  </w:pPr>
                  <w:r>
                    <w:rPr>
                      <w:color w:val="auto"/>
                      <w:szCs w:val="21"/>
                    </w:rPr>
                    <w:t>1</w:t>
                  </w:r>
                </w:p>
              </w:tc>
              <w:tc>
                <w:tcPr>
                  <w:tcW w:w="1674" w:type="dxa"/>
                  <w:vAlign w:val="center"/>
                </w:tcPr>
                <w:p w14:paraId="2C3794B2">
                  <w:pPr>
                    <w:pStyle w:val="47"/>
                    <w:adjustRightInd w:val="0"/>
                    <w:snapToGrid w:val="0"/>
                    <w:spacing w:line="288" w:lineRule="auto"/>
                    <w:rPr>
                      <w:color w:val="auto"/>
                      <w:szCs w:val="21"/>
                    </w:rPr>
                  </w:pPr>
                  <w:r>
                    <w:rPr>
                      <w:color w:val="auto"/>
                      <w:szCs w:val="21"/>
                    </w:rPr>
                    <w:t>pH</w:t>
                  </w:r>
                </w:p>
              </w:tc>
              <w:tc>
                <w:tcPr>
                  <w:tcW w:w="4675" w:type="dxa"/>
                  <w:gridSpan w:val="3"/>
                  <w:vAlign w:val="center"/>
                </w:tcPr>
                <w:p w14:paraId="6B50452E">
                  <w:pPr>
                    <w:pStyle w:val="47"/>
                    <w:adjustRightInd w:val="0"/>
                    <w:snapToGrid w:val="0"/>
                    <w:spacing w:line="288" w:lineRule="auto"/>
                    <w:rPr>
                      <w:color w:val="auto"/>
                      <w:kern w:val="0"/>
                      <w:szCs w:val="21"/>
                    </w:rPr>
                  </w:pPr>
                  <w:r>
                    <w:rPr>
                      <w:color w:val="auto"/>
                      <w:szCs w:val="21"/>
                    </w:rPr>
                    <w:t>6～9（无量纲）</w:t>
                  </w:r>
                </w:p>
              </w:tc>
            </w:tr>
            <w:tr w14:paraId="47AD5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6497EAFF">
                  <w:pPr>
                    <w:pStyle w:val="47"/>
                    <w:adjustRightInd w:val="0"/>
                    <w:snapToGrid w:val="0"/>
                    <w:spacing w:line="288" w:lineRule="auto"/>
                    <w:rPr>
                      <w:color w:val="auto"/>
                      <w:szCs w:val="21"/>
                    </w:rPr>
                  </w:pPr>
                  <w:r>
                    <w:rPr>
                      <w:color w:val="auto"/>
                      <w:szCs w:val="21"/>
                    </w:rPr>
                    <w:t>2</w:t>
                  </w:r>
                </w:p>
              </w:tc>
              <w:tc>
                <w:tcPr>
                  <w:tcW w:w="1674" w:type="dxa"/>
                  <w:vAlign w:val="center"/>
                </w:tcPr>
                <w:p w14:paraId="331F1999">
                  <w:pPr>
                    <w:pStyle w:val="47"/>
                    <w:adjustRightInd w:val="0"/>
                    <w:snapToGrid w:val="0"/>
                    <w:spacing w:line="288" w:lineRule="auto"/>
                    <w:rPr>
                      <w:color w:val="auto"/>
                      <w:szCs w:val="21"/>
                    </w:rPr>
                  </w:pPr>
                  <w:r>
                    <w:rPr>
                      <w:color w:val="auto"/>
                      <w:szCs w:val="21"/>
                    </w:rPr>
                    <w:t>DO</w:t>
                  </w:r>
                </w:p>
              </w:tc>
              <w:tc>
                <w:tcPr>
                  <w:tcW w:w="1718" w:type="dxa"/>
                  <w:vAlign w:val="center"/>
                </w:tcPr>
                <w:p w14:paraId="4B25C32B">
                  <w:pPr>
                    <w:pStyle w:val="47"/>
                    <w:adjustRightInd w:val="0"/>
                    <w:snapToGrid w:val="0"/>
                    <w:spacing w:line="288" w:lineRule="auto"/>
                    <w:rPr>
                      <w:color w:val="auto"/>
                      <w:szCs w:val="21"/>
                    </w:rPr>
                  </w:pPr>
                  <w:r>
                    <w:rPr>
                      <w:color w:val="auto"/>
                      <w:szCs w:val="21"/>
                    </w:rPr>
                    <w:t>≥</w:t>
                  </w:r>
                  <w:r>
                    <w:rPr>
                      <w:rFonts w:hint="eastAsia"/>
                      <w:color w:val="auto"/>
                      <w:szCs w:val="21"/>
                    </w:rPr>
                    <w:t>5</w:t>
                  </w:r>
                  <w:r>
                    <w:rPr>
                      <w:color w:val="auto"/>
                      <w:szCs w:val="21"/>
                    </w:rPr>
                    <w:t>mg/L</w:t>
                  </w:r>
                </w:p>
              </w:tc>
              <w:tc>
                <w:tcPr>
                  <w:tcW w:w="1528" w:type="dxa"/>
                  <w:vAlign w:val="center"/>
                </w:tcPr>
                <w:p w14:paraId="02BD387E">
                  <w:pPr>
                    <w:pStyle w:val="47"/>
                    <w:adjustRightInd w:val="0"/>
                    <w:snapToGrid w:val="0"/>
                    <w:spacing w:line="288" w:lineRule="auto"/>
                    <w:rPr>
                      <w:color w:val="auto"/>
                      <w:kern w:val="0"/>
                      <w:szCs w:val="21"/>
                    </w:rPr>
                  </w:pPr>
                  <w:r>
                    <w:rPr>
                      <w:color w:val="auto"/>
                      <w:szCs w:val="21"/>
                    </w:rPr>
                    <w:t>≥</w:t>
                  </w:r>
                  <w:r>
                    <w:rPr>
                      <w:rFonts w:hint="eastAsia"/>
                      <w:color w:val="auto"/>
                      <w:szCs w:val="21"/>
                    </w:rPr>
                    <w:t>3</w:t>
                  </w:r>
                  <w:r>
                    <w:rPr>
                      <w:color w:val="auto"/>
                      <w:szCs w:val="21"/>
                    </w:rPr>
                    <w:t>mg/L</w:t>
                  </w:r>
                </w:p>
              </w:tc>
              <w:tc>
                <w:tcPr>
                  <w:tcW w:w="1429" w:type="dxa"/>
                  <w:vAlign w:val="center"/>
                </w:tcPr>
                <w:p w14:paraId="302CF485">
                  <w:pPr>
                    <w:pStyle w:val="47"/>
                    <w:adjustRightInd w:val="0"/>
                    <w:snapToGrid w:val="0"/>
                    <w:spacing w:line="288" w:lineRule="auto"/>
                    <w:rPr>
                      <w:color w:val="auto"/>
                      <w:kern w:val="0"/>
                      <w:szCs w:val="21"/>
                    </w:rPr>
                  </w:pPr>
                  <w:r>
                    <w:rPr>
                      <w:color w:val="auto"/>
                      <w:szCs w:val="21"/>
                    </w:rPr>
                    <w:t>≥2mg/L</w:t>
                  </w:r>
                </w:p>
              </w:tc>
            </w:tr>
            <w:tr w14:paraId="4E692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28" w:type="dxa"/>
                  <w:vAlign w:val="center"/>
                </w:tcPr>
                <w:p w14:paraId="5FB14A85">
                  <w:pPr>
                    <w:pStyle w:val="47"/>
                    <w:adjustRightInd w:val="0"/>
                    <w:snapToGrid w:val="0"/>
                    <w:spacing w:line="288" w:lineRule="auto"/>
                    <w:rPr>
                      <w:color w:val="auto"/>
                      <w:szCs w:val="21"/>
                    </w:rPr>
                  </w:pPr>
                  <w:r>
                    <w:rPr>
                      <w:color w:val="auto"/>
                      <w:szCs w:val="21"/>
                    </w:rPr>
                    <w:t>3</w:t>
                  </w:r>
                </w:p>
              </w:tc>
              <w:tc>
                <w:tcPr>
                  <w:tcW w:w="1674" w:type="dxa"/>
                  <w:vAlign w:val="center"/>
                </w:tcPr>
                <w:p w14:paraId="2F84B9D1">
                  <w:pPr>
                    <w:pStyle w:val="47"/>
                    <w:adjustRightInd w:val="0"/>
                    <w:snapToGrid w:val="0"/>
                    <w:spacing w:line="288" w:lineRule="auto"/>
                    <w:rPr>
                      <w:color w:val="auto"/>
                      <w:szCs w:val="21"/>
                    </w:rPr>
                  </w:pPr>
                  <w:r>
                    <w:rPr>
                      <w:color w:val="auto"/>
                      <w:szCs w:val="21"/>
                    </w:rPr>
                    <w:t>COD</w:t>
                  </w:r>
                </w:p>
              </w:tc>
              <w:tc>
                <w:tcPr>
                  <w:tcW w:w="1718" w:type="dxa"/>
                  <w:vAlign w:val="center"/>
                </w:tcPr>
                <w:p w14:paraId="11D9572D">
                  <w:pPr>
                    <w:pStyle w:val="47"/>
                    <w:adjustRightInd w:val="0"/>
                    <w:snapToGrid w:val="0"/>
                    <w:spacing w:line="288" w:lineRule="auto"/>
                    <w:rPr>
                      <w:color w:val="auto"/>
                      <w:szCs w:val="21"/>
                    </w:rPr>
                  </w:pPr>
                  <w:r>
                    <w:rPr>
                      <w:color w:val="auto"/>
                      <w:szCs w:val="21"/>
                    </w:rPr>
                    <w:t>≤</w:t>
                  </w:r>
                  <w:r>
                    <w:rPr>
                      <w:rFonts w:hint="eastAsia"/>
                      <w:color w:val="auto"/>
                      <w:szCs w:val="21"/>
                    </w:rPr>
                    <w:t>2</w:t>
                  </w:r>
                  <w:r>
                    <w:rPr>
                      <w:color w:val="auto"/>
                      <w:szCs w:val="21"/>
                    </w:rPr>
                    <w:t>0mg/L</w:t>
                  </w:r>
                </w:p>
              </w:tc>
              <w:tc>
                <w:tcPr>
                  <w:tcW w:w="1528" w:type="dxa"/>
                  <w:vAlign w:val="center"/>
                </w:tcPr>
                <w:p w14:paraId="59F2216D">
                  <w:pPr>
                    <w:pStyle w:val="47"/>
                    <w:adjustRightInd w:val="0"/>
                    <w:snapToGrid w:val="0"/>
                    <w:spacing w:line="288" w:lineRule="auto"/>
                    <w:rPr>
                      <w:color w:val="auto"/>
                      <w:kern w:val="0"/>
                      <w:szCs w:val="21"/>
                    </w:rPr>
                  </w:pPr>
                  <w:r>
                    <w:rPr>
                      <w:color w:val="auto"/>
                      <w:szCs w:val="21"/>
                    </w:rPr>
                    <w:t>≤</w:t>
                  </w:r>
                  <w:r>
                    <w:rPr>
                      <w:rFonts w:hint="eastAsia"/>
                      <w:color w:val="auto"/>
                      <w:szCs w:val="21"/>
                    </w:rPr>
                    <w:t>30</w:t>
                  </w:r>
                  <w:r>
                    <w:rPr>
                      <w:color w:val="auto"/>
                      <w:szCs w:val="21"/>
                    </w:rPr>
                    <w:t>mg/L</w:t>
                  </w:r>
                </w:p>
              </w:tc>
              <w:tc>
                <w:tcPr>
                  <w:tcW w:w="1429" w:type="dxa"/>
                  <w:vAlign w:val="center"/>
                </w:tcPr>
                <w:p w14:paraId="38F948C3">
                  <w:pPr>
                    <w:pStyle w:val="47"/>
                    <w:adjustRightInd w:val="0"/>
                    <w:snapToGrid w:val="0"/>
                    <w:spacing w:line="288" w:lineRule="auto"/>
                    <w:rPr>
                      <w:color w:val="auto"/>
                      <w:kern w:val="0"/>
                      <w:szCs w:val="21"/>
                    </w:rPr>
                  </w:pPr>
                  <w:r>
                    <w:rPr>
                      <w:color w:val="auto"/>
                      <w:szCs w:val="21"/>
                    </w:rPr>
                    <w:t>≤</w:t>
                  </w:r>
                  <w:r>
                    <w:rPr>
                      <w:rFonts w:hint="eastAsia"/>
                      <w:color w:val="auto"/>
                      <w:szCs w:val="21"/>
                    </w:rPr>
                    <w:t>40</w:t>
                  </w:r>
                  <w:r>
                    <w:rPr>
                      <w:color w:val="auto"/>
                      <w:szCs w:val="21"/>
                    </w:rPr>
                    <w:t>mg/L</w:t>
                  </w:r>
                </w:p>
              </w:tc>
            </w:tr>
            <w:tr w14:paraId="683CB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28" w:type="dxa"/>
                  <w:vAlign w:val="center"/>
                </w:tcPr>
                <w:p w14:paraId="32CF7B7C">
                  <w:pPr>
                    <w:pStyle w:val="47"/>
                    <w:adjustRightInd w:val="0"/>
                    <w:snapToGrid w:val="0"/>
                    <w:spacing w:line="288" w:lineRule="auto"/>
                    <w:rPr>
                      <w:color w:val="auto"/>
                      <w:szCs w:val="21"/>
                    </w:rPr>
                  </w:pPr>
                  <w:r>
                    <w:rPr>
                      <w:color w:val="auto"/>
                      <w:szCs w:val="21"/>
                    </w:rPr>
                    <w:t>4</w:t>
                  </w:r>
                </w:p>
              </w:tc>
              <w:tc>
                <w:tcPr>
                  <w:tcW w:w="1674" w:type="dxa"/>
                  <w:vAlign w:val="center"/>
                </w:tcPr>
                <w:p w14:paraId="5CC1066F">
                  <w:pPr>
                    <w:pStyle w:val="47"/>
                    <w:adjustRightInd w:val="0"/>
                    <w:snapToGrid w:val="0"/>
                    <w:spacing w:line="288" w:lineRule="auto"/>
                    <w:rPr>
                      <w:color w:val="auto"/>
                      <w:szCs w:val="21"/>
                    </w:rPr>
                  </w:pPr>
                  <w:r>
                    <w:rPr>
                      <w:color w:val="auto"/>
                      <w:szCs w:val="21"/>
                    </w:rPr>
                    <w:t>BOD</w:t>
                  </w:r>
                  <w:r>
                    <w:rPr>
                      <w:color w:val="auto"/>
                      <w:szCs w:val="21"/>
                      <w:vertAlign w:val="subscript"/>
                    </w:rPr>
                    <w:t>5</w:t>
                  </w:r>
                </w:p>
              </w:tc>
              <w:tc>
                <w:tcPr>
                  <w:tcW w:w="1718" w:type="dxa"/>
                  <w:vAlign w:val="center"/>
                </w:tcPr>
                <w:p w14:paraId="7420A79D">
                  <w:pPr>
                    <w:pStyle w:val="47"/>
                    <w:adjustRightInd w:val="0"/>
                    <w:snapToGrid w:val="0"/>
                    <w:spacing w:line="288" w:lineRule="auto"/>
                    <w:rPr>
                      <w:color w:val="auto"/>
                      <w:szCs w:val="21"/>
                    </w:rPr>
                  </w:pPr>
                  <w:r>
                    <w:rPr>
                      <w:color w:val="auto"/>
                      <w:szCs w:val="21"/>
                    </w:rPr>
                    <w:t>≤</w:t>
                  </w:r>
                  <w:r>
                    <w:rPr>
                      <w:rFonts w:hint="eastAsia"/>
                      <w:color w:val="auto"/>
                      <w:szCs w:val="21"/>
                    </w:rPr>
                    <w:t>4</w:t>
                  </w:r>
                  <w:r>
                    <w:rPr>
                      <w:color w:val="auto"/>
                      <w:szCs w:val="21"/>
                    </w:rPr>
                    <w:t>mg/L</w:t>
                  </w:r>
                </w:p>
              </w:tc>
              <w:tc>
                <w:tcPr>
                  <w:tcW w:w="1528" w:type="dxa"/>
                  <w:vAlign w:val="center"/>
                </w:tcPr>
                <w:p w14:paraId="23CB2354">
                  <w:pPr>
                    <w:pStyle w:val="47"/>
                    <w:adjustRightInd w:val="0"/>
                    <w:snapToGrid w:val="0"/>
                    <w:spacing w:line="288" w:lineRule="auto"/>
                    <w:rPr>
                      <w:color w:val="auto"/>
                      <w:kern w:val="0"/>
                      <w:szCs w:val="21"/>
                    </w:rPr>
                  </w:pPr>
                  <w:r>
                    <w:rPr>
                      <w:color w:val="auto"/>
                      <w:szCs w:val="21"/>
                    </w:rPr>
                    <w:t>≤</w:t>
                  </w:r>
                  <w:r>
                    <w:rPr>
                      <w:rFonts w:hint="eastAsia"/>
                      <w:color w:val="auto"/>
                      <w:szCs w:val="21"/>
                    </w:rPr>
                    <w:t>6</w:t>
                  </w:r>
                  <w:r>
                    <w:rPr>
                      <w:color w:val="auto"/>
                      <w:szCs w:val="21"/>
                    </w:rPr>
                    <w:t>mg/L</w:t>
                  </w:r>
                </w:p>
              </w:tc>
              <w:tc>
                <w:tcPr>
                  <w:tcW w:w="1429" w:type="dxa"/>
                  <w:vAlign w:val="center"/>
                </w:tcPr>
                <w:p w14:paraId="43171991">
                  <w:pPr>
                    <w:pStyle w:val="47"/>
                    <w:adjustRightInd w:val="0"/>
                    <w:snapToGrid w:val="0"/>
                    <w:spacing w:line="288" w:lineRule="auto"/>
                    <w:rPr>
                      <w:color w:val="auto"/>
                      <w:kern w:val="0"/>
                      <w:szCs w:val="21"/>
                    </w:rPr>
                  </w:pPr>
                  <w:r>
                    <w:rPr>
                      <w:color w:val="auto"/>
                      <w:szCs w:val="21"/>
                    </w:rPr>
                    <w:t>≤</w:t>
                  </w:r>
                  <w:r>
                    <w:rPr>
                      <w:rFonts w:hint="eastAsia"/>
                      <w:color w:val="auto"/>
                      <w:szCs w:val="21"/>
                    </w:rPr>
                    <w:t>10</w:t>
                  </w:r>
                  <w:r>
                    <w:rPr>
                      <w:color w:val="auto"/>
                      <w:szCs w:val="21"/>
                    </w:rPr>
                    <w:t>mg/L</w:t>
                  </w:r>
                </w:p>
              </w:tc>
            </w:tr>
            <w:tr w14:paraId="4D373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7C598670">
                  <w:pPr>
                    <w:pStyle w:val="47"/>
                    <w:adjustRightInd w:val="0"/>
                    <w:snapToGrid w:val="0"/>
                    <w:spacing w:line="288" w:lineRule="auto"/>
                    <w:rPr>
                      <w:color w:val="auto"/>
                      <w:szCs w:val="21"/>
                    </w:rPr>
                  </w:pPr>
                  <w:r>
                    <w:rPr>
                      <w:rFonts w:hint="eastAsia"/>
                      <w:color w:val="auto"/>
                      <w:szCs w:val="21"/>
                    </w:rPr>
                    <w:t>5</w:t>
                  </w:r>
                </w:p>
              </w:tc>
              <w:tc>
                <w:tcPr>
                  <w:tcW w:w="1674" w:type="dxa"/>
                  <w:vAlign w:val="center"/>
                </w:tcPr>
                <w:p w14:paraId="11877312">
                  <w:pPr>
                    <w:pStyle w:val="47"/>
                    <w:adjustRightInd w:val="0"/>
                    <w:snapToGrid w:val="0"/>
                    <w:spacing w:line="288" w:lineRule="auto"/>
                    <w:rPr>
                      <w:color w:val="auto"/>
                      <w:szCs w:val="21"/>
                    </w:rPr>
                  </w:pPr>
                  <w:r>
                    <w:rPr>
                      <w:color w:val="auto"/>
                      <w:szCs w:val="21"/>
                    </w:rPr>
                    <w:t>高锰酸盐指数</w:t>
                  </w:r>
                </w:p>
              </w:tc>
              <w:tc>
                <w:tcPr>
                  <w:tcW w:w="1718" w:type="dxa"/>
                  <w:vAlign w:val="center"/>
                </w:tcPr>
                <w:p w14:paraId="14564119">
                  <w:pPr>
                    <w:pStyle w:val="47"/>
                    <w:adjustRightInd w:val="0"/>
                    <w:snapToGrid w:val="0"/>
                    <w:spacing w:line="288" w:lineRule="auto"/>
                    <w:rPr>
                      <w:color w:val="auto"/>
                      <w:szCs w:val="21"/>
                    </w:rPr>
                  </w:pPr>
                  <w:r>
                    <w:rPr>
                      <w:color w:val="auto"/>
                      <w:szCs w:val="21"/>
                    </w:rPr>
                    <w:t>≤</w:t>
                  </w:r>
                  <w:r>
                    <w:rPr>
                      <w:rFonts w:hint="eastAsia"/>
                      <w:color w:val="auto"/>
                      <w:szCs w:val="21"/>
                    </w:rPr>
                    <w:t>6</w:t>
                  </w:r>
                  <w:r>
                    <w:rPr>
                      <w:color w:val="auto"/>
                      <w:szCs w:val="21"/>
                    </w:rPr>
                    <w:t>mg/L</w:t>
                  </w:r>
                </w:p>
              </w:tc>
              <w:tc>
                <w:tcPr>
                  <w:tcW w:w="1528" w:type="dxa"/>
                  <w:vAlign w:val="center"/>
                </w:tcPr>
                <w:p w14:paraId="4C0C2177">
                  <w:pPr>
                    <w:pStyle w:val="47"/>
                    <w:adjustRightInd w:val="0"/>
                    <w:snapToGrid w:val="0"/>
                    <w:spacing w:line="288" w:lineRule="auto"/>
                    <w:rPr>
                      <w:color w:val="auto"/>
                      <w:kern w:val="0"/>
                      <w:szCs w:val="21"/>
                    </w:rPr>
                  </w:pPr>
                  <w:r>
                    <w:rPr>
                      <w:color w:val="auto"/>
                      <w:szCs w:val="21"/>
                    </w:rPr>
                    <w:t>≤</w:t>
                  </w:r>
                  <w:r>
                    <w:rPr>
                      <w:rFonts w:hint="eastAsia"/>
                      <w:color w:val="auto"/>
                      <w:szCs w:val="21"/>
                    </w:rPr>
                    <w:t>10</w:t>
                  </w:r>
                  <w:r>
                    <w:rPr>
                      <w:color w:val="auto"/>
                      <w:szCs w:val="21"/>
                    </w:rPr>
                    <w:t>mg/L</w:t>
                  </w:r>
                </w:p>
              </w:tc>
              <w:tc>
                <w:tcPr>
                  <w:tcW w:w="1429" w:type="dxa"/>
                  <w:vAlign w:val="center"/>
                </w:tcPr>
                <w:p w14:paraId="086CB3B7">
                  <w:pPr>
                    <w:pStyle w:val="47"/>
                    <w:adjustRightInd w:val="0"/>
                    <w:snapToGrid w:val="0"/>
                    <w:spacing w:line="288" w:lineRule="auto"/>
                    <w:rPr>
                      <w:color w:val="auto"/>
                      <w:kern w:val="0"/>
                      <w:szCs w:val="21"/>
                    </w:rPr>
                  </w:pPr>
                  <w:r>
                    <w:rPr>
                      <w:color w:val="auto"/>
                      <w:szCs w:val="21"/>
                    </w:rPr>
                    <w:t>≤</w:t>
                  </w:r>
                  <w:r>
                    <w:rPr>
                      <w:rFonts w:hint="eastAsia"/>
                      <w:color w:val="auto"/>
                      <w:szCs w:val="21"/>
                    </w:rPr>
                    <w:t>15</w:t>
                  </w:r>
                  <w:r>
                    <w:rPr>
                      <w:color w:val="auto"/>
                      <w:szCs w:val="21"/>
                    </w:rPr>
                    <w:t>mg/L</w:t>
                  </w:r>
                </w:p>
              </w:tc>
            </w:tr>
            <w:tr w14:paraId="6732B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59AD21DA">
                  <w:pPr>
                    <w:pStyle w:val="47"/>
                    <w:adjustRightInd w:val="0"/>
                    <w:snapToGrid w:val="0"/>
                    <w:spacing w:line="288" w:lineRule="auto"/>
                    <w:rPr>
                      <w:color w:val="auto"/>
                      <w:szCs w:val="21"/>
                    </w:rPr>
                  </w:pPr>
                  <w:r>
                    <w:rPr>
                      <w:color w:val="auto"/>
                      <w:szCs w:val="21"/>
                    </w:rPr>
                    <w:t>6</w:t>
                  </w:r>
                </w:p>
              </w:tc>
              <w:tc>
                <w:tcPr>
                  <w:tcW w:w="1674" w:type="dxa"/>
                  <w:vAlign w:val="center"/>
                </w:tcPr>
                <w:p w14:paraId="61F89CA2">
                  <w:pPr>
                    <w:pStyle w:val="47"/>
                    <w:adjustRightInd w:val="0"/>
                    <w:snapToGrid w:val="0"/>
                    <w:spacing w:line="288" w:lineRule="auto"/>
                    <w:rPr>
                      <w:color w:val="auto"/>
                      <w:szCs w:val="21"/>
                    </w:rPr>
                  </w:pPr>
                  <w:r>
                    <w:rPr>
                      <w:color w:val="auto"/>
                      <w:szCs w:val="21"/>
                    </w:rPr>
                    <w:t>氨氮</w:t>
                  </w:r>
                </w:p>
              </w:tc>
              <w:tc>
                <w:tcPr>
                  <w:tcW w:w="1718" w:type="dxa"/>
                  <w:vAlign w:val="center"/>
                </w:tcPr>
                <w:p w14:paraId="199DD709">
                  <w:pPr>
                    <w:pStyle w:val="47"/>
                    <w:adjustRightInd w:val="0"/>
                    <w:snapToGrid w:val="0"/>
                    <w:spacing w:line="288" w:lineRule="auto"/>
                    <w:rPr>
                      <w:color w:val="auto"/>
                      <w:szCs w:val="21"/>
                    </w:rPr>
                  </w:pPr>
                  <w:r>
                    <w:rPr>
                      <w:color w:val="auto"/>
                      <w:szCs w:val="21"/>
                    </w:rPr>
                    <w:t>≤</w:t>
                  </w:r>
                  <w:r>
                    <w:rPr>
                      <w:rFonts w:hint="eastAsia"/>
                      <w:color w:val="auto"/>
                      <w:szCs w:val="21"/>
                    </w:rPr>
                    <w:t>1</w:t>
                  </w:r>
                  <w:r>
                    <w:rPr>
                      <w:color w:val="auto"/>
                      <w:szCs w:val="21"/>
                    </w:rPr>
                    <w:t>.0mg/L</w:t>
                  </w:r>
                </w:p>
              </w:tc>
              <w:tc>
                <w:tcPr>
                  <w:tcW w:w="1528" w:type="dxa"/>
                  <w:vAlign w:val="center"/>
                </w:tcPr>
                <w:p w14:paraId="574F2220">
                  <w:pPr>
                    <w:pStyle w:val="47"/>
                    <w:adjustRightInd w:val="0"/>
                    <w:snapToGrid w:val="0"/>
                    <w:spacing w:line="288" w:lineRule="auto"/>
                    <w:rPr>
                      <w:color w:val="auto"/>
                      <w:kern w:val="0"/>
                      <w:szCs w:val="21"/>
                    </w:rPr>
                  </w:pPr>
                  <w:r>
                    <w:rPr>
                      <w:color w:val="auto"/>
                      <w:szCs w:val="21"/>
                    </w:rPr>
                    <w:t>≤</w:t>
                  </w:r>
                  <w:r>
                    <w:rPr>
                      <w:rFonts w:hint="eastAsia"/>
                      <w:color w:val="auto"/>
                      <w:szCs w:val="21"/>
                    </w:rPr>
                    <w:t>1</w:t>
                  </w:r>
                  <w:r>
                    <w:rPr>
                      <w:color w:val="auto"/>
                      <w:szCs w:val="21"/>
                    </w:rPr>
                    <w:t>.</w:t>
                  </w:r>
                  <w:r>
                    <w:rPr>
                      <w:rFonts w:hint="eastAsia"/>
                      <w:color w:val="auto"/>
                      <w:szCs w:val="21"/>
                    </w:rPr>
                    <w:t>5</w:t>
                  </w:r>
                  <w:r>
                    <w:rPr>
                      <w:color w:val="auto"/>
                      <w:szCs w:val="21"/>
                    </w:rPr>
                    <w:t>mg/L</w:t>
                  </w:r>
                </w:p>
              </w:tc>
              <w:tc>
                <w:tcPr>
                  <w:tcW w:w="1429" w:type="dxa"/>
                  <w:vAlign w:val="center"/>
                </w:tcPr>
                <w:p w14:paraId="11DD05C3">
                  <w:pPr>
                    <w:pStyle w:val="47"/>
                    <w:adjustRightInd w:val="0"/>
                    <w:snapToGrid w:val="0"/>
                    <w:spacing w:line="288" w:lineRule="auto"/>
                    <w:rPr>
                      <w:color w:val="auto"/>
                      <w:kern w:val="0"/>
                      <w:szCs w:val="21"/>
                    </w:rPr>
                  </w:pPr>
                  <w:r>
                    <w:rPr>
                      <w:color w:val="auto"/>
                      <w:szCs w:val="21"/>
                    </w:rPr>
                    <w:t>≤</w:t>
                  </w:r>
                  <w:r>
                    <w:rPr>
                      <w:rFonts w:hint="eastAsia"/>
                      <w:color w:val="auto"/>
                      <w:szCs w:val="21"/>
                    </w:rPr>
                    <w:t>2</w:t>
                  </w:r>
                  <w:r>
                    <w:rPr>
                      <w:color w:val="auto"/>
                      <w:szCs w:val="21"/>
                    </w:rPr>
                    <w:t>.0mg/L</w:t>
                  </w:r>
                </w:p>
              </w:tc>
            </w:tr>
            <w:tr w14:paraId="6F8B9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20D7BB20">
                  <w:pPr>
                    <w:pStyle w:val="47"/>
                    <w:adjustRightInd w:val="0"/>
                    <w:snapToGrid w:val="0"/>
                    <w:spacing w:line="288" w:lineRule="auto"/>
                    <w:rPr>
                      <w:color w:val="auto"/>
                      <w:szCs w:val="21"/>
                    </w:rPr>
                  </w:pPr>
                  <w:r>
                    <w:rPr>
                      <w:color w:val="auto"/>
                      <w:szCs w:val="21"/>
                    </w:rPr>
                    <w:t>7</w:t>
                  </w:r>
                </w:p>
              </w:tc>
              <w:tc>
                <w:tcPr>
                  <w:tcW w:w="1674" w:type="dxa"/>
                  <w:vAlign w:val="center"/>
                </w:tcPr>
                <w:p w14:paraId="0F3281F6">
                  <w:pPr>
                    <w:pStyle w:val="47"/>
                    <w:adjustRightInd w:val="0"/>
                    <w:snapToGrid w:val="0"/>
                    <w:spacing w:line="288" w:lineRule="auto"/>
                    <w:rPr>
                      <w:color w:val="auto"/>
                      <w:szCs w:val="21"/>
                    </w:rPr>
                  </w:pPr>
                  <w:r>
                    <w:rPr>
                      <w:color w:val="auto"/>
                      <w:szCs w:val="21"/>
                    </w:rPr>
                    <w:t>总氮</w:t>
                  </w:r>
                </w:p>
              </w:tc>
              <w:tc>
                <w:tcPr>
                  <w:tcW w:w="1718" w:type="dxa"/>
                  <w:vAlign w:val="center"/>
                </w:tcPr>
                <w:p w14:paraId="1FB06AD9">
                  <w:pPr>
                    <w:pStyle w:val="47"/>
                    <w:adjustRightInd w:val="0"/>
                    <w:snapToGrid w:val="0"/>
                    <w:spacing w:line="288" w:lineRule="auto"/>
                    <w:rPr>
                      <w:color w:val="auto"/>
                      <w:szCs w:val="21"/>
                    </w:rPr>
                  </w:pPr>
                  <w:r>
                    <w:rPr>
                      <w:color w:val="auto"/>
                      <w:szCs w:val="21"/>
                    </w:rPr>
                    <w:t>≤</w:t>
                  </w:r>
                  <w:r>
                    <w:rPr>
                      <w:rFonts w:hint="eastAsia"/>
                      <w:color w:val="auto"/>
                      <w:szCs w:val="21"/>
                    </w:rPr>
                    <w:t>1</w:t>
                  </w:r>
                  <w:r>
                    <w:rPr>
                      <w:color w:val="auto"/>
                      <w:szCs w:val="21"/>
                    </w:rPr>
                    <w:t>.0mg/L</w:t>
                  </w:r>
                </w:p>
              </w:tc>
              <w:tc>
                <w:tcPr>
                  <w:tcW w:w="1528" w:type="dxa"/>
                  <w:vAlign w:val="center"/>
                </w:tcPr>
                <w:p w14:paraId="4DFFCE50">
                  <w:pPr>
                    <w:pStyle w:val="47"/>
                    <w:adjustRightInd w:val="0"/>
                    <w:snapToGrid w:val="0"/>
                    <w:spacing w:line="288" w:lineRule="auto"/>
                    <w:rPr>
                      <w:color w:val="auto"/>
                      <w:kern w:val="0"/>
                      <w:szCs w:val="21"/>
                    </w:rPr>
                  </w:pPr>
                  <w:r>
                    <w:rPr>
                      <w:color w:val="auto"/>
                      <w:szCs w:val="21"/>
                    </w:rPr>
                    <w:t>≤</w:t>
                  </w:r>
                  <w:r>
                    <w:rPr>
                      <w:rFonts w:hint="eastAsia"/>
                      <w:color w:val="auto"/>
                      <w:szCs w:val="21"/>
                    </w:rPr>
                    <w:t>1</w:t>
                  </w:r>
                  <w:r>
                    <w:rPr>
                      <w:color w:val="auto"/>
                      <w:szCs w:val="21"/>
                    </w:rPr>
                    <w:t>.</w:t>
                  </w:r>
                  <w:r>
                    <w:rPr>
                      <w:rFonts w:hint="eastAsia"/>
                      <w:color w:val="auto"/>
                      <w:szCs w:val="21"/>
                    </w:rPr>
                    <w:t>5</w:t>
                  </w:r>
                  <w:r>
                    <w:rPr>
                      <w:color w:val="auto"/>
                      <w:szCs w:val="21"/>
                    </w:rPr>
                    <w:t>mg/L</w:t>
                  </w:r>
                </w:p>
              </w:tc>
              <w:tc>
                <w:tcPr>
                  <w:tcW w:w="1429" w:type="dxa"/>
                  <w:vAlign w:val="center"/>
                </w:tcPr>
                <w:p w14:paraId="699AB7D7">
                  <w:pPr>
                    <w:pStyle w:val="47"/>
                    <w:adjustRightInd w:val="0"/>
                    <w:snapToGrid w:val="0"/>
                    <w:spacing w:line="288" w:lineRule="auto"/>
                    <w:rPr>
                      <w:color w:val="auto"/>
                      <w:kern w:val="0"/>
                      <w:szCs w:val="21"/>
                    </w:rPr>
                  </w:pPr>
                  <w:r>
                    <w:rPr>
                      <w:color w:val="auto"/>
                      <w:szCs w:val="21"/>
                    </w:rPr>
                    <w:t>≤</w:t>
                  </w:r>
                  <w:r>
                    <w:rPr>
                      <w:rFonts w:hint="eastAsia"/>
                      <w:color w:val="auto"/>
                      <w:szCs w:val="21"/>
                    </w:rPr>
                    <w:t>2</w:t>
                  </w:r>
                  <w:r>
                    <w:rPr>
                      <w:color w:val="auto"/>
                      <w:szCs w:val="21"/>
                    </w:rPr>
                    <w:t>.0mg/L</w:t>
                  </w:r>
                </w:p>
              </w:tc>
            </w:tr>
            <w:tr w14:paraId="6399E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vAlign w:val="center"/>
                </w:tcPr>
                <w:p w14:paraId="596E3D48">
                  <w:pPr>
                    <w:pStyle w:val="47"/>
                    <w:adjustRightInd w:val="0"/>
                    <w:snapToGrid w:val="0"/>
                    <w:spacing w:line="288" w:lineRule="auto"/>
                    <w:rPr>
                      <w:color w:val="auto"/>
                      <w:szCs w:val="21"/>
                    </w:rPr>
                  </w:pPr>
                  <w:r>
                    <w:rPr>
                      <w:color w:val="auto"/>
                      <w:szCs w:val="21"/>
                    </w:rPr>
                    <w:t>8</w:t>
                  </w:r>
                </w:p>
              </w:tc>
              <w:tc>
                <w:tcPr>
                  <w:tcW w:w="1674" w:type="dxa"/>
                  <w:vAlign w:val="center"/>
                </w:tcPr>
                <w:p w14:paraId="7531D1CA">
                  <w:pPr>
                    <w:pStyle w:val="47"/>
                    <w:adjustRightInd w:val="0"/>
                    <w:snapToGrid w:val="0"/>
                    <w:spacing w:line="288" w:lineRule="auto"/>
                    <w:rPr>
                      <w:color w:val="auto"/>
                      <w:szCs w:val="21"/>
                    </w:rPr>
                  </w:pPr>
                  <w:r>
                    <w:rPr>
                      <w:color w:val="auto"/>
                      <w:szCs w:val="21"/>
                    </w:rPr>
                    <w:t>总磷</w:t>
                  </w:r>
                </w:p>
              </w:tc>
              <w:tc>
                <w:tcPr>
                  <w:tcW w:w="1718" w:type="dxa"/>
                  <w:vAlign w:val="center"/>
                </w:tcPr>
                <w:p w14:paraId="134A1C09">
                  <w:pPr>
                    <w:pStyle w:val="47"/>
                    <w:adjustRightInd w:val="0"/>
                    <w:snapToGrid w:val="0"/>
                    <w:spacing w:line="288" w:lineRule="auto"/>
                    <w:rPr>
                      <w:color w:val="auto"/>
                      <w:szCs w:val="21"/>
                    </w:rPr>
                  </w:pPr>
                  <w:r>
                    <w:rPr>
                      <w:color w:val="auto"/>
                      <w:szCs w:val="21"/>
                    </w:rPr>
                    <w:t>≤0.</w:t>
                  </w:r>
                  <w:r>
                    <w:rPr>
                      <w:rFonts w:hint="eastAsia"/>
                      <w:color w:val="auto"/>
                      <w:szCs w:val="21"/>
                    </w:rPr>
                    <w:t>2</w:t>
                  </w:r>
                  <w:r>
                    <w:rPr>
                      <w:color w:val="auto"/>
                      <w:szCs w:val="21"/>
                    </w:rPr>
                    <w:t xml:space="preserve"> mg/L</w:t>
                  </w:r>
                </w:p>
              </w:tc>
              <w:tc>
                <w:tcPr>
                  <w:tcW w:w="1528" w:type="dxa"/>
                  <w:vAlign w:val="center"/>
                </w:tcPr>
                <w:p w14:paraId="1D223D3E">
                  <w:pPr>
                    <w:pStyle w:val="47"/>
                    <w:adjustRightInd w:val="0"/>
                    <w:snapToGrid w:val="0"/>
                    <w:spacing w:line="288" w:lineRule="auto"/>
                    <w:rPr>
                      <w:color w:val="auto"/>
                    </w:rPr>
                  </w:pPr>
                  <w:r>
                    <w:rPr>
                      <w:color w:val="auto"/>
                      <w:szCs w:val="21"/>
                    </w:rPr>
                    <w:t>≤0.</w:t>
                  </w:r>
                  <w:r>
                    <w:rPr>
                      <w:rFonts w:hint="eastAsia"/>
                      <w:color w:val="auto"/>
                      <w:szCs w:val="21"/>
                    </w:rPr>
                    <w:t>3</w:t>
                  </w:r>
                  <w:r>
                    <w:rPr>
                      <w:color w:val="auto"/>
                      <w:szCs w:val="21"/>
                    </w:rPr>
                    <w:t>mg/L</w:t>
                  </w:r>
                </w:p>
              </w:tc>
              <w:tc>
                <w:tcPr>
                  <w:tcW w:w="1429" w:type="dxa"/>
                  <w:vAlign w:val="center"/>
                </w:tcPr>
                <w:p w14:paraId="4594414D">
                  <w:pPr>
                    <w:pStyle w:val="47"/>
                    <w:adjustRightInd w:val="0"/>
                    <w:snapToGrid w:val="0"/>
                    <w:spacing w:line="288" w:lineRule="auto"/>
                    <w:rPr>
                      <w:color w:val="auto"/>
                      <w:kern w:val="0"/>
                      <w:szCs w:val="21"/>
                    </w:rPr>
                  </w:pPr>
                  <w:r>
                    <w:rPr>
                      <w:color w:val="auto"/>
                      <w:szCs w:val="21"/>
                    </w:rPr>
                    <w:t>≤0.</w:t>
                  </w:r>
                  <w:r>
                    <w:rPr>
                      <w:rFonts w:hint="eastAsia"/>
                      <w:color w:val="auto"/>
                      <w:szCs w:val="21"/>
                    </w:rPr>
                    <w:t>4</w:t>
                  </w:r>
                  <w:r>
                    <w:rPr>
                      <w:color w:val="auto"/>
                      <w:szCs w:val="21"/>
                    </w:rPr>
                    <w:t>mg/L</w:t>
                  </w:r>
                </w:p>
              </w:tc>
            </w:tr>
          </w:tbl>
          <w:p w14:paraId="237D5B80">
            <w:pPr>
              <w:pStyle w:val="4"/>
              <w:ind w:firstLine="0" w:firstLineChars="0"/>
              <w:rPr>
                <w:color w:val="auto"/>
              </w:rPr>
            </w:pPr>
            <w:r>
              <w:rPr>
                <w:rFonts w:hint="eastAsia"/>
                <w:color w:val="auto"/>
              </w:rPr>
              <w:t>3.2.2</w:t>
            </w:r>
            <w:r>
              <w:rPr>
                <w:color w:val="auto"/>
              </w:rPr>
              <w:t>地表水水质现状</w:t>
            </w:r>
          </w:p>
          <w:p w14:paraId="1B2BF5C6">
            <w:pPr>
              <w:pStyle w:val="5"/>
              <w:ind w:firstLine="480"/>
              <w:rPr>
                <w:color w:val="auto"/>
              </w:rPr>
            </w:pPr>
            <w:r>
              <w:rPr>
                <w:rFonts w:hint="eastAsia"/>
                <w:color w:val="auto"/>
              </w:rPr>
              <w:t>（1）</w:t>
            </w:r>
            <w:r>
              <w:rPr>
                <w:color w:val="auto"/>
              </w:rPr>
              <w:t>地表水水质现状调查</w:t>
            </w:r>
          </w:p>
          <w:p w14:paraId="00807038">
            <w:pPr>
              <w:pStyle w:val="5"/>
              <w:ind w:firstLine="480"/>
              <w:rPr>
                <w:color w:val="auto"/>
              </w:rPr>
            </w:pPr>
            <w:r>
              <w:rPr>
                <w:color w:val="auto"/>
              </w:rPr>
              <w:t>本项目</w:t>
            </w:r>
            <w:r>
              <w:rPr>
                <w:rFonts w:hint="eastAsia"/>
                <w:color w:val="auto"/>
              </w:rPr>
              <w:t>西</w:t>
            </w:r>
            <w:r>
              <w:rPr>
                <w:color w:val="auto"/>
              </w:rPr>
              <w:t>侧为南井溪（安源溪支流，汇入大樟溪）。根据福建省生态环境厅网站上公布的《</w:t>
            </w:r>
            <w:r>
              <w:rPr>
                <w:rFonts w:hint="eastAsia"/>
                <w:color w:val="auto"/>
              </w:rPr>
              <w:t>水质</w:t>
            </w:r>
            <w:r>
              <w:rPr>
                <w:color w:val="auto"/>
              </w:rPr>
              <w:t>周报》，</w:t>
            </w:r>
            <w:r>
              <w:rPr>
                <w:rFonts w:hint="eastAsia"/>
                <w:color w:val="auto"/>
              </w:rPr>
              <w:t>2023年第53周大樟溪水质各污染物因子达到《地表水环境质量标准</w:t>
            </w:r>
            <w:r>
              <w:rPr>
                <w:rFonts w:cs="Times New Roman"/>
                <w:color w:val="auto"/>
              </w:rPr>
              <w:t>》Ⅱ类水质标准</w:t>
            </w:r>
            <w:r>
              <w:rPr>
                <w:rFonts w:hint="eastAsia"/>
                <w:color w:val="auto"/>
              </w:rPr>
              <w:t>，详见图3.2-1。</w:t>
            </w:r>
          </w:p>
          <w:p w14:paraId="5A5DCC2A">
            <w:pPr>
              <w:pStyle w:val="58"/>
              <w:ind w:firstLine="0" w:firstLineChars="0"/>
              <w:jc w:val="center"/>
              <w:rPr>
                <w:color w:val="auto"/>
              </w:rPr>
            </w:pPr>
            <w:r>
              <w:rPr>
                <w:color w:val="auto"/>
                <w:highlight w:val="none"/>
              </w:rPr>
              <w:drawing>
                <wp:inline distT="0" distB="0" distL="114300" distR="114300">
                  <wp:extent cx="5129530" cy="3467735"/>
                  <wp:effectExtent l="0" t="0" r="13970" b="1841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21"/>
                          <a:stretch>
                            <a:fillRect/>
                          </a:stretch>
                        </pic:blipFill>
                        <pic:spPr>
                          <a:xfrm>
                            <a:off x="0" y="0"/>
                            <a:ext cx="5129530" cy="3467735"/>
                          </a:xfrm>
                          <a:prstGeom prst="rect">
                            <a:avLst/>
                          </a:prstGeom>
                          <a:noFill/>
                          <a:ln>
                            <a:noFill/>
                          </a:ln>
                        </pic:spPr>
                      </pic:pic>
                    </a:graphicData>
                  </a:graphic>
                </wp:inline>
              </w:drawing>
            </w:r>
          </w:p>
          <w:p w14:paraId="5B6E4D76">
            <w:pPr>
              <w:pStyle w:val="58"/>
              <w:spacing w:line="240" w:lineRule="auto"/>
              <w:ind w:firstLine="0" w:firstLineChars="0"/>
              <w:jc w:val="center"/>
              <w:rPr>
                <w:b/>
                <w:bCs w:val="0"/>
                <w:color w:val="auto"/>
              </w:rPr>
            </w:pPr>
            <w:r>
              <w:rPr>
                <w:b/>
                <w:bCs w:val="0"/>
                <w:color w:val="auto"/>
              </w:rPr>
              <w:t>图3</w:t>
            </w:r>
            <w:r>
              <w:rPr>
                <w:rFonts w:hint="eastAsia"/>
                <w:b/>
                <w:bCs w:val="0"/>
                <w:color w:val="auto"/>
              </w:rPr>
              <w:t>.2</w:t>
            </w:r>
            <w:r>
              <w:rPr>
                <w:b/>
                <w:bCs w:val="0"/>
                <w:color w:val="auto"/>
              </w:rPr>
              <w:t xml:space="preserve">-1  </w:t>
            </w:r>
            <w:r>
              <w:rPr>
                <w:rFonts w:hint="eastAsia"/>
                <w:b/>
                <w:bCs w:val="0"/>
                <w:color w:val="auto"/>
              </w:rPr>
              <w:t>福建省生态环境厅《水质周报》截图</w:t>
            </w:r>
          </w:p>
          <w:p w14:paraId="319E83E1">
            <w:pPr>
              <w:adjustRightInd w:val="0"/>
              <w:ind w:firstLine="480" w:firstLineChars="200"/>
              <w:contextualSpacing/>
              <w:rPr>
                <w:color w:val="auto"/>
              </w:rPr>
            </w:pPr>
            <w:r>
              <w:rPr>
                <w:rFonts w:hint="eastAsia"/>
                <w:color w:val="auto"/>
              </w:rPr>
              <w:t>（2）</w:t>
            </w:r>
            <w:r>
              <w:rPr>
                <w:color w:val="auto"/>
              </w:rPr>
              <w:t>引用资料的有效性分析</w:t>
            </w:r>
          </w:p>
          <w:p w14:paraId="29362AAD">
            <w:pPr>
              <w:autoSpaceDE w:val="0"/>
              <w:autoSpaceDN w:val="0"/>
              <w:ind w:firstLine="480" w:firstLineChars="200"/>
              <w:textAlignment w:val="bottom"/>
              <w:rPr>
                <w:color w:val="auto"/>
              </w:rPr>
            </w:pPr>
            <w:r>
              <w:rPr>
                <w:color w:val="auto"/>
              </w:rPr>
              <w:t>根据</w:t>
            </w:r>
            <w:r>
              <w:rPr>
                <w:rFonts w:hint="eastAsia"/>
                <w:color w:val="auto"/>
              </w:rPr>
              <w:t>《建设项目环境影响报告表编制技术指南（污染影响类）》（试行）（</w:t>
            </w:r>
            <w:r>
              <w:rPr>
                <w:color w:val="auto"/>
              </w:rPr>
              <w:t>环办环评〔2020〕33号</w:t>
            </w:r>
            <w:r>
              <w:rPr>
                <w:rFonts w:hint="eastAsia"/>
                <w:color w:val="auto"/>
              </w:rPr>
              <w:t>）</w:t>
            </w:r>
            <w:r>
              <w:rPr>
                <w:color w:val="auto"/>
              </w:rPr>
              <w:t>的要求：</w:t>
            </w:r>
            <w:r>
              <w:rPr>
                <w:rFonts w:hint="eastAsia"/>
                <w:color w:val="auto"/>
                <w:lang w:eastAsia="zh-CN"/>
              </w:rPr>
              <w:t>“</w:t>
            </w:r>
            <w:r>
              <w:rPr>
                <w:color w:val="auto"/>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auto"/>
                <w:lang w:eastAsia="zh-CN"/>
              </w:rPr>
              <w:t>”</w:t>
            </w:r>
            <w:r>
              <w:rPr>
                <w:color w:val="auto"/>
              </w:rPr>
              <w:t>，</w:t>
            </w:r>
            <w:r>
              <w:rPr>
                <w:rFonts w:hint="eastAsia"/>
                <w:color w:val="auto"/>
              </w:rPr>
              <w:t>本次</w:t>
            </w:r>
            <w:r>
              <w:rPr>
                <w:color w:val="auto"/>
              </w:rPr>
              <w:t>评价选取福建省生态环境厅网站发布水环境状况信息，符合</w:t>
            </w:r>
            <w:r>
              <w:rPr>
                <w:rFonts w:hint="eastAsia"/>
                <w:color w:val="auto"/>
              </w:rPr>
              <w:t>《建设项目环境影响报告表编制技术指南（污染影响类）》（试行）（</w:t>
            </w:r>
            <w:r>
              <w:rPr>
                <w:color w:val="auto"/>
              </w:rPr>
              <w:t>环办环评〔2020〕33号</w:t>
            </w:r>
            <w:r>
              <w:rPr>
                <w:rFonts w:hint="eastAsia"/>
                <w:color w:val="auto"/>
              </w:rPr>
              <w:t>）</w:t>
            </w:r>
            <w:r>
              <w:rPr>
                <w:color w:val="auto"/>
              </w:rPr>
              <w:t>的要求。</w:t>
            </w:r>
          </w:p>
          <w:p w14:paraId="1E1003D2">
            <w:pPr>
              <w:pStyle w:val="3"/>
              <w:spacing w:before="0" w:after="0"/>
              <w:rPr>
                <w:color w:val="auto"/>
              </w:rPr>
            </w:pPr>
            <w:r>
              <w:rPr>
                <w:rFonts w:hint="eastAsia"/>
                <w:color w:val="auto"/>
              </w:rPr>
              <w:t>3.3声环境质量现状</w:t>
            </w:r>
          </w:p>
          <w:p w14:paraId="676F4203">
            <w:pPr>
              <w:pStyle w:val="5"/>
              <w:ind w:firstLine="480"/>
              <w:rPr>
                <w:color w:val="auto"/>
              </w:rPr>
            </w:pPr>
            <w:r>
              <w:rPr>
                <w:rFonts w:hint="eastAsia"/>
                <w:color w:val="auto"/>
              </w:rPr>
              <w:t>本项目位于福建省闽侯县南屿镇智慧大道20号保利通信福州高新科技产业园13号楼，周边为以工业生产、仓储物流为主要功能，需要防止工业噪声对周围环境产生严重影响的区域，项目所在区域声环境为3类功能区，声环境质量执行</w:t>
            </w:r>
            <w:r>
              <w:rPr>
                <w:rFonts w:hint="eastAsia" w:cs="Times New Roman"/>
                <w:color w:val="auto"/>
              </w:rPr>
              <w:t>《声环境质量标准》（</w:t>
            </w:r>
            <w:r>
              <w:rPr>
                <w:rFonts w:cs="Times New Roman"/>
                <w:color w:val="auto"/>
              </w:rPr>
              <w:t>GB3096-2008</w:t>
            </w:r>
            <w:r>
              <w:rPr>
                <w:rFonts w:hint="eastAsia" w:cs="Times New Roman"/>
                <w:color w:val="auto"/>
              </w:rPr>
              <w:t>）的3类标准。</w:t>
            </w:r>
            <w:r>
              <w:rPr>
                <w:rFonts w:cs="Times New Roman"/>
                <w:bCs/>
                <w:color w:val="auto"/>
                <w:szCs w:val="21"/>
              </w:rPr>
              <w:t>具体见表3</w:t>
            </w:r>
            <w:r>
              <w:rPr>
                <w:rFonts w:hint="eastAsia" w:cs="Times New Roman"/>
                <w:bCs/>
                <w:color w:val="auto"/>
                <w:szCs w:val="21"/>
              </w:rPr>
              <w:t>.3</w:t>
            </w:r>
            <w:r>
              <w:rPr>
                <w:rFonts w:cs="Times New Roman"/>
                <w:bCs/>
                <w:color w:val="auto"/>
                <w:szCs w:val="21"/>
              </w:rPr>
              <w:t>-</w:t>
            </w:r>
            <w:r>
              <w:rPr>
                <w:rFonts w:hint="eastAsia" w:cs="Times New Roman"/>
                <w:bCs/>
                <w:color w:val="auto"/>
                <w:szCs w:val="21"/>
              </w:rPr>
              <w:t>1</w:t>
            </w:r>
            <w:r>
              <w:rPr>
                <w:rFonts w:cs="Times New Roman"/>
                <w:bCs/>
                <w:color w:val="auto"/>
                <w:szCs w:val="21"/>
              </w:rPr>
              <w:t>。</w:t>
            </w:r>
          </w:p>
          <w:p w14:paraId="32446C2B">
            <w:pPr>
              <w:spacing w:line="240" w:lineRule="auto"/>
              <w:jc w:val="center"/>
              <w:rPr>
                <w:color w:val="auto"/>
              </w:rPr>
            </w:pPr>
            <w:r>
              <w:rPr>
                <w:b/>
                <w:color w:val="auto"/>
                <w:szCs w:val="21"/>
              </w:rPr>
              <w:t>表3</w:t>
            </w:r>
            <w:r>
              <w:rPr>
                <w:rFonts w:hint="eastAsia"/>
                <w:b/>
                <w:color w:val="auto"/>
                <w:szCs w:val="21"/>
              </w:rPr>
              <w:t>.3</w:t>
            </w:r>
            <w:r>
              <w:rPr>
                <w:b/>
                <w:color w:val="auto"/>
                <w:szCs w:val="21"/>
              </w:rPr>
              <w:t>-</w:t>
            </w:r>
            <w:r>
              <w:rPr>
                <w:rFonts w:hint="eastAsia"/>
                <w:b/>
                <w:color w:val="auto"/>
                <w:szCs w:val="21"/>
              </w:rPr>
              <w:t>1</w:t>
            </w:r>
            <w:r>
              <w:rPr>
                <w:b/>
                <w:color w:val="auto"/>
                <w:szCs w:val="21"/>
              </w:rPr>
              <w:t xml:space="preserve"> </w:t>
            </w:r>
            <w:r>
              <w:rPr>
                <w:rFonts w:hint="eastAsia"/>
                <w:b/>
                <w:color w:val="auto"/>
                <w:szCs w:val="21"/>
              </w:rPr>
              <w:t xml:space="preserve"> 声环境质量标准  </w:t>
            </w:r>
            <w:r>
              <w:rPr>
                <w:b/>
                <w:color w:val="auto"/>
                <w:szCs w:val="21"/>
              </w:rPr>
              <w:t>单位：dB(A)</w:t>
            </w:r>
          </w:p>
          <w:tbl>
            <w:tblPr>
              <w:tblStyle w:val="30"/>
              <w:tblW w:w="7350" w:type="dxa"/>
              <w:tblInd w:w="25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3"/>
              <w:gridCol w:w="3577"/>
            </w:tblGrid>
            <w:tr w14:paraId="2E3E4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3" w:type="dxa"/>
                  <w:vAlign w:val="center"/>
                </w:tcPr>
                <w:p w14:paraId="05F689DD">
                  <w:pPr>
                    <w:jc w:val="center"/>
                    <w:rPr>
                      <w:iCs/>
                      <w:color w:val="auto"/>
                      <w:sz w:val="21"/>
                      <w:szCs w:val="21"/>
                    </w:rPr>
                  </w:pPr>
                  <w:r>
                    <w:rPr>
                      <w:iCs/>
                      <w:color w:val="auto"/>
                      <w:sz w:val="21"/>
                      <w:szCs w:val="21"/>
                    </w:rPr>
                    <w:t>声环境功能区类别/时段</w:t>
                  </w:r>
                </w:p>
              </w:tc>
              <w:tc>
                <w:tcPr>
                  <w:tcW w:w="3577" w:type="dxa"/>
                  <w:vAlign w:val="center"/>
                </w:tcPr>
                <w:p w14:paraId="5E138766">
                  <w:pPr>
                    <w:jc w:val="center"/>
                    <w:rPr>
                      <w:iCs/>
                      <w:color w:val="auto"/>
                      <w:sz w:val="21"/>
                      <w:szCs w:val="21"/>
                    </w:rPr>
                  </w:pPr>
                  <w:r>
                    <w:rPr>
                      <w:iCs/>
                      <w:color w:val="auto"/>
                      <w:sz w:val="21"/>
                      <w:szCs w:val="21"/>
                    </w:rPr>
                    <w:t>昼间</w:t>
                  </w:r>
                </w:p>
              </w:tc>
            </w:tr>
            <w:tr w14:paraId="030E6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3" w:type="dxa"/>
                  <w:vAlign w:val="center"/>
                </w:tcPr>
                <w:p w14:paraId="259E1765">
                  <w:pPr>
                    <w:jc w:val="center"/>
                    <w:rPr>
                      <w:iCs/>
                      <w:color w:val="auto"/>
                      <w:sz w:val="21"/>
                      <w:szCs w:val="21"/>
                    </w:rPr>
                  </w:pPr>
                  <w:r>
                    <w:rPr>
                      <w:rFonts w:hint="eastAsia"/>
                      <w:iCs/>
                      <w:color w:val="auto"/>
                      <w:sz w:val="21"/>
                      <w:szCs w:val="21"/>
                    </w:rPr>
                    <w:t>3</w:t>
                  </w:r>
                </w:p>
              </w:tc>
              <w:tc>
                <w:tcPr>
                  <w:tcW w:w="3577" w:type="dxa"/>
                  <w:vAlign w:val="center"/>
                </w:tcPr>
                <w:p w14:paraId="3CF44BD8">
                  <w:pPr>
                    <w:jc w:val="center"/>
                    <w:rPr>
                      <w:iCs/>
                      <w:color w:val="auto"/>
                      <w:sz w:val="21"/>
                      <w:szCs w:val="21"/>
                    </w:rPr>
                  </w:pPr>
                  <w:r>
                    <w:rPr>
                      <w:iCs/>
                      <w:color w:val="auto"/>
                      <w:sz w:val="21"/>
                      <w:szCs w:val="21"/>
                    </w:rPr>
                    <w:t>6</w:t>
                  </w:r>
                  <w:r>
                    <w:rPr>
                      <w:rFonts w:hint="eastAsia"/>
                      <w:iCs/>
                      <w:color w:val="auto"/>
                      <w:sz w:val="21"/>
                      <w:szCs w:val="21"/>
                    </w:rPr>
                    <w:t>5</w:t>
                  </w:r>
                </w:p>
              </w:tc>
            </w:tr>
          </w:tbl>
          <w:p w14:paraId="59DC27B6">
            <w:pPr>
              <w:pStyle w:val="5"/>
              <w:ind w:firstLine="480"/>
              <w:rPr>
                <w:color w:val="auto"/>
              </w:rPr>
            </w:pPr>
            <w:r>
              <w:rPr>
                <w:color w:val="auto"/>
              </w:rPr>
              <w:t>根据《建设项目环境影响报告表编制技术指南（污染影响类）》（环办环评〔2020〕33号）要求，</w:t>
            </w:r>
            <w:r>
              <w:rPr>
                <w:rFonts w:hint="eastAsia"/>
                <w:color w:val="auto"/>
                <w:lang w:eastAsia="zh-CN"/>
              </w:rPr>
              <w:t>“</w:t>
            </w:r>
            <w:r>
              <w:rPr>
                <w:color w:val="auto"/>
              </w:rPr>
              <w:t>厂界外周边50米范围内存在声环境保护目标的建设项目，应监测保护目标声环境质量现状并评价达标情况。</w:t>
            </w:r>
            <w:r>
              <w:rPr>
                <w:rFonts w:hint="eastAsia"/>
                <w:color w:val="auto"/>
                <w:lang w:eastAsia="zh-CN"/>
              </w:rPr>
              <w:t>”</w:t>
            </w:r>
            <w:r>
              <w:rPr>
                <w:color w:val="auto"/>
              </w:rPr>
              <w:t>根据现场踏勘可知，项目周边50米范围内无声环境保护目标，可不进行声环境质量现状的监测。</w:t>
            </w:r>
          </w:p>
          <w:p w14:paraId="6DEC51A0">
            <w:pPr>
              <w:pStyle w:val="3"/>
              <w:spacing w:before="0" w:after="0"/>
              <w:rPr>
                <w:color w:val="auto"/>
              </w:rPr>
            </w:pPr>
            <w:r>
              <w:rPr>
                <w:color w:val="auto"/>
              </w:rPr>
              <w:t>3.4生态环境现状调查</w:t>
            </w:r>
          </w:p>
          <w:p w14:paraId="1E04562C">
            <w:pPr>
              <w:pStyle w:val="5"/>
              <w:ind w:firstLine="480"/>
              <w:rPr>
                <w:color w:val="auto"/>
              </w:rPr>
            </w:pPr>
            <w:r>
              <w:rPr>
                <w:color w:val="auto"/>
              </w:rPr>
              <w:t>根据现场勘查，目前本项目利用现有地块内的建筑物，项目用地周边为城市道路、其他企业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276A90F4">
            <w:pPr>
              <w:pStyle w:val="3"/>
              <w:spacing w:before="0" w:after="0"/>
              <w:rPr>
                <w:color w:val="auto"/>
              </w:rPr>
            </w:pPr>
            <w:r>
              <w:rPr>
                <w:color w:val="auto"/>
              </w:rPr>
              <w:t>3.5地下水、土壤环境质量现状</w:t>
            </w:r>
          </w:p>
          <w:p w14:paraId="3E47B89B">
            <w:pPr>
              <w:pStyle w:val="5"/>
              <w:ind w:firstLine="480"/>
              <w:rPr>
                <w:color w:val="auto"/>
              </w:rPr>
            </w:pPr>
            <w:r>
              <w:rPr>
                <w:color w:val="auto"/>
              </w:rPr>
              <w:t>根据《建设项目环境影响报告表编制技术指南（污染影响类）（试行）》（环办环评〔2020〕33号）规定，</w:t>
            </w:r>
            <w:r>
              <w:rPr>
                <w:rFonts w:hint="eastAsia"/>
                <w:color w:val="auto"/>
                <w:lang w:eastAsia="zh-CN"/>
              </w:rPr>
              <w:t>“</w:t>
            </w:r>
            <w:r>
              <w:rPr>
                <w:color w:val="auto"/>
              </w:rPr>
              <w:t>原则上不开展环境质量现状调查。建设项目存在土壤、地下水环境污染途径的，应结合污染源、保护目标分布情况开展现状调查以留作背景值</w:t>
            </w:r>
            <w:r>
              <w:rPr>
                <w:rFonts w:hint="eastAsia"/>
                <w:color w:val="auto"/>
                <w:lang w:eastAsia="zh-CN"/>
              </w:rPr>
              <w:t>”</w:t>
            </w:r>
            <w:r>
              <w:rPr>
                <w:color w:val="auto"/>
              </w:rPr>
              <w:t>。</w:t>
            </w:r>
          </w:p>
          <w:p w14:paraId="6081F596">
            <w:pPr>
              <w:pStyle w:val="5"/>
              <w:ind w:firstLine="480"/>
              <w:rPr>
                <w:color w:val="auto"/>
              </w:rPr>
            </w:pPr>
            <w:r>
              <w:rPr>
                <w:rFonts w:hint="eastAsia"/>
                <w:color w:val="auto"/>
              </w:rPr>
              <w:t>本</w:t>
            </w:r>
            <w:r>
              <w:rPr>
                <w:color w:val="auto"/>
              </w:rPr>
              <w:t>项目位于</w:t>
            </w:r>
            <w:r>
              <w:rPr>
                <w:rFonts w:hint="eastAsia"/>
                <w:color w:val="auto"/>
              </w:rPr>
              <w:t>福建省闽侯县南屿镇智慧大道20号保利通信福州高新科技产业园13号楼</w:t>
            </w:r>
            <w:r>
              <w:rPr>
                <w:color w:val="auto"/>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3978D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3C3122E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环境保护目标</w:t>
            </w:r>
          </w:p>
        </w:tc>
        <w:tc>
          <w:tcPr>
            <w:tcW w:w="8190" w:type="dxa"/>
            <w:vAlign w:val="center"/>
          </w:tcPr>
          <w:p w14:paraId="441601F7">
            <w:pPr>
              <w:pStyle w:val="60"/>
              <w:ind w:left="0" w:leftChars="0"/>
              <w:rPr>
                <w:rFonts w:eastAsia="宋体"/>
                <w:b/>
                <w:bCs/>
                <w:color w:val="auto"/>
                <w:sz w:val="28"/>
                <w:szCs w:val="28"/>
              </w:rPr>
            </w:pPr>
            <w:r>
              <w:rPr>
                <w:rFonts w:hint="eastAsia" w:eastAsia="宋体"/>
                <w:b/>
                <w:bCs/>
                <w:color w:val="auto"/>
                <w:sz w:val="28"/>
                <w:szCs w:val="28"/>
              </w:rPr>
              <w:t>3.6环境保护目标</w:t>
            </w:r>
          </w:p>
          <w:p w14:paraId="1B564417">
            <w:pPr>
              <w:pStyle w:val="36"/>
              <w:adjustRightInd w:val="0"/>
              <w:spacing w:before="0" w:after="0" w:line="360" w:lineRule="auto"/>
              <w:ind w:firstLine="480" w:firstLineChars="200"/>
              <w:jc w:val="both"/>
              <w:rPr>
                <w:b w:val="0"/>
                <w:bCs/>
                <w:color w:val="auto"/>
                <w:szCs w:val="24"/>
              </w:rPr>
            </w:pPr>
            <w:r>
              <w:rPr>
                <w:b w:val="0"/>
                <w:bCs/>
                <w:color w:val="auto"/>
                <w:szCs w:val="24"/>
              </w:rPr>
              <w:t>根据</w:t>
            </w:r>
            <w:r>
              <w:rPr>
                <w:rFonts w:hint="eastAsia"/>
                <w:b w:val="0"/>
                <w:bCs/>
                <w:color w:val="auto"/>
                <w:szCs w:val="24"/>
              </w:rPr>
              <w:t>《建设项目环境影响报告表编制技术指南（污染影响类）》（试行）</w:t>
            </w:r>
            <w:r>
              <w:rPr>
                <w:b w:val="0"/>
                <w:bCs/>
                <w:color w:val="auto"/>
                <w:szCs w:val="24"/>
              </w:rPr>
              <w:t>（环办环评</w:t>
            </w:r>
            <w:r>
              <w:rPr>
                <w:rFonts w:hint="eastAsia"/>
                <w:b w:val="0"/>
                <w:bCs/>
                <w:color w:val="auto"/>
                <w:szCs w:val="24"/>
              </w:rPr>
              <w:t>〔2020〕33号</w:t>
            </w:r>
            <w:r>
              <w:rPr>
                <w:b w:val="0"/>
                <w:bCs/>
                <w:color w:val="auto"/>
                <w:szCs w:val="24"/>
              </w:rPr>
              <w:t>）要求以及对项目周边环境的调查，项目大气环境（厂界外500m）、地表水环境、声环境（厂界外50m）、地下水环境（厂界外500m）等环境保护目标见表3.6-1和附图2。</w:t>
            </w:r>
          </w:p>
          <w:p w14:paraId="577ED449">
            <w:pPr>
              <w:pStyle w:val="36"/>
              <w:adjustRightInd w:val="0"/>
              <w:spacing w:before="0" w:after="0"/>
              <w:rPr>
                <w:color w:val="auto"/>
              </w:rPr>
            </w:pPr>
            <w:r>
              <w:rPr>
                <w:color w:val="auto"/>
              </w:rPr>
              <w:t>表3.6-1  项目周边主要环境保护目标一览表</w:t>
            </w:r>
          </w:p>
          <w:tbl>
            <w:tblPr>
              <w:tblStyle w:val="30"/>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83"/>
              <w:gridCol w:w="898"/>
              <w:gridCol w:w="1300"/>
              <w:gridCol w:w="705"/>
              <w:gridCol w:w="910"/>
              <w:gridCol w:w="2005"/>
            </w:tblGrid>
            <w:tr w14:paraId="0511B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5" w:type="pct"/>
                  <w:tcBorders>
                    <w:top w:val="single" w:color="auto" w:sz="12" w:space="0"/>
                    <w:left w:val="nil"/>
                    <w:bottom w:val="single" w:color="auto" w:sz="4" w:space="0"/>
                    <w:right w:val="single" w:color="auto" w:sz="4" w:space="0"/>
                  </w:tcBorders>
                  <w:vAlign w:val="center"/>
                </w:tcPr>
                <w:p w14:paraId="37A2DB9F">
                  <w:pPr>
                    <w:spacing w:line="240" w:lineRule="auto"/>
                    <w:jc w:val="center"/>
                    <w:rPr>
                      <w:color w:val="auto"/>
                      <w:sz w:val="21"/>
                      <w:szCs w:val="21"/>
                    </w:rPr>
                  </w:pPr>
                  <w:r>
                    <w:rPr>
                      <w:color w:val="auto"/>
                      <w:sz w:val="21"/>
                      <w:szCs w:val="21"/>
                    </w:rPr>
                    <w:t>环境要素</w:t>
                  </w:r>
                </w:p>
              </w:tc>
              <w:tc>
                <w:tcPr>
                  <w:tcW w:w="868" w:type="pct"/>
                  <w:tcBorders>
                    <w:top w:val="single" w:color="auto" w:sz="12" w:space="0"/>
                    <w:left w:val="single" w:color="auto" w:sz="4" w:space="0"/>
                    <w:bottom w:val="single" w:color="auto" w:sz="4" w:space="0"/>
                    <w:right w:val="single" w:color="auto" w:sz="4" w:space="0"/>
                  </w:tcBorders>
                  <w:vAlign w:val="center"/>
                </w:tcPr>
                <w:p w14:paraId="7DD03A33">
                  <w:pPr>
                    <w:spacing w:line="240" w:lineRule="auto"/>
                    <w:jc w:val="center"/>
                    <w:rPr>
                      <w:color w:val="auto"/>
                      <w:sz w:val="21"/>
                      <w:szCs w:val="21"/>
                    </w:rPr>
                  </w:pPr>
                  <w:r>
                    <w:rPr>
                      <w:color w:val="auto"/>
                      <w:sz w:val="21"/>
                      <w:szCs w:val="21"/>
                    </w:rPr>
                    <w:t>环境保护目标名称</w:t>
                  </w:r>
                </w:p>
              </w:tc>
              <w:tc>
                <w:tcPr>
                  <w:tcW w:w="564" w:type="pct"/>
                  <w:tcBorders>
                    <w:top w:val="single" w:color="auto" w:sz="12" w:space="0"/>
                    <w:left w:val="single" w:color="auto" w:sz="4" w:space="0"/>
                    <w:bottom w:val="single" w:color="auto" w:sz="4" w:space="0"/>
                    <w:right w:val="single" w:color="auto" w:sz="4" w:space="0"/>
                  </w:tcBorders>
                  <w:vAlign w:val="center"/>
                </w:tcPr>
                <w:p w14:paraId="3855B5C2">
                  <w:pPr>
                    <w:spacing w:line="240" w:lineRule="auto"/>
                    <w:jc w:val="center"/>
                    <w:rPr>
                      <w:color w:val="auto"/>
                      <w:sz w:val="21"/>
                      <w:szCs w:val="21"/>
                    </w:rPr>
                  </w:pPr>
                  <w:r>
                    <w:rPr>
                      <w:color w:val="auto"/>
                      <w:sz w:val="21"/>
                      <w:szCs w:val="21"/>
                    </w:rPr>
                    <w:t>方位</w:t>
                  </w:r>
                </w:p>
              </w:tc>
              <w:tc>
                <w:tcPr>
                  <w:tcW w:w="817" w:type="pct"/>
                  <w:tcBorders>
                    <w:top w:val="single" w:color="auto" w:sz="12" w:space="0"/>
                    <w:left w:val="single" w:color="auto" w:sz="4" w:space="0"/>
                    <w:bottom w:val="single" w:color="auto" w:sz="4" w:space="0"/>
                    <w:right w:val="single" w:color="auto" w:sz="4" w:space="0"/>
                  </w:tcBorders>
                  <w:vAlign w:val="center"/>
                </w:tcPr>
                <w:p w14:paraId="4B2A9770">
                  <w:pPr>
                    <w:spacing w:line="240" w:lineRule="auto"/>
                    <w:jc w:val="center"/>
                    <w:rPr>
                      <w:color w:val="auto"/>
                      <w:sz w:val="21"/>
                      <w:szCs w:val="21"/>
                    </w:rPr>
                  </w:pPr>
                  <w:r>
                    <w:rPr>
                      <w:rFonts w:hint="eastAsia"/>
                      <w:color w:val="auto"/>
                      <w:sz w:val="21"/>
                      <w:szCs w:val="21"/>
                    </w:rPr>
                    <w:t>距</w:t>
                  </w:r>
                  <w:r>
                    <w:rPr>
                      <w:color w:val="auto"/>
                      <w:sz w:val="21"/>
                      <w:szCs w:val="21"/>
                    </w:rPr>
                    <w:t>项目厂界最近距离</w:t>
                  </w:r>
                </w:p>
              </w:tc>
              <w:tc>
                <w:tcPr>
                  <w:tcW w:w="443" w:type="pct"/>
                  <w:tcBorders>
                    <w:top w:val="single" w:color="auto" w:sz="12" w:space="0"/>
                    <w:left w:val="single" w:color="auto" w:sz="4" w:space="0"/>
                    <w:bottom w:val="single" w:color="auto" w:sz="4" w:space="0"/>
                    <w:right w:val="single" w:color="auto" w:sz="4" w:space="0"/>
                  </w:tcBorders>
                  <w:vAlign w:val="center"/>
                </w:tcPr>
                <w:p w14:paraId="3C0073DD">
                  <w:pPr>
                    <w:spacing w:line="240" w:lineRule="auto"/>
                    <w:jc w:val="center"/>
                    <w:rPr>
                      <w:color w:val="auto"/>
                      <w:sz w:val="21"/>
                      <w:szCs w:val="21"/>
                    </w:rPr>
                  </w:pPr>
                  <w:r>
                    <w:rPr>
                      <w:rFonts w:hint="eastAsia"/>
                      <w:color w:val="auto"/>
                      <w:sz w:val="21"/>
                      <w:szCs w:val="21"/>
                    </w:rPr>
                    <w:t>目标规模</w:t>
                  </w:r>
                </w:p>
              </w:tc>
              <w:tc>
                <w:tcPr>
                  <w:tcW w:w="572" w:type="pct"/>
                  <w:tcBorders>
                    <w:top w:val="single" w:color="auto" w:sz="12" w:space="0"/>
                    <w:left w:val="single" w:color="auto" w:sz="4" w:space="0"/>
                    <w:bottom w:val="single" w:color="auto" w:sz="4" w:space="0"/>
                    <w:right w:val="single" w:color="auto" w:sz="4" w:space="0"/>
                  </w:tcBorders>
                  <w:vAlign w:val="center"/>
                </w:tcPr>
                <w:p w14:paraId="7869A665">
                  <w:pPr>
                    <w:spacing w:line="240" w:lineRule="auto"/>
                    <w:jc w:val="center"/>
                    <w:rPr>
                      <w:color w:val="auto"/>
                      <w:sz w:val="21"/>
                      <w:szCs w:val="21"/>
                    </w:rPr>
                  </w:pPr>
                  <w:r>
                    <w:rPr>
                      <w:color w:val="auto"/>
                      <w:sz w:val="21"/>
                      <w:szCs w:val="21"/>
                    </w:rPr>
                    <w:t>环境功能</w:t>
                  </w:r>
                </w:p>
              </w:tc>
              <w:tc>
                <w:tcPr>
                  <w:tcW w:w="1257" w:type="pct"/>
                  <w:tcBorders>
                    <w:top w:val="single" w:color="auto" w:sz="12" w:space="0"/>
                    <w:left w:val="single" w:color="auto" w:sz="4" w:space="0"/>
                    <w:bottom w:val="single" w:color="auto" w:sz="4" w:space="0"/>
                    <w:right w:val="nil"/>
                  </w:tcBorders>
                  <w:vAlign w:val="center"/>
                </w:tcPr>
                <w:p w14:paraId="08216AFA">
                  <w:pPr>
                    <w:spacing w:line="240" w:lineRule="auto"/>
                    <w:jc w:val="center"/>
                    <w:rPr>
                      <w:color w:val="auto"/>
                      <w:sz w:val="21"/>
                      <w:szCs w:val="21"/>
                    </w:rPr>
                  </w:pPr>
                  <w:r>
                    <w:rPr>
                      <w:color w:val="auto"/>
                      <w:sz w:val="21"/>
                      <w:szCs w:val="21"/>
                    </w:rPr>
                    <w:t>保护级别</w:t>
                  </w:r>
                </w:p>
              </w:tc>
            </w:tr>
            <w:tr w14:paraId="4FCA2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1" w:hRule="atLeast"/>
              </w:trPr>
              <w:tc>
                <w:tcPr>
                  <w:tcW w:w="475" w:type="pct"/>
                  <w:vMerge w:val="restart"/>
                  <w:tcBorders>
                    <w:top w:val="single" w:color="auto" w:sz="4" w:space="0"/>
                    <w:left w:val="nil"/>
                    <w:right w:val="single" w:color="auto" w:sz="4" w:space="0"/>
                  </w:tcBorders>
                  <w:vAlign w:val="center"/>
                </w:tcPr>
                <w:p w14:paraId="148F9451">
                  <w:pPr>
                    <w:spacing w:line="240" w:lineRule="auto"/>
                    <w:jc w:val="center"/>
                    <w:rPr>
                      <w:color w:val="auto"/>
                      <w:sz w:val="21"/>
                      <w:szCs w:val="21"/>
                    </w:rPr>
                  </w:pPr>
                  <w:r>
                    <w:rPr>
                      <w:color w:val="auto"/>
                      <w:kern w:val="0"/>
                      <w:sz w:val="21"/>
                      <w:szCs w:val="21"/>
                    </w:rPr>
                    <w:t>大气环</w:t>
                  </w:r>
                  <w:r>
                    <w:rPr>
                      <w:rFonts w:eastAsia="MS Mincho"/>
                      <w:color w:val="auto"/>
                      <w:kern w:val="0"/>
                      <w:sz w:val="21"/>
                      <w:szCs w:val="21"/>
                    </w:rPr>
                    <w:t>境</w:t>
                  </w:r>
                </w:p>
              </w:tc>
              <w:tc>
                <w:tcPr>
                  <w:tcW w:w="868" w:type="pct"/>
                  <w:tcBorders>
                    <w:top w:val="single" w:color="auto" w:sz="4" w:space="0"/>
                    <w:left w:val="single" w:color="auto" w:sz="4" w:space="0"/>
                    <w:bottom w:val="single" w:color="auto" w:sz="4" w:space="0"/>
                    <w:right w:val="single" w:color="auto" w:sz="4" w:space="0"/>
                  </w:tcBorders>
                  <w:vAlign w:val="center"/>
                </w:tcPr>
                <w:p w14:paraId="6339980D">
                  <w:pPr>
                    <w:adjustRightInd w:val="0"/>
                    <w:snapToGrid w:val="0"/>
                    <w:spacing w:before="24" w:beforeLines="10" w:after="24" w:afterLines="10" w:line="240" w:lineRule="auto"/>
                    <w:jc w:val="center"/>
                    <w:rPr>
                      <w:color w:val="auto"/>
                      <w:sz w:val="21"/>
                      <w:szCs w:val="21"/>
                    </w:rPr>
                  </w:pPr>
                  <w:r>
                    <w:rPr>
                      <w:rFonts w:hint="eastAsia"/>
                      <w:color w:val="auto"/>
                      <w:kern w:val="0"/>
                      <w:sz w:val="21"/>
                      <w:szCs w:val="20"/>
                    </w:rPr>
                    <w:t>桐南村</w:t>
                  </w:r>
                </w:p>
              </w:tc>
              <w:tc>
                <w:tcPr>
                  <w:tcW w:w="564" w:type="pct"/>
                  <w:tcBorders>
                    <w:top w:val="single" w:color="auto" w:sz="4" w:space="0"/>
                    <w:left w:val="single" w:color="auto" w:sz="4" w:space="0"/>
                    <w:bottom w:val="single" w:color="auto" w:sz="4" w:space="0"/>
                    <w:right w:val="single" w:color="auto" w:sz="4" w:space="0"/>
                  </w:tcBorders>
                  <w:vAlign w:val="center"/>
                </w:tcPr>
                <w:p w14:paraId="338B2681">
                  <w:pPr>
                    <w:adjustRightInd w:val="0"/>
                    <w:snapToGrid w:val="0"/>
                    <w:spacing w:before="24" w:beforeLines="10" w:after="24" w:afterLines="10" w:line="240" w:lineRule="auto"/>
                    <w:jc w:val="center"/>
                    <w:rPr>
                      <w:color w:val="auto"/>
                      <w:sz w:val="21"/>
                      <w:szCs w:val="21"/>
                    </w:rPr>
                  </w:pPr>
                  <w:r>
                    <w:rPr>
                      <w:rFonts w:hint="eastAsia"/>
                      <w:color w:val="auto"/>
                      <w:kern w:val="0"/>
                      <w:sz w:val="21"/>
                      <w:szCs w:val="20"/>
                    </w:rPr>
                    <w:t>东南侧</w:t>
                  </w:r>
                </w:p>
              </w:tc>
              <w:tc>
                <w:tcPr>
                  <w:tcW w:w="817" w:type="pct"/>
                  <w:tcBorders>
                    <w:top w:val="single" w:color="auto" w:sz="4" w:space="0"/>
                    <w:left w:val="single" w:color="auto" w:sz="4" w:space="0"/>
                    <w:bottom w:val="single" w:color="auto" w:sz="4" w:space="0"/>
                    <w:right w:val="single" w:color="auto" w:sz="4" w:space="0"/>
                  </w:tcBorders>
                  <w:vAlign w:val="center"/>
                </w:tcPr>
                <w:p w14:paraId="7C50FF65">
                  <w:pPr>
                    <w:spacing w:line="240" w:lineRule="auto"/>
                    <w:jc w:val="center"/>
                    <w:rPr>
                      <w:color w:val="auto"/>
                      <w:sz w:val="21"/>
                      <w:szCs w:val="21"/>
                    </w:rPr>
                  </w:pPr>
                  <w:r>
                    <w:rPr>
                      <w:rFonts w:hint="eastAsia"/>
                      <w:color w:val="auto"/>
                      <w:sz w:val="21"/>
                      <w:szCs w:val="21"/>
                    </w:rPr>
                    <w:t>185m</w:t>
                  </w:r>
                </w:p>
              </w:tc>
              <w:tc>
                <w:tcPr>
                  <w:tcW w:w="443" w:type="pct"/>
                  <w:tcBorders>
                    <w:top w:val="single" w:color="auto" w:sz="4" w:space="0"/>
                    <w:left w:val="single" w:color="auto" w:sz="4" w:space="0"/>
                    <w:right w:val="single" w:color="auto" w:sz="4" w:space="0"/>
                  </w:tcBorders>
                  <w:vAlign w:val="center"/>
                </w:tcPr>
                <w:p w14:paraId="4A62D268">
                  <w:pPr>
                    <w:spacing w:line="240" w:lineRule="auto"/>
                    <w:jc w:val="center"/>
                    <w:rPr>
                      <w:color w:val="auto"/>
                      <w:sz w:val="21"/>
                      <w:szCs w:val="21"/>
                    </w:rPr>
                  </w:pPr>
                  <w:r>
                    <w:rPr>
                      <w:rFonts w:hint="eastAsia"/>
                      <w:color w:val="auto"/>
                      <w:sz w:val="21"/>
                      <w:szCs w:val="21"/>
                    </w:rPr>
                    <w:t>870人</w:t>
                  </w:r>
                </w:p>
              </w:tc>
              <w:tc>
                <w:tcPr>
                  <w:tcW w:w="572" w:type="pct"/>
                  <w:tcBorders>
                    <w:top w:val="single" w:color="auto" w:sz="4" w:space="0"/>
                    <w:left w:val="single" w:color="auto" w:sz="4" w:space="0"/>
                    <w:right w:val="single" w:color="auto" w:sz="4" w:space="0"/>
                  </w:tcBorders>
                  <w:vAlign w:val="center"/>
                </w:tcPr>
                <w:p w14:paraId="4C2EBE6A">
                  <w:pPr>
                    <w:spacing w:line="240" w:lineRule="auto"/>
                    <w:jc w:val="center"/>
                    <w:rPr>
                      <w:color w:val="auto"/>
                      <w:sz w:val="21"/>
                      <w:szCs w:val="21"/>
                    </w:rPr>
                  </w:pPr>
                  <w:r>
                    <w:rPr>
                      <w:color w:val="auto"/>
                      <w:sz w:val="21"/>
                      <w:szCs w:val="21"/>
                    </w:rPr>
                    <w:t>居住区</w:t>
                  </w:r>
                </w:p>
              </w:tc>
              <w:tc>
                <w:tcPr>
                  <w:tcW w:w="1257" w:type="pct"/>
                  <w:vMerge w:val="restart"/>
                  <w:tcBorders>
                    <w:top w:val="single" w:color="auto" w:sz="4" w:space="0"/>
                    <w:left w:val="single" w:color="auto" w:sz="4" w:space="0"/>
                    <w:right w:val="nil"/>
                  </w:tcBorders>
                  <w:vAlign w:val="center"/>
                </w:tcPr>
                <w:p w14:paraId="384BD228">
                  <w:pPr>
                    <w:spacing w:line="240" w:lineRule="auto"/>
                    <w:jc w:val="center"/>
                    <w:rPr>
                      <w:color w:val="auto"/>
                      <w:sz w:val="21"/>
                      <w:szCs w:val="21"/>
                    </w:rPr>
                  </w:pPr>
                  <w:r>
                    <w:rPr>
                      <w:color w:val="auto"/>
                      <w:sz w:val="21"/>
                      <w:szCs w:val="21"/>
                    </w:rPr>
                    <w:t>《环境空气质量标准》（GB3095-2012）及其修改单中的二级标准</w:t>
                  </w:r>
                </w:p>
              </w:tc>
            </w:tr>
            <w:tr w14:paraId="223D9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5" w:type="pct"/>
                  <w:vMerge w:val="continue"/>
                  <w:tcBorders>
                    <w:left w:val="nil"/>
                    <w:right w:val="single" w:color="auto" w:sz="4" w:space="0"/>
                  </w:tcBorders>
                  <w:vAlign w:val="center"/>
                </w:tcPr>
                <w:p w14:paraId="193C20AF">
                  <w:pPr>
                    <w:widowControl/>
                    <w:spacing w:line="240" w:lineRule="auto"/>
                    <w:jc w:val="center"/>
                    <w:rPr>
                      <w:color w:val="auto"/>
                      <w:sz w:val="21"/>
                      <w:szCs w:val="21"/>
                    </w:rPr>
                  </w:pPr>
                </w:p>
              </w:tc>
              <w:tc>
                <w:tcPr>
                  <w:tcW w:w="868" w:type="pct"/>
                  <w:tcBorders>
                    <w:top w:val="single" w:color="auto" w:sz="4" w:space="0"/>
                    <w:left w:val="single" w:color="auto" w:sz="4" w:space="0"/>
                    <w:bottom w:val="single" w:color="auto" w:sz="4" w:space="0"/>
                    <w:right w:val="single" w:color="auto" w:sz="4" w:space="0"/>
                  </w:tcBorders>
                  <w:vAlign w:val="center"/>
                </w:tcPr>
                <w:p w14:paraId="32BEAA2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闽江监狱医院</w:t>
                  </w:r>
                </w:p>
              </w:tc>
              <w:tc>
                <w:tcPr>
                  <w:tcW w:w="564" w:type="pct"/>
                  <w:tcBorders>
                    <w:top w:val="single" w:color="auto" w:sz="4" w:space="0"/>
                    <w:left w:val="single" w:color="auto" w:sz="4" w:space="0"/>
                    <w:bottom w:val="single" w:color="auto" w:sz="4" w:space="0"/>
                    <w:right w:val="single" w:color="auto" w:sz="4" w:space="0"/>
                  </w:tcBorders>
                  <w:vAlign w:val="center"/>
                </w:tcPr>
                <w:p w14:paraId="57914B3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西南侧</w:t>
                  </w:r>
                </w:p>
              </w:tc>
              <w:tc>
                <w:tcPr>
                  <w:tcW w:w="817" w:type="pct"/>
                  <w:tcBorders>
                    <w:top w:val="single" w:color="auto" w:sz="4" w:space="0"/>
                    <w:left w:val="single" w:color="auto" w:sz="4" w:space="0"/>
                    <w:bottom w:val="single" w:color="auto" w:sz="4" w:space="0"/>
                    <w:right w:val="single" w:color="auto" w:sz="4" w:space="0"/>
                  </w:tcBorders>
                  <w:vAlign w:val="center"/>
                </w:tcPr>
                <w:p w14:paraId="7BFF62A8">
                  <w:pPr>
                    <w:spacing w:line="240" w:lineRule="auto"/>
                    <w:jc w:val="center"/>
                    <w:rPr>
                      <w:color w:val="auto"/>
                      <w:sz w:val="21"/>
                      <w:szCs w:val="21"/>
                    </w:rPr>
                  </w:pPr>
                  <w:r>
                    <w:rPr>
                      <w:rFonts w:hint="eastAsia"/>
                      <w:color w:val="auto"/>
                      <w:sz w:val="21"/>
                      <w:szCs w:val="21"/>
                    </w:rPr>
                    <w:t>309m</w:t>
                  </w:r>
                </w:p>
              </w:tc>
              <w:tc>
                <w:tcPr>
                  <w:tcW w:w="443" w:type="pct"/>
                  <w:tcBorders>
                    <w:left w:val="single" w:color="auto" w:sz="4" w:space="0"/>
                    <w:right w:val="single" w:color="auto" w:sz="4" w:space="0"/>
                  </w:tcBorders>
                  <w:vAlign w:val="center"/>
                </w:tcPr>
                <w:p w14:paraId="0F78B388">
                  <w:pPr>
                    <w:widowControl/>
                    <w:spacing w:line="240" w:lineRule="auto"/>
                    <w:jc w:val="center"/>
                    <w:rPr>
                      <w:color w:val="auto"/>
                      <w:sz w:val="21"/>
                      <w:szCs w:val="21"/>
                    </w:rPr>
                  </w:pPr>
                  <w:r>
                    <w:rPr>
                      <w:rFonts w:hint="eastAsia"/>
                      <w:color w:val="auto"/>
                      <w:sz w:val="21"/>
                      <w:szCs w:val="21"/>
                    </w:rPr>
                    <w:t>/</w:t>
                  </w:r>
                </w:p>
              </w:tc>
              <w:tc>
                <w:tcPr>
                  <w:tcW w:w="572" w:type="pct"/>
                  <w:tcBorders>
                    <w:left w:val="single" w:color="auto" w:sz="4" w:space="0"/>
                    <w:right w:val="single" w:color="auto" w:sz="4" w:space="0"/>
                  </w:tcBorders>
                  <w:vAlign w:val="center"/>
                </w:tcPr>
                <w:p w14:paraId="248C1C7C">
                  <w:pPr>
                    <w:widowControl/>
                    <w:spacing w:line="240" w:lineRule="auto"/>
                    <w:jc w:val="center"/>
                    <w:rPr>
                      <w:color w:val="auto"/>
                      <w:sz w:val="21"/>
                      <w:szCs w:val="21"/>
                    </w:rPr>
                  </w:pPr>
                  <w:r>
                    <w:rPr>
                      <w:rFonts w:hint="eastAsia"/>
                      <w:color w:val="auto"/>
                      <w:sz w:val="21"/>
                      <w:szCs w:val="21"/>
                    </w:rPr>
                    <w:t>卫生</w:t>
                  </w:r>
                </w:p>
              </w:tc>
              <w:tc>
                <w:tcPr>
                  <w:tcW w:w="1257" w:type="pct"/>
                  <w:vMerge w:val="continue"/>
                  <w:tcBorders>
                    <w:left w:val="single" w:color="auto" w:sz="4" w:space="0"/>
                    <w:right w:val="nil"/>
                  </w:tcBorders>
                  <w:vAlign w:val="center"/>
                </w:tcPr>
                <w:p w14:paraId="2E2D7DBD">
                  <w:pPr>
                    <w:widowControl/>
                    <w:spacing w:line="240" w:lineRule="auto"/>
                    <w:jc w:val="center"/>
                    <w:rPr>
                      <w:color w:val="auto"/>
                      <w:sz w:val="21"/>
                      <w:szCs w:val="21"/>
                    </w:rPr>
                  </w:pPr>
                </w:p>
              </w:tc>
            </w:tr>
            <w:tr w14:paraId="30164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75" w:type="pct"/>
                  <w:tcBorders>
                    <w:top w:val="single" w:color="auto" w:sz="4" w:space="0"/>
                    <w:left w:val="nil"/>
                    <w:right w:val="single" w:color="auto" w:sz="4" w:space="0"/>
                  </w:tcBorders>
                  <w:vAlign w:val="center"/>
                </w:tcPr>
                <w:p w14:paraId="305AD8A3">
                  <w:pPr>
                    <w:spacing w:line="240" w:lineRule="auto"/>
                    <w:jc w:val="center"/>
                    <w:rPr>
                      <w:color w:val="auto"/>
                      <w:sz w:val="21"/>
                      <w:szCs w:val="21"/>
                    </w:rPr>
                  </w:pPr>
                  <w:r>
                    <w:rPr>
                      <w:color w:val="auto"/>
                      <w:sz w:val="21"/>
                      <w:szCs w:val="21"/>
                    </w:rPr>
                    <w:t>地表水环境</w:t>
                  </w:r>
                </w:p>
              </w:tc>
              <w:tc>
                <w:tcPr>
                  <w:tcW w:w="868" w:type="pct"/>
                  <w:tcBorders>
                    <w:top w:val="single" w:color="auto" w:sz="4" w:space="0"/>
                    <w:left w:val="single" w:color="auto" w:sz="4" w:space="0"/>
                    <w:bottom w:val="single" w:color="auto" w:sz="4" w:space="0"/>
                    <w:right w:val="single" w:color="auto" w:sz="4" w:space="0"/>
                  </w:tcBorders>
                  <w:vAlign w:val="center"/>
                </w:tcPr>
                <w:p w14:paraId="2835BB29">
                  <w:pPr>
                    <w:adjustRightInd w:val="0"/>
                    <w:snapToGrid w:val="0"/>
                    <w:spacing w:before="24" w:beforeLines="10" w:after="24" w:afterLines="10" w:line="240" w:lineRule="auto"/>
                    <w:jc w:val="center"/>
                    <w:rPr>
                      <w:color w:val="auto"/>
                      <w:sz w:val="21"/>
                      <w:szCs w:val="21"/>
                    </w:rPr>
                  </w:pPr>
                  <w:r>
                    <w:rPr>
                      <w:rFonts w:hint="eastAsia"/>
                      <w:color w:val="auto"/>
                      <w:kern w:val="0"/>
                      <w:sz w:val="21"/>
                      <w:szCs w:val="20"/>
                    </w:rPr>
                    <w:t>南井溪</w:t>
                  </w:r>
                </w:p>
              </w:tc>
              <w:tc>
                <w:tcPr>
                  <w:tcW w:w="564" w:type="pct"/>
                  <w:tcBorders>
                    <w:top w:val="single" w:color="auto" w:sz="4" w:space="0"/>
                    <w:left w:val="single" w:color="auto" w:sz="4" w:space="0"/>
                    <w:bottom w:val="single" w:color="auto" w:sz="4" w:space="0"/>
                    <w:right w:val="single" w:color="auto" w:sz="4" w:space="0"/>
                  </w:tcBorders>
                  <w:vAlign w:val="center"/>
                </w:tcPr>
                <w:p w14:paraId="3059D47C">
                  <w:pPr>
                    <w:adjustRightInd w:val="0"/>
                    <w:snapToGrid w:val="0"/>
                    <w:spacing w:before="24" w:beforeLines="10" w:after="24" w:afterLines="10" w:line="240" w:lineRule="auto"/>
                    <w:jc w:val="center"/>
                    <w:rPr>
                      <w:color w:val="auto"/>
                      <w:sz w:val="21"/>
                      <w:szCs w:val="21"/>
                    </w:rPr>
                  </w:pPr>
                  <w:r>
                    <w:rPr>
                      <w:rFonts w:hint="eastAsia"/>
                      <w:color w:val="auto"/>
                      <w:kern w:val="0"/>
                      <w:sz w:val="21"/>
                      <w:szCs w:val="20"/>
                    </w:rPr>
                    <w:t>西侧</w:t>
                  </w:r>
                </w:p>
              </w:tc>
              <w:tc>
                <w:tcPr>
                  <w:tcW w:w="817" w:type="pct"/>
                  <w:tcBorders>
                    <w:top w:val="single" w:color="auto" w:sz="4" w:space="0"/>
                    <w:left w:val="single" w:color="auto" w:sz="4" w:space="0"/>
                    <w:bottom w:val="single" w:color="auto" w:sz="4" w:space="0"/>
                    <w:right w:val="single" w:color="auto" w:sz="4" w:space="0"/>
                  </w:tcBorders>
                  <w:vAlign w:val="center"/>
                </w:tcPr>
                <w:p w14:paraId="0139628E">
                  <w:pPr>
                    <w:spacing w:line="240" w:lineRule="auto"/>
                    <w:jc w:val="center"/>
                    <w:rPr>
                      <w:color w:val="auto"/>
                      <w:sz w:val="21"/>
                      <w:szCs w:val="21"/>
                    </w:rPr>
                  </w:pPr>
                  <w:r>
                    <w:rPr>
                      <w:rFonts w:hint="eastAsia"/>
                      <w:color w:val="auto"/>
                      <w:sz w:val="21"/>
                      <w:szCs w:val="21"/>
                    </w:rPr>
                    <w:t>142m</w:t>
                  </w:r>
                </w:p>
              </w:tc>
              <w:tc>
                <w:tcPr>
                  <w:tcW w:w="443" w:type="pct"/>
                  <w:tcBorders>
                    <w:top w:val="single" w:color="auto" w:sz="4" w:space="0"/>
                    <w:left w:val="single" w:color="auto" w:sz="4" w:space="0"/>
                    <w:right w:val="single" w:color="auto" w:sz="4" w:space="0"/>
                  </w:tcBorders>
                  <w:vAlign w:val="center"/>
                </w:tcPr>
                <w:p w14:paraId="11869C55">
                  <w:pPr>
                    <w:spacing w:line="240" w:lineRule="auto"/>
                    <w:jc w:val="center"/>
                    <w:rPr>
                      <w:color w:val="auto"/>
                      <w:sz w:val="21"/>
                      <w:szCs w:val="21"/>
                    </w:rPr>
                  </w:pPr>
                  <w:r>
                    <w:rPr>
                      <w:rFonts w:hint="eastAsia"/>
                      <w:color w:val="auto"/>
                      <w:sz w:val="21"/>
                      <w:szCs w:val="21"/>
                    </w:rPr>
                    <w:t>/</w:t>
                  </w:r>
                </w:p>
              </w:tc>
              <w:tc>
                <w:tcPr>
                  <w:tcW w:w="572" w:type="pct"/>
                  <w:tcBorders>
                    <w:top w:val="single" w:color="auto" w:sz="4" w:space="0"/>
                    <w:left w:val="single" w:color="auto" w:sz="4" w:space="0"/>
                    <w:right w:val="single" w:color="auto" w:sz="4" w:space="0"/>
                  </w:tcBorders>
                  <w:vAlign w:val="center"/>
                </w:tcPr>
                <w:p w14:paraId="74282BF0">
                  <w:pPr>
                    <w:spacing w:line="240" w:lineRule="auto"/>
                    <w:jc w:val="center"/>
                    <w:rPr>
                      <w:color w:val="auto"/>
                      <w:sz w:val="21"/>
                      <w:szCs w:val="21"/>
                    </w:rPr>
                  </w:pPr>
                  <w:r>
                    <w:rPr>
                      <w:color w:val="auto"/>
                      <w:sz w:val="21"/>
                      <w:szCs w:val="21"/>
                    </w:rPr>
                    <w:t>/</w:t>
                  </w:r>
                </w:p>
              </w:tc>
              <w:tc>
                <w:tcPr>
                  <w:tcW w:w="1257" w:type="pct"/>
                  <w:tcBorders>
                    <w:top w:val="single" w:color="auto" w:sz="4" w:space="0"/>
                    <w:left w:val="single" w:color="auto" w:sz="4" w:space="0"/>
                    <w:right w:val="nil"/>
                  </w:tcBorders>
                  <w:vAlign w:val="center"/>
                </w:tcPr>
                <w:p w14:paraId="442A9155">
                  <w:pPr>
                    <w:spacing w:line="240" w:lineRule="auto"/>
                    <w:jc w:val="center"/>
                    <w:rPr>
                      <w:color w:val="auto"/>
                      <w:sz w:val="21"/>
                      <w:szCs w:val="21"/>
                    </w:rPr>
                  </w:pPr>
                  <w:r>
                    <w:rPr>
                      <w:color w:val="auto"/>
                      <w:sz w:val="21"/>
                      <w:szCs w:val="21"/>
                    </w:rPr>
                    <w:t>《地表水环境质量标准》（GB3838-2002）Ⅱ类标准</w:t>
                  </w:r>
                </w:p>
              </w:tc>
            </w:tr>
            <w:tr w14:paraId="4A58B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4" w:space="0"/>
                    <w:right w:val="single" w:color="auto" w:sz="4" w:space="0"/>
                  </w:tcBorders>
                  <w:vAlign w:val="center"/>
                </w:tcPr>
                <w:p w14:paraId="6158F9B4">
                  <w:pPr>
                    <w:spacing w:line="240" w:lineRule="auto"/>
                    <w:jc w:val="center"/>
                    <w:rPr>
                      <w:color w:val="auto"/>
                      <w:sz w:val="21"/>
                      <w:szCs w:val="21"/>
                    </w:rPr>
                  </w:pPr>
                  <w:r>
                    <w:rPr>
                      <w:rFonts w:hint="eastAsia"/>
                      <w:color w:val="auto"/>
                      <w:sz w:val="21"/>
                      <w:szCs w:val="21"/>
                    </w:rPr>
                    <w:t>声环境</w:t>
                  </w:r>
                </w:p>
              </w:tc>
              <w:tc>
                <w:tcPr>
                  <w:tcW w:w="4524" w:type="pct"/>
                  <w:gridSpan w:val="6"/>
                  <w:tcBorders>
                    <w:top w:val="single" w:color="auto" w:sz="4" w:space="0"/>
                    <w:left w:val="single" w:color="auto" w:sz="4" w:space="0"/>
                    <w:bottom w:val="single" w:color="auto" w:sz="4" w:space="0"/>
                    <w:right w:val="nil"/>
                  </w:tcBorders>
                  <w:vAlign w:val="center"/>
                </w:tcPr>
                <w:p w14:paraId="2D705AD0">
                  <w:pPr>
                    <w:spacing w:line="240" w:lineRule="auto"/>
                    <w:jc w:val="center"/>
                    <w:rPr>
                      <w:color w:val="auto"/>
                      <w:sz w:val="21"/>
                      <w:szCs w:val="21"/>
                    </w:rPr>
                  </w:pPr>
                  <w:r>
                    <w:rPr>
                      <w:color w:val="auto"/>
                      <w:sz w:val="21"/>
                      <w:szCs w:val="21"/>
                    </w:rPr>
                    <w:t>项目周边50m范围内无环境保护目标</w:t>
                  </w:r>
                </w:p>
              </w:tc>
            </w:tr>
            <w:tr w14:paraId="7EBFA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4" w:space="0"/>
                    <w:right w:val="single" w:color="auto" w:sz="4" w:space="0"/>
                  </w:tcBorders>
                  <w:vAlign w:val="center"/>
                </w:tcPr>
                <w:p w14:paraId="478C6715">
                  <w:pPr>
                    <w:pStyle w:val="27"/>
                    <w:widowControl w:val="0"/>
                    <w:spacing w:before="0" w:beforeAutospacing="0" w:after="0" w:afterAutospacing="0" w:line="240" w:lineRule="auto"/>
                    <w:jc w:val="center"/>
                    <w:rPr>
                      <w:rFonts w:hint="eastAsia"/>
                      <w:color w:val="auto"/>
                      <w:sz w:val="21"/>
                      <w:szCs w:val="21"/>
                    </w:rPr>
                  </w:pPr>
                  <w:r>
                    <w:rPr>
                      <w:rFonts w:ascii="Times New Roman" w:hAnsi="Times New Roman"/>
                      <w:color w:val="auto"/>
                      <w:sz w:val="21"/>
                      <w:szCs w:val="21"/>
                    </w:rPr>
                    <w:t>地下水</w:t>
                  </w:r>
                </w:p>
              </w:tc>
              <w:tc>
                <w:tcPr>
                  <w:tcW w:w="4524" w:type="pct"/>
                  <w:gridSpan w:val="6"/>
                  <w:tcBorders>
                    <w:top w:val="single" w:color="auto" w:sz="4" w:space="0"/>
                    <w:left w:val="single" w:color="auto" w:sz="4" w:space="0"/>
                    <w:bottom w:val="single" w:color="auto" w:sz="4" w:space="0"/>
                    <w:right w:val="nil"/>
                  </w:tcBorders>
                  <w:vAlign w:val="center"/>
                </w:tcPr>
                <w:p w14:paraId="705B6F09">
                  <w:pPr>
                    <w:pStyle w:val="27"/>
                    <w:widowControl w:val="0"/>
                    <w:spacing w:before="0" w:beforeAutospacing="0" w:after="0" w:afterAutospacing="0" w:line="240" w:lineRule="auto"/>
                    <w:jc w:val="center"/>
                    <w:rPr>
                      <w:rFonts w:ascii="Times New Roman" w:hAnsi="Times New Roman"/>
                      <w:color w:val="auto"/>
                      <w:sz w:val="21"/>
                      <w:szCs w:val="21"/>
                    </w:rPr>
                  </w:pPr>
                  <w:r>
                    <w:rPr>
                      <w:rFonts w:ascii="Times New Roman" w:hAnsi="Times New Roman"/>
                      <w:snapToGrid w:val="0"/>
                      <w:color w:val="auto"/>
                      <w:kern w:val="44"/>
                      <w:sz w:val="21"/>
                      <w:szCs w:val="21"/>
                    </w:rPr>
                    <w:t>项目厂界外500米范围内无地下水集中式饮用水水源和热水、矿泉水、泉水等特殊地下水资源。</w:t>
                  </w:r>
                </w:p>
              </w:tc>
            </w:tr>
            <w:tr w14:paraId="70691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75" w:type="pct"/>
                  <w:tcBorders>
                    <w:top w:val="single" w:color="auto" w:sz="4" w:space="0"/>
                    <w:left w:val="nil"/>
                    <w:bottom w:val="single" w:color="auto" w:sz="12" w:space="0"/>
                    <w:right w:val="single" w:color="auto" w:sz="4" w:space="0"/>
                  </w:tcBorders>
                  <w:vAlign w:val="center"/>
                </w:tcPr>
                <w:p w14:paraId="1984F880">
                  <w:pPr>
                    <w:pStyle w:val="27"/>
                    <w:widowControl w:val="0"/>
                    <w:spacing w:before="0" w:beforeAutospacing="0" w:after="0" w:afterAutospacing="0" w:line="240" w:lineRule="auto"/>
                    <w:jc w:val="center"/>
                    <w:rPr>
                      <w:rFonts w:ascii="Times New Roman" w:hAnsi="Times New Roman"/>
                      <w:color w:val="auto"/>
                      <w:sz w:val="21"/>
                      <w:szCs w:val="21"/>
                    </w:rPr>
                  </w:pPr>
                  <w:r>
                    <w:rPr>
                      <w:rFonts w:hint="eastAsia"/>
                      <w:color w:val="auto"/>
                      <w:sz w:val="21"/>
                      <w:szCs w:val="21"/>
                    </w:rPr>
                    <w:t>生态环境</w:t>
                  </w:r>
                </w:p>
              </w:tc>
              <w:tc>
                <w:tcPr>
                  <w:tcW w:w="4524" w:type="pct"/>
                  <w:gridSpan w:val="6"/>
                  <w:tcBorders>
                    <w:top w:val="single" w:color="auto" w:sz="4" w:space="0"/>
                    <w:left w:val="single" w:color="auto" w:sz="4" w:space="0"/>
                    <w:bottom w:val="single" w:color="auto" w:sz="12" w:space="0"/>
                    <w:right w:val="nil"/>
                  </w:tcBorders>
                  <w:vAlign w:val="center"/>
                </w:tcPr>
                <w:p w14:paraId="1D3E0C43">
                  <w:pPr>
                    <w:pStyle w:val="27"/>
                    <w:widowControl w:val="0"/>
                    <w:spacing w:before="0" w:beforeAutospacing="0" w:after="0" w:afterAutospacing="0" w:line="240" w:lineRule="auto"/>
                    <w:jc w:val="center"/>
                    <w:rPr>
                      <w:rFonts w:ascii="Times New Roman" w:hAnsi="Times New Roman"/>
                      <w:snapToGrid w:val="0"/>
                      <w:color w:val="auto"/>
                      <w:kern w:val="44"/>
                      <w:sz w:val="21"/>
                      <w:szCs w:val="21"/>
                    </w:rPr>
                  </w:pPr>
                  <w:r>
                    <w:rPr>
                      <w:rFonts w:ascii="Times New Roman" w:hAnsi="Times New Roman"/>
                      <w:color w:val="auto"/>
                      <w:sz w:val="21"/>
                      <w:szCs w:val="18"/>
                    </w:rPr>
                    <w:t>项目场地为已平整并硬化后的场地，周边生态环境主要为城市绿化带，</w:t>
                  </w:r>
                  <w:r>
                    <w:rPr>
                      <w:color w:val="auto"/>
                      <w:sz w:val="21"/>
                      <w:szCs w:val="18"/>
                    </w:rPr>
                    <w:t>项目</w:t>
                  </w:r>
                  <w:r>
                    <w:rPr>
                      <w:rFonts w:ascii="Times New Roman" w:hAnsi="Times New Roman"/>
                      <w:color w:val="auto"/>
                      <w:sz w:val="21"/>
                      <w:szCs w:val="18"/>
                    </w:rPr>
                    <w:t>无生态环境保护目标。</w:t>
                  </w:r>
                </w:p>
              </w:tc>
            </w:tr>
          </w:tbl>
          <w:p w14:paraId="0BAE517D">
            <w:pPr>
              <w:pStyle w:val="5"/>
              <w:ind w:firstLine="480"/>
              <w:rPr>
                <w:color w:val="auto"/>
              </w:rPr>
            </w:pPr>
          </w:p>
        </w:tc>
      </w:tr>
      <w:tr w14:paraId="2B634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00" w:type="dxa"/>
            <w:tcMar>
              <w:left w:w="28" w:type="dxa"/>
              <w:right w:w="28" w:type="dxa"/>
            </w:tcMar>
            <w:vAlign w:val="center"/>
          </w:tcPr>
          <w:p w14:paraId="6D111FB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污染物排放控制标准</w:t>
            </w:r>
          </w:p>
        </w:tc>
        <w:tc>
          <w:tcPr>
            <w:tcW w:w="8190" w:type="dxa"/>
            <w:vAlign w:val="center"/>
          </w:tcPr>
          <w:p w14:paraId="44FA2883">
            <w:pPr>
              <w:pStyle w:val="44"/>
              <w:spacing w:after="0"/>
              <w:ind w:left="0" w:leftChars="0" w:firstLine="0" w:firstLineChars="0"/>
              <w:rPr>
                <w:b/>
                <w:bCs/>
                <w:color w:val="auto"/>
                <w:sz w:val="28"/>
                <w:szCs w:val="28"/>
              </w:rPr>
            </w:pPr>
            <w:r>
              <w:rPr>
                <w:rFonts w:hint="eastAsia"/>
                <w:b/>
                <w:bCs/>
                <w:color w:val="auto"/>
                <w:sz w:val="28"/>
                <w:szCs w:val="28"/>
              </w:rPr>
              <w:t>3.7污染物排放标准</w:t>
            </w:r>
          </w:p>
          <w:p w14:paraId="4BF107A0">
            <w:pPr>
              <w:pStyle w:val="4"/>
              <w:ind w:firstLine="0" w:firstLineChars="0"/>
              <w:rPr>
                <w:color w:val="auto"/>
              </w:rPr>
            </w:pPr>
            <w:r>
              <w:rPr>
                <w:rFonts w:hint="eastAsia"/>
                <w:color w:val="auto"/>
              </w:rPr>
              <w:t>3.7.1水污染物排放标准</w:t>
            </w:r>
          </w:p>
          <w:p w14:paraId="78BE5D63">
            <w:pPr>
              <w:ind w:firstLine="480" w:firstLineChars="200"/>
              <w:rPr>
                <w:rFonts w:cs="宋体"/>
                <w:color w:val="auto"/>
              </w:rPr>
            </w:pPr>
            <w:r>
              <w:rPr>
                <w:rFonts w:hint="eastAsia" w:cs="宋体"/>
                <w:color w:val="auto"/>
              </w:rPr>
              <w:t>（1）项目废水污染物排放标准</w:t>
            </w:r>
          </w:p>
          <w:p w14:paraId="3A119E1E">
            <w:pPr>
              <w:pStyle w:val="44"/>
              <w:spacing w:after="0"/>
              <w:ind w:left="0" w:leftChars="0" w:firstLine="480"/>
              <w:rPr>
                <w:color w:val="auto"/>
              </w:rPr>
            </w:pPr>
            <w:r>
              <w:rPr>
                <w:rFonts w:hint="eastAsia" w:cs="宋体"/>
                <w:color w:val="auto"/>
                <w:kern w:val="2"/>
                <w:szCs w:val="24"/>
              </w:rPr>
              <w:t>本项目外排废水为职工生活污水，职工生活污水</w:t>
            </w:r>
            <w:r>
              <w:rPr>
                <w:rFonts w:hint="eastAsia"/>
                <w:color w:val="auto"/>
              </w:rPr>
              <w:t>污染物排放均执行《污水综合排放标准》（GB8978-1996）表4中三级排放标准（其中氨氮参照执行《污水排入城镇下水道水质标准》（GB/T31962-2015）表1中B级标准）</w:t>
            </w:r>
            <w:r>
              <w:rPr>
                <w:color w:val="auto"/>
              </w:rPr>
              <w:t>。</w:t>
            </w:r>
          </w:p>
          <w:p w14:paraId="50EBC82D">
            <w:pPr>
              <w:pStyle w:val="13"/>
              <w:spacing w:after="0" w:line="240" w:lineRule="auto"/>
              <w:ind w:left="0" w:leftChars="0" w:firstLine="0" w:firstLineChars="0"/>
              <w:jc w:val="center"/>
              <w:rPr>
                <w:b/>
                <w:bCs/>
                <w:color w:val="auto"/>
                <w:sz w:val="24"/>
                <w:szCs w:val="32"/>
              </w:rPr>
            </w:pPr>
            <w:r>
              <w:rPr>
                <w:b/>
                <w:bCs/>
                <w:color w:val="auto"/>
                <w:sz w:val="24"/>
                <w:szCs w:val="32"/>
              </w:rPr>
              <w:t>表3.</w:t>
            </w:r>
            <w:r>
              <w:rPr>
                <w:rFonts w:hint="eastAsia"/>
                <w:b/>
                <w:bCs/>
                <w:color w:val="auto"/>
                <w:sz w:val="24"/>
                <w:szCs w:val="32"/>
              </w:rPr>
              <w:t>7</w:t>
            </w:r>
            <w:r>
              <w:rPr>
                <w:b/>
                <w:bCs/>
                <w:color w:val="auto"/>
                <w:sz w:val="24"/>
                <w:szCs w:val="32"/>
              </w:rPr>
              <w:t xml:space="preserve">-1 </w:t>
            </w:r>
            <w:r>
              <w:rPr>
                <w:rFonts w:hint="eastAsia"/>
                <w:b/>
                <w:bCs/>
                <w:color w:val="auto"/>
                <w:sz w:val="24"/>
                <w:szCs w:val="32"/>
              </w:rPr>
              <w:t xml:space="preserve"> 废水排放标准</w:t>
            </w:r>
            <w:r>
              <w:rPr>
                <w:b/>
                <w:bCs/>
                <w:color w:val="auto"/>
                <w:sz w:val="24"/>
                <w:szCs w:val="32"/>
              </w:rPr>
              <w:t xml:space="preserve">  </w:t>
            </w:r>
          </w:p>
          <w:tbl>
            <w:tblPr>
              <w:tblStyle w:val="31"/>
              <w:tblW w:w="7825"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962"/>
              <w:gridCol w:w="2688"/>
              <w:gridCol w:w="2125"/>
            </w:tblGrid>
            <w:tr w14:paraId="2D32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tcBorders>
                    <w:top w:val="single" w:color="auto" w:sz="12" w:space="0"/>
                    <w:left w:val="nil"/>
                    <w:bottom w:val="single" w:color="auto" w:sz="6" w:space="0"/>
                  </w:tcBorders>
                </w:tcPr>
                <w:p w14:paraId="006B5A0B">
                  <w:pPr>
                    <w:pStyle w:val="46"/>
                    <w:widowControl w:val="0"/>
                    <w:snapToGrid/>
                    <w:spacing w:line="288" w:lineRule="auto"/>
                    <w:rPr>
                      <w:b w:val="0"/>
                      <w:color w:val="auto"/>
                      <w:sz w:val="21"/>
                      <w:szCs w:val="21"/>
                    </w:rPr>
                  </w:pPr>
                  <w:r>
                    <w:rPr>
                      <w:rFonts w:hint="eastAsia"/>
                      <w:b w:val="0"/>
                      <w:color w:val="auto"/>
                      <w:sz w:val="21"/>
                      <w:szCs w:val="21"/>
                    </w:rPr>
                    <w:t>执行标准</w:t>
                  </w:r>
                </w:p>
              </w:tc>
              <w:tc>
                <w:tcPr>
                  <w:tcW w:w="962" w:type="dxa"/>
                  <w:tcBorders>
                    <w:top w:val="single" w:color="auto" w:sz="12" w:space="0"/>
                    <w:bottom w:val="single" w:color="auto" w:sz="6" w:space="0"/>
                  </w:tcBorders>
                </w:tcPr>
                <w:p w14:paraId="3169F67E">
                  <w:pPr>
                    <w:pStyle w:val="46"/>
                    <w:widowControl w:val="0"/>
                    <w:snapToGrid/>
                    <w:spacing w:line="288" w:lineRule="auto"/>
                    <w:rPr>
                      <w:b w:val="0"/>
                      <w:color w:val="auto"/>
                      <w:sz w:val="21"/>
                      <w:szCs w:val="21"/>
                    </w:rPr>
                  </w:pPr>
                  <w:r>
                    <w:rPr>
                      <w:rFonts w:hint="eastAsia"/>
                      <w:b w:val="0"/>
                      <w:color w:val="auto"/>
                      <w:sz w:val="21"/>
                      <w:szCs w:val="21"/>
                    </w:rPr>
                    <w:t>序号</w:t>
                  </w:r>
                </w:p>
              </w:tc>
              <w:tc>
                <w:tcPr>
                  <w:tcW w:w="2688" w:type="dxa"/>
                  <w:tcBorders>
                    <w:top w:val="single" w:color="auto" w:sz="12" w:space="0"/>
                    <w:bottom w:val="single" w:color="auto" w:sz="6" w:space="0"/>
                  </w:tcBorders>
                </w:tcPr>
                <w:p w14:paraId="492216D7">
                  <w:pPr>
                    <w:pStyle w:val="46"/>
                    <w:widowControl w:val="0"/>
                    <w:snapToGrid/>
                    <w:spacing w:line="288" w:lineRule="auto"/>
                    <w:rPr>
                      <w:b w:val="0"/>
                      <w:color w:val="auto"/>
                      <w:sz w:val="21"/>
                      <w:szCs w:val="21"/>
                    </w:rPr>
                  </w:pPr>
                  <w:r>
                    <w:rPr>
                      <w:rFonts w:hint="eastAsia"/>
                      <w:b w:val="0"/>
                      <w:color w:val="auto"/>
                      <w:sz w:val="21"/>
                      <w:szCs w:val="21"/>
                    </w:rPr>
                    <w:t>控制项目</w:t>
                  </w:r>
                </w:p>
              </w:tc>
              <w:tc>
                <w:tcPr>
                  <w:tcW w:w="2125" w:type="dxa"/>
                  <w:tcBorders>
                    <w:top w:val="single" w:color="auto" w:sz="12" w:space="0"/>
                    <w:bottom w:val="single" w:color="auto" w:sz="6" w:space="0"/>
                    <w:right w:val="nil"/>
                  </w:tcBorders>
                </w:tcPr>
                <w:p w14:paraId="3BD31DFE">
                  <w:pPr>
                    <w:pStyle w:val="46"/>
                    <w:widowControl w:val="0"/>
                    <w:snapToGrid/>
                    <w:spacing w:line="288" w:lineRule="auto"/>
                    <w:rPr>
                      <w:b w:val="0"/>
                      <w:color w:val="auto"/>
                      <w:sz w:val="21"/>
                      <w:szCs w:val="21"/>
                    </w:rPr>
                  </w:pPr>
                  <w:r>
                    <w:rPr>
                      <w:rFonts w:hint="eastAsia"/>
                      <w:b w:val="0"/>
                      <w:color w:val="auto"/>
                      <w:sz w:val="21"/>
                      <w:szCs w:val="21"/>
                    </w:rPr>
                    <w:t>排放标准</w:t>
                  </w:r>
                </w:p>
              </w:tc>
            </w:tr>
            <w:tr w14:paraId="6B04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restart"/>
                  <w:tcBorders>
                    <w:top w:val="single" w:color="auto" w:sz="6" w:space="0"/>
                    <w:left w:val="nil"/>
                  </w:tcBorders>
                </w:tcPr>
                <w:p w14:paraId="0573BA52">
                  <w:pPr>
                    <w:pStyle w:val="46"/>
                    <w:widowControl w:val="0"/>
                    <w:snapToGrid/>
                    <w:spacing w:before="360" w:beforeLines="150" w:line="288" w:lineRule="auto"/>
                    <w:rPr>
                      <w:b w:val="0"/>
                      <w:color w:val="auto"/>
                      <w:sz w:val="21"/>
                      <w:szCs w:val="21"/>
                    </w:rPr>
                  </w:pPr>
                  <w:r>
                    <w:rPr>
                      <w:rFonts w:hint="eastAsia"/>
                      <w:b w:val="0"/>
                      <w:color w:val="auto"/>
                      <w:sz w:val="21"/>
                      <w:szCs w:val="21"/>
                    </w:rPr>
                    <w:t>《污水综合排放标准》（GB8978-1996）表4三级标准</w:t>
                  </w:r>
                </w:p>
              </w:tc>
              <w:tc>
                <w:tcPr>
                  <w:tcW w:w="962" w:type="dxa"/>
                  <w:tcBorders>
                    <w:top w:val="single" w:color="auto" w:sz="6" w:space="0"/>
                    <w:bottom w:val="single" w:color="auto" w:sz="6" w:space="0"/>
                  </w:tcBorders>
                </w:tcPr>
                <w:p w14:paraId="43BF8E4A">
                  <w:pPr>
                    <w:pStyle w:val="46"/>
                    <w:widowControl w:val="0"/>
                    <w:snapToGrid/>
                    <w:spacing w:line="288" w:lineRule="auto"/>
                    <w:rPr>
                      <w:b w:val="0"/>
                      <w:color w:val="auto"/>
                      <w:sz w:val="21"/>
                      <w:szCs w:val="21"/>
                    </w:rPr>
                  </w:pPr>
                  <w:r>
                    <w:rPr>
                      <w:rFonts w:hint="eastAsia"/>
                      <w:b w:val="0"/>
                      <w:color w:val="auto"/>
                      <w:sz w:val="21"/>
                      <w:szCs w:val="21"/>
                    </w:rPr>
                    <w:t>1</w:t>
                  </w:r>
                </w:p>
              </w:tc>
              <w:tc>
                <w:tcPr>
                  <w:tcW w:w="2688" w:type="dxa"/>
                  <w:tcBorders>
                    <w:top w:val="single" w:color="auto" w:sz="6" w:space="0"/>
                    <w:bottom w:val="single" w:color="auto" w:sz="6" w:space="0"/>
                  </w:tcBorders>
                </w:tcPr>
                <w:p w14:paraId="26C2970F">
                  <w:pPr>
                    <w:spacing w:line="288" w:lineRule="auto"/>
                    <w:jc w:val="center"/>
                    <w:rPr>
                      <w:color w:val="auto"/>
                      <w:sz w:val="21"/>
                      <w:szCs w:val="21"/>
                    </w:rPr>
                  </w:pPr>
                  <w:r>
                    <w:rPr>
                      <w:color w:val="auto"/>
                      <w:sz w:val="21"/>
                      <w:szCs w:val="21"/>
                    </w:rPr>
                    <w:t>pH（无量纲）</w:t>
                  </w:r>
                </w:p>
              </w:tc>
              <w:tc>
                <w:tcPr>
                  <w:tcW w:w="2125" w:type="dxa"/>
                  <w:tcBorders>
                    <w:top w:val="single" w:color="auto" w:sz="6" w:space="0"/>
                    <w:bottom w:val="single" w:color="auto" w:sz="6" w:space="0"/>
                    <w:right w:val="nil"/>
                  </w:tcBorders>
                </w:tcPr>
                <w:p w14:paraId="1229DCB0">
                  <w:pPr>
                    <w:spacing w:line="288" w:lineRule="auto"/>
                    <w:jc w:val="center"/>
                    <w:rPr>
                      <w:color w:val="auto"/>
                      <w:sz w:val="21"/>
                      <w:szCs w:val="21"/>
                    </w:rPr>
                  </w:pPr>
                  <w:r>
                    <w:rPr>
                      <w:color w:val="auto"/>
                      <w:sz w:val="21"/>
                      <w:szCs w:val="21"/>
                    </w:rPr>
                    <w:t>6-9</w:t>
                  </w:r>
                </w:p>
              </w:tc>
            </w:tr>
            <w:tr w14:paraId="7EEA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tcPr>
                <w:p w14:paraId="16B1B16B">
                  <w:pPr>
                    <w:pStyle w:val="46"/>
                    <w:widowControl w:val="0"/>
                    <w:snapToGrid/>
                    <w:spacing w:before="720" w:beforeLines="300"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39F02153">
                  <w:pPr>
                    <w:pStyle w:val="46"/>
                    <w:widowControl w:val="0"/>
                    <w:snapToGrid/>
                    <w:spacing w:line="288" w:lineRule="auto"/>
                    <w:rPr>
                      <w:b w:val="0"/>
                      <w:color w:val="auto"/>
                      <w:sz w:val="21"/>
                      <w:szCs w:val="21"/>
                    </w:rPr>
                  </w:pPr>
                  <w:r>
                    <w:rPr>
                      <w:rFonts w:hint="eastAsia"/>
                      <w:b w:val="0"/>
                      <w:color w:val="auto"/>
                      <w:sz w:val="21"/>
                      <w:szCs w:val="21"/>
                    </w:rPr>
                    <w:t>2</w:t>
                  </w:r>
                </w:p>
              </w:tc>
              <w:tc>
                <w:tcPr>
                  <w:tcW w:w="2688" w:type="dxa"/>
                  <w:tcBorders>
                    <w:top w:val="single" w:color="auto" w:sz="6" w:space="0"/>
                    <w:left w:val="single" w:color="auto" w:sz="6" w:space="0"/>
                    <w:bottom w:val="single" w:color="auto" w:sz="6" w:space="0"/>
                    <w:right w:val="single" w:color="auto" w:sz="6" w:space="0"/>
                  </w:tcBorders>
                </w:tcPr>
                <w:p w14:paraId="4C3B439F">
                  <w:pPr>
                    <w:spacing w:line="288" w:lineRule="auto"/>
                    <w:jc w:val="center"/>
                    <w:rPr>
                      <w:color w:val="auto"/>
                      <w:sz w:val="21"/>
                      <w:szCs w:val="21"/>
                    </w:rPr>
                  </w:pPr>
                  <w:r>
                    <w:rPr>
                      <w:color w:val="auto"/>
                      <w:sz w:val="21"/>
                      <w:szCs w:val="21"/>
                    </w:rPr>
                    <w:t>COD/（mg/L）</w:t>
                  </w:r>
                </w:p>
              </w:tc>
              <w:tc>
                <w:tcPr>
                  <w:tcW w:w="2125" w:type="dxa"/>
                  <w:tcBorders>
                    <w:top w:val="single" w:color="auto" w:sz="6" w:space="0"/>
                    <w:left w:val="single" w:color="auto" w:sz="6" w:space="0"/>
                    <w:bottom w:val="single" w:color="auto" w:sz="6" w:space="0"/>
                    <w:right w:val="nil"/>
                  </w:tcBorders>
                </w:tcPr>
                <w:p w14:paraId="189DF5C5">
                  <w:pPr>
                    <w:spacing w:line="288" w:lineRule="auto"/>
                    <w:jc w:val="center"/>
                    <w:rPr>
                      <w:color w:val="auto"/>
                      <w:sz w:val="21"/>
                      <w:szCs w:val="21"/>
                    </w:rPr>
                  </w:pPr>
                  <w:r>
                    <w:rPr>
                      <w:color w:val="auto"/>
                      <w:sz w:val="21"/>
                      <w:szCs w:val="21"/>
                    </w:rPr>
                    <w:t>500</w:t>
                  </w:r>
                </w:p>
              </w:tc>
            </w:tr>
            <w:tr w14:paraId="5286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tcPr>
                <w:p w14:paraId="79BBF56F">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3AC39A89">
                  <w:pPr>
                    <w:pStyle w:val="46"/>
                    <w:widowControl w:val="0"/>
                    <w:snapToGrid/>
                    <w:spacing w:line="288" w:lineRule="auto"/>
                    <w:rPr>
                      <w:b w:val="0"/>
                      <w:color w:val="auto"/>
                      <w:sz w:val="21"/>
                      <w:szCs w:val="21"/>
                    </w:rPr>
                  </w:pPr>
                  <w:r>
                    <w:rPr>
                      <w:rFonts w:hint="eastAsia"/>
                      <w:b w:val="0"/>
                      <w:color w:val="auto"/>
                      <w:sz w:val="21"/>
                      <w:szCs w:val="21"/>
                    </w:rPr>
                    <w:t>3</w:t>
                  </w:r>
                </w:p>
              </w:tc>
              <w:tc>
                <w:tcPr>
                  <w:tcW w:w="2688" w:type="dxa"/>
                  <w:tcBorders>
                    <w:top w:val="single" w:color="auto" w:sz="6" w:space="0"/>
                    <w:left w:val="single" w:color="auto" w:sz="6" w:space="0"/>
                    <w:bottom w:val="single" w:color="auto" w:sz="6" w:space="0"/>
                    <w:right w:val="single" w:color="auto" w:sz="6" w:space="0"/>
                  </w:tcBorders>
                </w:tcPr>
                <w:p w14:paraId="7D0C534E">
                  <w:pPr>
                    <w:spacing w:line="288" w:lineRule="auto"/>
                    <w:jc w:val="center"/>
                    <w:rPr>
                      <w:color w:val="auto"/>
                      <w:sz w:val="21"/>
                      <w:szCs w:val="21"/>
                    </w:rPr>
                  </w:pPr>
                  <w:r>
                    <w:rPr>
                      <w:color w:val="auto"/>
                      <w:sz w:val="21"/>
                      <w:szCs w:val="21"/>
                    </w:rPr>
                    <w:t>BOD</w:t>
                  </w:r>
                  <w:r>
                    <w:rPr>
                      <w:color w:val="auto"/>
                      <w:sz w:val="21"/>
                      <w:szCs w:val="21"/>
                      <w:vertAlign w:val="subscript"/>
                    </w:rPr>
                    <w:t>5</w:t>
                  </w:r>
                  <w:r>
                    <w:rPr>
                      <w:color w:val="auto"/>
                      <w:sz w:val="21"/>
                      <w:szCs w:val="21"/>
                    </w:rPr>
                    <w:t>/（mg/L）</w:t>
                  </w:r>
                </w:p>
              </w:tc>
              <w:tc>
                <w:tcPr>
                  <w:tcW w:w="2125" w:type="dxa"/>
                  <w:tcBorders>
                    <w:top w:val="single" w:color="auto" w:sz="6" w:space="0"/>
                    <w:left w:val="single" w:color="auto" w:sz="6" w:space="0"/>
                    <w:bottom w:val="single" w:color="auto" w:sz="6" w:space="0"/>
                    <w:right w:val="nil"/>
                  </w:tcBorders>
                </w:tcPr>
                <w:p w14:paraId="5CE4D9DC">
                  <w:pPr>
                    <w:spacing w:line="288" w:lineRule="auto"/>
                    <w:jc w:val="center"/>
                    <w:rPr>
                      <w:color w:val="auto"/>
                      <w:sz w:val="21"/>
                      <w:szCs w:val="21"/>
                    </w:rPr>
                  </w:pPr>
                  <w:r>
                    <w:rPr>
                      <w:color w:val="auto"/>
                      <w:sz w:val="21"/>
                      <w:szCs w:val="21"/>
                    </w:rPr>
                    <w:t>300</w:t>
                  </w:r>
                </w:p>
              </w:tc>
            </w:tr>
            <w:tr w14:paraId="184D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0" w:type="dxa"/>
                  <w:vMerge w:val="continue"/>
                  <w:tcBorders>
                    <w:left w:val="nil"/>
                  </w:tcBorders>
                </w:tcPr>
                <w:p w14:paraId="15253C95">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5091CB5D">
                  <w:pPr>
                    <w:pStyle w:val="46"/>
                    <w:widowControl w:val="0"/>
                    <w:snapToGrid/>
                    <w:spacing w:line="288" w:lineRule="auto"/>
                    <w:rPr>
                      <w:b w:val="0"/>
                      <w:color w:val="auto"/>
                      <w:sz w:val="21"/>
                      <w:szCs w:val="21"/>
                    </w:rPr>
                  </w:pPr>
                  <w:r>
                    <w:rPr>
                      <w:rFonts w:hint="eastAsia"/>
                      <w:b w:val="0"/>
                      <w:color w:val="auto"/>
                      <w:sz w:val="21"/>
                      <w:szCs w:val="21"/>
                    </w:rPr>
                    <w:t>4</w:t>
                  </w:r>
                </w:p>
              </w:tc>
              <w:tc>
                <w:tcPr>
                  <w:tcW w:w="2688" w:type="dxa"/>
                  <w:tcBorders>
                    <w:top w:val="single" w:color="auto" w:sz="6" w:space="0"/>
                    <w:left w:val="single" w:color="auto" w:sz="6" w:space="0"/>
                    <w:bottom w:val="single" w:color="auto" w:sz="6" w:space="0"/>
                    <w:right w:val="single" w:color="auto" w:sz="6" w:space="0"/>
                  </w:tcBorders>
                </w:tcPr>
                <w:p w14:paraId="04338136">
                  <w:pPr>
                    <w:spacing w:line="288" w:lineRule="auto"/>
                    <w:jc w:val="center"/>
                    <w:rPr>
                      <w:color w:val="auto"/>
                      <w:sz w:val="21"/>
                      <w:szCs w:val="21"/>
                    </w:rPr>
                  </w:pPr>
                  <w:r>
                    <w:rPr>
                      <w:color w:val="auto"/>
                      <w:sz w:val="21"/>
                      <w:szCs w:val="21"/>
                    </w:rPr>
                    <w:t>SS/（mg/L）</w:t>
                  </w:r>
                </w:p>
              </w:tc>
              <w:tc>
                <w:tcPr>
                  <w:tcW w:w="2125" w:type="dxa"/>
                  <w:tcBorders>
                    <w:top w:val="single" w:color="auto" w:sz="6" w:space="0"/>
                    <w:left w:val="single" w:color="auto" w:sz="6" w:space="0"/>
                    <w:bottom w:val="single" w:color="auto" w:sz="6" w:space="0"/>
                    <w:right w:val="nil"/>
                  </w:tcBorders>
                </w:tcPr>
                <w:p w14:paraId="46F0A09A">
                  <w:pPr>
                    <w:spacing w:line="288" w:lineRule="auto"/>
                    <w:jc w:val="center"/>
                    <w:rPr>
                      <w:color w:val="auto"/>
                      <w:sz w:val="21"/>
                      <w:szCs w:val="21"/>
                    </w:rPr>
                  </w:pPr>
                  <w:r>
                    <w:rPr>
                      <w:color w:val="auto"/>
                      <w:sz w:val="21"/>
                      <w:szCs w:val="21"/>
                    </w:rPr>
                    <w:t>400</w:t>
                  </w:r>
                </w:p>
              </w:tc>
            </w:tr>
            <w:tr w14:paraId="05B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left w:val="nil"/>
                  </w:tcBorders>
                </w:tcPr>
                <w:p w14:paraId="0348E2A8">
                  <w:pPr>
                    <w:pStyle w:val="46"/>
                    <w:widowControl w:val="0"/>
                    <w:snapToGrid/>
                    <w:spacing w:before="240" w:beforeLines="100"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1E2BEFCB">
                  <w:pPr>
                    <w:pStyle w:val="46"/>
                    <w:widowControl w:val="0"/>
                    <w:snapToGrid/>
                    <w:spacing w:line="288" w:lineRule="auto"/>
                    <w:rPr>
                      <w:b w:val="0"/>
                      <w:color w:val="auto"/>
                      <w:sz w:val="21"/>
                      <w:szCs w:val="21"/>
                    </w:rPr>
                  </w:pPr>
                  <w:r>
                    <w:rPr>
                      <w:rFonts w:hint="eastAsia"/>
                      <w:b w:val="0"/>
                      <w:color w:val="auto"/>
                      <w:sz w:val="21"/>
                      <w:szCs w:val="21"/>
                    </w:rPr>
                    <w:t>5</w:t>
                  </w:r>
                </w:p>
              </w:tc>
              <w:tc>
                <w:tcPr>
                  <w:tcW w:w="2688" w:type="dxa"/>
                  <w:tcBorders>
                    <w:top w:val="single" w:color="auto" w:sz="6" w:space="0"/>
                    <w:left w:val="single" w:color="auto" w:sz="6" w:space="0"/>
                    <w:bottom w:val="single" w:color="auto" w:sz="6" w:space="0"/>
                    <w:right w:val="single" w:color="auto" w:sz="6" w:space="0"/>
                  </w:tcBorders>
                </w:tcPr>
                <w:p w14:paraId="169B1166">
                  <w:pPr>
                    <w:spacing w:line="288" w:lineRule="auto"/>
                    <w:jc w:val="center"/>
                    <w:rPr>
                      <w:color w:val="auto"/>
                      <w:sz w:val="21"/>
                      <w:szCs w:val="21"/>
                    </w:rPr>
                  </w:pPr>
                  <w:r>
                    <w:rPr>
                      <w:color w:val="auto"/>
                      <w:sz w:val="21"/>
                      <w:szCs w:val="21"/>
                    </w:rPr>
                    <w:t>氨氮*/（mg/L）</w:t>
                  </w:r>
                </w:p>
              </w:tc>
              <w:tc>
                <w:tcPr>
                  <w:tcW w:w="2125" w:type="dxa"/>
                  <w:tcBorders>
                    <w:top w:val="single" w:color="auto" w:sz="6" w:space="0"/>
                    <w:left w:val="single" w:color="auto" w:sz="6" w:space="0"/>
                    <w:bottom w:val="single" w:color="auto" w:sz="6" w:space="0"/>
                    <w:right w:val="nil"/>
                  </w:tcBorders>
                </w:tcPr>
                <w:p w14:paraId="55F72795">
                  <w:pPr>
                    <w:spacing w:line="288" w:lineRule="auto"/>
                    <w:jc w:val="center"/>
                    <w:rPr>
                      <w:color w:val="auto"/>
                      <w:sz w:val="21"/>
                      <w:szCs w:val="21"/>
                    </w:rPr>
                  </w:pPr>
                  <w:r>
                    <w:rPr>
                      <w:color w:val="auto"/>
                      <w:sz w:val="21"/>
                      <w:szCs w:val="21"/>
                    </w:rPr>
                    <w:t>45</w:t>
                  </w:r>
                </w:p>
              </w:tc>
            </w:tr>
            <w:tr w14:paraId="61CB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gridSpan w:val="4"/>
                  <w:tcBorders>
                    <w:top w:val="single" w:color="auto" w:sz="6" w:space="0"/>
                    <w:left w:val="nil"/>
                    <w:bottom w:val="single" w:color="auto" w:sz="12" w:space="0"/>
                    <w:right w:val="nil"/>
                  </w:tcBorders>
                </w:tcPr>
                <w:p w14:paraId="3FDECF80">
                  <w:pPr>
                    <w:spacing w:line="288" w:lineRule="auto"/>
                    <w:rPr>
                      <w:color w:val="auto"/>
                      <w:sz w:val="21"/>
                      <w:szCs w:val="21"/>
                    </w:rPr>
                  </w:pPr>
                  <w:r>
                    <w:rPr>
                      <w:rFonts w:hint="eastAsia"/>
                      <w:color w:val="auto"/>
                      <w:sz w:val="21"/>
                      <w:szCs w:val="21"/>
                      <w:lang w:eastAsia="zh-CN"/>
                    </w:rPr>
                    <w:t>“</w:t>
                  </w:r>
                  <w:r>
                    <w:rPr>
                      <w:color w:val="auto"/>
                      <w:sz w:val="21"/>
                      <w:szCs w:val="21"/>
                    </w:rPr>
                    <w:t>*</w:t>
                  </w:r>
                  <w:r>
                    <w:rPr>
                      <w:rFonts w:hint="eastAsia"/>
                      <w:color w:val="auto"/>
                      <w:sz w:val="21"/>
                      <w:szCs w:val="21"/>
                      <w:lang w:eastAsia="zh-CN"/>
                    </w:rPr>
                    <w:t>”</w:t>
                  </w:r>
                  <w:r>
                    <w:rPr>
                      <w:color w:val="auto"/>
                      <w:sz w:val="21"/>
                      <w:szCs w:val="21"/>
                    </w:rPr>
                    <w:t>注：</w:t>
                  </w:r>
                  <w:r>
                    <w:rPr>
                      <w:color w:val="auto"/>
                      <w:sz w:val="21"/>
                      <w:szCs w:val="21"/>
                      <w:highlight w:val="none"/>
                    </w:rPr>
                    <w:t>氨氮排</w:t>
                  </w:r>
                  <w:r>
                    <w:rPr>
                      <w:color w:val="auto"/>
                      <w:sz w:val="21"/>
                      <w:szCs w:val="21"/>
                    </w:rPr>
                    <w:t>放标准参考《污水排入城镇下水道水质标准》（GB/T31962-2015）B等级标准限值</w:t>
                  </w:r>
                </w:p>
              </w:tc>
            </w:tr>
          </w:tbl>
          <w:p w14:paraId="497D0F23">
            <w:pPr>
              <w:ind w:firstLine="480" w:firstLineChars="200"/>
              <w:rPr>
                <w:color w:val="auto"/>
              </w:rPr>
            </w:pPr>
            <w:r>
              <w:rPr>
                <w:rFonts w:hint="eastAsia"/>
                <w:color w:val="auto"/>
              </w:rPr>
              <w:t>（2）大学城处理厂排放标准</w:t>
            </w:r>
          </w:p>
          <w:p w14:paraId="5DBA7C58">
            <w:pPr>
              <w:pStyle w:val="57"/>
              <w:ind w:left="0" w:leftChars="0" w:firstLine="480"/>
              <w:rPr>
                <w:b w:val="0"/>
                <w:bCs/>
                <w:color w:val="auto"/>
              </w:rPr>
            </w:pPr>
            <w:r>
              <w:rPr>
                <w:b w:val="0"/>
                <w:bCs/>
                <w:color w:val="auto"/>
              </w:rPr>
              <w:t>根据调查，大学城污水处理厂尾水排入溪源溪，尾水排放执行《城镇污水处理厂污染物排放标准》</w:t>
            </w:r>
            <w:r>
              <w:rPr>
                <w:rFonts w:hint="eastAsia"/>
                <w:b w:val="0"/>
                <w:bCs/>
                <w:color w:val="auto"/>
              </w:rPr>
              <w:t>（</w:t>
            </w:r>
            <w:r>
              <w:rPr>
                <w:b w:val="0"/>
                <w:bCs/>
                <w:color w:val="auto"/>
              </w:rPr>
              <w:t>GB18918-2002</w:t>
            </w:r>
            <w:r>
              <w:rPr>
                <w:rFonts w:hint="eastAsia"/>
                <w:b w:val="0"/>
                <w:bCs/>
                <w:color w:val="auto"/>
              </w:rPr>
              <w:t>）</w:t>
            </w:r>
            <w:r>
              <w:rPr>
                <w:b w:val="0"/>
                <w:bCs/>
                <w:color w:val="auto"/>
              </w:rPr>
              <w:t>表1中的一级A标准，详见表3.7-2。</w:t>
            </w:r>
          </w:p>
          <w:p w14:paraId="56411283">
            <w:pPr>
              <w:pStyle w:val="13"/>
              <w:spacing w:after="0" w:line="240" w:lineRule="auto"/>
              <w:ind w:left="0" w:leftChars="0" w:firstLine="0" w:firstLineChars="0"/>
              <w:jc w:val="center"/>
              <w:rPr>
                <w:b/>
                <w:bCs/>
                <w:color w:val="auto"/>
              </w:rPr>
            </w:pPr>
            <w:r>
              <w:rPr>
                <w:b/>
                <w:bCs/>
                <w:color w:val="auto"/>
                <w:sz w:val="24"/>
                <w:szCs w:val="32"/>
              </w:rPr>
              <w:t>表3.</w:t>
            </w:r>
            <w:r>
              <w:rPr>
                <w:rFonts w:hint="eastAsia"/>
                <w:b/>
                <w:bCs/>
                <w:color w:val="auto"/>
                <w:sz w:val="24"/>
                <w:szCs w:val="32"/>
              </w:rPr>
              <w:t>7</w:t>
            </w:r>
            <w:r>
              <w:rPr>
                <w:b/>
                <w:bCs/>
                <w:color w:val="auto"/>
                <w:sz w:val="24"/>
                <w:szCs w:val="32"/>
              </w:rPr>
              <w:t>-</w:t>
            </w:r>
            <w:r>
              <w:rPr>
                <w:rFonts w:hint="eastAsia"/>
                <w:b/>
                <w:bCs/>
                <w:color w:val="auto"/>
                <w:sz w:val="24"/>
                <w:szCs w:val="32"/>
              </w:rPr>
              <w:t>2  大学城污水处理厂排放标准</w:t>
            </w:r>
            <w:r>
              <w:rPr>
                <w:b/>
                <w:bCs/>
                <w:color w:val="auto"/>
                <w:sz w:val="24"/>
                <w:szCs w:val="32"/>
              </w:rPr>
              <w:t xml:space="preserve"> </w:t>
            </w:r>
            <w:r>
              <w:rPr>
                <w:b/>
                <w:bCs/>
                <w:color w:val="auto"/>
              </w:rPr>
              <w:t xml:space="preserve"> </w:t>
            </w:r>
          </w:p>
          <w:tbl>
            <w:tblPr>
              <w:tblStyle w:val="31"/>
              <w:tblW w:w="7825"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962"/>
              <w:gridCol w:w="2688"/>
              <w:gridCol w:w="2125"/>
            </w:tblGrid>
            <w:tr w14:paraId="73BF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tcBorders>
                    <w:top w:val="single" w:color="auto" w:sz="12" w:space="0"/>
                    <w:left w:val="nil"/>
                    <w:bottom w:val="single" w:color="auto" w:sz="6" w:space="0"/>
                  </w:tcBorders>
                </w:tcPr>
                <w:p w14:paraId="196FFD90">
                  <w:pPr>
                    <w:pStyle w:val="46"/>
                    <w:widowControl w:val="0"/>
                    <w:snapToGrid/>
                    <w:spacing w:line="288" w:lineRule="auto"/>
                    <w:rPr>
                      <w:b w:val="0"/>
                      <w:color w:val="auto"/>
                      <w:sz w:val="21"/>
                      <w:szCs w:val="21"/>
                    </w:rPr>
                  </w:pPr>
                  <w:r>
                    <w:rPr>
                      <w:rFonts w:hint="eastAsia"/>
                      <w:b w:val="0"/>
                      <w:color w:val="auto"/>
                      <w:sz w:val="21"/>
                      <w:szCs w:val="21"/>
                    </w:rPr>
                    <w:t>执行标准</w:t>
                  </w:r>
                </w:p>
              </w:tc>
              <w:tc>
                <w:tcPr>
                  <w:tcW w:w="962" w:type="dxa"/>
                  <w:tcBorders>
                    <w:top w:val="single" w:color="auto" w:sz="12" w:space="0"/>
                    <w:bottom w:val="single" w:color="auto" w:sz="6" w:space="0"/>
                  </w:tcBorders>
                </w:tcPr>
                <w:p w14:paraId="785F4C35">
                  <w:pPr>
                    <w:pStyle w:val="46"/>
                    <w:widowControl w:val="0"/>
                    <w:snapToGrid/>
                    <w:spacing w:line="288" w:lineRule="auto"/>
                    <w:rPr>
                      <w:b w:val="0"/>
                      <w:color w:val="auto"/>
                      <w:sz w:val="21"/>
                      <w:szCs w:val="21"/>
                    </w:rPr>
                  </w:pPr>
                  <w:r>
                    <w:rPr>
                      <w:rFonts w:hint="eastAsia"/>
                      <w:b w:val="0"/>
                      <w:color w:val="auto"/>
                      <w:sz w:val="21"/>
                      <w:szCs w:val="21"/>
                    </w:rPr>
                    <w:t>序号</w:t>
                  </w:r>
                </w:p>
              </w:tc>
              <w:tc>
                <w:tcPr>
                  <w:tcW w:w="2688" w:type="dxa"/>
                  <w:tcBorders>
                    <w:top w:val="single" w:color="auto" w:sz="12" w:space="0"/>
                    <w:bottom w:val="single" w:color="auto" w:sz="6" w:space="0"/>
                  </w:tcBorders>
                </w:tcPr>
                <w:p w14:paraId="7AFB97B8">
                  <w:pPr>
                    <w:pStyle w:val="46"/>
                    <w:widowControl w:val="0"/>
                    <w:snapToGrid/>
                    <w:spacing w:line="288" w:lineRule="auto"/>
                    <w:rPr>
                      <w:b w:val="0"/>
                      <w:color w:val="auto"/>
                      <w:sz w:val="21"/>
                      <w:szCs w:val="21"/>
                    </w:rPr>
                  </w:pPr>
                  <w:r>
                    <w:rPr>
                      <w:rFonts w:hint="eastAsia"/>
                      <w:b w:val="0"/>
                      <w:color w:val="auto"/>
                      <w:sz w:val="21"/>
                      <w:szCs w:val="21"/>
                    </w:rPr>
                    <w:t>控制项目</w:t>
                  </w:r>
                </w:p>
              </w:tc>
              <w:tc>
                <w:tcPr>
                  <w:tcW w:w="2125" w:type="dxa"/>
                  <w:tcBorders>
                    <w:top w:val="single" w:color="auto" w:sz="12" w:space="0"/>
                    <w:bottom w:val="single" w:color="auto" w:sz="6" w:space="0"/>
                    <w:right w:val="nil"/>
                  </w:tcBorders>
                </w:tcPr>
                <w:p w14:paraId="20F86176">
                  <w:pPr>
                    <w:pStyle w:val="46"/>
                    <w:widowControl w:val="0"/>
                    <w:snapToGrid/>
                    <w:spacing w:line="288" w:lineRule="auto"/>
                    <w:rPr>
                      <w:b w:val="0"/>
                      <w:color w:val="auto"/>
                      <w:sz w:val="21"/>
                      <w:szCs w:val="21"/>
                    </w:rPr>
                  </w:pPr>
                  <w:r>
                    <w:rPr>
                      <w:rFonts w:hint="eastAsia"/>
                      <w:b w:val="0"/>
                      <w:color w:val="auto"/>
                      <w:sz w:val="21"/>
                      <w:szCs w:val="21"/>
                    </w:rPr>
                    <w:t>排放标准</w:t>
                  </w:r>
                </w:p>
              </w:tc>
            </w:tr>
            <w:tr w14:paraId="031C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restart"/>
                  <w:tcBorders>
                    <w:top w:val="single" w:color="auto" w:sz="6" w:space="0"/>
                    <w:left w:val="nil"/>
                    <w:bottom w:val="single" w:color="auto" w:sz="6" w:space="0"/>
                    <w:right w:val="single" w:color="auto" w:sz="6" w:space="0"/>
                  </w:tcBorders>
                </w:tcPr>
                <w:p w14:paraId="1AE3328A">
                  <w:pPr>
                    <w:pStyle w:val="46"/>
                    <w:widowControl w:val="0"/>
                    <w:snapToGrid/>
                    <w:spacing w:before="157" w:line="288" w:lineRule="auto"/>
                    <w:rPr>
                      <w:b w:val="0"/>
                      <w:color w:val="auto"/>
                      <w:sz w:val="21"/>
                      <w:szCs w:val="21"/>
                    </w:rPr>
                  </w:pPr>
                  <w:r>
                    <w:rPr>
                      <w:b w:val="0"/>
                      <w:color w:val="auto"/>
                      <w:sz w:val="21"/>
                      <w:szCs w:val="21"/>
                    </w:rPr>
                    <w:t>《城镇污水处理厂污染物排放标准》</w:t>
                  </w:r>
                  <w:r>
                    <w:rPr>
                      <w:rFonts w:hint="eastAsia"/>
                      <w:b w:val="0"/>
                      <w:color w:val="auto"/>
                      <w:sz w:val="21"/>
                      <w:szCs w:val="21"/>
                    </w:rPr>
                    <w:t>（</w:t>
                  </w:r>
                  <w:r>
                    <w:rPr>
                      <w:b w:val="0"/>
                      <w:color w:val="auto"/>
                      <w:sz w:val="21"/>
                      <w:szCs w:val="21"/>
                    </w:rPr>
                    <w:t>GB18918-2002</w:t>
                  </w:r>
                  <w:r>
                    <w:rPr>
                      <w:rFonts w:hint="eastAsia"/>
                      <w:b w:val="0"/>
                      <w:color w:val="auto"/>
                      <w:sz w:val="21"/>
                      <w:szCs w:val="21"/>
                    </w:rPr>
                    <w:t>）</w:t>
                  </w:r>
                  <w:r>
                    <w:rPr>
                      <w:b w:val="0"/>
                      <w:color w:val="auto"/>
                      <w:sz w:val="21"/>
                      <w:szCs w:val="21"/>
                    </w:rPr>
                    <w:t>表1中的一级A标准</w:t>
                  </w:r>
                </w:p>
              </w:tc>
              <w:tc>
                <w:tcPr>
                  <w:tcW w:w="962" w:type="dxa"/>
                  <w:tcBorders>
                    <w:top w:val="single" w:color="auto" w:sz="6" w:space="0"/>
                    <w:left w:val="single" w:color="auto" w:sz="6" w:space="0"/>
                    <w:bottom w:val="single" w:color="auto" w:sz="6" w:space="0"/>
                    <w:right w:val="single" w:color="auto" w:sz="6" w:space="0"/>
                  </w:tcBorders>
                </w:tcPr>
                <w:p w14:paraId="191689D0">
                  <w:pPr>
                    <w:pStyle w:val="46"/>
                    <w:widowControl w:val="0"/>
                    <w:snapToGrid/>
                    <w:spacing w:line="288" w:lineRule="auto"/>
                    <w:rPr>
                      <w:b w:val="0"/>
                      <w:color w:val="auto"/>
                      <w:sz w:val="21"/>
                      <w:szCs w:val="21"/>
                    </w:rPr>
                  </w:pPr>
                  <w:r>
                    <w:rPr>
                      <w:rFonts w:hint="eastAsia"/>
                      <w:b w:val="0"/>
                      <w:color w:val="auto"/>
                      <w:sz w:val="21"/>
                      <w:szCs w:val="21"/>
                    </w:rPr>
                    <w:t>1</w:t>
                  </w:r>
                </w:p>
              </w:tc>
              <w:tc>
                <w:tcPr>
                  <w:tcW w:w="2688" w:type="dxa"/>
                  <w:tcBorders>
                    <w:top w:val="single" w:color="auto" w:sz="6" w:space="0"/>
                    <w:left w:val="single" w:color="auto" w:sz="6" w:space="0"/>
                    <w:bottom w:val="single" w:color="auto" w:sz="6" w:space="0"/>
                    <w:right w:val="single" w:color="auto" w:sz="6" w:space="0"/>
                  </w:tcBorders>
                </w:tcPr>
                <w:p w14:paraId="10B1B473">
                  <w:pPr>
                    <w:spacing w:line="288" w:lineRule="auto"/>
                    <w:jc w:val="center"/>
                    <w:rPr>
                      <w:color w:val="auto"/>
                      <w:sz w:val="21"/>
                      <w:szCs w:val="21"/>
                    </w:rPr>
                  </w:pPr>
                  <w:r>
                    <w:rPr>
                      <w:color w:val="auto"/>
                      <w:sz w:val="21"/>
                      <w:szCs w:val="21"/>
                    </w:rPr>
                    <w:t>pH（无量纲）</w:t>
                  </w:r>
                </w:p>
              </w:tc>
              <w:tc>
                <w:tcPr>
                  <w:tcW w:w="2125" w:type="dxa"/>
                  <w:tcBorders>
                    <w:top w:val="single" w:color="auto" w:sz="6" w:space="0"/>
                    <w:left w:val="single" w:color="auto" w:sz="6" w:space="0"/>
                    <w:bottom w:val="single" w:color="auto" w:sz="6" w:space="0"/>
                    <w:right w:val="nil"/>
                  </w:tcBorders>
                </w:tcPr>
                <w:p w14:paraId="0C6468FC">
                  <w:pPr>
                    <w:spacing w:line="288" w:lineRule="auto"/>
                    <w:jc w:val="center"/>
                    <w:rPr>
                      <w:color w:val="auto"/>
                      <w:sz w:val="21"/>
                      <w:szCs w:val="21"/>
                    </w:rPr>
                  </w:pPr>
                  <w:r>
                    <w:rPr>
                      <w:color w:val="auto"/>
                      <w:sz w:val="21"/>
                      <w:szCs w:val="21"/>
                    </w:rPr>
                    <w:t>6-9</w:t>
                  </w:r>
                </w:p>
              </w:tc>
            </w:tr>
            <w:tr w14:paraId="0C42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6" w:space="0"/>
                    <w:right w:val="single" w:color="auto" w:sz="6" w:space="0"/>
                  </w:tcBorders>
                </w:tcPr>
                <w:p w14:paraId="7053DC33">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5C337EAC">
                  <w:pPr>
                    <w:pStyle w:val="46"/>
                    <w:widowControl w:val="0"/>
                    <w:snapToGrid/>
                    <w:spacing w:line="288" w:lineRule="auto"/>
                    <w:rPr>
                      <w:b w:val="0"/>
                      <w:color w:val="auto"/>
                      <w:sz w:val="21"/>
                      <w:szCs w:val="21"/>
                    </w:rPr>
                  </w:pPr>
                  <w:r>
                    <w:rPr>
                      <w:rFonts w:hint="eastAsia"/>
                      <w:b w:val="0"/>
                      <w:color w:val="auto"/>
                      <w:sz w:val="21"/>
                      <w:szCs w:val="21"/>
                    </w:rPr>
                    <w:t>2</w:t>
                  </w:r>
                </w:p>
              </w:tc>
              <w:tc>
                <w:tcPr>
                  <w:tcW w:w="2688" w:type="dxa"/>
                  <w:tcBorders>
                    <w:top w:val="single" w:color="auto" w:sz="6" w:space="0"/>
                    <w:left w:val="single" w:color="auto" w:sz="6" w:space="0"/>
                    <w:bottom w:val="single" w:color="auto" w:sz="6" w:space="0"/>
                    <w:right w:val="single" w:color="auto" w:sz="6" w:space="0"/>
                  </w:tcBorders>
                </w:tcPr>
                <w:p w14:paraId="3E8F7DDA">
                  <w:pPr>
                    <w:spacing w:line="288" w:lineRule="auto"/>
                    <w:jc w:val="center"/>
                    <w:rPr>
                      <w:color w:val="auto"/>
                      <w:sz w:val="21"/>
                      <w:szCs w:val="21"/>
                    </w:rPr>
                  </w:pPr>
                  <w:r>
                    <w:rPr>
                      <w:color w:val="auto"/>
                      <w:sz w:val="21"/>
                      <w:szCs w:val="21"/>
                    </w:rPr>
                    <w:t>COD/（mg/L）</w:t>
                  </w:r>
                </w:p>
              </w:tc>
              <w:tc>
                <w:tcPr>
                  <w:tcW w:w="2125" w:type="dxa"/>
                  <w:tcBorders>
                    <w:top w:val="single" w:color="auto" w:sz="6" w:space="0"/>
                    <w:left w:val="single" w:color="auto" w:sz="6" w:space="0"/>
                    <w:bottom w:val="single" w:color="auto" w:sz="6" w:space="0"/>
                    <w:right w:val="nil"/>
                  </w:tcBorders>
                </w:tcPr>
                <w:p w14:paraId="21DBE738">
                  <w:pPr>
                    <w:spacing w:line="288" w:lineRule="auto"/>
                    <w:jc w:val="center"/>
                    <w:rPr>
                      <w:color w:val="auto"/>
                      <w:sz w:val="21"/>
                      <w:szCs w:val="21"/>
                    </w:rPr>
                  </w:pPr>
                  <w:r>
                    <w:rPr>
                      <w:rFonts w:hint="eastAsia"/>
                      <w:color w:val="auto"/>
                      <w:sz w:val="21"/>
                      <w:szCs w:val="21"/>
                    </w:rPr>
                    <w:t>50</w:t>
                  </w:r>
                </w:p>
              </w:tc>
            </w:tr>
            <w:tr w14:paraId="4201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6" w:space="0"/>
                    <w:right w:val="single" w:color="auto" w:sz="6" w:space="0"/>
                  </w:tcBorders>
                </w:tcPr>
                <w:p w14:paraId="5CEE72E3">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42BA6753">
                  <w:pPr>
                    <w:pStyle w:val="46"/>
                    <w:widowControl w:val="0"/>
                    <w:snapToGrid/>
                    <w:spacing w:line="288" w:lineRule="auto"/>
                    <w:rPr>
                      <w:b w:val="0"/>
                      <w:color w:val="auto"/>
                      <w:sz w:val="21"/>
                      <w:szCs w:val="21"/>
                    </w:rPr>
                  </w:pPr>
                  <w:r>
                    <w:rPr>
                      <w:rFonts w:hint="eastAsia"/>
                      <w:b w:val="0"/>
                      <w:color w:val="auto"/>
                      <w:sz w:val="21"/>
                      <w:szCs w:val="21"/>
                    </w:rPr>
                    <w:t>3</w:t>
                  </w:r>
                </w:p>
              </w:tc>
              <w:tc>
                <w:tcPr>
                  <w:tcW w:w="2688" w:type="dxa"/>
                  <w:tcBorders>
                    <w:top w:val="single" w:color="auto" w:sz="6" w:space="0"/>
                    <w:left w:val="single" w:color="auto" w:sz="6" w:space="0"/>
                    <w:bottom w:val="single" w:color="auto" w:sz="6" w:space="0"/>
                    <w:right w:val="single" w:color="auto" w:sz="6" w:space="0"/>
                  </w:tcBorders>
                </w:tcPr>
                <w:p w14:paraId="041AB479">
                  <w:pPr>
                    <w:spacing w:line="288" w:lineRule="auto"/>
                    <w:jc w:val="center"/>
                    <w:rPr>
                      <w:color w:val="auto"/>
                      <w:sz w:val="21"/>
                      <w:szCs w:val="21"/>
                    </w:rPr>
                  </w:pPr>
                  <w:r>
                    <w:rPr>
                      <w:color w:val="auto"/>
                      <w:sz w:val="21"/>
                      <w:szCs w:val="21"/>
                    </w:rPr>
                    <w:t>BOD</w:t>
                  </w:r>
                  <w:r>
                    <w:rPr>
                      <w:color w:val="auto"/>
                      <w:sz w:val="21"/>
                      <w:szCs w:val="21"/>
                      <w:vertAlign w:val="subscript"/>
                    </w:rPr>
                    <w:t>5</w:t>
                  </w:r>
                  <w:r>
                    <w:rPr>
                      <w:color w:val="auto"/>
                      <w:sz w:val="21"/>
                      <w:szCs w:val="21"/>
                    </w:rPr>
                    <w:t>/（mg/L）</w:t>
                  </w:r>
                </w:p>
              </w:tc>
              <w:tc>
                <w:tcPr>
                  <w:tcW w:w="2125" w:type="dxa"/>
                  <w:tcBorders>
                    <w:top w:val="single" w:color="auto" w:sz="6" w:space="0"/>
                    <w:left w:val="single" w:color="auto" w:sz="6" w:space="0"/>
                    <w:bottom w:val="single" w:color="auto" w:sz="6" w:space="0"/>
                    <w:right w:val="nil"/>
                  </w:tcBorders>
                </w:tcPr>
                <w:p w14:paraId="0F8A26DB">
                  <w:pPr>
                    <w:spacing w:line="288" w:lineRule="auto"/>
                    <w:jc w:val="center"/>
                    <w:rPr>
                      <w:color w:val="auto"/>
                      <w:sz w:val="21"/>
                      <w:szCs w:val="21"/>
                    </w:rPr>
                  </w:pPr>
                  <w:r>
                    <w:rPr>
                      <w:rFonts w:hint="eastAsia"/>
                      <w:color w:val="auto"/>
                      <w:sz w:val="21"/>
                      <w:szCs w:val="21"/>
                    </w:rPr>
                    <w:t>10</w:t>
                  </w:r>
                </w:p>
              </w:tc>
            </w:tr>
            <w:tr w14:paraId="0D90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0" w:type="dxa"/>
                  <w:vMerge w:val="continue"/>
                  <w:tcBorders>
                    <w:top w:val="single" w:color="auto" w:sz="6" w:space="0"/>
                    <w:left w:val="nil"/>
                    <w:bottom w:val="single" w:color="auto" w:sz="6" w:space="0"/>
                    <w:right w:val="single" w:color="auto" w:sz="6" w:space="0"/>
                  </w:tcBorders>
                </w:tcPr>
                <w:p w14:paraId="465D0324">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6" w:space="0"/>
                    <w:right w:val="single" w:color="auto" w:sz="6" w:space="0"/>
                  </w:tcBorders>
                </w:tcPr>
                <w:p w14:paraId="794E607B">
                  <w:pPr>
                    <w:pStyle w:val="46"/>
                    <w:widowControl w:val="0"/>
                    <w:snapToGrid/>
                    <w:spacing w:line="288" w:lineRule="auto"/>
                    <w:rPr>
                      <w:b w:val="0"/>
                      <w:color w:val="auto"/>
                      <w:sz w:val="21"/>
                      <w:szCs w:val="21"/>
                    </w:rPr>
                  </w:pPr>
                  <w:r>
                    <w:rPr>
                      <w:rFonts w:hint="eastAsia"/>
                      <w:b w:val="0"/>
                      <w:color w:val="auto"/>
                      <w:sz w:val="21"/>
                      <w:szCs w:val="21"/>
                    </w:rPr>
                    <w:t>4</w:t>
                  </w:r>
                </w:p>
              </w:tc>
              <w:tc>
                <w:tcPr>
                  <w:tcW w:w="2688" w:type="dxa"/>
                  <w:tcBorders>
                    <w:top w:val="single" w:color="auto" w:sz="6" w:space="0"/>
                    <w:left w:val="single" w:color="auto" w:sz="6" w:space="0"/>
                    <w:bottom w:val="single" w:color="auto" w:sz="6" w:space="0"/>
                    <w:right w:val="single" w:color="auto" w:sz="6" w:space="0"/>
                  </w:tcBorders>
                </w:tcPr>
                <w:p w14:paraId="4ED837CF">
                  <w:pPr>
                    <w:spacing w:line="288" w:lineRule="auto"/>
                    <w:jc w:val="center"/>
                    <w:rPr>
                      <w:color w:val="auto"/>
                      <w:sz w:val="21"/>
                      <w:szCs w:val="21"/>
                    </w:rPr>
                  </w:pPr>
                  <w:r>
                    <w:rPr>
                      <w:color w:val="auto"/>
                      <w:sz w:val="21"/>
                      <w:szCs w:val="21"/>
                    </w:rPr>
                    <w:t>SS/（mg/L）</w:t>
                  </w:r>
                </w:p>
              </w:tc>
              <w:tc>
                <w:tcPr>
                  <w:tcW w:w="2125" w:type="dxa"/>
                  <w:tcBorders>
                    <w:top w:val="single" w:color="auto" w:sz="6" w:space="0"/>
                    <w:left w:val="single" w:color="auto" w:sz="6" w:space="0"/>
                    <w:bottom w:val="single" w:color="auto" w:sz="6" w:space="0"/>
                    <w:right w:val="nil"/>
                  </w:tcBorders>
                </w:tcPr>
                <w:p w14:paraId="57E1D40B">
                  <w:pPr>
                    <w:spacing w:line="288" w:lineRule="auto"/>
                    <w:jc w:val="center"/>
                    <w:rPr>
                      <w:color w:val="auto"/>
                      <w:sz w:val="21"/>
                      <w:szCs w:val="21"/>
                    </w:rPr>
                  </w:pPr>
                  <w:r>
                    <w:rPr>
                      <w:rFonts w:hint="eastAsia"/>
                      <w:color w:val="auto"/>
                      <w:sz w:val="21"/>
                      <w:szCs w:val="21"/>
                    </w:rPr>
                    <w:t>10</w:t>
                  </w:r>
                </w:p>
              </w:tc>
            </w:tr>
            <w:tr w14:paraId="0ABF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Merge w:val="continue"/>
                  <w:tcBorders>
                    <w:top w:val="single" w:color="auto" w:sz="6" w:space="0"/>
                    <w:left w:val="nil"/>
                    <w:bottom w:val="single" w:color="auto" w:sz="12" w:space="0"/>
                    <w:right w:val="single" w:color="auto" w:sz="6" w:space="0"/>
                  </w:tcBorders>
                </w:tcPr>
                <w:p w14:paraId="7D970978">
                  <w:pPr>
                    <w:pStyle w:val="46"/>
                    <w:widowControl w:val="0"/>
                    <w:snapToGrid/>
                    <w:spacing w:line="288" w:lineRule="auto"/>
                    <w:rPr>
                      <w:b w:val="0"/>
                      <w:color w:val="auto"/>
                      <w:sz w:val="21"/>
                      <w:szCs w:val="21"/>
                    </w:rPr>
                  </w:pPr>
                </w:p>
              </w:tc>
              <w:tc>
                <w:tcPr>
                  <w:tcW w:w="962" w:type="dxa"/>
                  <w:tcBorders>
                    <w:top w:val="single" w:color="auto" w:sz="6" w:space="0"/>
                    <w:left w:val="single" w:color="auto" w:sz="6" w:space="0"/>
                    <w:bottom w:val="single" w:color="auto" w:sz="12" w:space="0"/>
                    <w:right w:val="single" w:color="auto" w:sz="6" w:space="0"/>
                  </w:tcBorders>
                </w:tcPr>
                <w:p w14:paraId="26533D93">
                  <w:pPr>
                    <w:pStyle w:val="46"/>
                    <w:widowControl w:val="0"/>
                    <w:snapToGrid/>
                    <w:spacing w:line="288" w:lineRule="auto"/>
                    <w:rPr>
                      <w:b w:val="0"/>
                      <w:color w:val="auto"/>
                      <w:sz w:val="21"/>
                      <w:szCs w:val="21"/>
                    </w:rPr>
                  </w:pPr>
                  <w:r>
                    <w:rPr>
                      <w:rFonts w:hint="eastAsia"/>
                      <w:b w:val="0"/>
                      <w:color w:val="auto"/>
                      <w:sz w:val="21"/>
                      <w:szCs w:val="21"/>
                    </w:rPr>
                    <w:t>5</w:t>
                  </w:r>
                </w:p>
              </w:tc>
              <w:tc>
                <w:tcPr>
                  <w:tcW w:w="2688" w:type="dxa"/>
                  <w:tcBorders>
                    <w:top w:val="single" w:color="auto" w:sz="6" w:space="0"/>
                    <w:left w:val="single" w:color="auto" w:sz="6" w:space="0"/>
                    <w:bottom w:val="single" w:color="auto" w:sz="12" w:space="0"/>
                    <w:right w:val="single" w:color="auto" w:sz="6" w:space="0"/>
                  </w:tcBorders>
                </w:tcPr>
                <w:p w14:paraId="626E0957">
                  <w:pPr>
                    <w:spacing w:line="288" w:lineRule="auto"/>
                    <w:jc w:val="center"/>
                    <w:rPr>
                      <w:color w:val="auto"/>
                      <w:sz w:val="21"/>
                      <w:szCs w:val="21"/>
                    </w:rPr>
                  </w:pPr>
                  <w:r>
                    <w:rPr>
                      <w:color w:val="auto"/>
                      <w:sz w:val="21"/>
                      <w:szCs w:val="21"/>
                    </w:rPr>
                    <w:t>氨氮/（mg/L）</w:t>
                  </w:r>
                </w:p>
              </w:tc>
              <w:tc>
                <w:tcPr>
                  <w:tcW w:w="2125" w:type="dxa"/>
                  <w:tcBorders>
                    <w:top w:val="single" w:color="auto" w:sz="6" w:space="0"/>
                    <w:left w:val="single" w:color="auto" w:sz="6" w:space="0"/>
                    <w:bottom w:val="single" w:color="auto" w:sz="12" w:space="0"/>
                    <w:right w:val="nil"/>
                  </w:tcBorders>
                </w:tcPr>
                <w:p w14:paraId="32693FC0">
                  <w:pPr>
                    <w:spacing w:line="288" w:lineRule="auto"/>
                    <w:jc w:val="center"/>
                    <w:rPr>
                      <w:color w:val="auto"/>
                      <w:sz w:val="21"/>
                      <w:szCs w:val="21"/>
                    </w:rPr>
                  </w:pPr>
                  <w:r>
                    <w:rPr>
                      <w:rFonts w:hint="eastAsia"/>
                      <w:color w:val="auto"/>
                      <w:sz w:val="21"/>
                      <w:szCs w:val="21"/>
                    </w:rPr>
                    <w:t>5</w:t>
                  </w:r>
                </w:p>
              </w:tc>
            </w:tr>
          </w:tbl>
          <w:p w14:paraId="6BDA1C60">
            <w:pPr>
              <w:pStyle w:val="4"/>
              <w:ind w:firstLine="0" w:firstLineChars="0"/>
              <w:rPr>
                <w:color w:val="auto"/>
              </w:rPr>
            </w:pPr>
            <w:r>
              <w:rPr>
                <w:rFonts w:hint="eastAsia"/>
                <w:color w:val="auto"/>
              </w:rPr>
              <w:t>3.7.2大气污染物排放标准</w:t>
            </w:r>
          </w:p>
          <w:p w14:paraId="297F84E4">
            <w:pPr>
              <w:pStyle w:val="58"/>
              <w:ind w:firstLine="480"/>
              <w:rPr>
                <w:bCs w:val="0"/>
                <w:color w:val="auto"/>
                <w:kern w:val="0"/>
                <w:szCs w:val="24"/>
              </w:rPr>
            </w:pPr>
            <w:r>
              <w:rPr>
                <w:rFonts w:hint="eastAsia"/>
                <w:color w:val="auto"/>
                <w:szCs w:val="24"/>
              </w:rPr>
              <w:t>（1）</w:t>
            </w:r>
            <w:r>
              <w:rPr>
                <w:bCs w:val="0"/>
                <w:color w:val="auto"/>
                <w:kern w:val="0"/>
                <w:szCs w:val="24"/>
              </w:rPr>
              <w:t>颗粒物</w:t>
            </w:r>
          </w:p>
          <w:p w14:paraId="1C19D59A">
            <w:pPr>
              <w:pStyle w:val="58"/>
              <w:ind w:firstLine="480"/>
              <w:rPr>
                <w:color w:val="auto"/>
                <w:szCs w:val="24"/>
              </w:rPr>
            </w:pPr>
            <w:r>
              <w:rPr>
                <w:rFonts w:hint="eastAsia"/>
                <w:bCs w:val="0"/>
                <w:color w:val="auto"/>
                <w:kern w:val="0"/>
                <w:szCs w:val="24"/>
              </w:rPr>
              <w:t>本项目运营期产生</w:t>
            </w:r>
            <w:r>
              <w:rPr>
                <w:rFonts w:hint="eastAsia"/>
                <w:bCs w:val="0"/>
                <w:color w:val="auto"/>
                <w:kern w:val="0"/>
                <w:szCs w:val="24"/>
                <w:highlight w:val="none"/>
              </w:rPr>
              <w:t>的</w:t>
            </w:r>
            <w:r>
              <w:rPr>
                <w:rFonts w:hint="eastAsia"/>
                <w:color w:val="auto"/>
                <w:szCs w:val="24"/>
                <w:highlight w:val="none"/>
              </w:rPr>
              <w:t>颗粒物主要来自亚克力板、PVC板雕刻、切割，金属板材切割、焊接工序和</w:t>
            </w:r>
            <w:r>
              <w:rPr>
                <w:rFonts w:hint="eastAsia"/>
                <w:color w:val="auto"/>
                <w:highlight w:val="none"/>
              </w:rPr>
              <w:t>喷漆工序（漆雾）</w:t>
            </w:r>
            <w:r>
              <w:rPr>
                <w:rFonts w:hint="eastAsia"/>
                <w:color w:val="auto"/>
                <w:szCs w:val="24"/>
                <w:highlight w:val="none"/>
              </w:rPr>
              <w:t>。污染物</w:t>
            </w:r>
            <w:r>
              <w:rPr>
                <w:rFonts w:hint="eastAsia"/>
                <w:color w:val="auto"/>
                <w:szCs w:val="24"/>
              </w:rPr>
              <w:t>排放执行《大气污染物综合排放标准》（GB16297-1996）中表2二级标准及无组织排放监控浓度限值，详见表3.7-3。</w:t>
            </w:r>
          </w:p>
          <w:p w14:paraId="26244652">
            <w:pPr>
              <w:pStyle w:val="58"/>
              <w:spacing w:line="240" w:lineRule="auto"/>
              <w:ind w:firstLine="0" w:firstLineChars="0"/>
              <w:jc w:val="center"/>
              <w:rPr>
                <w:b/>
                <w:bCs w:val="0"/>
                <w:color w:val="auto"/>
                <w:szCs w:val="24"/>
              </w:rPr>
            </w:pPr>
            <w:r>
              <w:rPr>
                <w:rFonts w:hint="eastAsia"/>
                <w:b/>
                <w:bCs w:val="0"/>
                <w:color w:val="auto"/>
                <w:szCs w:val="24"/>
              </w:rPr>
              <w:t>表3.7-3  《大气污染物综合排放标准》（GB16297-1996）（摘录）</w:t>
            </w:r>
          </w:p>
          <w:tbl>
            <w:tblPr>
              <w:tblStyle w:val="31"/>
              <w:tblW w:w="79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799"/>
              <w:gridCol w:w="1562"/>
              <w:gridCol w:w="1366"/>
              <w:gridCol w:w="2685"/>
            </w:tblGrid>
            <w:tr w14:paraId="774EF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tcBorders>
                    <w:tl2br w:val="nil"/>
                    <w:tr2bl w:val="nil"/>
                  </w:tcBorders>
                  <w:vAlign w:val="center"/>
                </w:tcPr>
                <w:p w14:paraId="58AA754E">
                  <w:pPr>
                    <w:adjustRightInd w:val="0"/>
                    <w:snapToGrid w:val="0"/>
                    <w:spacing w:line="288" w:lineRule="auto"/>
                    <w:jc w:val="center"/>
                    <w:rPr>
                      <w:color w:val="auto"/>
                      <w:kern w:val="0"/>
                      <w:sz w:val="21"/>
                      <w:szCs w:val="21"/>
                    </w:rPr>
                  </w:pPr>
                  <w:r>
                    <w:rPr>
                      <w:color w:val="auto"/>
                      <w:kern w:val="0"/>
                      <w:sz w:val="21"/>
                      <w:szCs w:val="21"/>
                    </w:rPr>
                    <w:t>污染物</w:t>
                  </w:r>
                </w:p>
              </w:tc>
              <w:tc>
                <w:tcPr>
                  <w:tcW w:w="1129" w:type="pct"/>
                  <w:vMerge w:val="restart"/>
                  <w:tcBorders>
                    <w:tl2br w:val="nil"/>
                    <w:tr2bl w:val="nil"/>
                  </w:tcBorders>
                  <w:vAlign w:val="center"/>
                </w:tcPr>
                <w:p w14:paraId="1E63100C">
                  <w:pPr>
                    <w:adjustRightInd w:val="0"/>
                    <w:snapToGrid w:val="0"/>
                    <w:spacing w:line="288" w:lineRule="auto"/>
                    <w:jc w:val="center"/>
                    <w:rPr>
                      <w:color w:val="auto"/>
                      <w:kern w:val="0"/>
                      <w:sz w:val="21"/>
                      <w:szCs w:val="21"/>
                    </w:rPr>
                  </w:pPr>
                  <w:r>
                    <w:rPr>
                      <w:color w:val="auto"/>
                      <w:kern w:val="0"/>
                      <w:sz w:val="21"/>
                      <w:szCs w:val="21"/>
                    </w:rPr>
                    <w:t>最高允许排放</w:t>
                  </w:r>
                  <w:r>
                    <w:rPr>
                      <w:rFonts w:hint="eastAsia"/>
                      <w:color w:val="auto"/>
                      <w:kern w:val="0"/>
                      <w:sz w:val="21"/>
                      <w:szCs w:val="21"/>
                    </w:rPr>
                    <w:t>浓度（mg/m</w:t>
                  </w:r>
                  <w:r>
                    <w:rPr>
                      <w:rFonts w:hint="eastAsia"/>
                      <w:color w:val="auto"/>
                      <w:kern w:val="0"/>
                      <w:sz w:val="21"/>
                      <w:szCs w:val="21"/>
                      <w:vertAlign w:val="superscript"/>
                    </w:rPr>
                    <w:t>3</w:t>
                  </w:r>
                  <w:r>
                    <w:rPr>
                      <w:rFonts w:hint="eastAsia"/>
                      <w:color w:val="auto"/>
                      <w:kern w:val="0"/>
                      <w:sz w:val="21"/>
                      <w:szCs w:val="21"/>
                    </w:rPr>
                    <w:t>）</w:t>
                  </w:r>
                </w:p>
              </w:tc>
              <w:tc>
                <w:tcPr>
                  <w:tcW w:w="1837" w:type="pct"/>
                  <w:gridSpan w:val="2"/>
                  <w:tcBorders>
                    <w:tl2br w:val="nil"/>
                    <w:tr2bl w:val="nil"/>
                  </w:tcBorders>
                  <w:vAlign w:val="center"/>
                </w:tcPr>
                <w:p w14:paraId="596B669D">
                  <w:pPr>
                    <w:adjustRightInd w:val="0"/>
                    <w:snapToGrid w:val="0"/>
                    <w:spacing w:line="288" w:lineRule="auto"/>
                    <w:jc w:val="center"/>
                    <w:rPr>
                      <w:color w:val="auto"/>
                      <w:kern w:val="0"/>
                      <w:sz w:val="21"/>
                      <w:szCs w:val="21"/>
                    </w:rPr>
                  </w:pPr>
                  <w:r>
                    <w:rPr>
                      <w:color w:val="auto"/>
                      <w:kern w:val="0"/>
                      <w:sz w:val="21"/>
                      <w:szCs w:val="21"/>
                    </w:rPr>
                    <w:t>最高允许排放速率，kg/h</w:t>
                  </w:r>
                </w:p>
              </w:tc>
              <w:tc>
                <w:tcPr>
                  <w:tcW w:w="1684" w:type="pct"/>
                  <w:tcBorders>
                    <w:tl2br w:val="nil"/>
                    <w:tr2bl w:val="nil"/>
                  </w:tcBorders>
                  <w:vAlign w:val="center"/>
                </w:tcPr>
                <w:p w14:paraId="084C6F1A">
                  <w:pPr>
                    <w:adjustRightInd w:val="0"/>
                    <w:snapToGrid w:val="0"/>
                    <w:spacing w:line="288" w:lineRule="auto"/>
                    <w:jc w:val="center"/>
                    <w:rPr>
                      <w:color w:val="auto"/>
                      <w:kern w:val="0"/>
                      <w:sz w:val="21"/>
                      <w:szCs w:val="21"/>
                    </w:rPr>
                  </w:pPr>
                  <w:r>
                    <w:rPr>
                      <w:color w:val="auto"/>
                      <w:kern w:val="0"/>
                      <w:sz w:val="21"/>
                      <w:szCs w:val="21"/>
                    </w:rPr>
                    <w:t>无组织排放监控浓度限值</w:t>
                  </w:r>
                </w:p>
              </w:tc>
            </w:tr>
            <w:tr w14:paraId="4F9B6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48" w:type="pct"/>
                  <w:vMerge w:val="continue"/>
                  <w:tcBorders>
                    <w:tl2br w:val="nil"/>
                    <w:tr2bl w:val="nil"/>
                  </w:tcBorders>
                  <w:vAlign w:val="center"/>
                </w:tcPr>
                <w:p w14:paraId="2BA6386C">
                  <w:pPr>
                    <w:adjustRightInd w:val="0"/>
                    <w:snapToGrid w:val="0"/>
                    <w:spacing w:line="288" w:lineRule="auto"/>
                    <w:jc w:val="center"/>
                    <w:rPr>
                      <w:color w:val="auto"/>
                      <w:kern w:val="0"/>
                      <w:sz w:val="21"/>
                      <w:szCs w:val="21"/>
                    </w:rPr>
                  </w:pPr>
                </w:p>
              </w:tc>
              <w:tc>
                <w:tcPr>
                  <w:tcW w:w="1129" w:type="pct"/>
                  <w:vMerge w:val="continue"/>
                  <w:tcBorders>
                    <w:tl2br w:val="nil"/>
                    <w:tr2bl w:val="nil"/>
                  </w:tcBorders>
                  <w:vAlign w:val="center"/>
                </w:tcPr>
                <w:p w14:paraId="22CF5696">
                  <w:pPr>
                    <w:adjustRightInd w:val="0"/>
                    <w:snapToGrid w:val="0"/>
                    <w:spacing w:line="288" w:lineRule="auto"/>
                    <w:jc w:val="center"/>
                    <w:rPr>
                      <w:color w:val="auto"/>
                      <w:kern w:val="0"/>
                      <w:sz w:val="21"/>
                      <w:szCs w:val="21"/>
                    </w:rPr>
                  </w:pPr>
                </w:p>
              </w:tc>
              <w:tc>
                <w:tcPr>
                  <w:tcW w:w="980" w:type="pct"/>
                  <w:tcBorders>
                    <w:tl2br w:val="nil"/>
                    <w:tr2bl w:val="nil"/>
                  </w:tcBorders>
                  <w:vAlign w:val="center"/>
                </w:tcPr>
                <w:p w14:paraId="073979AF">
                  <w:pPr>
                    <w:adjustRightInd w:val="0"/>
                    <w:snapToGrid w:val="0"/>
                    <w:spacing w:line="288" w:lineRule="auto"/>
                    <w:jc w:val="center"/>
                    <w:rPr>
                      <w:color w:val="auto"/>
                      <w:kern w:val="0"/>
                      <w:sz w:val="21"/>
                      <w:szCs w:val="21"/>
                    </w:rPr>
                  </w:pPr>
                  <w:r>
                    <w:rPr>
                      <w:rFonts w:hint="eastAsia"/>
                      <w:color w:val="auto"/>
                      <w:kern w:val="0"/>
                      <w:sz w:val="21"/>
                      <w:szCs w:val="21"/>
                    </w:rPr>
                    <w:t>高度（m）</w:t>
                  </w:r>
                </w:p>
              </w:tc>
              <w:tc>
                <w:tcPr>
                  <w:tcW w:w="857" w:type="pct"/>
                  <w:tcBorders>
                    <w:tl2br w:val="nil"/>
                    <w:tr2bl w:val="nil"/>
                  </w:tcBorders>
                  <w:vAlign w:val="center"/>
                </w:tcPr>
                <w:p w14:paraId="42FDE319">
                  <w:pPr>
                    <w:adjustRightInd w:val="0"/>
                    <w:snapToGrid w:val="0"/>
                    <w:spacing w:line="288" w:lineRule="auto"/>
                    <w:jc w:val="center"/>
                    <w:rPr>
                      <w:color w:val="auto"/>
                      <w:kern w:val="0"/>
                      <w:sz w:val="21"/>
                      <w:szCs w:val="21"/>
                    </w:rPr>
                  </w:pPr>
                  <w:r>
                    <w:rPr>
                      <w:rFonts w:hint="eastAsia"/>
                      <w:color w:val="auto"/>
                      <w:kern w:val="0"/>
                      <w:sz w:val="21"/>
                      <w:szCs w:val="21"/>
                    </w:rPr>
                    <w:t>二级</w:t>
                  </w:r>
                </w:p>
              </w:tc>
              <w:tc>
                <w:tcPr>
                  <w:tcW w:w="1684" w:type="pct"/>
                  <w:tcBorders>
                    <w:tl2br w:val="nil"/>
                    <w:tr2bl w:val="nil"/>
                  </w:tcBorders>
                  <w:vAlign w:val="center"/>
                </w:tcPr>
                <w:p w14:paraId="20FE1C96">
                  <w:pPr>
                    <w:adjustRightInd w:val="0"/>
                    <w:snapToGrid w:val="0"/>
                    <w:spacing w:line="288" w:lineRule="auto"/>
                    <w:jc w:val="center"/>
                    <w:rPr>
                      <w:color w:val="auto"/>
                      <w:kern w:val="0"/>
                      <w:sz w:val="21"/>
                      <w:szCs w:val="21"/>
                    </w:rPr>
                  </w:pPr>
                  <w:r>
                    <w:rPr>
                      <w:color w:val="auto"/>
                      <w:kern w:val="0"/>
                      <w:sz w:val="21"/>
                      <w:szCs w:val="21"/>
                    </w:rPr>
                    <w:t>周外界最高浓度(mg/m</w:t>
                  </w:r>
                  <w:r>
                    <w:rPr>
                      <w:color w:val="auto"/>
                      <w:kern w:val="0"/>
                      <w:sz w:val="21"/>
                      <w:szCs w:val="21"/>
                      <w:vertAlign w:val="superscript"/>
                    </w:rPr>
                    <w:t>3</w:t>
                  </w:r>
                  <w:r>
                    <w:rPr>
                      <w:color w:val="auto"/>
                      <w:kern w:val="0"/>
                      <w:sz w:val="21"/>
                      <w:szCs w:val="21"/>
                    </w:rPr>
                    <w:t>)</w:t>
                  </w:r>
                </w:p>
              </w:tc>
            </w:tr>
            <w:tr w14:paraId="450A7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48" w:type="pct"/>
                  <w:vMerge w:val="restart"/>
                  <w:tcBorders>
                    <w:tl2br w:val="nil"/>
                    <w:tr2bl w:val="nil"/>
                  </w:tcBorders>
                  <w:vAlign w:val="center"/>
                </w:tcPr>
                <w:p w14:paraId="18A030B2">
                  <w:pPr>
                    <w:adjustRightInd w:val="0"/>
                    <w:snapToGrid w:val="0"/>
                    <w:spacing w:line="288" w:lineRule="auto"/>
                    <w:jc w:val="center"/>
                    <w:rPr>
                      <w:color w:val="auto"/>
                      <w:kern w:val="0"/>
                      <w:sz w:val="21"/>
                      <w:szCs w:val="21"/>
                    </w:rPr>
                  </w:pPr>
                  <w:r>
                    <w:rPr>
                      <w:color w:val="auto"/>
                      <w:kern w:val="0"/>
                      <w:sz w:val="21"/>
                      <w:szCs w:val="21"/>
                    </w:rPr>
                    <w:t>颗粒物</w:t>
                  </w:r>
                </w:p>
              </w:tc>
              <w:tc>
                <w:tcPr>
                  <w:tcW w:w="1129" w:type="pct"/>
                  <w:vMerge w:val="restart"/>
                  <w:tcBorders>
                    <w:tl2br w:val="nil"/>
                    <w:tr2bl w:val="nil"/>
                  </w:tcBorders>
                  <w:vAlign w:val="center"/>
                </w:tcPr>
                <w:p w14:paraId="5478DD7A">
                  <w:pPr>
                    <w:adjustRightInd w:val="0"/>
                    <w:snapToGrid w:val="0"/>
                    <w:spacing w:line="288" w:lineRule="auto"/>
                    <w:jc w:val="center"/>
                    <w:rPr>
                      <w:color w:val="auto"/>
                      <w:kern w:val="0"/>
                      <w:sz w:val="21"/>
                      <w:szCs w:val="21"/>
                    </w:rPr>
                  </w:pPr>
                  <w:r>
                    <w:rPr>
                      <w:rFonts w:hint="eastAsia"/>
                      <w:color w:val="auto"/>
                      <w:kern w:val="0"/>
                      <w:sz w:val="21"/>
                      <w:szCs w:val="21"/>
                    </w:rPr>
                    <w:t>120</w:t>
                  </w:r>
                </w:p>
              </w:tc>
              <w:tc>
                <w:tcPr>
                  <w:tcW w:w="980" w:type="pct"/>
                  <w:tcBorders>
                    <w:tl2br w:val="nil"/>
                    <w:tr2bl w:val="nil"/>
                  </w:tcBorders>
                  <w:vAlign w:val="center"/>
                </w:tcPr>
                <w:p w14:paraId="3BD56FBB">
                  <w:pPr>
                    <w:adjustRightInd w:val="0"/>
                    <w:snapToGrid w:val="0"/>
                    <w:spacing w:line="288" w:lineRule="auto"/>
                    <w:jc w:val="center"/>
                    <w:rPr>
                      <w:color w:val="auto"/>
                      <w:kern w:val="0"/>
                      <w:sz w:val="21"/>
                      <w:szCs w:val="21"/>
                    </w:rPr>
                  </w:pPr>
                  <w:r>
                    <w:rPr>
                      <w:rFonts w:hint="eastAsia"/>
                      <w:color w:val="auto"/>
                      <w:kern w:val="0"/>
                      <w:sz w:val="21"/>
                      <w:szCs w:val="21"/>
                    </w:rPr>
                    <w:t>20</w:t>
                  </w:r>
                </w:p>
              </w:tc>
              <w:tc>
                <w:tcPr>
                  <w:tcW w:w="857" w:type="pct"/>
                  <w:tcBorders>
                    <w:tl2br w:val="nil"/>
                    <w:tr2bl w:val="nil"/>
                  </w:tcBorders>
                  <w:vAlign w:val="center"/>
                </w:tcPr>
                <w:p w14:paraId="062C2DAE">
                  <w:pPr>
                    <w:adjustRightInd w:val="0"/>
                    <w:snapToGrid w:val="0"/>
                    <w:spacing w:line="288" w:lineRule="auto"/>
                    <w:jc w:val="center"/>
                    <w:rPr>
                      <w:color w:val="auto"/>
                      <w:kern w:val="0"/>
                      <w:sz w:val="21"/>
                      <w:szCs w:val="21"/>
                    </w:rPr>
                  </w:pPr>
                  <w:r>
                    <w:rPr>
                      <w:rFonts w:hint="eastAsia"/>
                      <w:color w:val="auto"/>
                      <w:kern w:val="0"/>
                      <w:sz w:val="21"/>
                      <w:szCs w:val="21"/>
                    </w:rPr>
                    <w:t>5.9</w:t>
                  </w:r>
                </w:p>
              </w:tc>
              <w:tc>
                <w:tcPr>
                  <w:tcW w:w="1684" w:type="pct"/>
                  <w:vMerge w:val="restart"/>
                  <w:tcBorders>
                    <w:tl2br w:val="nil"/>
                    <w:tr2bl w:val="nil"/>
                  </w:tcBorders>
                  <w:vAlign w:val="center"/>
                </w:tcPr>
                <w:p w14:paraId="67E13065">
                  <w:pPr>
                    <w:adjustRightInd w:val="0"/>
                    <w:snapToGrid w:val="0"/>
                    <w:spacing w:line="288" w:lineRule="auto"/>
                    <w:jc w:val="center"/>
                    <w:rPr>
                      <w:color w:val="auto"/>
                      <w:kern w:val="0"/>
                      <w:sz w:val="21"/>
                      <w:szCs w:val="21"/>
                    </w:rPr>
                  </w:pPr>
                  <w:r>
                    <w:rPr>
                      <w:color w:val="auto"/>
                      <w:kern w:val="0"/>
                      <w:sz w:val="21"/>
                      <w:szCs w:val="21"/>
                    </w:rPr>
                    <w:t>1.0</w:t>
                  </w:r>
                </w:p>
              </w:tc>
            </w:tr>
            <w:tr w14:paraId="1F638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48" w:type="pct"/>
                  <w:vMerge w:val="continue"/>
                  <w:tcBorders>
                    <w:tl2br w:val="nil"/>
                    <w:tr2bl w:val="nil"/>
                  </w:tcBorders>
                  <w:vAlign w:val="center"/>
                </w:tcPr>
                <w:p w14:paraId="3DA19BAE">
                  <w:pPr>
                    <w:adjustRightInd w:val="0"/>
                    <w:snapToGrid w:val="0"/>
                    <w:spacing w:line="288" w:lineRule="auto"/>
                    <w:jc w:val="center"/>
                    <w:rPr>
                      <w:color w:val="auto"/>
                      <w:kern w:val="0"/>
                      <w:sz w:val="21"/>
                      <w:szCs w:val="21"/>
                    </w:rPr>
                  </w:pPr>
                </w:p>
              </w:tc>
              <w:tc>
                <w:tcPr>
                  <w:tcW w:w="1129" w:type="pct"/>
                  <w:vMerge w:val="continue"/>
                  <w:tcBorders>
                    <w:tl2br w:val="nil"/>
                    <w:tr2bl w:val="nil"/>
                  </w:tcBorders>
                  <w:vAlign w:val="center"/>
                </w:tcPr>
                <w:p w14:paraId="7BDE3740">
                  <w:pPr>
                    <w:adjustRightInd w:val="0"/>
                    <w:snapToGrid w:val="0"/>
                    <w:spacing w:line="288" w:lineRule="auto"/>
                    <w:jc w:val="center"/>
                    <w:rPr>
                      <w:color w:val="auto"/>
                      <w:kern w:val="0"/>
                      <w:sz w:val="21"/>
                      <w:szCs w:val="21"/>
                    </w:rPr>
                  </w:pPr>
                </w:p>
              </w:tc>
              <w:tc>
                <w:tcPr>
                  <w:tcW w:w="980" w:type="pct"/>
                  <w:tcBorders>
                    <w:tl2br w:val="nil"/>
                    <w:tr2bl w:val="nil"/>
                  </w:tcBorders>
                  <w:vAlign w:val="center"/>
                </w:tcPr>
                <w:p w14:paraId="16FA98AD">
                  <w:pPr>
                    <w:adjustRightInd w:val="0"/>
                    <w:snapToGrid w:val="0"/>
                    <w:spacing w:line="288" w:lineRule="auto"/>
                    <w:jc w:val="center"/>
                    <w:rPr>
                      <w:color w:val="auto"/>
                      <w:kern w:val="0"/>
                      <w:sz w:val="21"/>
                      <w:szCs w:val="21"/>
                    </w:rPr>
                  </w:pPr>
                  <w:r>
                    <w:rPr>
                      <w:rFonts w:hint="eastAsia"/>
                      <w:color w:val="auto"/>
                      <w:kern w:val="0"/>
                      <w:sz w:val="21"/>
                      <w:szCs w:val="21"/>
                    </w:rPr>
                    <w:t>30</w:t>
                  </w:r>
                </w:p>
              </w:tc>
              <w:tc>
                <w:tcPr>
                  <w:tcW w:w="857" w:type="pct"/>
                  <w:tcBorders>
                    <w:tl2br w:val="nil"/>
                    <w:tr2bl w:val="nil"/>
                  </w:tcBorders>
                  <w:vAlign w:val="center"/>
                </w:tcPr>
                <w:p w14:paraId="26BFD33B">
                  <w:pPr>
                    <w:adjustRightInd w:val="0"/>
                    <w:snapToGrid w:val="0"/>
                    <w:spacing w:line="288" w:lineRule="auto"/>
                    <w:jc w:val="center"/>
                    <w:rPr>
                      <w:color w:val="auto"/>
                      <w:kern w:val="0"/>
                      <w:sz w:val="21"/>
                      <w:szCs w:val="21"/>
                    </w:rPr>
                  </w:pPr>
                  <w:r>
                    <w:rPr>
                      <w:rFonts w:hint="eastAsia"/>
                      <w:color w:val="auto"/>
                      <w:kern w:val="0"/>
                      <w:sz w:val="21"/>
                      <w:szCs w:val="21"/>
                    </w:rPr>
                    <w:t>23</w:t>
                  </w:r>
                </w:p>
              </w:tc>
              <w:tc>
                <w:tcPr>
                  <w:tcW w:w="1684" w:type="pct"/>
                  <w:vMerge w:val="continue"/>
                  <w:tcBorders>
                    <w:tl2br w:val="nil"/>
                    <w:tr2bl w:val="nil"/>
                  </w:tcBorders>
                  <w:vAlign w:val="center"/>
                </w:tcPr>
                <w:p w14:paraId="2817429F">
                  <w:pPr>
                    <w:adjustRightInd w:val="0"/>
                    <w:snapToGrid w:val="0"/>
                    <w:spacing w:line="288" w:lineRule="auto"/>
                    <w:jc w:val="center"/>
                    <w:rPr>
                      <w:color w:val="auto"/>
                      <w:kern w:val="0"/>
                      <w:sz w:val="21"/>
                      <w:szCs w:val="21"/>
                    </w:rPr>
                  </w:pPr>
                </w:p>
              </w:tc>
            </w:tr>
            <w:tr w14:paraId="7465D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48" w:type="pct"/>
                  <w:vMerge w:val="continue"/>
                  <w:tcBorders>
                    <w:tl2br w:val="nil"/>
                    <w:tr2bl w:val="nil"/>
                  </w:tcBorders>
                  <w:vAlign w:val="center"/>
                </w:tcPr>
                <w:p w14:paraId="4910FF6F">
                  <w:pPr>
                    <w:adjustRightInd w:val="0"/>
                    <w:snapToGrid w:val="0"/>
                    <w:spacing w:line="288" w:lineRule="auto"/>
                    <w:jc w:val="center"/>
                    <w:rPr>
                      <w:color w:val="auto"/>
                      <w:kern w:val="0"/>
                      <w:sz w:val="21"/>
                      <w:szCs w:val="21"/>
                    </w:rPr>
                  </w:pPr>
                </w:p>
              </w:tc>
              <w:tc>
                <w:tcPr>
                  <w:tcW w:w="1129" w:type="pct"/>
                  <w:vMerge w:val="continue"/>
                  <w:tcBorders>
                    <w:tl2br w:val="nil"/>
                    <w:tr2bl w:val="nil"/>
                  </w:tcBorders>
                  <w:vAlign w:val="center"/>
                </w:tcPr>
                <w:p w14:paraId="2C241A5F">
                  <w:pPr>
                    <w:adjustRightInd w:val="0"/>
                    <w:snapToGrid w:val="0"/>
                    <w:spacing w:line="288" w:lineRule="auto"/>
                    <w:jc w:val="center"/>
                    <w:rPr>
                      <w:color w:val="auto"/>
                      <w:kern w:val="0"/>
                      <w:sz w:val="21"/>
                      <w:szCs w:val="21"/>
                    </w:rPr>
                  </w:pPr>
                </w:p>
              </w:tc>
              <w:tc>
                <w:tcPr>
                  <w:tcW w:w="980" w:type="pct"/>
                  <w:tcBorders>
                    <w:tl2br w:val="nil"/>
                    <w:tr2bl w:val="nil"/>
                  </w:tcBorders>
                  <w:vAlign w:val="center"/>
                </w:tcPr>
                <w:p w14:paraId="00146836">
                  <w:pPr>
                    <w:adjustRightInd w:val="0"/>
                    <w:snapToGrid w:val="0"/>
                    <w:spacing w:line="288" w:lineRule="auto"/>
                    <w:jc w:val="center"/>
                    <w:rPr>
                      <w:color w:val="auto"/>
                      <w:kern w:val="0"/>
                      <w:sz w:val="21"/>
                      <w:szCs w:val="21"/>
                    </w:rPr>
                  </w:pPr>
                  <w:r>
                    <w:rPr>
                      <w:rFonts w:hint="eastAsia"/>
                      <w:color w:val="auto"/>
                      <w:kern w:val="0"/>
                      <w:sz w:val="21"/>
                      <w:szCs w:val="21"/>
                    </w:rPr>
                    <w:t>22</w:t>
                  </w:r>
                </w:p>
              </w:tc>
              <w:tc>
                <w:tcPr>
                  <w:tcW w:w="857" w:type="pct"/>
                  <w:tcBorders>
                    <w:tl2br w:val="nil"/>
                    <w:tr2bl w:val="nil"/>
                  </w:tcBorders>
                  <w:vAlign w:val="center"/>
                </w:tcPr>
                <w:p w14:paraId="29EE8DDA">
                  <w:pPr>
                    <w:adjustRightInd w:val="0"/>
                    <w:snapToGrid w:val="0"/>
                    <w:spacing w:line="288" w:lineRule="auto"/>
                    <w:jc w:val="center"/>
                    <w:rPr>
                      <w:color w:val="auto"/>
                      <w:kern w:val="0"/>
                      <w:sz w:val="21"/>
                      <w:szCs w:val="21"/>
                    </w:rPr>
                  </w:pPr>
                  <w:r>
                    <w:rPr>
                      <w:rFonts w:hint="eastAsia"/>
                      <w:color w:val="auto"/>
                      <w:kern w:val="0"/>
                      <w:sz w:val="21"/>
                      <w:szCs w:val="21"/>
                    </w:rPr>
                    <w:t>9.32</w:t>
                  </w:r>
                </w:p>
              </w:tc>
              <w:tc>
                <w:tcPr>
                  <w:tcW w:w="1684" w:type="pct"/>
                  <w:vMerge w:val="continue"/>
                  <w:tcBorders>
                    <w:tl2br w:val="nil"/>
                    <w:tr2bl w:val="nil"/>
                  </w:tcBorders>
                  <w:vAlign w:val="center"/>
                </w:tcPr>
                <w:p w14:paraId="3FC49A72">
                  <w:pPr>
                    <w:adjustRightInd w:val="0"/>
                    <w:snapToGrid w:val="0"/>
                    <w:spacing w:line="288" w:lineRule="auto"/>
                    <w:jc w:val="center"/>
                    <w:rPr>
                      <w:color w:val="auto"/>
                      <w:kern w:val="0"/>
                      <w:sz w:val="21"/>
                      <w:szCs w:val="21"/>
                    </w:rPr>
                  </w:pPr>
                </w:p>
              </w:tc>
            </w:tr>
          </w:tbl>
          <w:p w14:paraId="02B61558">
            <w:pPr>
              <w:ind w:firstLine="480" w:firstLineChars="200"/>
              <w:rPr>
                <w:rFonts w:cs="宋体"/>
                <w:color w:val="auto"/>
              </w:rPr>
            </w:pPr>
            <w:r>
              <w:rPr>
                <w:rFonts w:hint="eastAsia" w:cs="宋体"/>
                <w:color w:val="auto"/>
              </w:rPr>
              <w:t>本项目拟建排气筒（DA002）高度为22m，根据</w:t>
            </w:r>
            <w:r>
              <w:rPr>
                <w:rFonts w:hint="eastAsia"/>
                <w:bCs/>
                <w:color w:val="auto"/>
              </w:rPr>
              <w:t>《大气污染物综合排放标准》（GB16297-1996）</w:t>
            </w:r>
            <w:r>
              <w:rPr>
                <w:rFonts w:hint="eastAsia" w:cs="宋体"/>
                <w:color w:val="auto"/>
              </w:rPr>
              <w:t>附录A的内插法计算（5.9+（23-5.9）×（22-20）/（30-20））可得，排气筒22m对应最高允许排放速率为9.32kg/h。</w:t>
            </w:r>
          </w:p>
          <w:p w14:paraId="1E5D7191">
            <w:pPr>
              <w:ind w:firstLine="480" w:firstLineChars="200"/>
              <w:rPr>
                <w:color w:val="auto"/>
              </w:rPr>
            </w:pPr>
            <w:r>
              <w:rPr>
                <w:rFonts w:hint="eastAsia"/>
                <w:color w:val="auto"/>
              </w:rPr>
              <w:t>（2）</w:t>
            </w:r>
            <w:r>
              <w:rPr>
                <w:color w:val="auto"/>
              </w:rPr>
              <w:t>挥发性有机物</w:t>
            </w:r>
          </w:p>
          <w:p w14:paraId="01DA7BAF">
            <w:pPr>
              <w:ind w:firstLine="480" w:firstLineChars="200"/>
              <w:rPr>
                <w:color w:val="auto"/>
              </w:rPr>
            </w:pPr>
            <w:r>
              <w:rPr>
                <w:rFonts w:hint="eastAsia"/>
                <w:color w:val="auto"/>
              </w:rPr>
              <w:t>本项目运营期产生的有机废气主要来自调漆、喷漆、烤漆、喷枪清洗工序，UV打印及其设备清洗，热压和人工组装工序，污染物因子为VOCs（非甲烷总烃、乙酸乙酯与乙酸丁酯合计、二甲苯）。</w:t>
            </w:r>
          </w:p>
          <w:p w14:paraId="35C78EF0">
            <w:pPr>
              <w:ind w:firstLine="480" w:firstLineChars="200"/>
              <w:rPr>
                <w:color w:val="auto"/>
              </w:rPr>
            </w:pPr>
            <w:r>
              <w:rPr>
                <w:rFonts w:eastAsia="微软雅黑"/>
                <w:color w:val="auto"/>
              </w:rPr>
              <w:t>①</w:t>
            </w:r>
            <w:r>
              <w:rPr>
                <w:rFonts w:hint="eastAsia"/>
                <w:color w:val="auto"/>
              </w:rPr>
              <w:t>有组织废气</w:t>
            </w:r>
          </w:p>
          <w:p w14:paraId="43C36707">
            <w:pPr>
              <w:ind w:firstLine="480" w:firstLineChars="200"/>
              <w:rPr>
                <w:color w:val="auto"/>
                <w:highlight w:val="none"/>
              </w:rPr>
            </w:pPr>
            <w:r>
              <w:rPr>
                <w:rFonts w:hint="eastAsia"/>
                <w:color w:val="auto"/>
              </w:rPr>
              <w:t>项目</w:t>
            </w:r>
            <w:r>
              <w:rPr>
                <w:color w:val="auto"/>
              </w:rPr>
              <w:t>排放的</w:t>
            </w:r>
            <w:r>
              <w:rPr>
                <w:color w:val="auto"/>
                <w:highlight w:val="none"/>
              </w:rPr>
              <w:t>挥发性有机物污染物因子表征为非甲烷总烃</w:t>
            </w:r>
            <w:r>
              <w:rPr>
                <w:rFonts w:hint="eastAsia"/>
                <w:color w:val="auto"/>
                <w:highlight w:val="none"/>
              </w:rPr>
              <w:t>、乙酸乙酯与乙酸丁酯合计、二甲苯。调漆、喷漆、烤漆、喷枪清洗工序</w:t>
            </w:r>
            <w:r>
              <w:rPr>
                <w:color w:val="auto"/>
                <w:highlight w:val="none"/>
              </w:rPr>
              <w:t>产生的有机废气排放执行《工业涂装工序挥发性有机物排放标准》</w:t>
            </w:r>
            <w:r>
              <w:rPr>
                <w:rFonts w:hint="eastAsia"/>
                <w:color w:val="auto"/>
                <w:highlight w:val="none"/>
              </w:rPr>
              <w:t>（</w:t>
            </w:r>
            <w:r>
              <w:rPr>
                <w:color w:val="auto"/>
                <w:highlight w:val="none"/>
              </w:rPr>
              <w:t>DB35/1783-2018</w:t>
            </w:r>
            <w:r>
              <w:rPr>
                <w:rFonts w:hint="eastAsia"/>
                <w:color w:val="auto"/>
                <w:kern w:val="0"/>
                <w:highlight w:val="none"/>
                <w:lang w:bidi="ar"/>
              </w:rPr>
              <w:t>）</w:t>
            </w:r>
            <w:r>
              <w:rPr>
                <w:color w:val="auto"/>
                <w:highlight w:val="none"/>
              </w:rPr>
              <w:t>表1涉涂装工序的其他行业标准</w:t>
            </w:r>
            <w:r>
              <w:rPr>
                <w:rFonts w:hint="eastAsia"/>
                <w:color w:val="auto"/>
                <w:highlight w:val="none"/>
              </w:rPr>
              <w:t>。</w:t>
            </w:r>
          </w:p>
          <w:p w14:paraId="3A546038">
            <w:pPr>
              <w:ind w:firstLine="480" w:firstLineChars="200"/>
              <w:rPr>
                <w:color w:val="auto"/>
              </w:rPr>
            </w:pPr>
            <w:r>
              <w:rPr>
                <w:color w:val="auto"/>
                <w:highlight w:val="none"/>
              </w:rPr>
              <w:t>项目</w:t>
            </w:r>
            <w:r>
              <w:rPr>
                <w:rFonts w:hint="eastAsia"/>
                <w:color w:val="auto"/>
                <w:highlight w:val="none"/>
              </w:rPr>
              <w:t>调漆、喷漆、烤漆、喷枪清洗</w:t>
            </w:r>
            <w:r>
              <w:rPr>
                <w:rFonts w:hint="eastAsia"/>
                <w:color w:val="auto"/>
              </w:rPr>
              <w:t>工序，</w:t>
            </w:r>
            <w:r>
              <w:rPr>
                <w:color w:val="auto"/>
              </w:rPr>
              <w:t>UV打印</w:t>
            </w:r>
            <w:r>
              <w:rPr>
                <w:rFonts w:hint="eastAsia"/>
                <w:color w:val="auto"/>
              </w:rPr>
              <w:t>及其设备清洗工序产生的</w:t>
            </w:r>
            <w:r>
              <w:rPr>
                <w:color w:val="auto"/>
              </w:rPr>
              <w:t>废气经过同一根排气筒</w:t>
            </w:r>
            <w:r>
              <w:rPr>
                <w:rFonts w:hint="eastAsia"/>
                <w:color w:val="auto"/>
              </w:rPr>
              <w:t>（</w:t>
            </w:r>
            <w:r>
              <w:rPr>
                <w:color w:val="auto"/>
              </w:rPr>
              <w:t>DA00</w:t>
            </w:r>
            <w:r>
              <w:rPr>
                <w:rFonts w:hint="eastAsia"/>
                <w:color w:val="auto"/>
              </w:rPr>
              <w:t>1</w:t>
            </w:r>
            <w:r>
              <w:rPr>
                <w:rFonts w:hint="eastAsia"/>
                <w:color w:val="auto"/>
                <w:kern w:val="0"/>
                <w:lang w:bidi="ar"/>
              </w:rPr>
              <w:t>）</w:t>
            </w:r>
            <w:r>
              <w:rPr>
                <w:color w:val="auto"/>
              </w:rPr>
              <w:t>排放，一根排气筒排放同类污染物仅执行一种排放标准，考虑从严原则，因此</w:t>
            </w:r>
            <w:r>
              <w:rPr>
                <w:rFonts w:hint="eastAsia"/>
                <w:color w:val="auto"/>
              </w:rPr>
              <w:t>排气筒（</w:t>
            </w:r>
            <w:r>
              <w:rPr>
                <w:color w:val="auto"/>
              </w:rPr>
              <w:t>DA00</w:t>
            </w:r>
            <w:r>
              <w:rPr>
                <w:rFonts w:hint="eastAsia"/>
                <w:color w:val="auto"/>
              </w:rPr>
              <w:t>1）污染物排放</w:t>
            </w:r>
            <w:r>
              <w:rPr>
                <w:color w:val="auto"/>
              </w:rPr>
              <w:t>执行《工业涂装工序挥发性有机物排放标准》</w:t>
            </w:r>
            <w:r>
              <w:rPr>
                <w:rFonts w:hint="eastAsia"/>
                <w:color w:val="auto"/>
              </w:rPr>
              <w:t>（</w:t>
            </w:r>
            <w:r>
              <w:rPr>
                <w:color w:val="auto"/>
              </w:rPr>
              <w:t>DB35/1783-2018</w:t>
            </w:r>
            <w:r>
              <w:rPr>
                <w:rFonts w:hint="eastAsia"/>
                <w:color w:val="auto"/>
                <w:kern w:val="0"/>
                <w:lang w:bidi="ar"/>
              </w:rPr>
              <w:t>）</w:t>
            </w:r>
            <w:r>
              <w:rPr>
                <w:color w:val="auto"/>
              </w:rPr>
              <w:t>。</w:t>
            </w:r>
          </w:p>
          <w:p w14:paraId="51FC14AB">
            <w:pPr>
              <w:ind w:firstLine="480" w:firstLineChars="200"/>
              <w:rPr>
                <w:rFonts w:cs="宋体"/>
                <w:color w:val="auto"/>
              </w:rPr>
            </w:pPr>
            <w:r>
              <w:rPr>
                <w:rFonts w:hint="eastAsia" w:cs="宋体"/>
                <w:color w:val="auto"/>
              </w:rPr>
              <w:t>项目拟建排气筒</w:t>
            </w:r>
            <w:r>
              <w:rPr>
                <w:rFonts w:hint="eastAsia"/>
                <w:color w:val="auto"/>
              </w:rPr>
              <w:t>（</w:t>
            </w:r>
            <w:r>
              <w:rPr>
                <w:color w:val="auto"/>
              </w:rPr>
              <w:t>DA00</w:t>
            </w:r>
            <w:r>
              <w:rPr>
                <w:rFonts w:hint="eastAsia"/>
                <w:color w:val="auto"/>
              </w:rPr>
              <w:t>1）</w:t>
            </w:r>
            <w:r>
              <w:rPr>
                <w:rFonts w:hint="eastAsia" w:cs="宋体"/>
                <w:color w:val="auto"/>
              </w:rPr>
              <w:t>高度为22m，</w:t>
            </w:r>
            <w:r>
              <w:rPr>
                <w:rFonts w:hint="eastAsia" w:cs="宋体"/>
                <w:color w:val="auto"/>
                <w:lang w:val="en-US" w:eastAsia="zh-CN"/>
              </w:rPr>
              <w:t>污染物最高允许排放速率</w:t>
            </w:r>
            <w:r>
              <w:rPr>
                <w:rFonts w:hint="eastAsia" w:cs="宋体"/>
                <w:color w:val="auto"/>
              </w:rPr>
              <w:t>根据</w:t>
            </w:r>
            <w:r>
              <w:rPr>
                <w:rFonts w:hint="eastAsia"/>
                <w:bCs/>
                <w:color w:val="auto"/>
              </w:rPr>
              <w:t>《工业涂装工序挥发性有机物排放标准》（DB35/1783-2018）</w:t>
            </w:r>
            <w:r>
              <w:rPr>
                <w:rFonts w:hint="eastAsia" w:cs="宋体"/>
                <w:color w:val="auto"/>
              </w:rPr>
              <w:t>附录A的内插法计算，见表3.7-4。</w:t>
            </w:r>
          </w:p>
          <w:p w14:paraId="4EB1B32B">
            <w:pPr>
              <w:pStyle w:val="36"/>
              <w:spacing w:before="0" w:after="0"/>
              <w:rPr>
                <w:color w:val="auto"/>
              </w:rPr>
            </w:pPr>
            <w:r>
              <w:rPr>
                <w:rFonts w:hint="eastAsia"/>
                <w:color w:val="auto"/>
              </w:rPr>
              <w:t>表3.7-4  挥发性有机物有组织排放标准</w:t>
            </w:r>
          </w:p>
          <w:tbl>
            <w:tblPr>
              <w:tblStyle w:val="31"/>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713"/>
              <w:gridCol w:w="962"/>
              <w:gridCol w:w="1525"/>
              <w:gridCol w:w="675"/>
              <w:gridCol w:w="1818"/>
            </w:tblGrid>
            <w:tr w14:paraId="1917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Borders>
                    <w:top w:val="single" w:color="auto" w:sz="12" w:space="0"/>
                    <w:left w:val="nil"/>
                  </w:tcBorders>
                  <w:vAlign w:val="center"/>
                </w:tcPr>
                <w:p w14:paraId="12336AAA">
                  <w:pPr>
                    <w:adjustRightInd w:val="0"/>
                    <w:snapToGrid w:val="0"/>
                    <w:spacing w:line="312" w:lineRule="auto"/>
                    <w:jc w:val="center"/>
                    <w:rPr>
                      <w:color w:val="auto"/>
                      <w:kern w:val="0"/>
                      <w:sz w:val="21"/>
                      <w:szCs w:val="20"/>
                    </w:rPr>
                  </w:pPr>
                  <w:r>
                    <w:rPr>
                      <w:rFonts w:hint="eastAsia"/>
                      <w:color w:val="auto"/>
                      <w:kern w:val="0"/>
                      <w:sz w:val="21"/>
                      <w:szCs w:val="20"/>
                    </w:rPr>
                    <w:t>行业名称</w:t>
                  </w:r>
                </w:p>
              </w:tc>
              <w:tc>
                <w:tcPr>
                  <w:tcW w:w="1713" w:type="dxa"/>
                  <w:tcBorders>
                    <w:top w:val="single" w:color="auto" w:sz="12" w:space="0"/>
                  </w:tcBorders>
                  <w:vAlign w:val="center"/>
                </w:tcPr>
                <w:p w14:paraId="598FC0C4">
                  <w:pPr>
                    <w:adjustRightInd w:val="0"/>
                    <w:snapToGrid w:val="0"/>
                    <w:spacing w:line="312" w:lineRule="auto"/>
                    <w:jc w:val="center"/>
                    <w:rPr>
                      <w:color w:val="auto"/>
                      <w:kern w:val="0"/>
                      <w:sz w:val="21"/>
                      <w:szCs w:val="20"/>
                    </w:rPr>
                  </w:pPr>
                  <w:r>
                    <w:rPr>
                      <w:rFonts w:hint="eastAsia"/>
                      <w:color w:val="auto"/>
                      <w:kern w:val="0"/>
                      <w:sz w:val="21"/>
                      <w:szCs w:val="20"/>
                    </w:rPr>
                    <w:t>污染物项目</w:t>
                  </w:r>
                </w:p>
              </w:tc>
              <w:tc>
                <w:tcPr>
                  <w:tcW w:w="2487" w:type="dxa"/>
                  <w:gridSpan w:val="2"/>
                  <w:tcBorders>
                    <w:top w:val="single" w:color="auto" w:sz="12" w:space="0"/>
                    <w:right w:val="nil"/>
                  </w:tcBorders>
                  <w:vAlign w:val="center"/>
                </w:tcPr>
                <w:p w14:paraId="7AE30434">
                  <w:pPr>
                    <w:adjustRightInd w:val="0"/>
                    <w:snapToGrid w:val="0"/>
                    <w:spacing w:line="312" w:lineRule="auto"/>
                    <w:jc w:val="center"/>
                    <w:rPr>
                      <w:color w:val="auto"/>
                      <w:kern w:val="0"/>
                      <w:sz w:val="21"/>
                      <w:szCs w:val="20"/>
                    </w:rPr>
                  </w:pPr>
                  <w:r>
                    <w:rPr>
                      <w:rFonts w:hint="eastAsia"/>
                      <w:color w:val="auto"/>
                      <w:kern w:val="0"/>
                      <w:sz w:val="21"/>
                      <w:szCs w:val="20"/>
                    </w:rPr>
                    <w:t>最高允许排放速率（kg/h）</w:t>
                  </w:r>
                </w:p>
              </w:tc>
              <w:tc>
                <w:tcPr>
                  <w:tcW w:w="2493" w:type="dxa"/>
                  <w:gridSpan w:val="2"/>
                  <w:tcBorders>
                    <w:top w:val="single" w:color="auto" w:sz="12" w:space="0"/>
                    <w:right w:val="nil"/>
                  </w:tcBorders>
                  <w:vAlign w:val="center"/>
                </w:tcPr>
                <w:p w14:paraId="72253965">
                  <w:pPr>
                    <w:adjustRightInd w:val="0"/>
                    <w:snapToGrid w:val="0"/>
                    <w:spacing w:line="288" w:lineRule="auto"/>
                    <w:jc w:val="center"/>
                    <w:rPr>
                      <w:color w:val="auto"/>
                      <w:kern w:val="0"/>
                      <w:sz w:val="21"/>
                      <w:szCs w:val="20"/>
                    </w:rPr>
                  </w:pPr>
                  <w:r>
                    <w:rPr>
                      <w:rFonts w:hint="eastAsia"/>
                      <w:color w:val="auto"/>
                      <w:kern w:val="0"/>
                      <w:sz w:val="21"/>
                      <w:szCs w:val="20"/>
                    </w:rPr>
                    <w:t>最高允许排放速率（kg/h）</w:t>
                  </w:r>
                </w:p>
              </w:tc>
            </w:tr>
            <w:tr w14:paraId="069B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vMerge w:val="restart"/>
                  <w:tcBorders>
                    <w:left w:val="nil"/>
                    <w:right w:val="single" w:color="auto" w:sz="4" w:space="0"/>
                  </w:tcBorders>
                  <w:vAlign w:val="center"/>
                </w:tcPr>
                <w:p w14:paraId="42AB3EF9">
                  <w:pPr>
                    <w:adjustRightInd w:val="0"/>
                    <w:snapToGrid w:val="0"/>
                    <w:spacing w:line="312" w:lineRule="auto"/>
                    <w:jc w:val="center"/>
                    <w:rPr>
                      <w:color w:val="auto"/>
                      <w:kern w:val="0"/>
                      <w:sz w:val="21"/>
                      <w:szCs w:val="20"/>
                    </w:rPr>
                  </w:pPr>
                  <w:r>
                    <w:rPr>
                      <w:color w:val="auto"/>
                      <w:kern w:val="0"/>
                      <w:sz w:val="21"/>
                      <w:szCs w:val="20"/>
                    </w:rPr>
                    <w:t>涉涂装工序的其他行业</w:t>
                  </w:r>
                </w:p>
              </w:tc>
              <w:tc>
                <w:tcPr>
                  <w:tcW w:w="1713" w:type="dxa"/>
                  <w:vMerge w:val="restart"/>
                  <w:tcBorders>
                    <w:left w:val="single" w:color="auto" w:sz="4" w:space="0"/>
                    <w:right w:val="single" w:color="auto" w:sz="4" w:space="0"/>
                  </w:tcBorders>
                  <w:vAlign w:val="center"/>
                </w:tcPr>
                <w:p w14:paraId="3E9BB16C">
                  <w:pPr>
                    <w:adjustRightInd w:val="0"/>
                    <w:snapToGrid w:val="0"/>
                    <w:spacing w:line="312" w:lineRule="auto"/>
                    <w:jc w:val="center"/>
                    <w:rPr>
                      <w:color w:val="auto"/>
                      <w:kern w:val="0"/>
                      <w:sz w:val="21"/>
                      <w:szCs w:val="20"/>
                    </w:rPr>
                  </w:pPr>
                  <w:r>
                    <w:rPr>
                      <w:rFonts w:hint="eastAsia"/>
                      <w:color w:val="auto"/>
                      <w:kern w:val="0"/>
                      <w:sz w:val="21"/>
                      <w:szCs w:val="20"/>
                    </w:rPr>
                    <w:t>乙酸乙酯与乙酸丁酯合计</w:t>
                  </w:r>
                </w:p>
              </w:tc>
              <w:tc>
                <w:tcPr>
                  <w:tcW w:w="962" w:type="dxa"/>
                  <w:tcBorders>
                    <w:left w:val="single" w:color="auto" w:sz="4" w:space="0"/>
                    <w:right w:val="single" w:color="auto" w:sz="4" w:space="0"/>
                  </w:tcBorders>
                  <w:vAlign w:val="center"/>
                </w:tcPr>
                <w:p w14:paraId="75F24357">
                  <w:pPr>
                    <w:adjustRightInd w:val="0"/>
                    <w:snapToGrid w:val="0"/>
                    <w:spacing w:line="312" w:lineRule="auto"/>
                    <w:jc w:val="center"/>
                    <w:rPr>
                      <w:color w:val="auto"/>
                      <w:kern w:val="0"/>
                      <w:sz w:val="21"/>
                      <w:szCs w:val="20"/>
                    </w:rPr>
                  </w:pPr>
                  <w:r>
                    <w:rPr>
                      <w:rFonts w:hint="eastAsia"/>
                      <w:color w:val="auto"/>
                      <w:kern w:val="0"/>
                      <w:sz w:val="21"/>
                      <w:szCs w:val="20"/>
                    </w:rPr>
                    <w:t>20m</w:t>
                  </w:r>
                </w:p>
              </w:tc>
              <w:tc>
                <w:tcPr>
                  <w:tcW w:w="1525" w:type="dxa"/>
                  <w:tcBorders>
                    <w:left w:val="single" w:color="auto" w:sz="4" w:space="0"/>
                    <w:right w:val="nil"/>
                  </w:tcBorders>
                  <w:vAlign w:val="center"/>
                </w:tcPr>
                <w:p w14:paraId="6A0E48E7">
                  <w:pPr>
                    <w:adjustRightInd w:val="0"/>
                    <w:snapToGrid w:val="0"/>
                    <w:spacing w:line="312" w:lineRule="auto"/>
                    <w:jc w:val="center"/>
                    <w:rPr>
                      <w:color w:val="auto"/>
                      <w:kern w:val="0"/>
                      <w:sz w:val="21"/>
                      <w:szCs w:val="20"/>
                    </w:rPr>
                  </w:pPr>
                  <w:r>
                    <w:rPr>
                      <w:rFonts w:hint="eastAsia"/>
                      <w:color w:val="auto"/>
                      <w:kern w:val="0"/>
                      <w:sz w:val="21"/>
                      <w:szCs w:val="20"/>
                    </w:rPr>
                    <w:t>2.0</w:t>
                  </w:r>
                </w:p>
              </w:tc>
              <w:tc>
                <w:tcPr>
                  <w:tcW w:w="675" w:type="dxa"/>
                  <w:vMerge w:val="restart"/>
                  <w:tcBorders>
                    <w:right w:val="nil"/>
                  </w:tcBorders>
                  <w:vAlign w:val="center"/>
                </w:tcPr>
                <w:p w14:paraId="410FC020">
                  <w:pPr>
                    <w:adjustRightInd w:val="0"/>
                    <w:snapToGrid w:val="0"/>
                    <w:spacing w:line="312" w:lineRule="auto"/>
                    <w:jc w:val="center"/>
                    <w:rPr>
                      <w:color w:val="auto"/>
                      <w:kern w:val="0"/>
                      <w:sz w:val="21"/>
                      <w:szCs w:val="20"/>
                    </w:rPr>
                  </w:pPr>
                  <w:r>
                    <w:rPr>
                      <w:rFonts w:hint="eastAsia"/>
                      <w:color w:val="auto"/>
                      <w:kern w:val="0"/>
                      <w:sz w:val="21"/>
                      <w:szCs w:val="20"/>
                    </w:rPr>
                    <w:t>22m</w:t>
                  </w:r>
                </w:p>
              </w:tc>
              <w:tc>
                <w:tcPr>
                  <w:tcW w:w="1818" w:type="dxa"/>
                  <w:vMerge w:val="restart"/>
                  <w:tcBorders>
                    <w:right w:val="nil"/>
                  </w:tcBorders>
                  <w:vAlign w:val="center"/>
                </w:tcPr>
                <w:p w14:paraId="144A6F48">
                  <w:pPr>
                    <w:adjustRightInd w:val="0"/>
                    <w:snapToGrid w:val="0"/>
                    <w:spacing w:line="312" w:lineRule="auto"/>
                    <w:jc w:val="center"/>
                    <w:rPr>
                      <w:color w:val="auto"/>
                      <w:kern w:val="0"/>
                      <w:sz w:val="21"/>
                      <w:szCs w:val="20"/>
                    </w:rPr>
                  </w:pPr>
                  <w:r>
                    <w:rPr>
                      <w:rFonts w:hint="eastAsia"/>
                      <w:color w:val="auto"/>
                      <w:kern w:val="0"/>
                      <w:sz w:val="21"/>
                      <w:szCs w:val="20"/>
                    </w:rPr>
                    <w:t>2.66</w:t>
                  </w:r>
                </w:p>
              </w:tc>
            </w:tr>
            <w:tr w14:paraId="1D59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left w:val="nil"/>
                    <w:right w:val="single" w:color="auto" w:sz="4" w:space="0"/>
                  </w:tcBorders>
                  <w:vAlign w:val="center"/>
                </w:tcPr>
                <w:p w14:paraId="25F841FC">
                  <w:pPr>
                    <w:adjustRightInd w:val="0"/>
                    <w:snapToGrid w:val="0"/>
                    <w:spacing w:line="312" w:lineRule="auto"/>
                    <w:jc w:val="center"/>
                    <w:rPr>
                      <w:color w:val="auto"/>
                      <w:kern w:val="0"/>
                      <w:sz w:val="21"/>
                      <w:szCs w:val="20"/>
                    </w:rPr>
                  </w:pPr>
                </w:p>
              </w:tc>
              <w:tc>
                <w:tcPr>
                  <w:tcW w:w="1713" w:type="dxa"/>
                  <w:vMerge w:val="continue"/>
                  <w:tcBorders>
                    <w:left w:val="single" w:color="auto" w:sz="4" w:space="0"/>
                    <w:right w:val="single" w:color="auto" w:sz="4" w:space="0"/>
                  </w:tcBorders>
                  <w:vAlign w:val="center"/>
                </w:tcPr>
                <w:p w14:paraId="4008397D">
                  <w:pPr>
                    <w:adjustRightInd w:val="0"/>
                    <w:snapToGrid w:val="0"/>
                    <w:spacing w:line="312" w:lineRule="auto"/>
                    <w:jc w:val="center"/>
                    <w:rPr>
                      <w:color w:val="auto"/>
                      <w:kern w:val="0"/>
                      <w:sz w:val="21"/>
                      <w:szCs w:val="20"/>
                    </w:rPr>
                  </w:pPr>
                </w:p>
              </w:tc>
              <w:tc>
                <w:tcPr>
                  <w:tcW w:w="962" w:type="dxa"/>
                  <w:tcBorders>
                    <w:left w:val="single" w:color="auto" w:sz="4" w:space="0"/>
                    <w:right w:val="single" w:color="auto" w:sz="4" w:space="0"/>
                  </w:tcBorders>
                  <w:vAlign w:val="center"/>
                </w:tcPr>
                <w:p w14:paraId="16923B31">
                  <w:pPr>
                    <w:adjustRightInd w:val="0"/>
                    <w:snapToGrid w:val="0"/>
                    <w:spacing w:line="312" w:lineRule="auto"/>
                    <w:jc w:val="center"/>
                    <w:rPr>
                      <w:color w:val="auto"/>
                      <w:kern w:val="0"/>
                      <w:sz w:val="21"/>
                      <w:szCs w:val="20"/>
                    </w:rPr>
                  </w:pPr>
                  <w:r>
                    <w:rPr>
                      <w:rFonts w:hint="eastAsia"/>
                      <w:color w:val="auto"/>
                      <w:kern w:val="0"/>
                      <w:sz w:val="21"/>
                      <w:szCs w:val="20"/>
                    </w:rPr>
                    <w:t>30m</w:t>
                  </w:r>
                </w:p>
              </w:tc>
              <w:tc>
                <w:tcPr>
                  <w:tcW w:w="1525" w:type="dxa"/>
                  <w:tcBorders>
                    <w:left w:val="single" w:color="auto" w:sz="4" w:space="0"/>
                    <w:right w:val="nil"/>
                  </w:tcBorders>
                  <w:vAlign w:val="center"/>
                </w:tcPr>
                <w:p w14:paraId="02F584EC">
                  <w:pPr>
                    <w:adjustRightInd w:val="0"/>
                    <w:snapToGrid w:val="0"/>
                    <w:spacing w:line="312" w:lineRule="auto"/>
                    <w:jc w:val="center"/>
                    <w:rPr>
                      <w:color w:val="auto"/>
                      <w:kern w:val="0"/>
                      <w:sz w:val="21"/>
                      <w:szCs w:val="20"/>
                    </w:rPr>
                  </w:pPr>
                  <w:r>
                    <w:rPr>
                      <w:rFonts w:hint="eastAsia"/>
                      <w:color w:val="auto"/>
                      <w:kern w:val="0"/>
                      <w:sz w:val="21"/>
                      <w:szCs w:val="20"/>
                    </w:rPr>
                    <w:t>5.3</w:t>
                  </w:r>
                </w:p>
              </w:tc>
              <w:tc>
                <w:tcPr>
                  <w:tcW w:w="675" w:type="dxa"/>
                  <w:vMerge w:val="continue"/>
                  <w:tcBorders>
                    <w:right w:val="nil"/>
                  </w:tcBorders>
                  <w:vAlign w:val="center"/>
                </w:tcPr>
                <w:p w14:paraId="1FF8F51A">
                  <w:pPr>
                    <w:adjustRightInd w:val="0"/>
                    <w:snapToGrid w:val="0"/>
                    <w:spacing w:line="312" w:lineRule="auto"/>
                    <w:jc w:val="center"/>
                    <w:rPr>
                      <w:color w:val="auto"/>
                      <w:kern w:val="0"/>
                      <w:sz w:val="21"/>
                      <w:szCs w:val="20"/>
                    </w:rPr>
                  </w:pPr>
                </w:p>
              </w:tc>
              <w:tc>
                <w:tcPr>
                  <w:tcW w:w="1818" w:type="dxa"/>
                  <w:vMerge w:val="continue"/>
                  <w:tcBorders>
                    <w:right w:val="nil"/>
                  </w:tcBorders>
                  <w:vAlign w:val="center"/>
                </w:tcPr>
                <w:p w14:paraId="2CDFB619">
                  <w:pPr>
                    <w:adjustRightInd w:val="0"/>
                    <w:snapToGrid w:val="0"/>
                    <w:spacing w:line="312" w:lineRule="auto"/>
                    <w:jc w:val="center"/>
                    <w:rPr>
                      <w:color w:val="auto"/>
                      <w:kern w:val="0"/>
                      <w:sz w:val="21"/>
                      <w:szCs w:val="20"/>
                    </w:rPr>
                  </w:pPr>
                </w:p>
              </w:tc>
            </w:tr>
            <w:tr w14:paraId="3A71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vMerge w:val="continue"/>
                  <w:tcBorders>
                    <w:left w:val="nil"/>
                    <w:right w:val="single" w:color="auto" w:sz="4" w:space="0"/>
                  </w:tcBorders>
                  <w:vAlign w:val="center"/>
                </w:tcPr>
                <w:p w14:paraId="13F9A25C">
                  <w:pPr>
                    <w:adjustRightInd w:val="0"/>
                    <w:snapToGrid w:val="0"/>
                    <w:spacing w:line="312" w:lineRule="auto"/>
                    <w:jc w:val="center"/>
                    <w:rPr>
                      <w:color w:val="auto"/>
                      <w:kern w:val="0"/>
                      <w:sz w:val="21"/>
                      <w:szCs w:val="20"/>
                    </w:rPr>
                  </w:pPr>
                </w:p>
              </w:tc>
              <w:tc>
                <w:tcPr>
                  <w:tcW w:w="1713" w:type="dxa"/>
                  <w:vMerge w:val="restart"/>
                  <w:tcBorders>
                    <w:left w:val="single" w:color="auto" w:sz="4" w:space="0"/>
                    <w:right w:val="single" w:color="auto" w:sz="4" w:space="0"/>
                  </w:tcBorders>
                  <w:vAlign w:val="center"/>
                </w:tcPr>
                <w:p w14:paraId="6AD665E2">
                  <w:pPr>
                    <w:adjustRightInd w:val="0"/>
                    <w:snapToGrid w:val="0"/>
                    <w:spacing w:line="312" w:lineRule="auto"/>
                    <w:jc w:val="center"/>
                    <w:rPr>
                      <w:color w:val="auto"/>
                      <w:kern w:val="0"/>
                      <w:sz w:val="21"/>
                      <w:szCs w:val="20"/>
                    </w:rPr>
                  </w:pPr>
                  <w:r>
                    <w:rPr>
                      <w:rFonts w:hint="eastAsia"/>
                      <w:color w:val="auto"/>
                      <w:kern w:val="0"/>
                      <w:sz w:val="21"/>
                      <w:szCs w:val="20"/>
                    </w:rPr>
                    <w:t>二甲苯</w:t>
                  </w:r>
                </w:p>
              </w:tc>
              <w:tc>
                <w:tcPr>
                  <w:tcW w:w="962" w:type="dxa"/>
                  <w:tcBorders>
                    <w:left w:val="single" w:color="auto" w:sz="4" w:space="0"/>
                    <w:right w:val="single" w:color="auto" w:sz="4" w:space="0"/>
                  </w:tcBorders>
                  <w:vAlign w:val="center"/>
                </w:tcPr>
                <w:p w14:paraId="3E0F6D5D">
                  <w:pPr>
                    <w:adjustRightInd w:val="0"/>
                    <w:snapToGrid w:val="0"/>
                    <w:spacing w:line="312" w:lineRule="auto"/>
                    <w:jc w:val="center"/>
                    <w:rPr>
                      <w:color w:val="auto"/>
                      <w:kern w:val="0"/>
                      <w:sz w:val="21"/>
                      <w:szCs w:val="20"/>
                    </w:rPr>
                  </w:pPr>
                  <w:r>
                    <w:rPr>
                      <w:rFonts w:hint="eastAsia"/>
                      <w:color w:val="auto"/>
                      <w:kern w:val="0"/>
                      <w:sz w:val="21"/>
                      <w:szCs w:val="20"/>
                    </w:rPr>
                    <w:t>20m</w:t>
                  </w:r>
                </w:p>
              </w:tc>
              <w:tc>
                <w:tcPr>
                  <w:tcW w:w="1525" w:type="dxa"/>
                  <w:tcBorders>
                    <w:left w:val="single" w:color="auto" w:sz="4" w:space="0"/>
                    <w:right w:val="nil"/>
                  </w:tcBorders>
                  <w:vAlign w:val="center"/>
                </w:tcPr>
                <w:p w14:paraId="70E34FBD">
                  <w:pPr>
                    <w:adjustRightInd w:val="0"/>
                    <w:snapToGrid w:val="0"/>
                    <w:spacing w:line="312" w:lineRule="auto"/>
                    <w:jc w:val="center"/>
                    <w:rPr>
                      <w:color w:val="auto"/>
                      <w:kern w:val="0"/>
                      <w:sz w:val="21"/>
                      <w:szCs w:val="20"/>
                    </w:rPr>
                  </w:pPr>
                  <w:r>
                    <w:rPr>
                      <w:rFonts w:hint="eastAsia"/>
                      <w:color w:val="auto"/>
                      <w:kern w:val="0"/>
                      <w:sz w:val="21"/>
                      <w:szCs w:val="20"/>
                    </w:rPr>
                    <w:t>1.2</w:t>
                  </w:r>
                </w:p>
              </w:tc>
              <w:tc>
                <w:tcPr>
                  <w:tcW w:w="675" w:type="dxa"/>
                  <w:vMerge w:val="continue"/>
                  <w:tcBorders>
                    <w:right w:val="nil"/>
                  </w:tcBorders>
                  <w:vAlign w:val="center"/>
                </w:tcPr>
                <w:p w14:paraId="5B770663">
                  <w:pPr>
                    <w:adjustRightInd w:val="0"/>
                    <w:snapToGrid w:val="0"/>
                    <w:spacing w:line="312" w:lineRule="auto"/>
                    <w:jc w:val="center"/>
                    <w:rPr>
                      <w:color w:val="auto"/>
                      <w:kern w:val="0"/>
                      <w:sz w:val="21"/>
                      <w:szCs w:val="20"/>
                    </w:rPr>
                  </w:pPr>
                </w:p>
              </w:tc>
              <w:tc>
                <w:tcPr>
                  <w:tcW w:w="1818" w:type="dxa"/>
                  <w:vMerge w:val="restart"/>
                  <w:tcBorders>
                    <w:right w:val="nil"/>
                  </w:tcBorders>
                  <w:vAlign w:val="center"/>
                </w:tcPr>
                <w:p w14:paraId="003CE035">
                  <w:pPr>
                    <w:adjustRightInd w:val="0"/>
                    <w:snapToGrid w:val="0"/>
                    <w:spacing w:line="312" w:lineRule="auto"/>
                    <w:jc w:val="center"/>
                    <w:rPr>
                      <w:color w:val="auto"/>
                      <w:kern w:val="0"/>
                      <w:sz w:val="21"/>
                      <w:szCs w:val="20"/>
                    </w:rPr>
                  </w:pPr>
                  <w:r>
                    <w:rPr>
                      <w:rFonts w:hint="eastAsia"/>
                      <w:color w:val="auto"/>
                      <w:kern w:val="0"/>
                      <w:sz w:val="21"/>
                      <w:szCs w:val="20"/>
                    </w:rPr>
                    <w:t>1.6</w:t>
                  </w:r>
                </w:p>
              </w:tc>
            </w:tr>
            <w:tr w14:paraId="5664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left w:val="nil"/>
                    <w:right w:val="single" w:color="auto" w:sz="4" w:space="0"/>
                  </w:tcBorders>
                  <w:vAlign w:val="center"/>
                </w:tcPr>
                <w:p w14:paraId="40DF061E">
                  <w:pPr>
                    <w:adjustRightInd w:val="0"/>
                    <w:snapToGrid w:val="0"/>
                    <w:spacing w:line="312" w:lineRule="auto"/>
                    <w:jc w:val="center"/>
                    <w:rPr>
                      <w:color w:val="auto"/>
                      <w:kern w:val="0"/>
                      <w:sz w:val="21"/>
                      <w:szCs w:val="20"/>
                    </w:rPr>
                  </w:pPr>
                </w:p>
              </w:tc>
              <w:tc>
                <w:tcPr>
                  <w:tcW w:w="1713" w:type="dxa"/>
                  <w:vMerge w:val="continue"/>
                  <w:tcBorders>
                    <w:left w:val="single" w:color="auto" w:sz="4" w:space="0"/>
                    <w:right w:val="single" w:color="auto" w:sz="4" w:space="0"/>
                  </w:tcBorders>
                  <w:vAlign w:val="center"/>
                </w:tcPr>
                <w:p w14:paraId="46FA9580">
                  <w:pPr>
                    <w:adjustRightInd w:val="0"/>
                    <w:snapToGrid w:val="0"/>
                    <w:spacing w:line="312" w:lineRule="auto"/>
                    <w:jc w:val="center"/>
                    <w:rPr>
                      <w:color w:val="auto"/>
                      <w:kern w:val="0"/>
                      <w:sz w:val="21"/>
                      <w:szCs w:val="20"/>
                    </w:rPr>
                  </w:pPr>
                </w:p>
              </w:tc>
              <w:tc>
                <w:tcPr>
                  <w:tcW w:w="962" w:type="dxa"/>
                  <w:tcBorders>
                    <w:left w:val="single" w:color="auto" w:sz="4" w:space="0"/>
                    <w:right w:val="single" w:color="auto" w:sz="4" w:space="0"/>
                  </w:tcBorders>
                  <w:vAlign w:val="center"/>
                </w:tcPr>
                <w:p w14:paraId="164618DC">
                  <w:pPr>
                    <w:adjustRightInd w:val="0"/>
                    <w:snapToGrid w:val="0"/>
                    <w:spacing w:line="312" w:lineRule="auto"/>
                    <w:jc w:val="center"/>
                    <w:rPr>
                      <w:color w:val="auto"/>
                      <w:kern w:val="0"/>
                      <w:sz w:val="21"/>
                      <w:szCs w:val="20"/>
                    </w:rPr>
                  </w:pPr>
                  <w:r>
                    <w:rPr>
                      <w:rFonts w:hint="eastAsia"/>
                      <w:color w:val="auto"/>
                      <w:kern w:val="0"/>
                      <w:sz w:val="21"/>
                      <w:szCs w:val="20"/>
                    </w:rPr>
                    <w:t>30m</w:t>
                  </w:r>
                </w:p>
              </w:tc>
              <w:tc>
                <w:tcPr>
                  <w:tcW w:w="1525" w:type="dxa"/>
                  <w:tcBorders>
                    <w:left w:val="single" w:color="auto" w:sz="4" w:space="0"/>
                    <w:right w:val="nil"/>
                  </w:tcBorders>
                  <w:vAlign w:val="center"/>
                </w:tcPr>
                <w:p w14:paraId="1A345CBB">
                  <w:pPr>
                    <w:adjustRightInd w:val="0"/>
                    <w:snapToGrid w:val="0"/>
                    <w:spacing w:line="312" w:lineRule="auto"/>
                    <w:jc w:val="center"/>
                    <w:rPr>
                      <w:color w:val="auto"/>
                      <w:kern w:val="0"/>
                      <w:sz w:val="21"/>
                      <w:szCs w:val="20"/>
                    </w:rPr>
                  </w:pPr>
                  <w:r>
                    <w:rPr>
                      <w:rFonts w:hint="eastAsia"/>
                      <w:color w:val="auto"/>
                      <w:kern w:val="0"/>
                      <w:sz w:val="21"/>
                      <w:szCs w:val="20"/>
                    </w:rPr>
                    <w:t>3.2</w:t>
                  </w:r>
                </w:p>
              </w:tc>
              <w:tc>
                <w:tcPr>
                  <w:tcW w:w="675" w:type="dxa"/>
                  <w:vMerge w:val="continue"/>
                  <w:tcBorders>
                    <w:right w:val="nil"/>
                  </w:tcBorders>
                  <w:vAlign w:val="center"/>
                </w:tcPr>
                <w:p w14:paraId="65D63D3C">
                  <w:pPr>
                    <w:adjustRightInd w:val="0"/>
                    <w:snapToGrid w:val="0"/>
                    <w:spacing w:line="312" w:lineRule="auto"/>
                    <w:jc w:val="center"/>
                    <w:rPr>
                      <w:color w:val="auto"/>
                      <w:kern w:val="0"/>
                      <w:sz w:val="21"/>
                      <w:szCs w:val="20"/>
                    </w:rPr>
                  </w:pPr>
                </w:p>
              </w:tc>
              <w:tc>
                <w:tcPr>
                  <w:tcW w:w="1818" w:type="dxa"/>
                  <w:vMerge w:val="continue"/>
                  <w:tcBorders>
                    <w:right w:val="nil"/>
                  </w:tcBorders>
                  <w:vAlign w:val="center"/>
                </w:tcPr>
                <w:p w14:paraId="66F815B0">
                  <w:pPr>
                    <w:adjustRightInd w:val="0"/>
                    <w:snapToGrid w:val="0"/>
                    <w:spacing w:line="312" w:lineRule="auto"/>
                    <w:jc w:val="center"/>
                    <w:rPr>
                      <w:color w:val="auto"/>
                      <w:kern w:val="0"/>
                      <w:sz w:val="21"/>
                      <w:szCs w:val="20"/>
                    </w:rPr>
                  </w:pPr>
                </w:p>
              </w:tc>
            </w:tr>
            <w:tr w14:paraId="2AD0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left w:val="nil"/>
                    <w:right w:val="single" w:color="auto" w:sz="4" w:space="0"/>
                  </w:tcBorders>
                  <w:vAlign w:val="center"/>
                </w:tcPr>
                <w:p w14:paraId="7AEC9F21">
                  <w:pPr>
                    <w:adjustRightInd w:val="0"/>
                    <w:snapToGrid w:val="0"/>
                    <w:spacing w:line="312" w:lineRule="auto"/>
                    <w:jc w:val="center"/>
                    <w:rPr>
                      <w:color w:val="auto"/>
                      <w:kern w:val="0"/>
                      <w:sz w:val="21"/>
                      <w:szCs w:val="20"/>
                    </w:rPr>
                  </w:pPr>
                </w:p>
              </w:tc>
              <w:tc>
                <w:tcPr>
                  <w:tcW w:w="1713" w:type="dxa"/>
                  <w:vMerge w:val="restart"/>
                  <w:tcBorders>
                    <w:left w:val="single" w:color="auto" w:sz="4" w:space="0"/>
                    <w:right w:val="single" w:color="auto" w:sz="4" w:space="0"/>
                  </w:tcBorders>
                  <w:vAlign w:val="center"/>
                </w:tcPr>
                <w:p w14:paraId="62A19FC2">
                  <w:pPr>
                    <w:adjustRightInd w:val="0"/>
                    <w:snapToGrid w:val="0"/>
                    <w:spacing w:line="312" w:lineRule="auto"/>
                    <w:jc w:val="center"/>
                    <w:rPr>
                      <w:color w:val="auto"/>
                      <w:kern w:val="0"/>
                      <w:sz w:val="21"/>
                      <w:szCs w:val="20"/>
                    </w:rPr>
                  </w:pPr>
                  <w:r>
                    <w:rPr>
                      <w:rFonts w:hint="eastAsia"/>
                      <w:color w:val="auto"/>
                      <w:kern w:val="0"/>
                      <w:sz w:val="21"/>
                      <w:szCs w:val="20"/>
                    </w:rPr>
                    <w:t>非甲烷总烃</w:t>
                  </w:r>
                </w:p>
              </w:tc>
              <w:tc>
                <w:tcPr>
                  <w:tcW w:w="962" w:type="dxa"/>
                  <w:tcBorders>
                    <w:left w:val="single" w:color="auto" w:sz="4" w:space="0"/>
                    <w:right w:val="single" w:color="auto" w:sz="4" w:space="0"/>
                  </w:tcBorders>
                  <w:vAlign w:val="center"/>
                </w:tcPr>
                <w:p w14:paraId="6D7ACF88">
                  <w:pPr>
                    <w:adjustRightInd w:val="0"/>
                    <w:snapToGrid w:val="0"/>
                    <w:spacing w:line="312" w:lineRule="auto"/>
                    <w:jc w:val="center"/>
                    <w:rPr>
                      <w:color w:val="auto"/>
                      <w:kern w:val="0"/>
                      <w:sz w:val="21"/>
                      <w:szCs w:val="20"/>
                    </w:rPr>
                  </w:pPr>
                  <w:r>
                    <w:rPr>
                      <w:rFonts w:hint="eastAsia"/>
                      <w:color w:val="auto"/>
                      <w:kern w:val="0"/>
                      <w:sz w:val="21"/>
                      <w:szCs w:val="20"/>
                    </w:rPr>
                    <w:t>20m</w:t>
                  </w:r>
                </w:p>
              </w:tc>
              <w:tc>
                <w:tcPr>
                  <w:tcW w:w="1525" w:type="dxa"/>
                  <w:tcBorders>
                    <w:left w:val="single" w:color="auto" w:sz="4" w:space="0"/>
                    <w:right w:val="nil"/>
                  </w:tcBorders>
                  <w:vAlign w:val="center"/>
                </w:tcPr>
                <w:p w14:paraId="1B78907D">
                  <w:pPr>
                    <w:adjustRightInd w:val="0"/>
                    <w:snapToGrid w:val="0"/>
                    <w:spacing w:line="312" w:lineRule="auto"/>
                    <w:jc w:val="center"/>
                    <w:rPr>
                      <w:color w:val="auto"/>
                      <w:kern w:val="0"/>
                      <w:sz w:val="21"/>
                      <w:szCs w:val="20"/>
                    </w:rPr>
                  </w:pPr>
                  <w:r>
                    <w:rPr>
                      <w:rFonts w:hint="eastAsia"/>
                      <w:color w:val="auto"/>
                      <w:kern w:val="0"/>
                      <w:sz w:val="21"/>
                      <w:szCs w:val="20"/>
                    </w:rPr>
                    <w:t>5.1</w:t>
                  </w:r>
                </w:p>
              </w:tc>
              <w:tc>
                <w:tcPr>
                  <w:tcW w:w="675" w:type="dxa"/>
                  <w:vMerge w:val="continue"/>
                  <w:tcBorders>
                    <w:bottom w:val="single" w:color="auto" w:sz="12" w:space="0"/>
                    <w:right w:val="nil"/>
                  </w:tcBorders>
                  <w:vAlign w:val="center"/>
                </w:tcPr>
                <w:p w14:paraId="7B4BDD74">
                  <w:pPr>
                    <w:adjustRightInd w:val="0"/>
                    <w:snapToGrid w:val="0"/>
                    <w:spacing w:line="312" w:lineRule="auto"/>
                    <w:jc w:val="center"/>
                    <w:rPr>
                      <w:color w:val="auto"/>
                      <w:kern w:val="0"/>
                      <w:sz w:val="21"/>
                      <w:szCs w:val="20"/>
                    </w:rPr>
                  </w:pPr>
                </w:p>
              </w:tc>
              <w:tc>
                <w:tcPr>
                  <w:tcW w:w="1818" w:type="dxa"/>
                  <w:vMerge w:val="restart"/>
                  <w:tcBorders>
                    <w:bottom w:val="single" w:color="auto" w:sz="12" w:space="0"/>
                    <w:right w:val="nil"/>
                  </w:tcBorders>
                  <w:vAlign w:val="center"/>
                </w:tcPr>
                <w:p w14:paraId="287BA760">
                  <w:pPr>
                    <w:adjustRightInd w:val="0"/>
                    <w:snapToGrid w:val="0"/>
                    <w:spacing w:line="312" w:lineRule="auto"/>
                    <w:jc w:val="center"/>
                    <w:rPr>
                      <w:color w:val="auto"/>
                      <w:kern w:val="0"/>
                      <w:sz w:val="21"/>
                      <w:szCs w:val="20"/>
                    </w:rPr>
                  </w:pPr>
                  <w:r>
                    <w:rPr>
                      <w:rFonts w:hint="eastAsia"/>
                      <w:color w:val="auto"/>
                      <w:kern w:val="0"/>
                      <w:sz w:val="21"/>
                      <w:szCs w:val="20"/>
                    </w:rPr>
                    <w:t>7.18</w:t>
                  </w:r>
                </w:p>
              </w:tc>
            </w:tr>
            <w:tr w14:paraId="6F25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left w:val="nil"/>
                    <w:bottom w:val="single" w:color="auto" w:sz="12" w:space="0"/>
                    <w:right w:val="single" w:color="auto" w:sz="4" w:space="0"/>
                  </w:tcBorders>
                  <w:vAlign w:val="center"/>
                </w:tcPr>
                <w:p w14:paraId="2687E081">
                  <w:pPr>
                    <w:adjustRightInd w:val="0"/>
                    <w:snapToGrid w:val="0"/>
                    <w:spacing w:line="312" w:lineRule="auto"/>
                    <w:jc w:val="center"/>
                    <w:rPr>
                      <w:color w:val="auto"/>
                      <w:kern w:val="0"/>
                      <w:sz w:val="21"/>
                      <w:szCs w:val="20"/>
                    </w:rPr>
                  </w:pPr>
                </w:p>
              </w:tc>
              <w:tc>
                <w:tcPr>
                  <w:tcW w:w="1713" w:type="dxa"/>
                  <w:vMerge w:val="continue"/>
                  <w:tcBorders>
                    <w:left w:val="single" w:color="auto" w:sz="4" w:space="0"/>
                    <w:bottom w:val="single" w:color="auto" w:sz="12" w:space="0"/>
                    <w:right w:val="single" w:color="auto" w:sz="4" w:space="0"/>
                  </w:tcBorders>
                  <w:vAlign w:val="center"/>
                </w:tcPr>
                <w:p w14:paraId="45BC8D5B">
                  <w:pPr>
                    <w:adjustRightInd w:val="0"/>
                    <w:snapToGrid w:val="0"/>
                    <w:spacing w:line="312" w:lineRule="auto"/>
                    <w:jc w:val="center"/>
                    <w:rPr>
                      <w:color w:val="auto"/>
                      <w:kern w:val="0"/>
                      <w:sz w:val="21"/>
                      <w:szCs w:val="20"/>
                    </w:rPr>
                  </w:pPr>
                </w:p>
              </w:tc>
              <w:tc>
                <w:tcPr>
                  <w:tcW w:w="962" w:type="dxa"/>
                  <w:tcBorders>
                    <w:left w:val="single" w:color="auto" w:sz="4" w:space="0"/>
                    <w:bottom w:val="single" w:color="auto" w:sz="12" w:space="0"/>
                    <w:right w:val="single" w:color="auto" w:sz="4" w:space="0"/>
                  </w:tcBorders>
                  <w:vAlign w:val="center"/>
                </w:tcPr>
                <w:p w14:paraId="6D87A363">
                  <w:pPr>
                    <w:adjustRightInd w:val="0"/>
                    <w:snapToGrid w:val="0"/>
                    <w:spacing w:line="312" w:lineRule="auto"/>
                    <w:jc w:val="center"/>
                    <w:rPr>
                      <w:color w:val="auto"/>
                      <w:kern w:val="0"/>
                      <w:sz w:val="21"/>
                      <w:szCs w:val="20"/>
                    </w:rPr>
                  </w:pPr>
                  <w:r>
                    <w:rPr>
                      <w:rFonts w:hint="eastAsia"/>
                      <w:color w:val="auto"/>
                      <w:kern w:val="0"/>
                      <w:sz w:val="21"/>
                      <w:szCs w:val="20"/>
                    </w:rPr>
                    <w:t>30m</w:t>
                  </w:r>
                </w:p>
              </w:tc>
              <w:tc>
                <w:tcPr>
                  <w:tcW w:w="1525" w:type="dxa"/>
                  <w:tcBorders>
                    <w:left w:val="single" w:color="auto" w:sz="4" w:space="0"/>
                    <w:bottom w:val="single" w:color="auto" w:sz="12" w:space="0"/>
                    <w:right w:val="nil"/>
                  </w:tcBorders>
                  <w:vAlign w:val="center"/>
                </w:tcPr>
                <w:p w14:paraId="07940A2C">
                  <w:pPr>
                    <w:adjustRightInd w:val="0"/>
                    <w:snapToGrid w:val="0"/>
                    <w:spacing w:line="312" w:lineRule="auto"/>
                    <w:jc w:val="center"/>
                    <w:rPr>
                      <w:color w:val="auto"/>
                      <w:kern w:val="0"/>
                      <w:sz w:val="21"/>
                      <w:szCs w:val="20"/>
                    </w:rPr>
                  </w:pPr>
                  <w:r>
                    <w:rPr>
                      <w:rFonts w:hint="eastAsia"/>
                      <w:color w:val="auto"/>
                      <w:kern w:val="0"/>
                      <w:sz w:val="21"/>
                      <w:szCs w:val="20"/>
                    </w:rPr>
                    <w:t>15.5</w:t>
                  </w:r>
                </w:p>
              </w:tc>
              <w:tc>
                <w:tcPr>
                  <w:tcW w:w="675" w:type="dxa"/>
                  <w:vMerge w:val="continue"/>
                  <w:tcBorders>
                    <w:top w:val="single" w:color="auto" w:sz="12" w:space="0"/>
                    <w:bottom w:val="single" w:color="auto" w:sz="12" w:space="0"/>
                    <w:right w:val="nil"/>
                  </w:tcBorders>
                  <w:vAlign w:val="center"/>
                </w:tcPr>
                <w:p w14:paraId="5557018A">
                  <w:pPr>
                    <w:adjustRightInd w:val="0"/>
                    <w:snapToGrid w:val="0"/>
                    <w:spacing w:line="288" w:lineRule="auto"/>
                    <w:jc w:val="center"/>
                    <w:rPr>
                      <w:color w:val="auto"/>
                      <w:kern w:val="0"/>
                      <w:sz w:val="21"/>
                      <w:szCs w:val="20"/>
                    </w:rPr>
                  </w:pPr>
                </w:p>
              </w:tc>
              <w:tc>
                <w:tcPr>
                  <w:tcW w:w="1818" w:type="dxa"/>
                  <w:vMerge w:val="continue"/>
                  <w:tcBorders>
                    <w:top w:val="single" w:color="auto" w:sz="12" w:space="0"/>
                    <w:bottom w:val="single" w:color="auto" w:sz="12" w:space="0"/>
                    <w:right w:val="nil"/>
                  </w:tcBorders>
                  <w:vAlign w:val="center"/>
                </w:tcPr>
                <w:p w14:paraId="05E2F6E2">
                  <w:pPr>
                    <w:adjustRightInd w:val="0"/>
                    <w:snapToGrid w:val="0"/>
                    <w:spacing w:line="288" w:lineRule="auto"/>
                    <w:jc w:val="center"/>
                    <w:rPr>
                      <w:color w:val="auto"/>
                      <w:kern w:val="0"/>
                      <w:sz w:val="21"/>
                      <w:szCs w:val="20"/>
                    </w:rPr>
                  </w:pPr>
                </w:p>
              </w:tc>
            </w:tr>
          </w:tbl>
          <w:p w14:paraId="1E8A0540">
            <w:pPr>
              <w:wordWrap w:val="0"/>
              <w:ind w:firstLine="480" w:firstLineChars="200"/>
              <w:rPr>
                <w:color w:val="auto"/>
              </w:rPr>
            </w:pPr>
            <w:r>
              <w:rPr>
                <w:rFonts w:eastAsia="微软雅黑"/>
                <w:color w:val="auto"/>
              </w:rPr>
              <w:t>②</w:t>
            </w:r>
            <w:r>
              <w:rPr>
                <w:color w:val="auto"/>
              </w:rPr>
              <w:t>无组织废气</w:t>
            </w:r>
          </w:p>
          <w:p w14:paraId="2FF81CED">
            <w:pPr>
              <w:wordWrap w:val="0"/>
              <w:ind w:firstLine="480" w:firstLineChars="200"/>
              <w:rPr>
                <w:color w:val="auto"/>
              </w:rPr>
            </w:pPr>
            <w:r>
              <w:rPr>
                <w:rFonts w:hint="eastAsia" w:cs="宋体"/>
                <w:color w:val="auto"/>
              </w:rPr>
              <w:t>本项目调漆、</w:t>
            </w:r>
            <w:r>
              <w:rPr>
                <w:color w:val="auto"/>
              </w:rPr>
              <w:t>喷漆、烤漆，UV打印</w:t>
            </w:r>
            <w:r>
              <w:rPr>
                <w:rFonts w:hint="eastAsia"/>
                <w:color w:val="auto"/>
              </w:rPr>
              <w:t>工序及其设备清洗工序无组织废气</w:t>
            </w:r>
            <w:r>
              <w:rPr>
                <w:color w:val="auto"/>
              </w:rPr>
              <w:t>排放执行《工业涂装工序挥发性有机物排放标准》</w:t>
            </w:r>
            <w:r>
              <w:rPr>
                <w:rFonts w:hint="eastAsia"/>
                <w:color w:val="auto"/>
              </w:rPr>
              <w:t>（</w:t>
            </w:r>
            <w:r>
              <w:rPr>
                <w:color w:val="auto"/>
              </w:rPr>
              <w:t>DB35/1783-2018</w:t>
            </w:r>
            <w:r>
              <w:rPr>
                <w:rFonts w:hint="eastAsia"/>
                <w:color w:val="auto"/>
                <w:kern w:val="0"/>
                <w:lang w:bidi="ar"/>
              </w:rPr>
              <w:t>）</w:t>
            </w:r>
            <w:r>
              <w:rPr>
                <w:color w:val="auto"/>
              </w:rPr>
              <w:t>表3、表4限值</w:t>
            </w:r>
            <w:r>
              <w:rPr>
                <w:rFonts w:hint="eastAsia"/>
                <w:color w:val="auto"/>
              </w:rPr>
              <w:t>。热压、人工</w:t>
            </w:r>
            <w:r>
              <w:rPr>
                <w:color w:val="auto"/>
              </w:rPr>
              <w:t>组装</w:t>
            </w:r>
            <w:r>
              <w:rPr>
                <w:rFonts w:hint="eastAsia"/>
                <w:color w:val="auto"/>
              </w:rPr>
              <w:t>工序</w:t>
            </w:r>
            <w:r>
              <w:rPr>
                <w:color w:val="auto"/>
              </w:rPr>
              <w:t>无组织</w:t>
            </w:r>
            <w:r>
              <w:rPr>
                <w:rFonts w:hint="eastAsia"/>
                <w:color w:val="auto"/>
              </w:rPr>
              <w:t>废气</w:t>
            </w:r>
            <w:r>
              <w:rPr>
                <w:color w:val="auto"/>
              </w:rPr>
              <w:t>排放执行《挥发性有机物无组织排放控制标准》（GB 37822-2019）厂区内</w:t>
            </w:r>
            <w:r>
              <w:rPr>
                <w:rFonts w:hint="eastAsia"/>
                <w:bCs/>
                <w:color w:val="auto"/>
              </w:rPr>
              <w:t>限值，</w:t>
            </w:r>
            <w:r>
              <w:rPr>
                <w:color w:val="auto"/>
              </w:rPr>
              <w:t>具体详见表</w:t>
            </w:r>
            <w:r>
              <w:rPr>
                <w:rFonts w:hint="eastAsia"/>
                <w:color w:val="auto"/>
              </w:rPr>
              <w:t>3.7-5</w:t>
            </w:r>
            <w:r>
              <w:rPr>
                <w:color w:val="auto"/>
              </w:rPr>
              <w:t>。</w:t>
            </w:r>
          </w:p>
          <w:p w14:paraId="5C7A7E2C">
            <w:pPr>
              <w:pStyle w:val="36"/>
              <w:spacing w:before="0" w:after="0"/>
              <w:rPr>
                <w:color w:val="auto"/>
              </w:rPr>
            </w:pPr>
            <w:r>
              <w:rPr>
                <w:color w:val="auto"/>
              </w:rPr>
              <w:t xml:space="preserve">表3.7-5 </w:t>
            </w:r>
            <w:r>
              <w:rPr>
                <w:rFonts w:hint="eastAsia"/>
                <w:color w:val="auto"/>
              </w:rPr>
              <w:t xml:space="preserve"> </w:t>
            </w:r>
            <w:r>
              <w:rPr>
                <w:color w:val="auto"/>
              </w:rPr>
              <w:t>无组织挥发性有机物</w:t>
            </w:r>
            <w:r>
              <w:rPr>
                <w:rFonts w:hint="eastAsia"/>
                <w:color w:val="auto"/>
              </w:rPr>
              <w:t>排放标准</w:t>
            </w:r>
          </w:p>
          <w:tbl>
            <w:tblPr>
              <w:tblStyle w:val="31"/>
              <w:tblW w:w="79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650"/>
              <w:gridCol w:w="1225"/>
              <w:gridCol w:w="1015"/>
              <w:gridCol w:w="3050"/>
            </w:tblGrid>
            <w:tr w14:paraId="31D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01" w:type="dxa"/>
                  <w:tcBorders>
                    <w:top w:val="single" w:color="auto" w:sz="12" w:space="0"/>
                    <w:left w:val="nil"/>
                  </w:tcBorders>
                  <w:vAlign w:val="center"/>
                </w:tcPr>
                <w:p w14:paraId="62474229">
                  <w:pPr>
                    <w:adjustRightInd w:val="0"/>
                    <w:snapToGrid w:val="0"/>
                    <w:spacing w:line="240" w:lineRule="auto"/>
                    <w:jc w:val="center"/>
                    <w:rPr>
                      <w:color w:val="auto"/>
                      <w:kern w:val="0"/>
                      <w:sz w:val="21"/>
                      <w:szCs w:val="20"/>
                    </w:rPr>
                  </w:pPr>
                  <w:r>
                    <w:rPr>
                      <w:rFonts w:hint="eastAsia"/>
                      <w:color w:val="auto"/>
                      <w:kern w:val="0"/>
                      <w:sz w:val="21"/>
                      <w:szCs w:val="20"/>
                    </w:rPr>
                    <w:t>污染工序</w:t>
                  </w:r>
                </w:p>
              </w:tc>
              <w:tc>
                <w:tcPr>
                  <w:tcW w:w="1650" w:type="dxa"/>
                  <w:tcBorders>
                    <w:top w:val="single" w:color="auto" w:sz="12" w:space="0"/>
                    <w:left w:val="nil"/>
                  </w:tcBorders>
                  <w:vAlign w:val="center"/>
                </w:tcPr>
                <w:p w14:paraId="62C2197A">
                  <w:pPr>
                    <w:adjustRightInd w:val="0"/>
                    <w:snapToGrid w:val="0"/>
                    <w:spacing w:line="240" w:lineRule="auto"/>
                    <w:jc w:val="center"/>
                    <w:rPr>
                      <w:color w:val="auto"/>
                      <w:kern w:val="0"/>
                      <w:sz w:val="21"/>
                      <w:szCs w:val="20"/>
                    </w:rPr>
                  </w:pPr>
                  <w:r>
                    <w:rPr>
                      <w:rFonts w:hint="eastAsia"/>
                      <w:color w:val="auto"/>
                      <w:kern w:val="0"/>
                      <w:sz w:val="21"/>
                      <w:szCs w:val="20"/>
                    </w:rPr>
                    <w:t>污染物项目</w:t>
                  </w:r>
                </w:p>
              </w:tc>
              <w:tc>
                <w:tcPr>
                  <w:tcW w:w="1225" w:type="dxa"/>
                  <w:tcBorders>
                    <w:top w:val="single" w:color="auto" w:sz="12" w:space="0"/>
                  </w:tcBorders>
                  <w:vAlign w:val="center"/>
                </w:tcPr>
                <w:p w14:paraId="4B583D74">
                  <w:pPr>
                    <w:adjustRightInd w:val="0"/>
                    <w:snapToGrid w:val="0"/>
                    <w:spacing w:line="240" w:lineRule="auto"/>
                    <w:jc w:val="center"/>
                    <w:rPr>
                      <w:color w:val="auto"/>
                      <w:kern w:val="0"/>
                      <w:sz w:val="21"/>
                      <w:szCs w:val="20"/>
                    </w:rPr>
                  </w:pPr>
                  <w:r>
                    <w:rPr>
                      <w:rFonts w:hint="eastAsia"/>
                      <w:color w:val="auto"/>
                      <w:kern w:val="0"/>
                      <w:sz w:val="21"/>
                      <w:szCs w:val="20"/>
                    </w:rPr>
                    <w:t>排放限值（mg/m</w:t>
                  </w:r>
                  <w:r>
                    <w:rPr>
                      <w:rFonts w:hint="eastAsia"/>
                      <w:color w:val="auto"/>
                      <w:kern w:val="0"/>
                      <w:sz w:val="21"/>
                      <w:szCs w:val="20"/>
                      <w:vertAlign w:val="superscript"/>
                    </w:rPr>
                    <w:t>3</w:t>
                  </w:r>
                  <w:r>
                    <w:rPr>
                      <w:rFonts w:hint="eastAsia"/>
                      <w:color w:val="auto"/>
                      <w:kern w:val="0"/>
                      <w:sz w:val="21"/>
                      <w:szCs w:val="20"/>
                    </w:rPr>
                    <w:t>）</w:t>
                  </w:r>
                </w:p>
              </w:tc>
              <w:tc>
                <w:tcPr>
                  <w:tcW w:w="1015" w:type="dxa"/>
                  <w:tcBorders>
                    <w:top w:val="single" w:color="auto" w:sz="12" w:space="0"/>
                    <w:right w:val="nil"/>
                  </w:tcBorders>
                  <w:vAlign w:val="center"/>
                </w:tcPr>
                <w:p w14:paraId="133A66B5">
                  <w:pPr>
                    <w:adjustRightInd w:val="0"/>
                    <w:snapToGrid w:val="0"/>
                    <w:spacing w:line="240" w:lineRule="auto"/>
                    <w:jc w:val="center"/>
                    <w:rPr>
                      <w:color w:val="auto"/>
                      <w:kern w:val="0"/>
                      <w:sz w:val="21"/>
                      <w:szCs w:val="20"/>
                    </w:rPr>
                  </w:pPr>
                  <w:r>
                    <w:rPr>
                      <w:rFonts w:hint="eastAsia"/>
                      <w:color w:val="auto"/>
                      <w:kern w:val="0"/>
                      <w:sz w:val="21"/>
                      <w:szCs w:val="20"/>
                    </w:rPr>
                    <w:t>监控位置</w:t>
                  </w:r>
                </w:p>
              </w:tc>
              <w:tc>
                <w:tcPr>
                  <w:tcW w:w="3050" w:type="dxa"/>
                  <w:tcBorders>
                    <w:top w:val="single" w:color="auto" w:sz="12" w:space="0"/>
                    <w:right w:val="nil"/>
                  </w:tcBorders>
                  <w:vAlign w:val="center"/>
                </w:tcPr>
                <w:p w14:paraId="4282DFE2">
                  <w:pPr>
                    <w:adjustRightInd w:val="0"/>
                    <w:snapToGrid w:val="0"/>
                    <w:spacing w:line="240" w:lineRule="auto"/>
                    <w:jc w:val="center"/>
                    <w:rPr>
                      <w:color w:val="auto"/>
                      <w:kern w:val="0"/>
                      <w:sz w:val="21"/>
                      <w:szCs w:val="20"/>
                    </w:rPr>
                  </w:pPr>
                  <w:r>
                    <w:rPr>
                      <w:rFonts w:hint="eastAsia"/>
                      <w:color w:val="auto"/>
                      <w:kern w:val="0"/>
                      <w:sz w:val="21"/>
                      <w:szCs w:val="20"/>
                    </w:rPr>
                    <w:t>限值含义</w:t>
                  </w:r>
                </w:p>
              </w:tc>
            </w:tr>
            <w:tr w14:paraId="7B93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01" w:type="dxa"/>
                  <w:vMerge w:val="restart"/>
                  <w:tcBorders>
                    <w:left w:val="nil"/>
                  </w:tcBorders>
                  <w:vAlign w:val="center"/>
                </w:tcPr>
                <w:p w14:paraId="1FF1812B">
                  <w:pPr>
                    <w:adjustRightInd w:val="0"/>
                    <w:snapToGrid w:val="0"/>
                    <w:spacing w:line="240" w:lineRule="auto"/>
                    <w:jc w:val="center"/>
                    <w:rPr>
                      <w:color w:val="auto"/>
                      <w:kern w:val="0"/>
                      <w:sz w:val="21"/>
                      <w:szCs w:val="20"/>
                    </w:rPr>
                  </w:pPr>
                  <w:r>
                    <w:rPr>
                      <w:rFonts w:hint="eastAsia"/>
                      <w:color w:val="auto"/>
                      <w:kern w:val="0"/>
                      <w:sz w:val="21"/>
                      <w:szCs w:val="20"/>
                    </w:rPr>
                    <w:t>调漆、喷漆、烤漆、喷枪清洗，UV打印及其设备清洗</w:t>
                  </w:r>
                </w:p>
              </w:tc>
              <w:tc>
                <w:tcPr>
                  <w:tcW w:w="1650" w:type="dxa"/>
                  <w:tcBorders>
                    <w:left w:val="nil"/>
                  </w:tcBorders>
                  <w:vAlign w:val="center"/>
                </w:tcPr>
                <w:p w14:paraId="0EF5161B">
                  <w:pPr>
                    <w:adjustRightInd w:val="0"/>
                    <w:snapToGrid w:val="0"/>
                    <w:spacing w:line="240" w:lineRule="auto"/>
                    <w:jc w:val="center"/>
                    <w:rPr>
                      <w:color w:val="auto"/>
                      <w:kern w:val="0"/>
                      <w:sz w:val="21"/>
                      <w:szCs w:val="20"/>
                    </w:rPr>
                  </w:pPr>
                  <w:r>
                    <w:rPr>
                      <w:rFonts w:hint="eastAsia"/>
                      <w:color w:val="auto"/>
                      <w:kern w:val="0"/>
                      <w:sz w:val="21"/>
                      <w:szCs w:val="20"/>
                    </w:rPr>
                    <w:t>非甲烷总烃</w:t>
                  </w:r>
                </w:p>
              </w:tc>
              <w:tc>
                <w:tcPr>
                  <w:tcW w:w="1225" w:type="dxa"/>
                  <w:vAlign w:val="center"/>
                </w:tcPr>
                <w:p w14:paraId="6B5DC839">
                  <w:pPr>
                    <w:adjustRightInd w:val="0"/>
                    <w:snapToGrid w:val="0"/>
                    <w:spacing w:line="240" w:lineRule="auto"/>
                    <w:jc w:val="center"/>
                    <w:rPr>
                      <w:color w:val="auto"/>
                      <w:kern w:val="0"/>
                      <w:sz w:val="21"/>
                      <w:szCs w:val="20"/>
                    </w:rPr>
                  </w:pPr>
                  <w:r>
                    <w:rPr>
                      <w:rFonts w:hint="eastAsia"/>
                      <w:color w:val="auto"/>
                      <w:kern w:val="0"/>
                      <w:sz w:val="21"/>
                      <w:szCs w:val="20"/>
                    </w:rPr>
                    <w:t>8</w:t>
                  </w:r>
                </w:p>
              </w:tc>
              <w:tc>
                <w:tcPr>
                  <w:tcW w:w="1015" w:type="dxa"/>
                  <w:tcBorders>
                    <w:right w:val="nil"/>
                  </w:tcBorders>
                  <w:vAlign w:val="center"/>
                </w:tcPr>
                <w:p w14:paraId="07D71850">
                  <w:pPr>
                    <w:adjustRightInd w:val="0"/>
                    <w:snapToGrid w:val="0"/>
                    <w:spacing w:line="240" w:lineRule="auto"/>
                    <w:jc w:val="center"/>
                    <w:rPr>
                      <w:color w:val="auto"/>
                      <w:kern w:val="0"/>
                      <w:sz w:val="21"/>
                      <w:szCs w:val="20"/>
                    </w:rPr>
                  </w:pPr>
                  <w:r>
                    <w:rPr>
                      <w:rFonts w:hint="eastAsia"/>
                      <w:color w:val="auto"/>
                      <w:kern w:val="0"/>
                      <w:sz w:val="21"/>
                      <w:szCs w:val="20"/>
                    </w:rPr>
                    <w:t>厂区内</w:t>
                  </w:r>
                </w:p>
              </w:tc>
              <w:tc>
                <w:tcPr>
                  <w:tcW w:w="3050" w:type="dxa"/>
                  <w:tcBorders>
                    <w:right w:val="nil"/>
                  </w:tcBorders>
                  <w:vAlign w:val="center"/>
                </w:tcPr>
                <w:p w14:paraId="61CC743A">
                  <w:pPr>
                    <w:adjustRightInd w:val="0"/>
                    <w:snapToGrid w:val="0"/>
                    <w:spacing w:line="240" w:lineRule="auto"/>
                    <w:jc w:val="center"/>
                    <w:rPr>
                      <w:color w:val="auto"/>
                      <w:kern w:val="0"/>
                      <w:sz w:val="21"/>
                      <w:szCs w:val="20"/>
                    </w:rPr>
                  </w:pPr>
                  <w:r>
                    <w:rPr>
                      <w:color w:val="auto"/>
                      <w:kern w:val="0"/>
                      <w:sz w:val="21"/>
                      <w:szCs w:val="20"/>
                    </w:rPr>
                    <w:t>《工业涂装工序挥发性有机物排放标准》（DB35/1783-2018）表3</w:t>
                  </w:r>
                  <w:r>
                    <w:rPr>
                      <w:rFonts w:hint="eastAsia"/>
                      <w:color w:val="auto"/>
                      <w:kern w:val="0"/>
                      <w:sz w:val="21"/>
                      <w:szCs w:val="20"/>
                    </w:rPr>
                    <w:t>厂区内监控点浓度限值</w:t>
                  </w:r>
                </w:p>
              </w:tc>
            </w:tr>
            <w:tr w14:paraId="1A71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001" w:type="dxa"/>
                  <w:vMerge w:val="continue"/>
                  <w:tcBorders>
                    <w:left w:val="nil"/>
                  </w:tcBorders>
                  <w:vAlign w:val="center"/>
                </w:tcPr>
                <w:p w14:paraId="6C5F0A2B">
                  <w:pPr>
                    <w:adjustRightInd w:val="0"/>
                    <w:snapToGrid w:val="0"/>
                    <w:spacing w:line="240" w:lineRule="auto"/>
                    <w:jc w:val="center"/>
                    <w:rPr>
                      <w:color w:val="auto"/>
                      <w:kern w:val="0"/>
                      <w:sz w:val="21"/>
                      <w:szCs w:val="20"/>
                    </w:rPr>
                  </w:pPr>
                </w:p>
              </w:tc>
              <w:tc>
                <w:tcPr>
                  <w:tcW w:w="1650" w:type="dxa"/>
                  <w:tcBorders>
                    <w:left w:val="nil"/>
                  </w:tcBorders>
                  <w:vAlign w:val="center"/>
                </w:tcPr>
                <w:p w14:paraId="1515F601">
                  <w:pPr>
                    <w:adjustRightInd w:val="0"/>
                    <w:snapToGrid w:val="0"/>
                    <w:spacing w:line="240" w:lineRule="auto"/>
                    <w:jc w:val="center"/>
                    <w:rPr>
                      <w:color w:val="auto"/>
                      <w:kern w:val="0"/>
                      <w:sz w:val="21"/>
                      <w:szCs w:val="20"/>
                    </w:rPr>
                  </w:pPr>
                  <w:r>
                    <w:rPr>
                      <w:color w:val="auto"/>
                      <w:kern w:val="0"/>
                      <w:sz w:val="21"/>
                      <w:szCs w:val="20"/>
                    </w:rPr>
                    <w:t>乙酸乙酯</w:t>
                  </w:r>
                </w:p>
              </w:tc>
              <w:tc>
                <w:tcPr>
                  <w:tcW w:w="1225" w:type="dxa"/>
                  <w:vAlign w:val="center"/>
                </w:tcPr>
                <w:p w14:paraId="068B4AE0">
                  <w:pPr>
                    <w:adjustRightInd w:val="0"/>
                    <w:snapToGrid w:val="0"/>
                    <w:spacing w:line="240" w:lineRule="auto"/>
                    <w:jc w:val="center"/>
                    <w:rPr>
                      <w:color w:val="auto"/>
                      <w:kern w:val="0"/>
                      <w:sz w:val="21"/>
                      <w:szCs w:val="20"/>
                    </w:rPr>
                  </w:pPr>
                  <w:r>
                    <w:rPr>
                      <w:rFonts w:hint="eastAsia"/>
                      <w:color w:val="auto"/>
                      <w:kern w:val="0"/>
                      <w:sz w:val="21"/>
                      <w:szCs w:val="20"/>
                    </w:rPr>
                    <w:t>1.0</w:t>
                  </w:r>
                </w:p>
              </w:tc>
              <w:tc>
                <w:tcPr>
                  <w:tcW w:w="1015" w:type="dxa"/>
                  <w:vMerge w:val="restart"/>
                  <w:tcBorders>
                    <w:right w:val="nil"/>
                  </w:tcBorders>
                  <w:vAlign w:val="center"/>
                </w:tcPr>
                <w:p w14:paraId="28C423EE">
                  <w:pPr>
                    <w:adjustRightInd w:val="0"/>
                    <w:snapToGrid w:val="0"/>
                    <w:spacing w:line="240" w:lineRule="auto"/>
                    <w:jc w:val="center"/>
                    <w:rPr>
                      <w:color w:val="auto"/>
                      <w:kern w:val="0"/>
                      <w:sz w:val="21"/>
                      <w:szCs w:val="20"/>
                    </w:rPr>
                  </w:pPr>
                  <w:r>
                    <w:rPr>
                      <w:rFonts w:hint="eastAsia"/>
                      <w:color w:val="auto"/>
                      <w:kern w:val="0"/>
                      <w:sz w:val="21"/>
                      <w:szCs w:val="20"/>
                    </w:rPr>
                    <w:t>厂区边界</w:t>
                  </w:r>
                </w:p>
              </w:tc>
              <w:tc>
                <w:tcPr>
                  <w:tcW w:w="3050" w:type="dxa"/>
                  <w:vMerge w:val="restart"/>
                  <w:tcBorders>
                    <w:right w:val="nil"/>
                  </w:tcBorders>
                  <w:vAlign w:val="center"/>
                </w:tcPr>
                <w:p w14:paraId="07A32FEA">
                  <w:pPr>
                    <w:adjustRightInd w:val="0"/>
                    <w:snapToGrid w:val="0"/>
                    <w:spacing w:line="240" w:lineRule="auto"/>
                    <w:jc w:val="center"/>
                    <w:rPr>
                      <w:color w:val="auto"/>
                      <w:kern w:val="0"/>
                      <w:sz w:val="21"/>
                      <w:szCs w:val="20"/>
                    </w:rPr>
                  </w:pPr>
                  <w:r>
                    <w:rPr>
                      <w:color w:val="auto"/>
                      <w:kern w:val="0"/>
                      <w:sz w:val="21"/>
                      <w:szCs w:val="20"/>
                    </w:rPr>
                    <w:t>《工业涂装工序挥发性有机物排放标准》（DB35/1783-2018）表</w:t>
                  </w:r>
                  <w:r>
                    <w:rPr>
                      <w:rFonts w:hint="eastAsia"/>
                      <w:color w:val="auto"/>
                      <w:kern w:val="0"/>
                      <w:sz w:val="21"/>
                      <w:szCs w:val="20"/>
                    </w:rPr>
                    <w:t>4企业边界监控点浓度限值</w:t>
                  </w:r>
                </w:p>
              </w:tc>
            </w:tr>
            <w:tr w14:paraId="43D2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01" w:type="dxa"/>
                  <w:vMerge w:val="continue"/>
                  <w:tcBorders>
                    <w:left w:val="nil"/>
                  </w:tcBorders>
                  <w:vAlign w:val="center"/>
                </w:tcPr>
                <w:p w14:paraId="1D6A15F4">
                  <w:pPr>
                    <w:adjustRightInd w:val="0"/>
                    <w:snapToGrid w:val="0"/>
                    <w:spacing w:line="240" w:lineRule="auto"/>
                    <w:jc w:val="center"/>
                    <w:rPr>
                      <w:color w:val="auto"/>
                      <w:kern w:val="0"/>
                      <w:sz w:val="21"/>
                      <w:szCs w:val="20"/>
                    </w:rPr>
                  </w:pPr>
                </w:p>
              </w:tc>
              <w:tc>
                <w:tcPr>
                  <w:tcW w:w="1650" w:type="dxa"/>
                  <w:tcBorders>
                    <w:left w:val="nil"/>
                  </w:tcBorders>
                  <w:vAlign w:val="center"/>
                </w:tcPr>
                <w:p w14:paraId="09D8ED4A">
                  <w:pPr>
                    <w:adjustRightInd w:val="0"/>
                    <w:snapToGrid w:val="0"/>
                    <w:spacing w:line="240" w:lineRule="auto"/>
                    <w:jc w:val="center"/>
                    <w:rPr>
                      <w:color w:val="auto"/>
                      <w:kern w:val="0"/>
                      <w:sz w:val="21"/>
                      <w:szCs w:val="20"/>
                    </w:rPr>
                  </w:pPr>
                  <w:r>
                    <w:rPr>
                      <w:rFonts w:hint="eastAsia"/>
                      <w:color w:val="auto"/>
                      <w:kern w:val="0"/>
                      <w:sz w:val="21"/>
                      <w:szCs w:val="20"/>
                    </w:rPr>
                    <w:t>二甲苯</w:t>
                  </w:r>
                </w:p>
              </w:tc>
              <w:tc>
                <w:tcPr>
                  <w:tcW w:w="1225" w:type="dxa"/>
                  <w:vAlign w:val="center"/>
                </w:tcPr>
                <w:p w14:paraId="6213D379">
                  <w:pPr>
                    <w:adjustRightInd w:val="0"/>
                    <w:snapToGrid w:val="0"/>
                    <w:spacing w:line="240" w:lineRule="auto"/>
                    <w:jc w:val="center"/>
                    <w:rPr>
                      <w:color w:val="auto"/>
                      <w:kern w:val="0"/>
                      <w:sz w:val="21"/>
                      <w:szCs w:val="20"/>
                    </w:rPr>
                  </w:pPr>
                  <w:r>
                    <w:rPr>
                      <w:rFonts w:hint="eastAsia"/>
                      <w:color w:val="auto"/>
                      <w:kern w:val="0"/>
                      <w:sz w:val="21"/>
                      <w:szCs w:val="20"/>
                    </w:rPr>
                    <w:t>0.2</w:t>
                  </w:r>
                </w:p>
              </w:tc>
              <w:tc>
                <w:tcPr>
                  <w:tcW w:w="1015" w:type="dxa"/>
                  <w:vMerge w:val="continue"/>
                  <w:tcBorders>
                    <w:right w:val="nil"/>
                  </w:tcBorders>
                  <w:vAlign w:val="center"/>
                </w:tcPr>
                <w:p w14:paraId="2DA4AD83">
                  <w:pPr>
                    <w:adjustRightInd w:val="0"/>
                    <w:snapToGrid w:val="0"/>
                    <w:spacing w:line="240" w:lineRule="auto"/>
                    <w:jc w:val="center"/>
                    <w:rPr>
                      <w:color w:val="auto"/>
                      <w:kern w:val="0"/>
                      <w:sz w:val="21"/>
                      <w:szCs w:val="20"/>
                    </w:rPr>
                  </w:pPr>
                </w:p>
              </w:tc>
              <w:tc>
                <w:tcPr>
                  <w:tcW w:w="3050" w:type="dxa"/>
                  <w:vMerge w:val="continue"/>
                  <w:tcBorders>
                    <w:right w:val="nil"/>
                  </w:tcBorders>
                  <w:vAlign w:val="center"/>
                </w:tcPr>
                <w:p w14:paraId="21A14B4A">
                  <w:pPr>
                    <w:adjustRightInd w:val="0"/>
                    <w:snapToGrid w:val="0"/>
                    <w:spacing w:line="240" w:lineRule="auto"/>
                    <w:jc w:val="center"/>
                    <w:rPr>
                      <w:color w:val="auto"/>
                      <w:kern w:val="0"/>
                      <w:sz w:val="21"/>
                      <w:szCs w:val="20"/>
                    </w:rPr>
                  </w:pPr>
                </w:p>
              </w:tc>
            </w:tr>
            <w:tr w14:paraId="7B5A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01" w:type="dxa"/>
                  <w:vMerge w:val="continue"/>
                  <w:tcBorders>
                    <w:left w:val="nil"/>
                  </w:tcBorders>
                  <w:vAlign w:val="center"/>
                </w:tcPr>
                <w:p w14:paraId="6F589694">
                  <w:pPr>
                    <w:adjustRightInd w:val="0"/>
                    <w:snapToGrid w:val="0"/>
                    <w:spacing w:line="240" w:lineRule="auto"/>
                    <w:jc w:val="center"/>
                    <w:rPr>
                      <w:color w:val="auto"/>
                      <w:kern w:val="0"/>
                      <w:sz w:val="21"/>
                      <w:szCs w:val="20"/>
                    </w:rPr>
                  </w:pPr>
                </w:p>
              </w:tc>
              <w:tc>
                <w:tcPr>
                  <w:tcW w:w="1650" w:type="dxa"/>
                  <w:tcBorders>
                    <w:left w:val="nil"/>
                  </w:tcBorders>
                  <w:vAlign w:val="center"/>
                </w:tcPr>
                <w:p w14:paraId="34959903">
                  <w:pPr>
                    <w:adjustRightInd w:val="0"/>
                    <w:snapToGrid w:val="0"/>
                    <w:spacing w:line="240" w:lineRule="auto"/>
                    <w:jc w:val="center"/>
                    <w:rPr>
                      <w:color w:val="auto"/>
                      <w:kern w:val="0"/>
                      <w:sz w:val="21"/>
                      <w:szCs w:val="20"/>
                    </w:rPr>
                  </w:pPr>
                  <w:r>
                    <w:rPr>
                      <w:rFonts w:hint="eastAsia"/>
                      <w:color w:val="auto"/>
                      <w:kern w:val="0"/>
                      <w:sz w:val="21"/>
                      <w:szCs w:val="20"/>
                    </w:rPr>
                    <w:t>非甲烷总烃</w:t>
                  </w:r>
                </w:p>
              </w:tc>
              <w:tc>
                <w:tcPr>
                  <w:tcW w:w="1225" w:type="dxa"/>
                  <w:vAlign w:val="center"/>
                </w:tcPr>
                <w:p w14:paraId="6A1BDBA2">
                  <w:pPr>
                    <w:adjustRightInd w:val="0"/>
                    <w:snapToGrid w:val="0"/>
                    <w:spacing w:line="240" w:lineRule="auto"/>
                    <w:jc w:val="center"/>
                    <w:rPr>
                      <w:color w:val="auto"/>
                      <w:kern w:val="0"/>
                      <w:sz w:val="21"/>
                      <w:szCs w:val="20"/>
                    </w:rPr>
                  </w:pPr>
                  <w:r>
                    <w:rPr>
                      <w:rFonts w:hint="eastAsia"/>
                      <w:color w:val="auto"/>
                      <w:kern w:val="0"/>
                      <w:sz w:val="21"/>
                      <w:szCs w:val="20"/>
                    </w:rPr>
                    <w:t>2.0</w:t>
                  </w:r>
                </w:p>
              </w:tc>
              <w:tc>
                <w:tcPr>
                  <w:tcW w:w="1015" w:type="dxa"/>
                  <w:vMerge w:val="continue"/>
                  <w:tcBorders>
                    <w:right w:val="nil"/>
                  </w:tcBorders>
                  <w:vAlign w:val="center"/>
                </w:tcPr>
                <w:p w14:paraId="49C5C3FF">
                  <w:pPr>
                    <w:adjustRightInd w:val="0"/>
                    <w:snapToGrid w:val="0"/>
                    <w:spacing w:line="240" w:lineRule="auto"/>
                    <w:jc w:val="center"/>
                    <w:rPr>
                      <w:color w:val="auto"/>
                      <w:kern w:val="0"/>
                      <w:sz w:val="21"/>
                      <w:szCs w:val="20"/>
                    </w:rPr>
                  </w:pPr>
                </w:p>
              </w:tc>
              <w:tc>
                <w:tcPr>
                  <w:tcW w:w="3050" w:type="dxa"/>
                  <w:vMerge w:val="continue"/>
                  <w:tcBorders>
                    <w:right w:val="nil"/>
                  </w:tcBorders>
                  <w:vAlign w:val="center"/>
                </w:tcPr>
                <w:p w14:paraId="42FCE7ED">
                  <w:pPr>
                    <w:adjustRightInd w:val="0"/>
                    <w:snapToGrid w:val="0"/>
                    <w:spacing w:line="240" w:lineRule="auto"/>
                    <w:jc w:val="center"/>
                    <w:rPr>
                      <w:color w:val="auto"/>
                      <w:kern w:val="0"/>
                      <w:sz w:val="21"/>
                      <w:szCs w:val="20"/>
                    </w:rPr>
                  </w:pPr>
                </w:p>
              </w:tc>
            </w:tr>
            <w:tr w14:paraId="741C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01" w:type="dxa"/>
                  <w:tcBorders>
                    <w:left w:val="nil"/>
                    <w:bottom w:val="single" w:color="auto" w:sz="12" w:space="0"/>
                  </w:tcBorders>
                  <w:vAlign w:val="center"/>
                </w:tcPr>
                <w:p w14:paraId="50F7D902">
                  <w:pPr>
                    <w:adjustRightInd w:val="0"/>
                    <w:snapToGrid w:val="0"/>
                    <w:spacing w:line="240" w:lineRule="auto"/>
                    <w:jc w:val="center"/>
                    <w:rPr>
                      <w:color w:val="auto"/>
                      <w:kern w:val="0"/>
                      <w:sz w:val="21"/>
                      <w:szCs w:val="20"/>
                    </w:rPr>
                  </w:pPr>
                  <w:r>
                    <w:rPr>
                      <w:rFonts w:hint="eastAsia"/>
                      <w:color w:val="auto"/>
                      <w:kern w:val="0"/>
                      <w:sz w:val="21"/>
                      <w:szCs w:val="20"/>
                    </w:rPr>
                    <w:t>热压，人工组装</w:t>
                  </w:r>
                </w:p>
              </w:tc>
              <w:tc>
                <w:tcPr>
                  <w:tcW w:w="1650" w:type="dxa"/>
                  <w:tcBorders>
                    <w:left w:val="nil"/>
                    <w:bottom w:val="single" w:color="auto" w:sz="12" w:space="0"/>
                  </w:tcBorders>
                  <w:vAlign w:val="center"/>
                </w:tcPr>
                <w:p w14:paraId="4F4CF246">
                  <w:pPr>
                    <w:adjustRightInd w:val="0"/>
                    <w:snapToGrid w:val="0"/>
                    <w:spacing w:line="240" w:lineRule="auto"/>
                    <w:jc w:val="center"/>
                    <w:rPr>
                      <w:color w:val="auto"/>
                      <w:kern w:val="0"/>
                      <w:sz w:val="21"/>
                      <w:szCs w:val="20"/>
                    </w:rPr>
                  </w:pPr>
                  <w:r>
                    <w:rPr>
                      <w:rFonts w:hint="eastAsia"/>
                      <w:color w:val="auto"/>
                      <w:kern w:val="0"/>
                      <w:sz w:val="21"/>
                      <w:szCs w:val="20"/>
                    </w:rPr>
                    <w:t>非甲烷总烃</w:t>
                  </w:r>
                </w:p>
              </w:tc>
              <w:tc>
                <w:tcPr>
                  <w:tcW w:w="1225" w:type="dxa"/>
                  <w:tcBorders>
                    <w:bottom w:val="single" w:color="auto" w:sz="12" w:space="0"/>
                  </w:tcBorders>
                  <w:vAlign w:val="center"/>
                </w:tcPr>
                <w:p w14:paraId="55F74B62">
                  <w:pPr>
                    <w:adjustRightInd w:val="0"/>
                    <w:snapToGrid w:val="0"/>
                    <w:spacing w:line="240" w:lineRule="auto"/>
                    <w:jc w:val="center"/>
                    <w:rPr>
                      <w:color w:val="auto"/>
                      <w:kern w:val="0"/>
                      <w:sz w:val="21"/>
                      <w:szCs w:val="20"/>
                    </w:rPr>
                  </w:pPr>
                  <w:r>
                    <w:rPr>
                      <w:rFonts w:hint="eastAsia"/>
                      <w:color w:val="auto"/>
                      <w:kern w:val="0"/>
                      <w:sz w:val="21"/>
                      <w:szCs w:val="20"/>
                    </w:rPr>
                    <w:t>10.0</w:t>
                  </w:r>
                </w:p>
              </w:tc>
              <w:tc>
                <w:tcPr>
                  <w:tcW w:w="1015" w:type="dxa"/>
                  <w:tcBorders>
                    <w:bottom w:val="single" w:color="auto" w:sz="12" w:space="0"/>
                    <w:right w:val="nil"/>
                  </w:tcBorders>
                  <w:vAlign w:val="center"/>
                </w:tcPr>
                <w:p w14:paraId="0B13D448">
                  <w:pPr>
                    <w:adjustRightInd w:val="0"/>
                    <w:snapToGrid w:val="0"/>
                    <w:spacing w:line="240" w:lineRule="auto"/>
                    <w:jc w:val="center"/>
                    <w:rPr>
                      <w:color w:val="auto"/>
                      <w:kern w:val="0"/>
                      <w:sz w:val="21"/>
                      <w:szCs w:val="20"/>
                    </w:rPr>
                  </w:pPr>
                  <w:r>
                    <w:rPr>
                      <w:rFonts w:hint="eastAsia"/>
                      <w:color w:val="auto"/>
                      <w:kern w:val="0"/>
                      <w:sz w:val="21"/>
                      <w:szCs w:val="20"/>
                    </w:rPr>
                    <w:t>厂区内</w:t>
                  </w:r>
                </w:p>
              </w:tc>
              <w:tc>
                <w:tcPr>
                  <w:tcW w:w="3050" w:type="dxa"/>
                  <w:tcBorders>
                    <w:bottom w:val="single" w:color="auto" w:sz="12" w:space="0"/>
                    <w:right w:val="nil"/>
                  </w:tcBorders>
                  <w:vAlign w:val="center"/>
                </w:tcPr>
                <w:p w14:paraId="12C3944B">
                  <w:pPr>
                    <w:adjustRightInd w:val="0"/>
                    <w:snapToGrid w:val="0"/>
                    <w:spacing w:line="240" w:lineRule="auto"/>
                    <w:jc w:val="center"/>
                    <w:rPr>
                      <w:color w:val="auto"/>
                      <w:kern w:val="0"/>
                      <w:sz w:val="21"/>
                      <w:szCs w:val="20"/>
                    </w:rPr>
                  </w:pPr>
                  <w:r>
                    <w:rPr>
                      <w:rFonts w:hint="eastAsia"/>
                      <w:color w:val="auto"/>
                      <w:kern w:val="0"/>
                      <w:sz w:val="21"/>
                      <w:szCs w:val="20"/>
                    </w:rPr>
                    <w:t>《挥发性有机物无组织排放控制标准》（GB 37822-2019）厂区内限值</w:t>
                  </w:r>
                </w:p>
              </w:tc>
            </w:tr>
          </w:tbl>
          <w:p w14:paraId="0C64EDD9">
            <w:pPr>
              <w:pStyle w:val="4"/>
              <w:ind w:firstLine="0" w:firstLineChars="0"/>
              <w:rPr>
                <w:color w:val="auto"/>
              </w:rPr>
            </w:pPr>
            <w:r>
              <w:rPr>
                <w:rFonts w:hint="eastAsia"/>
                <w:color w:val="auto"/>
              </w:rPr>
              <w:t>3.7.3噪声污染物排放标准</w:t>
            </w:r>
          </w:p>
          <w:p w14:paraId="17055668">
            <w:pPr>
              <w:pStyle w:val="49"/>
              <w:ind w:firstLine="480"/>
              <w:jc w:val="both"/>
              <w:rPr>
                <w:color w:val="auto"/>
              </w:rPr>
            </w:pPr>
            <w:r>
              <w:rPr>
                <w:rFonts w:hint="eastAsia"/>
                <w:color w:val="auto"/>
                <w:kern w:val="0"/>
              </w:rPr>
              <w:t>本项目</w:t>
            </w:r>
            <w:r>
              <w:rPr>
                <w:color w:val="auto"/>
              </w:rPr>
              <w:t>运营期厂界噪声执行《工业企业厂界环境噪声排放标准》（GB12348-2008）中的</w:t>
            </w:r>
            <w:r>
              <w:rPr>
                <w:rFonts w:hint="eastAsia"/>
                <w:color w:val="auto"/>
              </w:rPr>
              <w:t>3</w:t>
            </w:r>
            <w:r>
              <w:rPr>
                <w:color w:val="auto"/>
              </w:rPr>
              <w:t>类标准</w:t>
            </w:r>
            <w:r>
              <w:rPr>
                <w:rFonts w:hint="eastAsia"/>
                <w:color w:val="auto"/>
              </w:rPr>
              <w:t>，</w:t>
            </w:r>
            <w:r>
              <w:rPr>
                <w:color w:val="auto"/>
              </w:rPr>
              <w:t>详见表3.7-</w:t>
            </w:r>
            <w:r>
              <w:rPr>
                <w:rFonts w:hint="eastAsia"/>
                <w:color w:val="auto"/>
              </w:rPr>
              <w:t>6</w:t>
            </w:r>
            <w:r>
              <w:rPr>
                <w:color w:val="auto"/>
              </w:rPr>
              <w:t>。</w:t>
            </w:r>
          </w:p>
          <w:p w14:paraId="42D08C94">
            <w:pPr>
              <w:pStyle w:val="49"/>
              <w:spacing w:line="240" w:lineRule="auto"/>
              <w:ind w:firstLine="0" w:firstLineChars="0"/>
              <w:jc w:val="center"/>
              <w:rPr>
                <w:b/>
                <w:bCs/>
                <w:color w:val="auto"/>
              </w:rPr>
            </w:pPr>
            <w:r>
              <w:rPr>
                <w:b/>
                <w:bCs/>
                <w:color w:val="auto"/>
              </w:rPr>
              <w:t>表3.</w:t>
            </w:r>
            <w:r>
              <w:rPr>
                <w:rFonts w:hint="eastAsia"/>
                <w:b/>
                <w:bCs/>
                <w:color w:val="auto"/>
              </w:rPr>
              <w:t>7</w:t>
            </w:r>
            <w:r>
              <w:rPr>
                <w:b/>
                <w:bCs/>
                <w:color w:val="auto"/>
              </w:rPr>
              <w:t>-</w:t>
            </w:r>
            <w:r>
              <w:rPr>
                <w:rFonts w:hint="eastAsia"/>
                <w:b/>
                <w:bCs/>
                <w:color w:val="auto"/>
              </w:rPr>
              <w:t>6</w:t>
            </w:r>
            <w:r>
              <w:rPr>
                <w:b/>
                <w:bCs/>
                <w:color w:val="auto"/>
              </w:rPr>
              <w:t xml:space="preserve">  厂界噪声排放标准</w:t>
            </w:r>
          </w:p>
          <w:tbl>
            <w:tblPr>
              <w:tblStyle w:val="30"/>
              <w:tblW w:w="7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370"/>
              <w:gridCol w:w="1953"/>
              <w:gridCol w:w="2167"/>
            </w:tblGrid>
            <w:tr w14:paraId="20F63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08" w:type="dxa"/>
                  <w:vAlign w:val="center"/>
                </w:tcPr>
                <w:p w14:paraId="55ADD777">
                  <w:pPr>
                    <w:pStyle w:val="49"/>
                    <w:ind w:firstLine="0" w:firstLineChars="0"/>
                    <w:jc w:val="center"/>
                    <w:rPr>
                      <w:color w:val="auto"/>
                      <w:sz w:val="21"/>
                      <w:szCs w:val="21"/>
                    </w:rPr>
                  </w:pPr>
                  <w:r>
                    <w:rPr>
                      <w:rFonts w:hint="eastAsia"/>
                      <w:color w:val="auto"/>
                      <w:sz w:val="21"/>
                      <w:szCs w:val="21"/>
                    </w:rPr>
                    <w:t>项目</w:t>
                  </w:r>
                </w:p>
              </w:tc>
              <w:tc>
                <w:tcPr>
                  <w:tcW w:w="2370" w:type="dxa"/>
                  <w:vAlign w:val="center"/>
                </w:tcPr>
                <w:p w14:paraId="092FD7EF">
                  <w:pPr>
                    <w:pStyle w:val="49"/>
                    <w:ind w:firstLine="0" w:firstLineChars="0"/>
                    <w:jc w:val="center"/>
                    <w:rPr>
                      <w:color w:val="auto"/>
                      <w:sz w:val="21"/>
                      <w:szCs w:val="21"/>
                    </w:rPr>
                  </w:pPr>
                  <w:r>
                    <w:rPr>
                      <w:rFonts w:hint="eastAsia"/>
                      <w:color w:val="auto"/>
                      <w:sz w:val="21"/>
                      <w:szCs w:val="21"/>
                    </w:rPr>
                    <w:t>类别</w:t>
                  </w:r>
                </w:p>
              </w:tc>
              <w:tc>
                <w:tcPr>
                  <w:tcW w:w="1953" w:type="dxa"/>
                  <w:vAlign w:val="center"/>
                </w:tcPr>
                <w:p w14:paraId="0B7BAE4A">
                  <w:pPr>
                    <w:pStyle w:val="49"/>
                    <w:ind w:firstLine="0" w:firstLineChars="0"/>
                    <w:jc w:val="center"/>
                    <w:rPr>
                      <w:color w:val="auto"/>
                      <w:sz w:val="21"/>
                      <w:szCs w:val="21"/>
                    </w:rPr>
                  </w:pPr>
                  <w:r>
                    <w:rPr>
                      <w:rFonts w:hint="eastAsia"/>
                      <w:color w:val="auto"/>
                      <w:sz w:val="21"/>
                      <w:szCs w:val="21"/>
                    </w:rPr>
                    <w:t>时段</w:t>
                  </w:r>
                </w:p>
              </w:tc>
              <w:tc>
                <w:tcPr>
                  <w:tcW w:w="2167" w:type="dxa"/>
                  <w:vAlign w:val="center"/>
                </w:tcPr>
                <w:p w14:paraId="22DA04C8">
                  <w:pPr>
                    <w:pStyle w:val="49"/>
                    <w:ind w:firstLine="0" w:firstLineChars="0"/>
                    <w:jc w:val="center"/>
                    <w:rPr>
                      <w:color w:val="auto"/>
                      <w:sz w:val="21"/>
                      <w:szCs w:val="21"/>
                    </w:rPr>
                  </w:pPr>
                  <w:r>
                    <w:rPr>
                      <w:color w:val="auto"/>
                      <w:sz w:val="21"/>
                      <w:szCs w:val="21"/>
                    </w:rPr>
                    <w:t>标准限值</w:t>
                  </w:r>
                </w:p>
              </w:tc>
            </w:tr>
            <w:tr w14:paraId="10FC1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308" w:type="dxa"/>
                  <w:vAlign w:val="center"/>
                </w:tcPr>
                <w:p w14:paraId="202128A9">
                  <w:pPr>
                    <w:pStyle w:val="49"/>
                    <w:ind w:firstLine="0" w:firstLineChars="0"/>
                    <w:jc w:val="center"/>
                    <w:rPr>
                      <w:color w:val="auto"/>
                      <w:sz w:val="21"/>
                      <w:szCs w:val="21"/>
                    </w:rPr>
                  </w:pPr>
                  <w:r>
                    <w:rPr>
                      <w:color w:val="auto"/>
                      <w:sz w:val="21"/>
                      <w:szCs w:val="21"/>
                    </w:rPr>
                    <w:t>厂界噪声</w:t>
                  </w:r>
                </w:p>
              </w:tc>
              <w:tc>
                <w:tcPr>
                  <w:tcW w:w="2370" w:type="dxa"/>
                  <w:vAlign w:val="center"/>
                </w:tcPr>
                <w:p w14:paraId="3321995D">
                  <w:pPr>
                    <w:pStyle w:val="49"/>
                    <w:ind w:firstLine="0" w:firstLineChars="0"/>
                    <w:jc w:val="center"/>
                    <w:rPr>
                      <w:color w:val="auto"/>
                      <w:sz w:val="21"/>
                      <w:szCs w:val="21"/>
                    </w:rPr>
                  </w:pPr>
                  <w:r>
                    <w:rPr>
                      <w:rFonts w:hint="eastAsia"/>
                      <w:color w:val="auto"/>
                      <w:sz w:val="21"/>
                      <w:szCs w:val="21"/>
                    </w:rPr>
                    <w:t>3</w:t>
                  </w:r>
                  <w:r>
                    <w:rPr>
                      <w:color w:val="auto"/>
                      <w:sz w:val="21"/>
                      <w:szCs w:val="21"/>
                    </w:rPr>
                    <w:t>类</w:t>
                  </w:r>
                </w:p>
              </w:tc>
              <w:tc>
                <w:tcPr>
                  <w:tcW w:w="1953" w:type="dxa"/>
                  <w:vAlign w:val="center"/>
                </w:tcPr>
                <w:p w14:paraId="2B054094">
                  <w:pPr>
                    <w:pStyle w:val="49"/>
                    <w:ind w:firstLine="0" w:firstLineChars="0"/>
                    <w:jc w:val="center"/>
                    <w:rPr>
                      <w:color w:val="auto"/>
                      <w:sz w:val="21"/>
                      <w:szCs w:val="21"/>
                    </w:rPr>
                  </w:pPr>
                  <w:r>
                    <w:rPr>
                      <w:color w:val="auto"/>
                      <w:sz w:val="21"/>
                      <w:szCs w:val="21"/>
                    </w:rPr>
                    <w:t>昼间</w:t>
                  </w:r>
                </w:p>
              </w:tc>
              <w:tc>
                <w:tcPr>
                  <w:tcW w:w="2167" w:type="dxa"/>
                  <w:vAlign w:val="center"/>
                </w:tcPr>
                <w:p w14:paraId="038B45A9">
                  <w:pPr>
                    <w:pStyle w:val="49"/>
                    <w:ind w:firstLine="0" w:firstLineChars="0"/>
                    <w:jc w:val="center"/>
                    <w:rPr>
                      <w:color w:val="auto"/>
                      <w:sz w:val="21"/>
                      <w:szCs w:val="21"/>
                    </w:rPr>
                  </w:pPr>
                  <w:r>
                    <w:rPr>
                      <w:color w:val="auto"/>
                      <w:sz w:val="21"/>
                      <w:szCs w:val="21"/>
                    </w:rPr>
                    <w:t>≤6</w:t>
                  </w:r>
                  <w:r>
                    <w:rPr>
                      <w:rFonts w:hint="eastAsia"/>
                      <w:color w:val="auto"/>
                      <w:sz w:val="21"/>
                      <w:szCs w:val="21"/>
                    </w:rPr>
                    <w:t>5</w:t>
                  </w:r>
                  <w:r>
                    <w:rPr>
                      <w:color w:val="auto"/>
                      <w:sz w:val="21"/>
                      <w:szCs w:val="21"/>
                    </w:rPr>
                    <w:t>dB(A)</w:t>
                  </w:r>
                </w:p>
              </w:tc>
            </w:tr>
          </w:tbl>
          <w:p w14:paraId="328B736B">
            <w:pPr>
              <w:pStyle w:val="4"/>
              <w:ind w:firstLine="0" w:firstLineChars="0"/>
              <w:rPr>
                <w:color w:val="auto"/>
              </w:rPr>
            </w:pPr>
            <w:r>
              <w:rPr>
                <w:rFonts w:hint="eastAsia"/>
                <w:color w:val="auto"/>
              </w:rPr>
              <w:t>3.7.4固体废物污染物处置标准</w:t>
            </w:r>
          </w:p>
          <w:p w14:paraId="2AD7945B">
            <w:pPr>
              <w:pStyle w:val="5"/>
              <w:ind w:firstLine="480"/>
              <w:rPr>
                <w:color w:val="auto"/>
              </w:rPr>
            </w:pPr>
            <w:r>
              <w:rPr>
                <w:rFonts w:hint="eastAsia" w:cs="Times New Roman"/>
                <w:color w:val="auto"/>
                <w:kern w:val="0"/>
              </w:rPr>
              <w:t>本项目运营期产生的一般工业固废按照《一般工业固体废物贮存和填埋污染控制标准》（GB18599-2020）的要求进行暂存管理；危险废物应按照《危险废物贮存污染控制标准》（GB18597-2023）中的要求进行暂存管理；生活垃圾处置执行《中华人民共和国固体废物污染环境防治法》（2020年4月29日修订版）、《城市环境卫生设施规划标准》（GB/T50337-2018）的相关规定。</w:t>
            </w:r>
          </w:p>
        </w:tc>
      </w:tr>
      <w:tr w14:paraId="727B4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19DA47F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6606725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205E521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指标</w:t>
            </w:r>
          </w:p>
        </w:tc>
        <w:tc>
          <w:tcPr>
            <w:tcW w:w="8190" w:type="dxa"/>
            <w:vAlign w:val="center"/>
          </w:tcPr>
          <w:p w14:paraId="5D813E29">
            <w:pPr>
              <w:pStyle w:val="3"/>
              <w:spacing w:before="0" w:after="0"/>
              <w:rPr>
                <w:color w:val="auto"/>
              </w:rPr>
            </w:pPr>
            <w:r>
              <w:rPr>
                <w:rFonts w:hint="eastAsia"/>
                <w:color w:val="auto"/>
              </w:rPr>
              <w:t>3.8总量控制</w:t>
            </w:r>
          </w:p>
          <w:p w14:paraId="423A8F00">
            <w:pPr>
              <w:pStyle w:val="5"/>
              <w:ind w:firstLine="480"/>
              <w:rPr>
                <w:color w:val="auto"/>
              </w:rPr>
            </w:pPr>
            <w:r>
              <w:rPr>
                <w:rFonts w:hint="eastAsia"/>
                <w:color w:val="auto"/>
              </w:rPr>
              <w:t>总</w:t>
            </w:r>
            <w:r>
              <w:rPr>
                <w:color w:val="auto"/>
              </w:rPr>
              <w:t>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w:t>
            </w:r>
          </w:p>
          <w:p w14:paraId="5B8CC040">
            <w:pPr>
              <w:pStyle w:val="5"/>
              <w:ind w:firstLine="480"/>
              <w:rPr>
                <w:color w:val="auto"/>
              </w:rPr>
            </w:pPr>
            <w:r>
              <w:rPr>
                <w:color w:val="auto"/>
              </w:rPr>
              <w:t>国家</w:t>
            </w:r>
            <w:r>
              <w:rPr>
                <w:rFonts w:hint="eastAsia" w:ascii="宋体" w:hAnsi="宋体"/>
                <w:color w:val="auto"/>
                <w:lang w:eastAsia="zh-CN"/>
              </w:rPr>
              <w:t>“</w:t>
            </w:r>
            <w:r>
              <w:rPr>
                <w:color w:val="auto"/>
              </w:rPr>
              <w:t>十四五</w:t>
            </w:r>
            <w:r>
              <w:rPr>
                <w:rFonts w:hint="eastAsia" w:ascii="宋体" w:hAnsi="宋体"/>
                <w:color w:val="auto"/>
                <w:lang w:eastAsia="zh-CN"/>
              </w:rPr>
              <w:t>”</w:t>
            </w:r>
            <w:r>
              <w:rPr>
                <w:color w:val="auto"/>
              </w:rPr>
              <w:t>期间污染物总量控制要求、《福建省人民政府关于推进排污权有偿使用和交易工作的意见</w:t>
            </w:r>
            <w:r>
              <w:rPr>
                <w:rFonts w:hint="eastAsia" w:ascii="宋体" w:hAnsi="宋体"/>
                <w:color w:val="auto"/>
              </w:rPr>
              <w:t>(</w:t>
            </w:r>
            <w:r>
              <w:rPr>
                <w:color w:val="auto"/>
              </w:rPr>
              <w:t>试行</w:t>
            </w:r>
            <w:r>
              <w:rPr>
                <w:rFonts w:hint="eastAsia" w:ascii="宋体" w:hAnsi="宋体"/>
                <w:color w:val="auto"/>
              </w:rPr>
              <w:t>)</w:t>
            </w:r>
            <w:r>
              <w:rPr>
                <w:color w:val="auto"/>
              </w:rPr>
              <w:t>》</w:t>
            </w:r>
            <w:r>
              <w:rPr>
                <w:rFonts w:hint="eastAsia" w:ascii="宋体" w:hAnsi="宋体"/>
                <w:color w:val="auto"/>
              </w:rPr>
              <w:t>(</w:t>
            </w:r>
            <w:r>
              <w:rPr>
                <w:color w:val="auto"/>
              </w:rPr>
              <w:t>闽政</w:t>
            </w:r>
            <w:r>
              <w:rPr>
                <w:rFonts w:hint="eastAsia"/>
                <w:color w:val="auto"/>
              </w:rPr>
              <w:t>〔2014〕24号</w:t>
            </w:r>
            <w:r>
              <w:rPr>
                <w:rFonts w:hint="eastAsia" w:ascii="宋体" w:hAnsi="宋体"/>
                <w:color w:val="auto"/>
              </w:rPr>
              <w:t>)</w:t>
            </w:r>
            <w:r>
              <w:rPr>
                <w:color w:val="auto"/>
              </w:rPr>
              <w:t>、《福建省环保厅关于贯彻落实</w:t>
            </w:r>
            <w:r>
              <w:rPr>
                <w:rFonts w:cs="Times New Roman"/>
                <w:color w:val="auto"/>
              </w:rPr>
              <w:t>〈</w:t>
            </w:r>
            <w:r>
              <w:rPr>
                <w:color w:val="auto"/>
              </w:rPr>
              <w:t>推进排污权有偿使用和交易工作的意见</w:t>
            </w:r>
            <w:r>
              <w:rPr>
                <w:rFonts w:hint="eastAsia" w:ascii="宋体" w:hAnsi="宋体"/>
                <w:color w:val="auto"/>
              </w:rPr>
              <w:t>(</w:t>
            </w:r>
            <w:r>
              <w:rPr>
                <w:color w:val="auto"/>
              </w:rPr>
              <w:t>试行</w:t>
            </w:r>
            <w:r>
              <w:rPr>
                <w:rFonts w:hint="eastAsia" w:ascii="宋体" w:hAnsi="宋体"/>
                <w:color w:val="auto"/>
              </w:rPr>
              <w:t>)〉的通知》(</w:t>
            </w:r>
            <w:r>
              <w:rPr>
                <w:color w:val="auto"/>
              </w:rPr>
              <w:t>闽环发</w:t>
            </w:r>
            <w:r>
              <w:rPr>
                <w:rFonts w:hint="eastAsia"/>
                <w:color w:val="auto"/>
              </w:rPr>
              <w:t>〔2014〕9号</w:t>
            </w:r>
            <w:r>
              <w:rPr>
                <w:rFonts w:hint="eastAsia" w:ascii="宋体" w:hAnsi="宋体"/>
                <w:color w:val="auto"/>
              </w:rPr>
              <w:t>)</w:t>
            </w:r>
            <w:r>
              <w:rPr>
                <w:color w:val="auto"/>
              </w:rPr>
              <w:t>、《福建省环保厅关于环评审批中落实排污权交易工作要求的通知》</w:t>
            </w:r>
            <w:r>
              <w:rPr>
                <w:rFonts w:hint="eastAsia" w:ascii="宋体" w:hAnsi="宋体"/>
                <w:color w:val="auto"/>
              </w:rPr>
              <w:t>(</w:t>
            </w:r>
            <w:r>
              <w:rPr>
                <w:color w:val="auto"/>
              </w:rPr>
              <w:t>闽环保评</w:t>
            </w:r>
            <w:r>
              <w:rPr>
                <w:rFonts w:hint="eastAsia"/>
                <w:color w:val="auto"/>
              </w:rPr>
              <w:t>〔2014〕43号</w:t>
            </w:r>
            <w:r>
              <w:rPr>
                <w:rFonts w:hint="eastAsia" w:ascii="宋体" w:hAnsi="宋体"/>
                <w:color w:val="auto"/>
              </w:rPr>
              <w:t>)</w:t>
            </w:r>
            <w:r>
              <w:rPr>
                <w:color w:val="auto"/>
              </w:rPr>
              <w:t>等有关文件要求。</w:t>
            </w:r>
          </w:p>
          <w:p w14:paraId="41B83B81">
            <w:pPr>
              <w:pStyle w:val="4"/>
              <w:ind w:firstLine="0" w:firstLineChars="0"/>
              <w:rPr>
                <w:color w:val="auto"/>
              </w:rPr>
            </w:pPr>
            <w:r>
              <w:rPr>
                <w:rFonts w:hint="eastAsia"/>
                <w:color w:val="auto"/>
              </w:rPr>
              <w:t>3.8.1</w:t>
            </w:r>
            <w:r>
              <w:rPr>
                <w:bCs/>
                <w:color w:val="auto"/>
              </w:rPr>
              <w:t>水污染排放总量控制</w:t>
            </w:r>
          </w:p>
          <w:p w14:paraId="53CF9F0D">
            <w:pPr>
              <w:pStyle w:val="5"/>
              <w:ind w:firstLine="480"/>
              <w:rPr>
                <w:color w:val="auto"/>
              </w:rPr>
            </w:pPr>
            <w:r>
              <w:rPr>
                <w:rFonts w:hint="eastAsia" w:cs="Times New Roman"/>
                <w:color w:val="auto"/>
              </w:rPr>
              <w:t>本</w:t>
            </w:r>
            <w:r>
              <w:rPr>
                <w:rFonts w:cs="Times New Roman"/>
                <w:color w:val="auto"/>
              </w:rPr>
              <w:t>项目</w:t>
            </w:r>
            <w:r>
              <w:rPr>
                <w:rFonts w:hint="eastAsia"/>
                <w:color w:val="auto"/>
              </w:rPr>
              <w:t>职工生活污水依托园区内已建化粪池处理达《污水综合排放标准》（GB8978-1996）表4中三级标准（其中，氨氮参照执行《污水排入城市下水道水质标准》（GB/T31962-2015）表1的B级标准）后统一纳入市政污水管网，由大学城污水处理厂集中处理，对周边环境影响较小。</w:t>
            </w:r>
          </w:p>
          <w:p w14:paraId="5F1591BC">
            <w:pPr>
              <w:pStyle w:val="5"/>
              <w:ind w:firstLine="480"/>
              <w:rPr>
                <w:color w:val="auto"/>
              </w:rPr>
            </w:pPr>
            <w:r>
              <w:rPr>
                <w:rFonts w:hint="eastAsia"/>
                <w:color w:val="auto"/>
              </w:rPr>
              <w:t>根据福建省环保厅关于印发《福建省主要污染物排污权指标核定管理办法（试行）》的通知（闽环发〔2014〕12号），生活污水排放暂不需要购买相应的排污权指标，因此，无需申请总量控制指标。</w:t>
            </w:r>
          </w:p>
          <w:p w14:paraId="5984B53C">
            <w:pPr>
              <w:pStyle w:val="4"/>
              <w:ind w:firstLine="0" w:firstLineChars="0"/>
              <w:rPr>
                <w:color w:val="auto"/>
              </w:rPr>
            </w:pPr>
            <w:r>
              <w:rPr>
                <w:rFonts w:hint="eastAsia"/>
                <w:color w:val="auto"/>
              </w:rPr>
              <w:t>3.8.2废气总量</w:t>
            </w:r>
          </w:p>
          <w:p w14:paraId="532993C4">
            <w:pPr>
              <w:pStyle w:val="5"/>
              <w:ind w:firstLine="480"/>
              <w:rPr>
                <w:color w:val="auto"/>
              </w:rPr>
            </w:pPr>
            <w:r>
              <w:rPr>
                <w:rFonts w:hint="eastAsia"/>
                <w:color w:val="auto"/>
              </w:rPr>
              <w:t>（1）VOCs总量控制</w:t>
            </w:r>
          </w:p>
          <w:p w14:paraId="7D169F4A">
            <w:pPr>
              <w:pStyle w:val="5"/>
              <w:ind w:firstLine="480"/>
              <w:rPr>
                <w:color w:val="auto"/>
              </w:rPr>
            </w:pPr>
            <w:r>
              <w:rPr>
                <w:rFonts w:hint="eastAsia"/>
                <w:color w:val="auto"/>
              </w:rPr>
              <w:t>根据《福州市环境保护局关于印发福州市大气污染联防控联治工作方案的通知》榕环保综〔2018〕386号：VOCs排放实行区域内倍量替代，新、改扩建涉VOCs排放项目，应从源头加强控制，使用</w:t>
            </w:r>
            <w:r>
              <w:rPr>
                <w:rFonts w:hint="eastAsia"/>
                <w:color w:val="auto"/>
                <w:highlight w:val="none"/>
              </w:rPr>
              <w:t>低（无）VOCs含量的原辅材料，加强废气收集、安装高效治理设施。根据工程分析可知，本项目需申请的总量控制指标为VOCs（非甲烷总烃、二甲苯、乙酸乙酯与乙酸丁酯合计）的排放总量为：</w:t>
            </w:r>
            <w:r>
              <w:rPr>
                <w:rFonts w:hint="eastAsia"/>
                <w:color w:val="auto"/>
                <w:highlight w:val="none"/>
                <w:lang w:val="en-US" w:eastAsia="zh-CN"/>
              </w:rPr>
              <w:t>0.28443</w:t>
            </w:r>
            <w:r>
              <w:rPr>
                <w:rFonts w:hint="eastAsia"/>
                <w:color w:val="auto"/>
                <w:highlight w:val="none"/>
              </w:rPr>
              <w:t>t/a。由建设单位向当</w:t>
            </w:r>
            <w:r>
              <w:rPr>
                <w:rFonts w:hint="eastAsia"/>
                <w:color w:val="auto"/>
              </w:rPr>
              <w:t>地生态环境主管部门申请区域削减替代。</w:t>
            </w:r>
          </w:p>
          <w:p w14:paraId="67E9D8F6">
            <w:pPr>
              <w:spacing w:line="240" w:lineRule="auto"/>
              <w:jc w:val="center"/>
              <w:rPr>
                <w:b/>
                <w:color w:val="auto"/>
                <w:szCs w:val="20"/>
              </w:rPr>
            </w:pPr>
            <w:r>
              <w:rPr>
                <w:b/>
                <w:color w:val="auto"/>
                <w:szCs w:val="20"/>
              </w:rPr>
              <w:t>表3.8-</w:t>
            </w:r>
            <w:r>
              <w:rPr>
                <w:rFonts w:hint="eastAsia"/>
                <w:b/>
                <w:color w:val="auto"/>
                <w:szCs w:val="20"/>
              </w:rPr>
              <w:t>1</w:t>
            </w:r>
            <w:r>
              <w:rPr>
                <w:b/>
                <w:color w:val="auto"/>
                <w:szCs w:val="20"/>
              </w:rPr>
              <w:t xml:space="preserve"> </w:t>
            </w:r>
            <w:r>
              <w:rPr>
                <w:rFonts w:hint="eastAsia"/>
                <w:b/>
                <w:color w:val="auto"/>
                <w:szCs w:val="20"/>
              </w:rPr>
              <w:t xml:space="preserve"> </w:t>
            </w:r>
            <w:r>
              <w:rPr>
                <w:b/>
                <w:color w:val="auto"/>
                <w:szCs w:val="20"/>
              </w:rPr>
              <w:t>本项目废气污染物建议性控制指标总量一览表  单位:t/a</w:t>
            </w:r>
          </w:p>
          <w:tbl>
            <w:tblPr>
              <w:tblStyle w:val="31"/>
              <w:tblW w:w="79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442"/>
              <w:gridCol w:w="1466"/>
              <w:gridCol w:w="1200"/>
              <w:gridCol w:w="2434"/>
            </w:tblGrid>
            <w:tr w14:paraId="7211F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442" w:type="dxa"/>
                  <w:tcBorders>
                    <w:tl2br w:val="nil"/>
                    <w:tr2bl w:val="nil"/>
                  </w:tcBorders>
                  <w:vAlign w:val="center"/>
                </w:tcPr>
                <w:p w14:paraId="1135319B">
                  <w:pPr>
                    <w:spacing w:line="240" w:lineRule="auto"/>
                    <w:jc w:val="center"/>
                    <w:rPr>
                      <w:color w:val="auto"/>
                      <w:sz w:val="21"/>
                      <w:szCs w:val="21"/>
                    </w:rPr>
                  </w:pPr>
                  <w:r>
                    <w:rPr>
                      <w:color w:val="auto"/>
                      <w:sz w:val="21"/>
                      <w:szCs w:val="21"/>
                    </w:rPr>
                    <w:t>总量控制项目</w:t>
                  </w:r>
                </w:p>
              </w:tc>
              <w:tc>
                <w:tcPr>
                  <w:tcW w:w="1442" w:type="dxa"/>
                  <w:tcBorders>
                    <w:tl2br w:val="nil"/>
                    <w:tr2bl w:val="nil"/>
                  </w:tcBorders>
                  <w:vAlign w:val="center"/>
                </w:tcPr>
                <w:p w14:paraId="40BCD1CA">
                  <w:pPr>
                    <w:spacing w:line="240" w:lineRule="auto"/>
                    <w:jc w:val="center"/>
                    <w:rPr>
                      <w:color w:val="auto"/>
                      <w:sz w:val="21"/>
                      <w:szCs w:val="21"/>
                    </w:rPr>
                  </w:pPr>
                  <w:r>
                    <w:rPr>
                      <w:color w:val="auto"/>
                      <w:sz w:val="21"/>
                      <w:szCs w:val="21"/>
                    </w:rPr>
                    <w:t>有组织排放量</w:t>
                  </w:r>
                </w:p>
              </w:tc>
              <w:tc>
                <w:tcPr>
                  <w:tcW w:w="1466" w:type="dxa"/>
                  <w:tcBorders>
                    <w:tl2br w:val="nil"/>
                    <w:tr2bl w:val="nil"/>
                  </w:tcBorders>
                  <w:vAlign w:val="center"/>
                </w:tcPr>
                <w:p w14:paraId="26C8FAFD">
                  <w:pPr>
                    <w:spacing w:line="240" w:lineRule="auto"/>
                    <w:jc w:val="center"/>
                    <w:rPr>
                      <w:color w:val="auto"/>
                      <w:sz w:val="21"/>
                      <w:szCs w:val="21"/>
                    </w:rPr>
                  </w:pPr>
                  <w:r>
                    <w:rPr>
                      <w:color w:val="auto"/>
                      <w:sz w:val="21"/>
                      <w:szCs w:val="21"/>
                    </w:rPr>
                    <w:t>无组织排放量</w:t>
                  </w:r>
                </w:p>
              </w:tc>
              <w:tc>
                <w:tcPr>
                  <w:tcW w:w="1200" w:type="dxa"/>
                  <w:tcBorders>
                    <w:tl2br w:val="nil"/>
                    <w:tr2bl w:val="nil"/>
                  </w:tcBorders>
                  <w:vAlign w:val="center"/>
                </w:tcPr>
                <w:p w14:paraId="07519621">
                  <w:pPr>
                    <w:spacing w:line="240" w:lineRule="auto"/>
                    <w:jc w:val="center"/>
                    <w:rPr>
                      <w:color w:val="auto"/>
                      <w:sz w:val="21"/>
                      <w:szCs w:val="21"/>
                    </w:rPr>
                  </w:pPr>
                  <w:r>
                    <w:rPr>
                      <w:color w:val="auto"/>
                      <w:sz w:val="21"/>
                      <w:szCs w:val="21"/>
                    </w:rPr>
                    <w:t>排放总量</w:t>
                  </w:r>
                </w:p>
              </w:tc>
              <w:tc>
                <w:tcPr>
                  <w:tcW w:w="2434" w:type="dxa"/>
                  <w:tcBorders>
                    <w:tl2br w:val="nil"/>
                    <w:tr2bl w:val="nil"/>
                  </w:tcBorders>
                  <w:vAlign w:val="center"/>
                </w:tcPr>
                <w:p w14:paraId="5FF917C6">
                  <w:pPr>
                    <w:spacing w:line="240" w:lineRule="auto"/>
                    <w:jc w:val="center"/>
                    <w:rPr>
                      <w:color w:val="auto"/>
                      <w:sz w:val="21"/>
                      <w:szCs w:val="21"/>
                    </w:rPr>
                  </w:pPr>
                  <w:r>
                    <w:rPr>
                      <w:color w:val="auto"/>
                      <w:sz w:val="21"/>
                      <w:szCs w:val="21"/>
                    </w:rPr>
                    <w:t>评价建议总量控制指标</w:t>
                  </w:r>
                  <w:r>
                    <w:rPr>
                      <w:rFonts w:hint="eastAsia"/>
                      <w:color w:val="auto"/>
                      <w:sz w:val="21"/>
                      <w:szCs w:val="21"/>
                    </w:rPr>
                    <w:t>（污染物*1.2倍）</w:t>
                  </w:r>
                </w:p>
              </w:tc>
            </w:tr>
            <w:tr w14:paraId="2EE55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42" w:type="dxa"/>
                  <w:tcBorders>
                    <w:tl2br w:val="nil"/>
                    <w:tr2bl w:val="nil"/>
                  </w:tcBorders>
                  <w:vAlign w:val="center"/>
                </w:tcPr>
                <w:p w14:paraId="3580B95D">
                  <w:pPr>
                    <w:spacing w:line="240" w:lineRule="auto"/>
                    <w:jc w:val="center"/>
                    <w:rPr>
                      <w:color w:val="auto"/>
                      <w:sz w:val="21"/>
                      <w:szCs w:val="21"/>
                    </w:rPr>
                  </w:pPr>
                  <w:r>
                    <w:rPr>
                      <w:color w:val="auto"/>
                      <w:sz w:val="21"/>
                      <w:szCs w:val="21"/>
                    </w:rPr>
                    <w:t>非甲烷总烃</w:t>
                  </w:r>
                </w:p>
              </w:tc>
              <w:tc>
                <w:tcPr>
                  <w:tcW w:w="1442" w:type="dxa"/>
                  <w:tcBorders>
                    <w:tl2br w:val="nil"/>
                    <w:tr2bl w:val="nil"/>
                  </w:tcBorders>
                  <w:vAlign w:val="center"/>
                </w:tcPr>
                <w:p w14:paraId="2654055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0.14925</w:t>
                  </w:r>
                </w:p>
              </w:tc>
              <w:tc>
                <w:tcPr>
                  <w:tcW w:w="1466" w:type="dxa"/>
                  <w:tcBorders>
                    <w:tl2br w:val="nil"/>
                    <w:tr2bl w:val="nil"/>
                  </w:tcBorders>
                  <w:vAlign w:val="center"/>
                </w:tcPr>
                <w:p w14:paraId="005EC629">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0.06888</w:t>
                  </w:r>
                </w:p>
              </w:tc>
              <w:tc>
                <w:tcPr>
                  <w:tcW w:w="1200" w:type="dxa"/>
                  <w:tcBorders>
                    <w:tl2br w:val="nil"/>
                    <w:tr2bl w:val="nil"/>
                  </w:tcBorders>
                  <w:vAlign w:val="center"/>
                </w:tcPr>
                <w:p w14:paraId="4EE4D2A8">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0.2181</w:t>
                  </w:r>
                </w:p>
              </w:tc>
              <w:tc>
                <w:tcPr>
                  <w:tcW w:w="2434" w:type="dxa"/>
                  <w:tcBorders>
                    <w:tl2br w:val="nil"/>
                    <w:tr2bl w:val="nil"/>
                  </w:tcBorders>
                  <w:vAlign w:val="center"/>
                </w:tcPr>
                <w:p w14:paraId="3B7266F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0.26176</w:t>
                  </w:r>
                </w:p>
              </w:tc>
            </w:tr>
            <w:tr w14:paraId="52F2D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42" w:type="dxa"/>
                  <w:tcBorders>
                    <w:tl2br w:val="nil"/>
                    <w:tr2bl w:val="nil"/>
                  </w:tcBorders>
                  <w:vAlign w:val="center"/>
                </w:tcPr>
                <w:p w14:paraId="2EF79BE1">
                  <w:pPr>
                    <w:spacing w:line="240" w:lineRule="auto"/>
                    <w:jc w:val="center"/>
                    <w:rPr>
                      <w:color w:val="auto"/>
                      <w:sz w:val="21"/>
                      <w:szCs w:val="21"/>
                    </w:rPr>
                  </w:pPr>
                  <w:r>
                    <w:rPr>
                      <w:rFonts w:hint="eastAsia"/>
                      <w:color w:val="auto"/>
                      <w:sz w:val="21"/>
                      <w:szCs w:val="21"/>
                    </w:rPr>
                    <w:t>二甲苯</w:t>
                  </w:r>
                </w:p>
              </w:tc>
              <w:tc>
                <w:tcPr>
                  <w:tcW w:w="1442" w:type="dxa"/>
                  <w:tcBorders>
                    <w:tl2br w:val="nil"/>
                    <w:tr2bl w:val="nil"/>
                  </w:tcBorders>
                  <w:vAlign w:val="center"/>
                </w:tcPr>
                <w:p w14:paraId="6C23DEC7">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0.03375</w:t>
                  </w:r>
                </w:p>
              </w:tc>
              <w:tc>
                <w:tcPr>
                  <w:tcW w:w="1466" w:type="dxa"/>
                  <w:tcBorders>
                    <w:tl2br w:val="nil"/>
                    <w:tr2bl w:val="nil"/>
                  </w:tcBorders>
                  <w:vAlign w:val="center"/>
                </w:tcPr>
                <w:p w14:paraId="3726628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1200" w:type="dxa"/>
                  <w:tcBorders>
                    <w:tl2br w:val="nil"/>
                    <w:tr2bl w:val="nil"/>
                  </w:tcBorders>
                  <w:vAlign w:val="center"/>
                </w:tcPr>
                <w:p w14:paraId="569F37D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0.04875</w:t>
                  </w:r>
                </w:p>
              </w:tc>
              <w:tc>
                <w:tcPr>
                  <w:tcW w:w="2434" w:type="dxa"/>
                  <w:tcBorders>
                    <w:tl2br w:val="nil"/>
                    <w:tr2bl w:val="nil"/>
                  </w:tcBorders>
                  <w:vAlign w:val="center"/>
                </w:tcPr>
                <w:p w14:paraId="352E795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0.0585</w:t>
                  </w:r>
                </w:p>
              </w:tc>
            </w:tr>
            <w:tr w14:paraId="70C2C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42" w:type="dxa"/>
                  <w:tcBorders>
                    <w:tl2br w:val="nil"/>
                    <w:tr2bl w:val="nil"/>
                  </w:tcBorders>
                  <w:vAlign w:val="center"/>
                </w:tcPr>
                <w:p w14:paraId="4919E8AC">
                  <w:pPr>
                    <w:spacing w:line="240" w:lineRule="auto"/>
                    <w:jc w:val="center"/>
                    <w:rPr>
                      <w:color w:val="auto"/>
                      <w:sz w:val="21"/>
                      <w:szCs w:val="21"/>
                    </w:rPr>
                  </w:pPr>
                  <w:r>
                    <w:rPr>
                      <w:color w:val="auto"/>
                      <w:sz w:val="21"/>
                      <w:szCs w:val="21"/>
                    </w:rPr>
                    <w:t>乙酸乙酯与乙酸丁酯合计</w:t>
                  </w:r>
                </w:p>
              </w:tc>
              <w:tc>
                <w:tcPr>
                  <w:tcW w:w="1442" w:type="dxa"/>
                  <w:tcBorders>
                    <w:tl2br w:val="nil"/>
                    <w:tr2bl w:val="nil"/>
                  </w:tcBorders>
                  <w:vAlign w:val="center"/>
                </w:tcPr>
                <w:p w14:paraId="01FFE1BC">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0.01215</w:t>
                  </w:r>
                </w:p>
              </w:tc>
              <w:tc>
                <w:tcPr>
                  <w:tcW w:w="1466" w:type="dxa"/>
                  <w:tcBorders>
                    <w:tl2br w:val="nil"/>
                    <w:tr2bl w:val="nil"/>
                  </w:tcBorders>
                  <w:vAlign w:val="center"/>
                </w:tcPr>
                <w:p w14:paraId="5083953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1200" w:type="dxa"/>
                  <w:tcBorders>
                    <w:tl2br w:val="nil"/>
                    <w:tr2bl w:val="nil"/>
                  </w:tcBorders>
                  <w:vAlign w:val="center"/>
                </w:tcPr>
                <w:p w14:paraId="62FFD6A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0.01755</w:t>
                  </w:r>
                </w:p>
              </w:tc>
              <w:tc>
                <w:tcPr>
                  <w:tcW w:w="2434" w:type="dxa"/>
                  <w:tcBorders>
                    <w:tl2br w:val="nil"/>
                    <w:tr2bl w:val="nil"/>
                  </w:tcBorders>
                  <w:vAlign w:val="center"/>
                </w:tcPr>
                <w:p w14:paraId="0BDB2262">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0.02106</w:t>
                  </w:r>
                </w:p>
              </w:tc>
            </w:tr>
            <w:tr w14:paraId="4ED97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350" w:type="dxa"/>
                  <w:gridSpan w:val="3"/>
                  <w:tcBorders>
                    <w:tl2br w:val="nil"/>
                    <w:tr2bl w:val="nil"/>
                  </w:tcBorders>
                  <w:vAlign w:val="center"/>
                </w:tcPr>
                <w:p w14:paraId="7C96FA82">
                  <w:pPr>
                    <w:widowControl/>
                    <w:jc w:val="center"/>
                    <w:textAlignment w:val="center"/>
                    <w:rPr>
                      <w:color w:val="auto"/>
                      <w:kern w:val="0"/>
                      <w:sz w:val="21"/>
                      <w:szCs w:val="21"/>
                      <w:lang w:bidi="ar"/>
                    </w:rPr>
                  </w:pPr>
                  <w:r>
                    <w:rPr>
                      <w:rFonts w:hint="eastAsia"/>
                      <w:color w:val="auto"/>
                      <w:kern w:val="0"/>
                      <w:sz w:val="21"/>
                      <w:szCs w:val="21"/>
                      <w:lang w:bidi="ar"/>
                    </w:rPr>
                    <w:t>合计</w:t>
                  </w:r>
                </w:p>
              </w:tc>
              <w:tc>
                <w:tcPr>
                  <w:tcW w:w="1200" w:type="dxa"/>
                  <w:tcBorders>
                    <w:tl2br w:val="nil"/>
                    <w:tr2bl w:val="nil"/>
                  </w:tcBorders>
                  <w:vAlign w:val="center"/>
                </w:tcPr>
                <w:p w14:paraId="47154915">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0.28443</w:t>
                  </w:r>
                </w:p>
              </w:tc>
              <w:tc>
                <w:tcPr>
                  <w:tcW w:w="2434" w:type="dxa"/>
                  <w:tcBorders>
                    <w:tl2br w:val="nil"/>
                    <w:tr2bl w:val="nil"/>
                  </w:tcBorders>
                  <w:vAlign w:val="center"/>
                </w:tcPr>
                <w:p w14:paraId="16A18E36">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0.34132</w:t>
                  </w:r>
                </w:p>
              </w:tc>
            </w:tr>
          </w:tbl>
          <w:p w14:paraId="06BBECE2">
            <w:pPr>
              <w:pStyle w:val="5"/>
              <w:ind w:firstLine="480"/>
              <w:rPr>
                <w:color w:val="auto"/>
              </w:rPr>
            </w:pPr>
            <w:r>
              <w:rPr>
                <w:rFonts w:hint="eastAsia"/>
                <w:color w:val="auto"/>
              </w:rPr>
              <w:t>建设单位需按照标准严格控制其排放，VOCs总量通过区域调剂来获得。最终的总量控制指标以本报告表报批环保行政主管部门后核定的总量为准。</w:t>
            </w:r>
          </w:p>
        </w:tc>
      </w:tr>
    </w:tbl>
    <w:p w14:paraId="7F2B1AA2">
      <w:pPr>
        <w:outlineLvl w:val="0"/>
        <w:rPr>
          <w:rStyle w:val="43"/>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3A9B203">
      <w:pPr>
        <w:pStyle w:val="2"/>
        <w:spacing w:before="0" w:after="0" w:line="360" w:lineRule="auto"/>
        <w:ind w:left="0" w:firstLine="0"/>
        <w:jc w:val="center"/>
        <w:rPr>
          <w:b w:val="0"/>
          <w:bCs w:val="0"/>
          <w:color w:val="auto"/>
        </w:rPr>
      </w:pPr>
      <w:r>
        <w:rPr>
          <w:rFonts w:hint="eastAsia"/>
          <w:b w:val="0"/>
          <w:bCs w:val="0"/>
          <w:color w:val="auto"/>
        </w:rPr>
        <w:t>四、主要环境影响和保护措施</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7DBB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746" w:type="dxa"/>
            <w:tcMar>
              <w:left w:w="28" w:type="dxa"/>
              <w:right w:w="28" w:type="dxa"/>
            </w:tcMar>
            <w:vAlign w:val="center"/>
          </w:tcPr>
          <w:p w14:paraId="101EEBFE">
            <w:pPr>
              <w:jc w:val="center"/>
              <w:rPr>
                <w:rFonts w:cs="宋体"/>
                <w:bCs/>
                <w:color w:val="auto"/>
                <w:szCs w:val="21"/>
              </w:rPr>
            </w:pPr>
            <w:r>
              <w:rPr>
                <w:rFonts w:hint="eastAsia"/>
                <w:color w:val="auto"/>
              </w:rPr>
              <w:t>施工期环境保护措施</w:t>
            </w:r>
          </w:p>
        </w:tc>
        <w:tc>
          <w:tcPr>
            <w:tcW w:w="8162" w:type="dxa"/>
            <w:vAlign w:val="center"/>
          </w:tcPr>
          <w:p w14:paraId="0D502D05">
            <w:pPr>
              <w:pStyle w:val="5"/>
              <w:ind w:firstLine="480"/>
              <w:rPr>
                <w:color w:val="auto"/>
              </w:rPr>
            </w:pPr>
            <w:r>
              <w:rPr>
                <w:rFonts w:hint="eastAsia"/>
                <w:color w:val="auto"/>
              </w:rPr>
              <w:t>本项目位于福建省闽侯县南屿镇智慧大道20号保利通信福州高新科技产业园13号楼，厂房已建成。项目施工期主要为设备安装、调试阶段产生的环境问题，本项目设备安装、调试简单，且时间较短，因此，随着设备安装、调试完毕后，项目施工期也将结束，施工期环境影响也随着消失，不会对周边环境噪声影响。</w:t>
            </w:r>
          </w:p>
        </w:tc>
      </w:tr>
      <w:tr w14:paraId="14896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5" w:hRule="atLeast"/>
          <w:jc w:val="center"/>
        </w:trPr>
        <w:tc>
          <w:tcPr>
            <w:tcW w:w="746" w:type="dxa"/>
            <w:tcMar>
              <w:left w:w="28" w:type="dxa"/>
              <w:right w:w="28" w:type="dxa"/>
            </w:tcMar>
            <w:vAlign w:val="center"/>
          </w:tcPr>
          <w:p w14:paraId="245640A6">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运营期环境影响和保护措施</w:t>
            </w:r>
          </w:p>
        </w:tc>
        <w:tc>
          <w:tcPr>
            <w:tcW w:w="8162" w:type="dxa"/>
            <w:vAlign w:val="center"/>
          </w:tcPr>
          <w:p w14:paraId="1BFAD522">
            <w:pPr>
              <w:pStyle w:val="3"/>
              <w:spacing w:before="0" w:after="0"/>
              <w:rPr>
                <w:color w:val="auto"/>
              </w:rPr>
            </w:pPr>
            <w:r>
              <w:rPr>
                <w:rFonts w:hint="eastAsia"/>
                <w:color w:val="auto"/>
              </w:rPr>
              <w:t>4.1运营期水环境影响分析和污染防治措施</w:t>
            </w:r>
          </w:p>
          <w:p w14:paraId="00CF2F01">
            <w:pPr>
              <w:pStyle w:val="4"/>
              <w:ind w:firstLine="0" w:firstLineChars="0"/>
              <w:rPr>
                <w:color w:val="auto"/>
              </w:rPr>
            </w:pPr>
            <w:r>
              <w:rPr>
                <w:rFonts w:hint="eastAsia"/>
                <w:color w:val="auto"/>
              </w:rPr>
              <w:t>4.1.1运营期废水源强核算</w:t>
            </w:r>
          </w:p>
          <w:p w14:paraId="274AEEF0">
            <w:pPr>
              <w:ind w:firstLine="480" w:firstLineChars="200"/>
              <w:rPr>
                <w:color w:val="auto"/>
              </w:rPr>
            </w:pPr>
            <w:r>
              <w:rPr>
                <w:rFonts w:hint="eastAsia"/>
                <w:color w:val="auto"/>
              </w:rPr>
              <w:t>（1）水帘柜用水</w:t>
            </w:r>
          </w:p>
          <w:p w14:paraId="4544AAE0">
            <w:pPr>
              <w:pStyle w:val="5"/>
              <w:ind w:firstLine="480"/>
              <w:rPr>
                <w:color w:val="auto"/>
              </w:rPr>
            </w:pPr>
            <w:r>
              <w:rPr>
                <w:color w:val="auto"/>
              </w:rPr>
              <w:t>项目喷漆工序拟设置1个喷漆水帘，喷漆水帘柜在喷漆过程中有少量有机物进入水中形成了含漆废水</w:t>
            </w:r>
            <w:r>
              <w:rPr>
                <w:rFonts w:hint="eastAsia"/>
                <w:color w:val="auto"/>
              </w:rPr>
              <w:t>。根据建设单位提供资料，</w:t>
            </w:r>
            <w:r>
              <w:rPr>
                <w:color w:val="auto"/>
              </w:rPr>
              <w:t>水帘柜循环水池的储水量约为</w:t>
            </w:r>
            <w:r>
              <w:rPr>
                <w:rFonts w:hint="eastAsia"/>
                <w:color w:val="auto"/>
              </w:rPr>
              <w:t>4</w:t>
            </w:r>
            <w:r>
              <w:rPr>
                <w:color w:val="auto"/>
              </w:rPr>
              <w:t>m</w:t>
            </w:r>
            <w:r>
              <w:rPr>
                <w:color w:val="auto"/>
                <w:vertAlign w:val="superscript"/>
              </w:rPr>
              <w:t>3</w:t>
            </w:r>
            <w:r>
              <w:rPr>
                <w:color w:val="auto"/>
              </w:rPr>
              <w:t>。项目喷漆水帘柜用水对水质要求不高，建设单位在</w:t>
            </w:r>
            <w:r>
              <w:rPr>
                <w:rFonts w:hint="eastAsia"/>
                <w:color w:val="auto"/>
              </w:rPr>
              <w:t>循环水池中</w:t>
            </w:r>
            <w:r>
              <w:rPr>
                <w:color w:val="auto"/>
              </w:rPr>
              <w:t>直接添加漆雾絮凝剂</w:t>
            </w:r>
            <w:r>
              <w:rPr>
                <w:rFonts w:hint="eastAsia"/>
                <w:color w:val="auto"/>
              </w:rPr>
              <w:t>作沉渣处理，</w:t>
            </w:r>
            <w:r>
              <w:rPr>
                <w:color w:val="auto"/>
              </w:rPr>
              <w:t>净化处理</w:t>
            </w:r>
            <w:r>
              <w:rPr>
                <w:rFonts w:hint="eastAsia"/>
                <w:color w:val="auto"/>
              </w:rPr>
              <w:t>的水</w:t>
            </w:r>
            <w:r>
              <w:rPr>
                <w:color w:val="auto"/>
              </w:rPr>
              <w:t>后回用到水帘柜</w:t>
            </w:r>
            <w:r>
              <w:rPr>
                <w:rFonts w:hint="eastAsia"/>
                <w:color w:val="auto"/>
              </w:rPr>
              <w:t>中继续使用</w:t>
            </w:r>
            <w:r>
              <w:rPr>
                <w:color w:val="auto"/>
              </w:rPr>
              <w:t>。建设单位拟将该喷漆水帘柜的水循环使用，该废水由于蒸发等损耗需定期补充新鲜水，喷漆水帘柜循环水</w:t>
            </w:r>
            <w:r>
              <w:rPr>
                <w:rFonts w:hint="eastAsia"/>
                <w:color w:val="auto"/>
              </w:rPr>
              <w:t>在</w:t>
            </w:r>
            <w:r>
              <w:rPr>
                <w:color w:val="auto"/>
              </w:rPr>
              <w:t>使用过程中损耗水量按用水量的10%计算，则损耗水量</w:t>
            </w:r>
            <w:r>
              <w:rPr>
                <w:rFonts w:hint="eastAsia"/>
                <w:color w:val="auto"/>
              </w:rPr>
              <w:t>为0.4t</w:t>
            </w:r>
            <w:r>
              <w:rPr>
                <w:color w:val="auto"/>
              </w:rPr>
              <w:t>/</w:t>
            </w:r>
            <w:r>
              <w:rPr>
                <w:rFonts w:hint="eastAsia"/>
                <w:color w:val="auto"/>
              </w:rPr>
              <w:t>d</w:t>
            </w:r>
            <w:r>
              <w:rPr>
                <w:color w:val="auto"/>
              </w:rPr>
              <w:t>（</w:t>
            </w:r>
            <w:r>
              <w:rPr>
                <w:rFonts w:hint="eastAsia"/>
                <w:color w:val="auto"/>
              </w:rPr>
              <w:t>112t</w:t>
            </w:r>
            <w:r>
              <w:rPr>
                <w:color w:val="auto"/>
              </w:rPr>
              <w:t>/a）。</w:t>
            </w:r>
          </w:p>
          <w:p w14:paraId="4430DAE7">
            <w:pPr>
              <w:pStyle w:val="5"/>
              <w:ind w:firstLine="480"/>
              <w:rPr>
                <w:color w:val="auto"/>
              </w:rPr>
            </w:pPr>
            <w:r>
              <w:rPr>
                <w:color w:val="auto"/>
              </w:rPr>
              <w:t>因循环使用时间较长后水质变浑浊，废水</w:t>
            </w:r>
            <w:r>
              <w:rPr>
                <w:rFonts w:hint="eastAsia"/>
                <w:color w:val="auto"/>
              </w:rPr>
              <w:t>多次</w:t>
            </w:r>
            <w:r>
              <w:rPr>
                <w:color w:val="auto"/>
              </w:rPr>
              <w:t>循环使用导致盐分增加，需定期对喷漆水帘柜循环水进行</w:t>
            </w:r>
            <w:r>
              <w:rPr>
                <w:color w:val="auto"/>
                <w:highlight w:val="none"/>
              </w:rPr>
              <w:t>更换，</w:t>
            </w:r>
            <w:r>
              <w:rPr>
                <w:rFonts w:hint="eastAsia"/>
                <w:color w:val="auto"/>
                <w:highlight w:val="none"/>
              </w:rPr>
              <w:t>项目</w:t>
            </w:r>
            <w:r>
              <w:rPr>
                <w:color w:val="auto"/>
                <w:highlight w:val="none"/>
              </w:rPr>
              <w:t>喷漆水帘柜用水</w:t>
            </w:r>
            <w:r>
              <w:rPr>
                <w:rFonts w:hint="eastAsia"/>
                <w:color w:val="auto"/>
                <w:highlight w:val="none"/>
              </w:rPr>
              <w:t>计划</w:t>
            </w:r>
            <w:r>
              <w:rPr>
                <w:rFonts w:hint="eastAsia"/>
                <w:color w:val="auto"/>
                <w:highlight w:val="none"/>
                <w:lang w:val="en-US" w:eastAsia="zh-CN"/>
              </w:rPr>
              <w:t>半年</w:t>
            </w:r>
            <w:r>
              <w:rPr>
                <w:color w:val="auto"/>
                <w:highlight w:val="none"/>
              </w:rPr>
              <w:t>更换一次，每次喷漆水帘柜</w:t>
            </w:r>
            <w:r>
              <w:rPr>
                <w:rFonts w:hint="eastAsia"/>
                <w:color w:val="auto"/>
                <w:highlight w:val="none"/>
              </w:rPr>
              <w:t>废</w:t>
            </w:r>
            <w:r>
              <w:rPr>
                <w:color w:val="auto"/>
                <w:highlight w:val="none"/>
              </w:rPr>
              <w:t>水全部更换，更换废水产生量为</w:t>
            </w:r>
            <w:r>
              <w:rPr>
                <w:rFonts w:hint="eastAsia"/>
                <w:color w:val="auto"/>
                <w:highlight w:val="none"/>
                <w:lang w:val="en-US" w:eastAsia="zh-CN"/>
              </w:rPr>
              <w:t>8</w:t>
            </w:r>
            <w:r>
              <w:rPr>
                <w:rFonts w:hint="eastAsia"/>
                <w:color w:val="auto"/>
                <w:highlight w:val="none"/>
              </w:rPr>
              <w:t>t</w:t>
            </w:r>
            <w:r>
              <w:rPr>
                <w:color w:val="auto"/>
                <w:highlight w:val="none"/>
              </w:rPr>
              <w:t>/a</w:t>
            </w:r>
            <w:r>
              <w:rPr>
                <w:rFonts w:hint="eastAsia"/>
                <w:color w:val="auto"/>
                <w:highlight w:val="none"/>
              </w:rPr>
              <w:t>。</w:t>
            </w:r>
            <w:r>
              <w:rPr>
                <w:rFonts w:hint="eastAsia"/>
                <w:color w:val="auto"/>
                <w:highlight w:val="none"/>
                <w:lang w:val="en-US" w:eastAsia="zh-CN"/>
              </w:rPr>
              <w:t>定期</w:t>
            </w:r>
            <w:r>
              <w:rPr>
                <w:rFonts w:hint="eastAsia"/>
                <w:color w:val="auto"/>
                <w:highlight w:val="none"/>
              </w:rPr>
              <w:t>更换的</w:t>
            </w:r>
            <w:r>
              <w:rPr>
                <w:rFonts w:hint="eastAsia"/>
                <w:color w:val="auto"/>
                <w:highlight w:val="none"/>
                <w:lang w:val="en-US" w:eastAsia="zh-CN"/>
              </w:rPr>
              <w:t>水帘柜废水集中收集，</w:t>
            </w:r>
            <w:r>
              <w:rPr>
                <w:rFonts w:hint="eastAsia"/>
                <w:color w:val="auto"/>
                <w:highlight w:val="none"/>
              </w:rPr>
              <w:t>当作危险废物委托有资质单位统一处置</w:t>
            </w:r>
            <w:r>
              <w:rPr>
                <w:rFonts w:hint="eastAsia"/>
                <w:color w:val="auto"/>
                <w:highlight w:val="none"/>
                <w:lang w:eastAsia="zh-CN"/>
              </w:rPr>
              <w:t>。</w:t>
            </w:r>
          </w:p>
          <w:p w14:paraId="779FDD1F">
            <w:pPr>
              <w:pStyle w:val="5"/>
              <w:ind w:firstLine="480"/>
              <w:rPr>
                <w:color w:val="auto"/>
              </w:rPr>
            </w:pPr>
            <w:r>
              <w:rPr>
                <w:rFonts w:hint="eastAsia"/>
                <w:color w:val="auto"/>
              </w:rPr>
              <w:t>（2）职工生活用水</w:t>
            </w:r>
          </w:p>
          <w:p w14:paraId="4AF2D5A0">
            <w:pPr>
              <w:ind w:firstLine="480" w:firstLineChars="200"/>
              <w:rPr>
                <w:color w:val="auto"/>
              </w:rPr>
            </w:pPr>
            <w:r>
              <w:rPr>
                <w:rFonts w:hint="eastAsia"/>
                <w:color w:val="auto"/>
              </w:rPr>
              <w:t>本</w:t>
            </w:r>
            <w:r>
              <w:rPr>
                <w:color w:val="auto"/>
              </w:rPr>
              <w:t>项目劳动定员</w:t>
            </w:r>
            <w:r>
              <w:rPr>
                <w:rFonts w:hint="eastAsia"/>
                <w:color w:val="auto"/>
              </w:rPr>
              <w:t>85</w:t>
            </w:r>
            <w:r>
              <w:rPr>
                <w:color w:val="auto"/>
              </w:rPr>
              <w:t>人，</w:t>
            </w:r>
            <w:r>
              <w:rPr>
                <w:rFonts w:hint="eastAsia" w:cs="宋体"/>
                <w:snapToGrid w:val="0"/>
                <w:color w:val="auto"/>
                <w:szCs w:val="20"/>
              </w:rPr>
              <w:t>均不住厂，根据《建筑给水排水设计规范》（GB50015-2019），不住宿员工用水量按50L/人·d计算</w:t>
            </w:r>
            <w:r>
              <w:rPr>
                <w:color w:val="auto"/>
              </w:rPr>
              <w:t>，则职工生活用水量为</w:t>
            </w:r>
            <w:r>
              <w:rPr>
                <w:rFonts w:hint="eastAsia"/>
                <w:color w:val="auto"/>
              </w:rPr>
              <w:t>4.25t</w:t>
            </w:r>
            <w:r>
              <w:rPr>
                <w:color w:val="auto"/>
              </w:rPr>
              <w:t>/d（</w:t>
            </w:r>
            <w:r>
              <w:rPr>
                <w:rFonts w:hint="eastAsia"/>
                <w:color w:val="auto"/>
              </w:rPr>
              <w:t>1190</w:t>
            </w:r>
            <w:r>
              <w:rPr>
                <w:color w:val="auto"/>
              </w:rPr>
              <w:t>t/a），排放系数按80%计，则项目职工生活污水产生量为</w:t>
            </w:r>
            <w:r>
              <w:rPr>
                <w:rFonts w:hint="eastAsia"/>
                <w:color w:val="auto"/>
              </w:rPr>
              <w:t>3.4t</w:t>
            </w:r>
            <w:r>
              <w:rPr>
                <w:color w:val="auto"/>
              </w:rPr>
              <w:t>/d（</w:t>
            </w:r>
            <w:r>
              <w:rPr>
                <w:rFonts w:hint="eastAsia"/>
                <w:color w:val="auto"/>
              </w:rPr>
              <w:t>952</w:t>
            </w:r>
            <w:r>
              <w:rPr>
                <w:color w:val="auto"/>
              </w:rPr>
              <w:t>t/a）。</w:t>
            </w:r>
          </w:p>
          <w:p w14:paraId="60FA4359">
            <w:pPr>
              <w:ind w:firstLine="480" w:firstLineChars="200"/>
              <w:rPr>
                <w:color w:val="auto"/>
              </w:rPr>
            </w:pPr>
            <w:r>
              <w:rPr>
                <w:rFonts w:hint="eastAsia"/>
                <w:color w:val="auto"/>
              </w:rPr>
              <w:t>本项目</w:t>
            </w:r>
            <w:r>
              <w:rPr>
                <w:rFonts w:hint="eastAsia"/>
                <w:color w:val="auto"/>
                <w:lang w:val="en-US" w:eastAsia="zh-CN"/>
              </w:rPr>
              <w:t>参考《环境工程技术手册：废水处理工程技术手册》（潘涛 李安峰 杜兵主编）第一章表 1-1-1 典型生活污水水质示例的低浓度相关数据</w:t>
            </w:r>
            <w:r>
              <w:rPr>
                <w:rFonts w:hint="eastAsia"/>
                <w:color w:val="auto"/>
              </w:rPr>
              <w:t>。生活污水经化粪池处理达标后排入市政污水管网，纳入大学城污水处理厂集中处理。生活污水中各污染物产生排放情况见表4.1-1。</w:t>
            </w:r>
          </w:p>
          <w:p w14:paraId="7BF6A092">
            <w:pPr>
              <w:pStyle w:val="36"/>
              <w:spacing w:before="0" w:after="0"/>
              <w:rPr>
                <w:color w:val="auto"/>
              </w:rPr>
            </w:pPr>
            <w:r>
              <w:rPr>
                <w:rFonts w:hint="eastAsia"/>
                <w:color w:val="auto"/>
              </w:rPr>
              <w:t>表4.1-1  运营期生活污水产生排放情况</w:t>
            </w:r>
          </w:p>
          <w:tbl>
            <w:tblPr>
              <w:tblStyle w:val="30"/>
              <w:tblW w:w="79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1630"/>
              <w:gridCol w:w="1137"/>
              <w:gridCol w:w="1566"/>
              <w:gridCol w:w="1305"/>
              <w:gridCol w:w="1157"/>
            </w:tblGrid>
            <w:tr w14:paraId="69081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29" w:type="pct"/>
                  <w:tcBorders>
                    <w:top w:val="single" w:color="000000" w:sz="12" w:space="0"/>
                    <w:left w:val="nil"/>
                  </w:tcBorders>
                  <w:vAlign w:val="center"/>
                </w:tcPr>
                <w:p w14:paraId="3F7AE8D1">
                  <w:pPr>
                    <w:adjustRightInd w:val="0"/>
                    <w:snapToGrid w:val="0"/>
                    <w:spacing w:before="24" w:beforeLines="10" w:after="24" w:afterLines="10" w:line="240" w:lineRule="auto"/>
                    <w:jc w:val="center"/>
                    <w:rPr>
                      <w:color w:val="auto"/>
                      <w:kern w:val="0"/>
                      <w:sz w:val="21"/>
                      <w:szCs w:val="20"/>
                    </w:rPr>
                  </w:pPr>
                  <w:r>
                    <w:rPr>
                      <w:color w:val="auto"/>
                      <w:kern w:val="0"/>
                      <w:sz w:val="21"/>
                      <w:szCs w:val="20"/>
                    </w:rPr>
                    <w:t>废水量</w:t>
                  </w:r>
                </w:p>
              </w:tc>
              <w:tc>
                <w:tcPr>
                  <w:tcW w:w="1024" w:type="pct"/>
                  <w:tcBorders>
                    <w:top w:val="single" w:color="000000" w:sz="12" w:space="0"/>
                  </w:tcBorders>
                  <w:vAlign w:val="center"/>
                </w:tcPr>
                <w:p w14:paraId="6942636E">
                  <w:pPr>
                    <w:adjustRightInd w:val="0"/>
                    <w:snapToGrid w:val="0"/>
                    <w:spacing w:before="24" w:beforeLines="10" w:after="24" w:afterLines="10" w:line="240" w:lineRule="auto"/>
                    <w:jc w:val="center"/>
                    <w:rPr>
                      <w:color w:val="auto"/>
                      <w:kern w:val="0"/>
                      <w:sz w:val="21"/>
                      <w:szCs w:val="20"/>
                    </w:rPr>
                  </w:pPr>
                  <w:r>
                    <w:rPr>
                      <w:color w:val="auto"/>
                      <w:kern w:val="0"/>
                      <w:sz w:val="21"/>
                      <w:szCs w:val="20"/>
                    </w:rPr>
                    <w:t>项目</w:t>
                  </w:r>
                </w:p>
              </w:tc>
              <w:tc>
                <w:tcPr>
                  <w:tcW w:w="714" w:type="pct"/>
                  <w:tcBorders>
                    <w:top w:val="single" w:color="000000" w:sz="12" w:space="0"/>
                  </w:tcBorders>
                  <w:vAlign w:val="center"/>
                </w:tcPr>
                <w:p w14:paraId="32ED5412">
                  <w:pPr>
                    <w:adjustRightInd w:val="0"/>
                    <w:snapToGrid w:val="0"/>
                    <w:spacing w:before="24" w:beforeLines="10" w:after="24" w:afterLines="10" w:line="240" w:lineRule="auto"/>
                    <w:jc w:val="center"/>
                    <w:rPr>
                      <w:color w:val="auto"/>
                      <w:kern w:val="0"/>
                      <w:sz w:val="21"/>
                      <w:szCs w:val="20"/>
                    </w:rPr>
                  </w:pPr>
                  <w:r>
                    <w:rPr>
                      <w:color w:val="auto"/>
                      <w:kern w:val="0"/>
                      <w:sz w:val="21"/>
                      <w:szCs w:val="20"/>
                    </w:rPr>
                    <w:t>COD</w:t>
                  </w:r>
                  <w:r>
                    <w:rPr>
                      <w:rFonts w:hint="eastAsia"/>
                      <w:color w:val="auto"/>
                      <w:kern w:val="0"/>
                      <w:sz w:val="21"/>
                      <w:szCs w:val="20"/>
                      <w:vertAlign w:val="subscript"/>
                    </w:rPr>
                    <w:t>Cr</w:t>
                  </w:r>
                </w:p>
              </w:tc>
              <w:tc>
                <w:tcPr>
                  <w:tcW w:w="984" w:type="pct"/>
                  <w:tcBorders>
                    <w:top w:val="single" w:color="000000" w:sz="12" w:space="0"/>
                  </w:tcBorders>
                  <w:vAlign w:val="center"/>
                </w:tcPr>
                <w:p w14:paraId="55BEF999">
                  <w:pPr>
                    <w:adjustRightInd w:val="0"/>
                    <w:snapToGrid w:val="0"/>
                    <w:spacing w:before="24" w:beforeLines="10" w:after="24" w:afterLines="10" w:line="240" w:lineRule="auto"/>
                    <w:jc w:val="center"/>
                    <w:rPr>
                      <w:color w:val="auto"/>
                      <w:kern w:val="0"/>
                      <w:sz w:val="21"/>
                      <w:szCs w:val="20"/>
                    </w:rPr>
                  </w:pPr>
                  <w:r>
                    <w:rPr>
                      <w:color w:val="auto"/>
                      <w:kern w:val="0"/>
                      <w:sz w:val="21"/>
                      <w:szCs w:val="20"/>
                    </w:rPr>
                    <w:t>BOD</w:t>
                  </w:r>
                  <w:r>
                    <w:rPr>
                      <w:color w:val="auto"/>
                      <w:kern w:val="0"/>
                      <w:sz w:val="21"/>
                      <w:szCs w:val="20"/>
                      <w:vertAlign w:val="subscript"/>
                    </w:rPr>
                    <w:t>5</w:t>
                  </w:r>
                </w:p>
              </w:tc>
              <w:tc>
                <w:tcPr>
                  <w:tcW w:w="820" w:type="pct"/>
                  <w:tcBorders>
                    <w:top w:val="single" w:color="000000" w:sz="12" w:space="0"/>
                  </w:tcBorders>
                  <w:vAlign w:val="center"/>
                </w:tcPr>
                <w:p w14:paraId="1A7A523A">
                  <w:pPr>
                    <w:adjustRightInd w:val="0"/>
                    <w:snapToGrid w:val="0"/>
                    <w:spacing w:before="24" w:beforeLines="10" w:after="24" w:afterLines="10" w:line="240" w:lineRule="auto"/>
                    <w:jc w:val="center"/>
                    <w:rPr>
                      <w:color w:val="auto"/>
                      <w:kern w:val="0"/>
                      <w:sz w:val="21"/>
                      <w:szCs w:val="20"/>
                    </w:rPr>
                  </w:pPr>
                  <w:r>
                    <w:rPr>
                      <w:color w:val="auto"/>
                      <w:kern w:val="0"/>
                      <w:sz w:val="21"/>
                      <w:szCs w:val="20"/>
                    </w:rPr>
                    <w:t>SS</w:t>
                  </w:r>
                </w:p>
              </w:tc>
              <w:tc>
                <w:tcPr>
                  <w:tcW w:w="727" w:type="pct"/>
                  <w:tcBorders>
                    <w:top w:val="single" w:color="000000" w:sz="12" w:space="0"/>
                    <w:right w:val="nil"/>
                  </w:tcBorders>
                  <w:vAlign w:val="center"/>
                </w:tcPr>
                <w:p w14:paraId="61B14745">
                  <w:pPr>
                    <w:adjustRightInd w:val="0"/>
                    <w:snapToGrid w:val="0"/>
                    <w:spacing w:before="24" w:beforeLines="10" w:after="24" w:afterLines="10" w:line="240" w:lineRule="auto"/>
                    <w:jc w:val="center"/>
                    <w:rPr>
                      <w:color w:val="auto"/>
                      <w:kern w:val="0"/>
                      <w:sz w:val="21"/>
                      <w:szCs w:val="20"/>
                    </w:rPr>
                  </w:pPr>
                  <w:r>
                    <w:rPr>
                      <w:color w:val="auto"/>
                      <w:kern w:val="0"/>
                      <w:sz w:val="21"/>
                      <w:szCs w:val="20"/>
                    </w:rPr>
                    <w:t>氨氮</w:t>
                  </w:r>
                </w:p>
              </w:tc>
            </w:tr>
            <w:tr w14:paraId="51FCC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29" w:type="pct"/>
                  <w:vMerge w:val="restart"/>
                  <w:tcBorders>
                    <w:left w:val="nil"/>
                    <w:right w:val="single" w:color="000000" w:sz="4" w:space="0"/>
                  </w:tcBorders>
                  <w:vAlign w:val="center"/>
                </w:tcPr>
                <w:p w14:paraId="7687F4B6">
                  <w:pPr>
                    <w:adjustRightInd w:val="0"/>
                    <w:snapToGrid w:val="0"/>
                    <w:spacing w:before="24" w:beforeLines="10" w:after="24" w:afterLines="10" w:line="240" w:lineRule="auto"/>
                    <w:jc w:val="center"/>
                    <w:rPr>
                      <w:color w:val="auto"/>
                      <w:kern w:val="0"/>
                      <w:sz w:val="21"/>
                      <w:szCs w:val="20"/>
                    </w:rPr>
                  </w:pPr>
                  <w:r>
                    <w:rPr>
                      <w:color w:val="auto"/>
                      <w:kern w:val="0"/>
                      <w:sz w:val="21"/>
                      <w:szCs w:val="20"/>
                    </w:rPr>
                    <w:t>生活</w:t>
                  </w:r>
                  <w:r>
                    <w:rPr>
                      <w:rFonts w:hint="eastAsia"/>
                      <w:color w:val="auto"/>
                      <w:kern w:val="0"/>
                      <w:sz w:val="21"/>
                      <w:szCs w:val="20"/>
                    </w:rPr>
                    <w:t>污水</w:t>
                  </w:r>
                  <w:r>
                    <w:rPr>
                      <w:color w:val="auto"/>
                      <w:kern w:val="0"/>
                      <w:sz w:val="21"/>
                      <w:szCs w:val="20"/>
                    </w:rPr>
                    <w:t>（</w:t>
                  </w:r>
                  <w:r>
                    <w:rPr>
                      <w:rFonts w:hint="eastAsia"/>
                      <w:color w:val="auto"/>
                      <w:kern w:val="0"/>
                      <w:sz w:val="21"/>
                      <w:szCs w:val="20"/>
                    </w:rPr>
                    <w:t>952</w:t>
                  </w:r>
                  <w:r>
                    <w:rPr>
                      <w:color w:val="auto"/>
                      <w:kern w:val="0"/>
                      <w:sz w:val="21"/>
                      <w:szCs w:val="20"/>
                    </w:rPr>
                    <w:t>t/a）</w:t>
                  </w:r>
                </w:p>
              </w:tc>
              <w:tc>
                <w:tcPr>
                  <w:tcW w:w="1024" w:type="pct"/>
                  <w:tcBorders>
                    <w:left w:val="single" w:color="000000" w:sz="4" w:space="0"/>
                    <w:right w:val="single" w:color="000000" w:sz="4" w:space="0"/>
                  </w:tcBorders>
                  <w:vAlign w:val="center"/>
                </w:tcPr>
                <w:p w14:paraId="58C3E73F">
                  <w:pPr>
                    <w:adjustRightInd w:val="0"/>
                    <w:snapToGrid w:val="0"/>
                    <w:spacing w:before="24" w:beforeLines="10" w:after="24" w:afterLines="10" w:line="240" w:lineRule="auto"/>
                    <w:jc w:val="center"/>
                    <w:rPr>
                      <w:color w:val="auto"/>
                      <w:kern w:val="0"/>
                      <w:sz w:val="21"/>
                      <w:szCs w:val="20"/>
                    </w:rPr>
                  </w:pPr>
                  <w:r>
                    <w:rPr>
                      <w:color w:val="auto"/>
                      <w:kern w:val="0"/>
                      <w:sz w:val="21"/>
                      <w:szCs w:val="20"/>
                    </w:rPr>
                    <w:t>产生浓度（mg/L）</w:t>
                  </w:r>
                </w:p>
              </w:tc>
              <w:tc>
                <w:tcPr>
                  <w:tcW w:w="1137" w:type="dxa"/>
                  <w:tcBorders>
                    <w:left w:val="single" w:color="000000" w:sz="4" w:space="0"/>
                    <w:right w:val="single" w:color="000000" w:sz="4" w:space="0"/>
                  </w:tcBorders>
                  <w:vAlign w:val="center"/>
                </w:tcPr>
                <w:p w14:paraId="6E8B42E9">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1566" w:type="dxa"/>
                  <w:tcBorders>
                    <w:left w:val="single" w:color="000000" w:sz="4" w:space="0"/>
                    <w:right w:val="single" w:color="000000" w:sz="4" w:space="0"/>
                  </w:tcBorders>
                  <w:vAlign w:val="center"/>
                </w:tcPr>
                <w:p w14:paraId="6F92DB7A">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305" w:type="dxa"/>
                  <w:tcBorders>
                    <w:left w:val="single" w:color="000000" w:sz="4" w:space="0"/>
                    <w:right w:val="single" w:color="000000" w:sz="4" w:space="0"/>
                  </w:tcBorders>
                  <w:vAlign w:val="center"/>
                </w:tcPr>
                <w:p w14:paraId="6FFADAD1">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157" w:type="dxa"/>
                  <w:tcBorders>
                    <w:left w:val="single" w:color="000000" w:sz="4" w:space="0"/>
                    <w:right w:val="nil"/>
                  </w:tcBorders>
                  <w:vAlign w:val="center"/>
                </w:tcPr>
                <w:p w14:paraId="05A97BBD">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r>
            <w:tr w14:paraId="1606D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729" w:type="pct"/>
                  <w:vMerge w:val="continue"/>
                  <w:tcBorders>
                    <w:left w:val="nil"/>
                    <w:right w:val="single" w:color="000000" w:sz="4" w:space="0"/>
                  </w:tcBorders>
                  <w:vAlign w:val="center"/>
                </w:tcPr>
                <w:p w14:paraId="694D33E6">
                  <w:pPr>
                    <w:adjustRightInd w:val="0"/>
                    <w:snapToGrid w:val="0"/>
                    <w:spacing w:before="24" w:beforeLines="10" w:after="24" w:afterLines="10" w:line="240" w:lineRule="auto"/>
                    <w:jc w:val="center"/>
                    <w:rPr>
                      <w:color w:val="auto"/>
                      <w:kern w:val="0"/>
                      <w:sz w:val="21"/>
                      <w:szCs w:val="20"/>
                    </w:rPr>
                  </w:pPr>
                </w:p>
              </w:tc>
              <w:tc>
                <w:tcPr>
                  <w:tcW w:w="1024" w:type="pct"/>
                  <w:tcBorders>
                    <w:left w:val="single" w:color="000000" w:sz="4" w:space="0"/>
                    <w:right w:val="single" w:color="000000" w:sz="4" w:space="0"/>
                  </w:tcBorders>
                  <w:vAlign w:val="center"/>
                </w:tcPr>
                <w:p w14:paraId="51CCEB6D">
                  <w:pPr>
                    <w:adjustRightInd w:val="0"/>
                    <w:snapToGrid w:val="0"/>
                    <w:spacing w:before="24" w:beforeLines="10" w:after="24" w:afterLines="10" w:line="240" w:lineRule="auto"/>
                    <w:jc w:val="center"/>
                    <w:rPr>
                      <w:color w:val="auto"/>
                      <w:kern w:val="0"/>
                      <w:sz w:val="21"/>
                      <w:szCs w:val="20"/>
                    </w:rPr>
                  </w:pPr>
                  <w:r>
                    <w:rPr>
                      <w:color w:val="auto"/>
                      <w:kern w:val="0"/>
                      <w:sz w:val="21"/>
                      <w:szCs w:val="20"/>
                    </w:rPr>
                    <w:t>产生量（t/a）</w:t>
                  </w:r>
                </w:p>
              </w:tc>
              <w:tc>
                <w:tcPr>
                  <w:tcW w:w="1137" w:type="dxa"/>
                  <w:tcBorders>
                    <w:left w:val="single" w:color="000000" w:sz="4" w:space="0"/>
                    <w:right w:val="single" w:color="000000" w:sz="4" w:space="0"/>
                  </w:tcBorders>
                  <w:vAlign w:val="center"/>
                </w:tcPr>
                <w:p w14:paraId="3D708B8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1567" w:type="dxa"/>
                  <w:tcBorders>
                    <w:left w:val="single" w:color="000000" w:sz="4" w:space="0"/>
                    <w:right w:val="single" w:color="000000" w:sz="4" w:space="0"/>
                  </w:tcBorders>
                  <w:vAlign w:val="center"/>
                </w:tcPr>
                <w:p w14:paraId="21A51568">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1305" w:type="dxa"/>
                  <w:tcBorders>
                    <w:left w:val="single" w:color="000000" w:sz="4" w:space="0"/>
                    <w:right w:val="single" w:color="000000" w:sz="4" w:space="0"/>
                  </w:tcBorders>
                  <w:vAlign w:val="center"/>
                </w:tcPr>
                <w:p w14:paraId="5532F113">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1157" w:type="dxa"/>
                  <w:tcBorders>
                    <w:left w:val="single" w:color="000000" w:sz="4" w:space="0"/>
                    <w:right w:val="nil"/>
                  </w:tcBorders>
                  <w:vAlign w:val="center"/>
                </w:tcPr>
                <w:p w14:paraId="1E574BE2">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36899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29" w:type="pct"/>
                  <w:vMerge w:val="continue"/>
                  <w:tcBorders>
                    <w:left w:val="nil"/>
                    <w:right w:val="single" w:color="000000" w:sz="4" w:space="0"/>
                  </w:tcBorders>
                  <w:vAlign w:val="center"/>
                </w:tcPr>
                <w:p w14:paraId="1FB5E158">
                  <w:pPr>
                    <w:adjustRightInd w:val="0"/>
                    <w:snapToGrid w:val="0"/>
                    <w:spacing w:before="24" w:beforeLines="10" w:after="24" w:afterLines="10" w:line="240" w:lineRule="auto"/>
                    <w:jc w:val="center"/>
                    <w:rPr>
                      <w:color w:val="auto"/>
                      <w:kern w:val="0"/>
                      <w:sz w:val="21"/>
                      <w:szCs w:val="20"/>
                    </w:rPr>
                  </w:pPr>
                </w:p>
              </w:tc>
              <w:tc>
                <w:tcPr>
                  <w:tcW w:w="1024" w:type="pct"/>
                  <w:tcBorders>
                    <w:left w:val="single" w:color="000000" w:sz="4" w:space="0"/>
                    <w:right w:val="single" w:color="000000" w:sz="4" w:space="0"/>
                  </w:tcBorders>
                  <w:vAlign w:val="center"/>
                </w:tcPr>
                <w:p w14:paraId="1F92AB29">
                  <w:pPr>
                    <w:adjustRightInd w:val="0"/>
                    <w:snapToGrid w:val="0"/>
                    <w:spacing w:before="24" w:beforeLines="10" w:after="24" w:afterLines="10" w:line="240" w:lineRule="auto"/>
                    <w:jc w:val="center"/>
                    <w:rPr>
                      <w:color w:val="auto"/>
                      <w:kern w:val="0"/>
                      <w:sz w:val="21"/>
                      <w:szCs w:val="20"/>
                    </w:rPr>
                  </w:pPr>
                  <w:r>
                    <w:rPr>
                      <w:color w:val="auto"/>
                      <w:kern w:val="0"/>
                      <w:sz w:val="21"/>
                      <w:szCs w:val="20"/>
                    </w:rPr>
                    <w:t>化粪池处理效率</w:t>
                  </w:r>
                </w:p>
              </w:tc>
              <w:tc>
                <w:tcPr>
                  <w:tcW w:w="1137" w:type="dxa"/>
                  <w:tcBorders>
                    <w:left w:val="single" w:color="000000" w:sz="4" w:space="0"/>
                    <w:right w:val="single" w:color="000000" w:sz="4" w:space="0"/>
                  </w:tcBorders>
                  <w:vAlign w:val="center"/>
                </w:tcPr>
                <w:p w14:paraId="58BD1497">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567" w:type="dxa"/>
                  <w:tcBorders>
                    <w:left w:val="single" w:color="000000" w:sz="4" w:space="0"/>
                    <w:right w:val="single" w:color="000000" w:sz="4" w:space="0"/>
                  </w:tcBorders>
                  <w:vAlign w:val="center"/>
                </w:tcPr>
                <w:p w14:paraId="68CBD6BF">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05" w:type="dxa"/>
                  <w:tcBorders>
                    <w:left w:val="single" w:color="000000" w:sz="4" w:space="0"/>
                    <w:right w:val="single" w:color="000000" w:sz="4" w:space="0"/>
                  </w:tcBorders>
                  <w:vAlign w:val="center"/>
                </w:tcPr>
                <w:p w14:paraId="6EFA3AD2">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157" w:type="dxa"/>
                  <w:tcBorders>
                    <w:left w:val="single" w:color="000000" w:sz="4" w:space="0"/>
                    <w:right w:val="nil"/>
                  </w:tcBorders>
                  <w:vAlign w:val="center"/>
                </w:tcPr>
                <w:p w14:paraId="10AF778A">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73696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9" w:type="pct"/>
                  <w:vMerge w:val="continue"/>
                  <w:tcBorders>
                    <w:left w:val="nil"/>
                    <w:right w:val="single" w:color="000000" w:sz="4" w:space="0"/>
                  </w:tcBorders>
                  <w:vAlign w:val="center"/>
                </w:tcPr>
                <w:p w14:paraId="57586935">
                  <w:pPr>
                    <w:adjustRightInd w:val="0"/>
                    <w:snapToGrid w:val="0"/>
                    <w:spacing w:before="24" w:beforeLines="10" w:after="24" w:afterLines="10" w:line="240" w:lineRule="auto"/>
                    <w:jc w:val="center"/>
                    <w:rPr>
                      <w:color w:val="auto"/>
                      <w:kern w:val="0"/>
                      <w:sz w:val="21"/>
                      <w:szCs w:val="20"/>
                    </w:rPr>
                  </w:pPr>
                </w:p>
              </w:tc>
              <w:tc>
                <w:tcPr>
                  <w:tcW w:w="1024" w:type="pct"/>
                  <w:tcBorders>
                    <w:left w:val="single" w:color="000000" w:sz="4" w:space="0"/>
                    <w:right w:val="single" w:color="000000" w:sz="4" w:space="0"/>
                  </w:tcBorders>
                  <w:vAlign w:val="center"/>
                </w:tcPr>
                <w:p w14:paraId="75C8F08A">
                  <w:pPr>
                    <w:adjustRightInd w:val="0"/>
                    <w:snapToGrid w:val="0"/>
                    <w:spacing w:before="24" w:beforeLines="10" w:after="24" w:afterLines="10" w:line="240" w:lineRule="auto"/>
                    <w:jc w:val="center"/>
                    <w:rPr>
                      <w:color w:val="auto"/>
                      <w:kern w:val="0"/>
                      <w:sz w:val="21"/>
                      <w:szCs w:val="20"/>
                    </w:rPr>
                  </w:pPr>
                  <w:r>
                    <w:rPr>
                      <w:color w:val="auto"/>
                      <w:kern w:val="0"/>
                      <w:sz w:val="21"/>
                      <w:szCs w:val="20"/>
                    </w:rPr>
                    <w:t>经化粪池处理后废水排放浓度（mg/L）</w:t>
                  </w:r>
                </w:p>
              </w:tc>
              <w:tc>
                <w:tcPr>
                  <w:tcW w:w="1137" w:type="dxa"/>
                  <w:tcBorders>
                    <w:left w:val="single" w:color="000000" w:sz="4" w:space="0"/>
                    <w:right w:val="single" w:color="000000" w:sz="4" w:space="0"/>
                  </w:tcBorders>
                  <w:vAlign w:val="center"/>
                </w:tcPr>
                <w:p w14:paraId="38C0D99E">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228</w:t>
                  </w:r>
                </w:p>
              </w:tc>
              <w:tc>
                <w:tcPr>
                  <w:tcW w:w="1567" w:type="dxa"/>
                  <w:tcBorders>
                    <w:left w:val="single" w:color="000000" w:sz="4" w:space="0"/>
                    <w:right w:val="single" w:color="000000" w:sz="4" w:space="0"/>
                  </w:tcBorders>
                  <w:vAlign w:val="center"/>
                </w:tcPr>
                <w:p w14:paraId="5969430F">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305" w:type="dxa"/>
                  <w:tcBorders>
                    <w:left w:val="single" w:color="000000" w:sz="4" w:space="0"/>
                    <w:right w:val="single" w:color="000000" w:sz="4" w:space="0"/>
                  </w:tcBorders>
                  <w:vAlign w:val="center"/>
                </w:tcPr>
                <w:p w14:paraId="363E8D49">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157" w:type="dxa"/>
                  <w:tcBorders>
                    <w:left w:val="single" w:color="000000" w:sz="4" w:space="0"/>
                    <w:right w:val="nil"/>
                  </w:tcBorders>
                  <w:vAlign w:val="center"/>
                </w:tcPr>
                <w:p w14:paraId="18BF0682">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r>
            <w:tr w14:paraId="2DE7E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9" w:type="pct"/>
                  <w:vMerge w:val="continue"/>
                  <w:tcBorders>
                    <w:left w:val="nil"/>
                    <w:bottom w:val="single" w:color="000000" w:sz="12" w:space="0"/>
                    <w:right w:val="single" w:color="000000" w:sz="4" w:space="0"/>
                  </w:tcBorders>
                  <w:vAlign w:val="center"/>
                </w:tcPr>
                <w:p w14:paraId="2E7A7B84">
                  <w:pPr>
                    <w:adjustRightInd w:val="0"/>
                    <w:snapToGrid w:val="0"/>
                    <w:spacing w:before="24" w:beforeLines="10" w:after="24" w:afterLines="10" w:line="240" w:lineRule="auto"/>
                    <w:jc w:val="center"/>
                    <w:rPr>
                      <w:color w:val="auto"/>
                      <w:kern w:val="0"/>
                      <w:sz w:val="21"/>
                      <w:szCs w:val="20"/>
                    </w:rPr>
                  </w:pPr>
                </w:p>
              </w:tc>
              <w:tc>
                <w:tcPr>
                  <w:tcW w:w="1024" w:type="pct"/>
                  <w:tcBorders>
                    <w:left w:val="single" w:color="000000" w:sz="4" w:space="0"/>
                    <w:bottom w:val="single" w:color="000000" w:sz="12" w:space="0"/>
                    <w:right w:val="single" w:color="000000" w:sz="4" w:space="0"/>
                  </w:tcBorders>
                  <w:vAlign w:val="center"/>
                </w:tcPr>
                <w:p w14:paraId="2BE154FD">
                  <w:pPr>
                    <w:adjustRightInd w:val="0"/>
                    <w:snapToGrid w:val="0"/>
                    <w:spacing w:before="24" w:beforeLines="10" w:after="24" w:afterLines="10" w:line="240" w:lineRule="auto"/>
                    <w:jc w:val="center"/>
                    <w:rPr>
                      <w:color w:val="auto"/>
                      <w:kern w:val="0"/>
                      <w:sz w:val="21"/>
                      <w:szCs w:val="20"/>
                    </w:rPr>
                  </w:pPr>
                  <w:r>
                    <w:rPr>
                      <w:color w:val="auto"/>
                      <w:kern w:val="0"/>
                      <w:sz w:val="21"/>
                      <w:szCs w:val="20"/>
                    </w:rPr>
                    <w:t>经化粪池处理后废水排放量（t/a）</w:t>
                  </w:r>
                </w:p>
              </w:tc>
              <w:tc>
                <w:tcPr>
                  <w:tcW w:w="1137" w:type="dxa"/>
                  <w:tcBorders>
                    <w:left w:val="single" w:color="000000" w:sz="4" w:space="0"/>
                    <w:bottom w:val="single" w:color="000000" w:sz="12" w:space="0"/>
                    <w:right w:val="single" w:color="000000" w:sz="4" w:space="0"/>
                  </w:tcBorders>
                  <w:vAlign w:val="center"/>
                </w:tcPr>
                <w:p w14:paraId="7E86462C">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0.21706</w:t>
                  </w:r>
                </w:p>
              </w:tc>
              <w:tc>
                <w:tcPr>
                  <w:tcW w:w="1567" w:type="dxa"/>
                  <w:tcBorders>
                    <w:left w:val="single" w:color="000000" w:sz="4" w:space="0"/>
                    <w:bottom w:val="single" w:color="000000" w:sz="12" w:space="0"/>
                    <w:right w:val="single" w:color="000000" w:sz="4" w:space="0"/>
                  </w:tcBorders>
                  <w:vAlign w:val="center"/>
                </w:tcPr>
                <w:p w14:paraId="003F052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0.09530</w:t>
                  </w:r>
                </w:p>
              </w:tc>
              <w:tc>
                <w:tcPr>
                  <w:tcW w:w="1305" w:type="dxa"/>
                  <w:tcBorders>
                    <w:left w:val="single" w:color="000000" w:sz="4" w:space="0"/>
                    <w:bottom w:val="single" w:color="000000" w:sz="12" w:space="0"/>
                    <w:right w:val="single" w:color="000000" w:sz="4" w:space="0"/>
                  </w:tcBorders>
                  <w:vAlign w:val="center"/>
                </w:tcPr>
                <w:p w14:paraId="0CB4F300">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0.06664</w:t>
                  </w:r>
                </w:p>
              </w:tc>
              <w:tc>
                <w:tcPr>
                  <w:tcW w:w="1157" w:type="dxa"/>
                  <w:tcBorders>
                    <w:left w:val="single" w:color="000000" w:sz="4" w:space="0"/>
                    <w:bottom w:val="single" w:color="000000" w:sz="12" w:space="0"/>
                    <w:right w:val="nil"/>
                  </w:tcBorders>
                  <w:vAlign w:val="center"/>
                </w:tcPr>
                <w:p w14:paraId="14DAEDF8">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0.02856</w:t>
                  </w:r>
                </w:p>
              </w:tc>
            </w:tr>
          </w:tbl>
          <w:p w14:paraId="35EDC01E">
            <w:pPr>
              <w:pStyle w:val="4"/>
              <w:ind w:firstLine="0" w:firstLineChars="0"/>
              <w:rPr>
                <w:color w:val="auto"/>
              </w:rPr>
            </w:pPr>
            <w:r>
              <w:rPr>
                <w:rFonts w:hint="eastAsia"/>
                <w:color w:val="auto"/>
              </w:rPr>
              <w:t>4.1.2运营期水环境影响及污染防治措施可行性分析</w:t>
            </w:r>
          </w:p>
          <w:p w14:paraId="7CF017DF">
            <w:pPr>
              <w:pStyle w:val="5"/>
              <w:ind w:firstLine="480"/>
              <w:rPr>
                <w:color w:val="auto"/>
              </w:rPr>
            </w:pPr>
            <w:r>
              <w:rPr>
                <w:color w:val="auto"/>
              </w:rPr>
              <w:t>（1）化粪池治理措施可行性分析</w:t>
            </w:r>
          </w:p>
          <w:p w14:paraId="21D0CDC9">
            <w:pPr>
              <w:pStyle w:val="5"/>
              <w:ind w:firstLine="480"/>
              <w:rPr>
                <w:color w:val="auto"/>
              </w:rPr>
            </w:pPr>
            <w:r>
              <w:rPr>
                <w:color w:val="auto"/>
              </w:rPr>
              <w:t>三级化粪池是化粪池的一种，由一级池中部通过管道上弯转入下一级池中进行二次净化，再由二次净化后的粪水再导入下一级再次净化，这样经过三次</w:t>
            </w:r>
            <w:r>
              <w:rPr>
                <w:rFonts w:hint="eastAsia"/>
                <w:color w:val="auto"/>
              </w:rPr>
              <w:t>净化</w:t>
            </w:r>
            <w:r>
              <w:rPr>
                <w:color w:val="auto"/>
              </w:rPr>
              <w:t>后就</w:t>
            </w:r>
            <w:r>
              <w:rPr>
                <w:rFonts w:hint="eastAsia"/>
                <w:color w:val="auto"/>
              </w:rPr>
              <w:t>已全部</w:t>
            </w:r>
            <w:r>
              <w:rPr>
                <w:color w:val="auto"/>
              </w:rPr>
              <w:t>化尽为水。</w:t>
            </w:r>
          </w:p>
          <w:p w14:paraId="62735097">
            <w:pPr>
              <w:pStyle w:val="10"/>
              <w:ind w:firstLine="480" w:firstLineChars="200"/>
              <w:jc w:val="both"/>
              <w:rPr>
                <w:color w:val="auto"/>
              </w:rPr>
            </w:pPr>
            <w:r>
              <w:rPr>
                <w:color w:val="auto"/>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7CE79003">
            <w:pPr>
              <w:pStyle w:val="10"/>
              <w:ind w:firstLine="480" w:firstLineChars="200"/>
              <w:jc w:val="both"/>
              <w:rPr>
                <w:color w:val="auto"/>
              </w:rPr>
            </w:pPr>
            <w:r>
              <w:rPr>
                <w:rFonts w:hint="eastAsia"/>
                <w:color w:val="auto"/>
              </w:rPr>
              <w:t>本项目生活污水经园区内化粪池处理后污染物能达到《污水综合排放标准》（GB8978-1996）表4中三级排放标准（其中氨氮参照执行《污水排入城镇下水道水质标准》（GB/T31962-2015）表1中B级标准），所以该措施可行。</w:t>
            </w:r>
          </w:p>
          <w:p w14:paraId="5A8CB727">
            <w:pPr>
              <w:pStyle w:val="5"/>
              <w:ind w:firstLine="480"/>
              <w:rPr>
                <w:color w:val="auto"/>
              </w:rPr>
            </w:pPr>
            <w:r>
              <w:rPr>
                <w:rFonts w:hint="eastAsia"/>
                <w:color w:val="auto"/>
              </w:rPr>
              <w:t>（2）依托集中污水处理厂的可行性分析</w:t>
            </w:r>
          </w:p>
          <w:p w14:paraId="635B3AF1">
            <w:pPr>
              <w:pStyle w:val="5"/>
              <w:ind w:firstLine="480"/>
              <w:rPr>
                <w:rFonts w:hint="eastAsia"/>
                <w:color w:val="auto"/>
              </w:rPr>
            </w:pPr>
            <w:r>
              <w:rPr>
                <w:rFonts w:hint="eastAsia"/>
                <w:color w:val="auto"/>
              </w:rPr>
              <w:t>项目废水经处理达标后排入市政污水管网，送往大学城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3DF11F58">
            <w:pPr>
              <w:pStyle w:val="5"/>
              <w:ind w:firstLine="480"/>
              <w:rPr>
                <w:color w:val="auto"/>
              </w:rPr>
            </w:pPr>
            <w:r>
              <w:rPr>
                <w:rFonts w:hint="eastAsia"/>
                <w:color w:val="auto"/>
              </w:rPr>
              <w:t>①大学城污水处理厂处理工艺</w:t>
            </w:r>
          </w:p>
          <w:p w14:paraId="692BD234">
            <w:pPr>
              <w:pStyle w:val="5"/>
              <w:bidi w:val="0"/>
              <w:rPr>
                <w:rFonts w:hint="eastAsia"/>
                <w:color w:val="auto"/>
                <w:lang w:val="en-US" w:eastAsia="zh-CN"/>
              </w:rPr>
            </w:pPr>
            <w:r>
              <w:rPr>
                <w:rFonts w:hint="eastAsia"/>
                <w:color w:val="auto"/>
                <w:lang w:val="en-US" w:eastAsia="zh-CN"/>
              </w:rPr>
              <w:t>根据《福州市闽侯县大学城污水处理厂三期扩建工程（第二阶段）》可知，大学城污水处理厂进出水水质见表4.1-2。</w:t>
            </w:r>
          </w:p>
          <w:p w14:paraId="19EEBC6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color w:val="auto"/>
                <w:lang w:val="en-US" w:eastAsia="zh-CN"/>
              </w:rPr>
            </w:pPr>
            <w:r>
              <w:rPr>
                <w:rFonts w:hint="eastAsia"/>
                <w:color w:val="auto"/>
                <w:lang w:val="en-US" w:eastAsia="zh-CN"/>
              </w:rPr>
              <w:t>表4.1-3大学城污水处理厂进水水质标准（单位：mg/L，pH值除外）</w:t>
            </w:r>
          </w:p>
          <w:tbl>
            <w:tblPr>
              <w:tblStyle w:val="30"/>
              <w:tblW w:w="80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1115"/>
              <w:gridCol w:w="871"/>
              <w:gridCol w:w="1071"/>
              <w:gridCol w:w="1071"/>
              <w:gridCol w:w="975"/>
              <w:gridCol w:w="975"/>
              <w:gridCol w:w="1025"/>
            </w:tblGrid>
            <w:tr w14:paraId="0E991A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69" w:type="pct"/>
                  <w:tcBorders>
                    <w:tl2br w:val="nil"/>
                    <w:tr2bl w:val="nil"/>
                  </w:tcBorders>
                  <w:noWrap w:val="0"/>
                  <w:vAlign w:val="center"/>
                </w:tcPr>
                <w:p w14:paraId="0C42532D">
                  <w:pPr>
                    <w:pStyle w:val="40"/>
                    <w:bidi w:val="0"/>
                    <w:rPr>
                      <w:rFonts w:hint="default"/>
                      <w:color w:val="auto"/>
                      <w:sz w:val="21"/>
                      <w:szCs w:val="21"/>
                      <w:lang w:val="en-US" w:eastAsia="zh-CN"/>
                    </w:rPr>
                  </w:pPr>
                  <w:r>
                    <w:rPr>
                      <w:rFonts w:hint="default"/>
                      <w:color w:val="auto"/>
                      <w:sz w:val="21"/>
                      <w:szCs w:val="21"/>
                      <w:lang w:val="en-US" w:eastAsia="zh-CN"/>
                    </w:rPr>
                    <w:t>水质指标</w:t>
                  </w:r>
                </w:p>
              </w:tc>
              <w:tc>
                <w:tcPr>
                  <w:tcW w:w="695" w:type="pct"/>
                  <w:tcBorders>
                    <w:tl2br w:val="nil"/>
                    <w:tr2bl w:val="nil"/>
                  </w:tcBorders>
                  <w:noWrap w:val="0"/>
                  <w:vAlign w:val="center"/>
                </w:tcPr>
                <w:p w14:paraId="0BDD2C92">
                  <w:pPr>
                    <w:pStyle w:val="40"/>
                    <w:bidi w:val="0"/>
                    <w:rPr>
                      <w:rFonts w:hint="default"/>
                      <w:color w:val="auto"/>
                      <w:sz w:val="21"/>
                      <w:szCs w:val="21"/>
                      <w:lang w:val="en-US" w:eastAsia="zh-CN"/>
                    </w:rPr>
                  </w:pPr>
                  <w:r>
                    <w:rPr>
                      <w:rFonts w:hint="default"/>
                      <w:color w:val="auto"/>
                      <w:sz w:val="21"/>
                      <w:szCs w:val="21"/>
                      <w:lang w:val="en-US" w:eastAsia="zh-CN"/>
                    </w:rPr>
                    <w:t>pH</w:t>
                  </w:r>
                </w:p>
              </w:tc>
              <w:tc>
                <w:tcPr>
                  <w:tcW w:w="543" w:type="pct"/>
                  <w:tcBorders>
                    <w:tl2br w:val="nil"/>
                    <w:tr2bl w:val="nil"/>
                  </w:tcBorders>
                  <w:noWrap w:val="0"/>
                  <w:vAlign w:val="center"/>
                </w:tcPr>
                <w:p w14:paraId="6A85BDAF">
                  <w:pPr>
                    <w:pStyle w:val="40"/>
                    <w:bidi w:val="0"/>
                    <w:rPr>
                      <w:rFonts w:hint="default"/>
                      <w:color w:val="auto"/>
                      <w:sz w:val="21"/>
                      <w:szCs w:val="21"/>
                      <w:lang w:val="en-US" w:eastAsia="zh-CN"/>
                    </w:rPr>
                  </w:pPr>
                  <w:r>
                    <w:rPr>
                      <w:rFonts w:hint="default"/>
                      <w:color w:val="auto"/>
                      <w:sz w:val="21"/>
                      <w:szCs w:val="21"/>
                      <w:lang w:val="en-US" w:eastAsia="zh-CN"/>
                    </w:rPr>
                    <w:t>COD</w:t>
                  </w:r>
                </w:p>
              </w:tc>
              <w:tc>
                <w:tcPr>
                  <w:tcW w:w="668" w:type="pct"/>
                  <w:tcBorders>
                    <w:tl2br w:val="nil"/>
                    <w:tr2bl w:val="nil"/>
                  </w:tcBorders>
                  <w:noWrap w:val="0"/>
                  <w:vAlign w:val="center"/>
                </w:tcPr>
                <w:p w14:paraId="0FC71937">
                  <w:pPr>
                    <w:pStyle w:val="40"/>
                    <w:bidi w:val="0"/>
                    <w:rPr>
                      <w:rFonts w:hint="default"/>
                      <w:color w:val="auto"/>
                      <w:sz w:val="21"/>
                      <w:szCs w:val="21"/>
                    </w:rPr>
                  </w:pPr>
                  <w:r>
                    <w:rPr>
                      <w:rFonts w:hint="default"/>
                      <w:color w:val="auto"/>
                      <w:sz w:val="21"/>
                      <w:szCs w:val="21"/>
                      <w:lang w:val="en-US" w:eastAsia="zh-CN"/>
                    </w:rPr>
                    <w:t>BOD</w:t>
                  </w:r>
                  <w:r>
                    <w:rPr>
                      <w:rFonts w:hint="default"/>
                      <w:color w:val="auto"/>
                      <w:sz w:val="21"/>
                      <w:szCs w:val="21"/>
                      <w:vertAlign w:val="subscript"/>
                      <w:lang w:val="en-US" w:eastAsia="zh-CN"/>
                    </w:rPr>
                    <w:t>5</w:t>
                  </w:r>
                </w:p>
              </w:tc>
              <w:tc>
                <w:tcPr>
                  <w:tcW w:w="668" w:type="pct"/>
                  <w:tcBorders>
                    <w:tl2br w:val="nil"/>
                    <w:tr2bl w:val="nil"/>
                  </w:tcBorders>
                  <w:noWrap w:val="0"/>
                  <w:vAlign w:val="center"/>
                </w:tcPr>
                <w:p w14:paraId="2B5AF69F">
                  <w:pPr>
                    <w:pStyle w:val="40"/>
                    <w:bidi w:val="0"/>
                    <w:rPr>
                      <w:rFonts w:hint="default"/>
                      <w:color w:val="auto"/>
                      <w:sz w:val="21"/>
                      <w:szCs w:val="21"/>
                    </w:rPr>
                  </w:pPr>
                  <w:r>
                    <w:rPr>
                      <w:rFonts w:hint="default"/>
                      <w:color w:val="auto"/>
                      <w:sz w:val="21"/>
                      <w:szCs w:val="21"/>
                      <w:lang w:val="en-US" w:eastAsia="zh-CN"/>
                    </w:rPr>
                    <w:t>SS</w:t>
                  </w:r>
                </w:p>
              </w:tc>
              <w:tc>
                <w:tcPr>
                  <w:tcW w:w="608" w:type="pct"/>
                  <w:tcBorders>
                    <w:tl2br w:val="nil"/>
                    <w:tr2bl w:val="nil"/>
                  </w:tcBorders>
                  <w:noWrap w:val="0"/>
                  <w:vAlign w:val="center"/>
                </w:tcPr>
                <w:p w14:paraId="3F6831B7">
                  <w:pPr>
                    <w:pStyle w:val="40"/>
                    <w:bidi w:val="0"/>
                    <w:rPr>
                      <w:rFonts w:hint="default"/>
                      <w:color w:val="auto"/>
                      <w:sz w:val="21"/>
                      <w:szCs w:val="21"/>
                    </w:rPr>
                  </w:pPr>
                  <w:r>
                    <w:rPr>
                      <w:rFonts w:hint="default"/>
                      <w:color w:val="auto"/>
                      <w:sz w:val="21"/>
                      <w:szCs w:val="21"/>
                      <w:lang w:val="en-US" w:eastAsia="zh-CN"/>
                    </w:rPr>
                    <w:t>NH</w:t>
                  </w:r>
                  <w:r>
                    <w:rPr>
                      <w:rFonts w:hint="default"/>
                      <w:color w:val="auto"/>
                      <w:sz w:val="21"/>
                      <w:szCs w:val="21"/>
                      <w:vertAlign w:val="subscript"/>
                      <w:lang w:val="en-US" w:eastAsia="zh-CN"/>
                    </w:rPr>
                    <w:t>3</w:t>
                  </w:r>
                  <w:r>
                    <w:rPr>
                      <w:rFonts w:hint="default"/>
                      <w:color w:val="auto"/>
                      <w:sz w:val="21"/>
                      <w:szCs w:val="21"/>
                      <w:lang w:val="en-US" w:eastAsia="zh-CN"/>
                    </w:rPr>
                    <w:t>-N</w:t>
                  </w:r>
                </w:p>
              </w:tc>
              <w:tc>
                <w:tcPr>
                  <w:tcW w:w="608" w:type="pct"/>
                  <w:tcBorders>
                    <w:tl2br w:val="nil"/>
                    <w:tr2bl w:val="nil"/>
                  </w:tcBorders>
                  <w:noWrap w:val="0"/>
                  <w:vAlign w:val="center"/>
                </w:tcPr>
                <w:p w14:paraId="24337708">
                  <w:pPr>
                    <w:pStyle w:val="40"/>
                    <w:bidi w:val="0"/>
                    <w:rPr>
                      <w:rFonts w:hint="default"/>
                      <w:color w:val="auto"/>
                      <w:sz w:val="21"/>
                      <w:szCs w:val="21"/>
                      <w:lang w:val="en-US" w:eastAsia="zh-CN"/>
                    </w:rPr>
                  </w:pPr>
                  <w:r>
                    <w:rPr>
                      <w:rFonts w:hint="default"/>
                      <w:color w:val="auto"/>
                      <w:sz w:val="21"/>
                      <w:szCs w:val="21"/>
                      <w:lang w:val="en-US" w:eastAsia="zh-CN"/>
                    </w:rPr>
                    <w:t>TN</w:t>
                  </w:r>
                </w:p>
              </w:tc>
              <w:tc>
                <w:tcPr>
                  <w:tcW w:w="639" w:type="pct"/>
                  <w:tcBorders>
                    <w:tl2br w:val="nil"/>
                    <w:tr2bl w:val="nil"/>
                  </w:tcBorders>
                  <w:noWrap w:val="0"/>
                  <w:vAlign w:val="center"/>
                </w:tcPr>
                <w:p w14:paraId="026C6927">
                  <w:pPr>
                    <w:pStyle w:val="40"/>
                    <w:bidi w:val="0"/>
                    <w:rPr>
                      <w:rFonts w:hint="default"/>
                      <w:color w:val="auto"/>
                      <w:sz w:val="21"/>
                      <w:szCs w:val="21"/>
                      <w:lang w:val="en-US" w:eastAsia="zh-CN"/>
                    </w:rPr>
                  </w:pPr>
                  <w:r>
                    <w:rPr>
                      <w:rFonts w:hint="default"/>
                      <w:color w:val="auto"/>
                      <w:sz w:val="21"/>
                      <w:szCs w:val="21"/>
                      <w:lang w:val="en-US" w:eastAsia="zh-CN"/>
                    </w:rPr>
                    <w:t>TP</w:t>
                  </w:r>
                </w:p>
              </w:tc>
            </w:tr>
            <w:tr w14:paraId="19B0F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69" w:type="pct"/>
                  <w:tcBorders>
                    <w:tl2br w:val="nil"/>
                    <w:tr2bl w:val="nil"/>
                  </w:tcBorders>
                  <w:noWrap w:val="0"/>
                  <w:vAlign w:val="center"/>
                </w:tcPr>
                <w:p w14:paraId="03A7A0ED">
                  <w:pPr>
                    <w:pStyle w:val="40"/>
                    <w:bidi w:val="0"/>
                    <w:rPr>
                      <w:rFonts w:hint="default"/>
                      <w:color w:val="auto"/>
                      <w:sz w:val="21"/>
                      <w:szCs w:val="21"/>
                      <w:lang w:val="en-US" w:eastAsia="zh-CN"/>
                    </w:rPr>
                  </w:pPr>
                  <w:r>
                    <w:rPr>
                      <w:rFonts w:hint="default"/>
                      <w:color w:val="auto"/>
                      <w:sz w:val="21"/>
                      <w:szCs w:val="21"/>
                      <w:lang w:val="en-US" w:eastAsia="zh-CN"/>
                    </w:rPr>
                    <w:t>进水水质</w:t>
                  </w:r>
                </w:p>
              </w:tc>
              <w:tc>
                <w:tcPr>
                  <w:tcW w:w="695" w:type="pct"/>
                  <w:tcBorders>
                    <w:tl2br w:val="nil"/>
                    <w:tr2bl w:val="nil"/>
                  </w:tcBorders>
                  <w:noWrap w:val="0"/>
                  <w:vAlign w:val="center"/>
                </w:tcPr>
                <w:p w14:paraId="6B3EBCC2">
                  <w:pPr>
                    <w:pStyle w:val="40"/>
                    <w:bidi w:val="0"/>
                    <w:rPr>
                      <w:rFonts w:hint="default"/>
                      <w:color w:val="auto"/>
                      <w:sz w:val="21"/>
                      <w:szCs w:val="21"/>
                      <w:lang w:val="en-US" w:eastAsia="zh-CN"/>
                    </w:rPr>
                  </w:pPr>
                  <w:r>
                    <w:rPr>
                      <w:rFonts w:hint="default"/>
                      <w:color w:val="auto"/>
                      <w:sz w:val="21"/>
                      <w:szCs w:val="21"/>
                      <w:lang w:val="en-US" w:eastAsia="zh-CN"/>
                    </w:rPr>
                    <w:t>6~9</w:t>
                  </w:r>
                  <w:r>
                    <w:rPr>
                      <w:rFonts w:hint="eastAsia"/>
                      <w:color w:val="auto"/>
                      <w:sz w:val="21"/>
                      <w:szCs w:val="21"/>
                      <w:lang w:val="en-US" w:eastAsia="zh-CN"/>
                    </w:rPr>
                    <w:t>（</w:t>
                  </w:r>
                  <w:r>
                    <w:rPr>
                      <w:rFonts w:hint="default"/>
                      <w:color w:val="auto"/>
                      <w:sz w:val="21"/>
                      <w:szCs w:val="21"/>
                      <w:lang w:val="en-US" w:eastAsia="zh-CN"/>
                    </w:rPr>
                    <w:t>无量纲</w:t>
                  </w:r>
                  <w:r>
                    <w:rPr>
                      <w:rFonts w:hint="eastAsia"/>
                      <w:color w:val="auto"/>
                      <w:sz w:val="21"/>
                      <w:szCs w:val="21"/>
                      <w:lang w:val="en-US" w:eastAsia="zh-CN"/>
                    </w:rPr>
                    <w:t>）</w:t>
                  </w:r>
                </w:p>
              </w:tc>
              <w:tc>
                <w:tcPr>
                  <w:tcW w:w="543" w:type="pct"/>
                  <w:tcBorders>
                    <w:tl2br w:val="nil"/>
                    <w:tr2bl w:val="nil"/>
                  </w:tcBorders>
                  <w:noWrap w:val="0"/>
                  <w:vAlign w:val="center"/>
                </w:tcPr>
                <w:p w14:paraId="1A2A580F">
                  <w:pPr>
                    <w:pStyle w:val="40"/>
                    <w:bidi w:val="0"/>
                    <w:rPr>
                      <w:rFonts w:hint="default"/>
                      <w:color w:val="auto"/>
                      <w:sz w:val="21"/>
                      <w:szCs w:val="21"/>
                      <w:lang w:val="en-US" w:eastAsia="zh-CN"/>
                    </w:rPr>
                  </w:pPr>
                  <w:r>
                    <w:rPr>
                      <w:rFonts w:hint="eastAsia"/>
                      <w:color w:val="auto"/>
                      <w:sz w:val="21"/>
                      <w:szCs w:val="21"/>
                      <w:lang w:val="en-US" w:eastAsia="zh-CN"/>
                    </w:rPr>
                    <w:t>24</w:t>
                  </w:r>
                  <w:r>
                    <w:rPr>
                      <w:rFonts w:hint="default"/>
                      <w:color w:val="auto"/>
                      <w:sz w:val="21"/>
                      <w:szCs w:val="21"/>
                      <w:lang w:val="en-US" w:eastAsia="zh-CN"/>
                    </w:rPr>
                    <w:t>0</w:t>
                  </w:r>
                </w:p>
              </w:tc>
              <w:tc>
                <w:tcPr>
                  <w:tcW w:w="668" w:type="pct"/>
                  <w:tcBorders>
                    <w:tl2br w:val="nil"/>
                    <w:tr2bl w:val="nil"/>
                  </w:tcBorders>
                  <w:noWrap w:val="0"/>
                  <w:vAlign w:val="center"/>
                </w:tcPr>
                <w:p w14:paraId="3F042870">
                  <w:pPr>
                    <w:pStyle w:val="40"/>
                    <w:bidi w:val="0"/>
                    <w:rPr>
                      <w:rFonts w:hint="default"/>
                      <w:color w:val="auto"/>
                      <w:sz w:val="21"/>
                      <w:szCs w:val="21"/>
                      <w:lang w:val="en-US" w:eastAsia="zh-CN"/>
                    </w:rPr>
                  </w:pPr>
                  <w:r>
                    <w:rPr>
                      <w:rFonts w:hint="default"/>
                      <w:color w:val="auto"/>
                      <w:sz w:val="21"/>
                      <w:szCs w:val="21"/>
                      <w:lang w:val="en-US" w:eastAsia="zh-CN"/>
                    </w:rPr>
                    <w:t>1</w:t>
                  </w:r>
                  <w:r>
                    <w:rPr>
                      <w:rFonts w:hint="eastAsia"/>
                      <w:color w:val="auto"/>
                      <w:sz w:val="21"/>
                      <w:szCs w:val="21"/>
                      <w:lang w:val="en-US" w:eastAsia="zh-CN"/>
                    </w:rPr>
                    <w:t>2</w:t>
                  </w:r>
                  <w:r>
                    <w:rPr>
                      <w:rFonts w:hint="default"/>
                      <w:color w:val="auto"/>
                      <w:sz w:val="21"/>
                      <w:szCs w:val="21"/>
                      <w:lang w:val="en-US" w:eastAsia="zh-CN"/>
                    </w:rPr>
                    <w:t>0</w:t>
                  </w:r>
                </w:p>
              </w:tc>
              <w:tc>
                <w:tcPr>
                  <w:tcW w:w="668" w:type="pct"/>
                  <w:tcBorders>
                    <w:tl2br w:val="nil"/>
                    <w:tr2bl w:val="nil"/>
                  </w:tcBorders>
                  <w:noWrap w:val="0"/>
                  <w:vAlign w:val="center"/>
                </w:tcPr>
                <w:p w14:paraId="0312124A">
                  <w:pPr>
                    <w:pStyle w:val="40"/>
                    <w:bidi w:val="0"/>
                    <w:rPr>
                      <w:rFonts w:hint="default"/>
                      <w:color w:val="auto"/>
                      <w:sz w:val="21"/>
                      <w:szCs w:val="21"/>
                      <w:lang w:val="en-US" w:eastAsia="zh-CN"/>
                    </w:rPr>
                  </w:pPr>
                  <w:r>
                    <w:rPr>
                      <w:rFonts w:hint="eastAsia"/>
                      <w:color w:val="auto"/>
                      <w:sz w:val="21"/>
                      <w:szCs w:val="21"/>
                      <w:lang w:val="en-US" w:eastAsia="zh-CN"/>
                    </w:rPr>
                    <w:t>18</w:t>
                  </w:r>
                  <w:r>
                    <w:rPr>
                      <w:rFonts w:hint="default"/>
                      <w:color w:val="auto"/>
                      <w:sz w:val="21"/>
                      <w:szCs w:val="21"/>
                      <w:lang w:val="en-US" w:eastAsia="zh-CN"/>
                    </w:rPr>
                    <w:t>0</w:t>
                  </w:r>
                </w:p>
              </w:tc>
              <w:tc>
                <w:tcPr>
                  <w:tcW w:w="608" w:type="pct"/>
                  <w:tcBorders>
                    <w:tl2br w:val="nil"/>
                    <w:tr2bl w:val="nil"/>
                  </w:tcBorders>
                  <w:noWrap w:val="0"/>
                  <w:vAlign w:val="center"/>
                </w:tcPr>
                <w:p w14:paraId="4C91A0F7">
                  <w:pPr>
                    <w:pStyle w:val="40"/>
                    <w:bidi w:val="0"/>
                    <w:rPr>
                      <w:rFonts w:hint="default"/>
                      <w:color w:val="auto"/>
                      <w:sz w:val="21"/>
                      <w:szCs w:val="21"/>
                      <w:lang w:val="en-US" w:eastAsia="zh-CN"/>
                    </w:rPr>
                  </w:pPr>
                  <w:r>
                    <w:rPr>
                      <w:rFonts w:hint="eastAsia"/>
                      <w:color w:val="auto"/>
                      <w:sz w:val="21"/>
                      <w:szCs w:val="21"/>
                      <w:lang w:val="en-US" w:eastAsia="zh-CN"/>
                    </w:rPr>
                    <w:t>30</w:t>
                  </w:r>
                </w:p>
              </w:tc>
              <w:tc>
                <w:tcPr>
                  <w:tcW w:w="608" w:type="pct"/>
                  <w:tcBorders>
                    <w:tl2br w:val="nil"/>
                    <w:tr2bl w:val="nil"/>
                  </w:tcBorders>
                  <w:noWrap w:val="0"/>
                  <w:vAlign w:val="center"/>
                </w:tcPr>
                <w:p w14:paraId="4359388C">
                  <w:pPr>
                    <w:pStyle w:val="40"/>
                    <w:bidi w:val="0"/>
                    <w:rPr>
                      <w:rFonts w:hint="default"/>
                      <w:color w:val="auto"/>
                      <w:sz w:val="21"/>
                      <w:szCs w:val="21"/>
                      <w:lang w:val="en-US" w:eastAsia="zh-CN"/>
                    </w:rPr>
                  </w:pPr>
                  <w:r>
                    <w:rPr>
                      <w:rFonts w:hint="default"/>
                      <w:color w:val="auto"/>
                      <w:sz w:val="21"/>
                      <w:szCs w:val="21"/>
                      <w:lang w:val="en-US" w:eastAsia="zh-CN"/>
                    </w:rPr>
                    <w:t>40</w:t>
                  </w:r>
                </w:p>
              </w:tc>
              <w:tc>
                <w:tcPr>
                  <w:tcW w:w="639" w:type="pct"/>
                  <w:tcBorders>
                    <w:tl2br w:val="nil"/>
                    <w:tr2bl w:val="nil"/>
                  </w:tcBorders>
                  <w:noWrap w:val="0"/>
                  <w:vAlign w:val="center"/>
                </w:tcPr>
                <w:p w14:paraId="5FDE5104">
                  <w:pPr>
                    <w:pStyle w:val="40"/>
                    <w:bidi w:val="0"/>
                    <w:rPr>
                      <w:rFonts w:hint="default"/>
                      <w:color w:val="auto"/>
                      <w:sz w:val="21"/>
                      <w:szCs w:val="21"/>
                      <w:lang w:val="en-US" w:eastAsia="zh-CN"/>
                    </w:rPr>
                  </w:pPr>
                  <w:r>
                    <w:rPr>
                      <w:rFonts w:hint="eastAsia"/>
                      <w:color w:val="auto"/>
                      <w:sz w:val="21"/>
                      <w:szCs w:val="21"/>
                      <w:lang w:val="en-US" w:eastAsia="zh-CN"/>
                    </w:rPr>
                    <w:t>4</w:t>
                  </w:r>
                </w:p>
              </w:tc>
            </w:tr>
            <w:tr w14:paraId="63257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69" w:type="pct"/>
                  <w:tcBorders>
                    <w:tl2br w:val="nil"/>
                    <w:tr2bl w:val="nil"/>
                  </w:tcBorders>
                  <w:noWrap w:val="0"/>
                  <w:vAlign w:val="center"/>
                </w:tcPr>
                <w:p w14:paraId="425B95A7">
                  <w:pPr>
                    <w:pStyle w:val="40"/>
                    <w:bidi w:val="0"/>
                    <w:rPr>
                      <w:rFonts w:hint="default"/>
                      <w:color w:val="auto"/>
                      <w:sz w:val="21"/>
                      <w:szCs w:val="21"/>
                      <w:lang w:val="en-US" w:eastAsia="zh-CN"/>
                    </w:rPr>
                  </w:pPr>
                  <w:r>
                    <w:rPr>
                      <w:rFonts w:hint="default"/>
                      <w:color w:val="auto"/>
                      <w:sz w:val="21"/>
                      <w:szCs w:val="21"/>
                      <w:lang w:val="en-US" w:eastAsia="zh-CN"/>
                    </w:rPr>
                    <w:t>出水标准</w:t>
                  </w:r>
                </w:p>
              </w:tc>
              <w:tc>
                <w:tcPr>
                  <w:tcW w:w="695" w:type="pct"/>
                  <w:tcBorders>
                    <w:tl2br w:val="nil"/>
                    <w:tr2bl w:val="nil"/>
                  </w:tcBorders>
                  <w:noWrap w:val="0"/>
                  <w:vAlign w:val="center"/>
                </w:tcPr>
                <w:p w14:paraId="3AA7CA61">
                  <w:pPr>
                    <w:pStyle w:val="40"/>
                    <w:bidi w:val="0"/>
                    <w:rPr>
                      <w:rFonts w:hint="default"/>
                      <w:color w:val="auto"/>
                      <w:sz w:val="21"/>
                      <w:szCs w:val="21"/>
                      <w:lang w:val="en-US" w:eastAsia="zh-CN"/>
                    </w:rPr>
                  </w:pPr>
                  <w:r>
                    <w:rPr>
                      <w:rFonts w:hint="default"/>
                      <w:color w:val="auto"/>
                      <w:sz w:val="21"/>
                      <w:szCs w:val="21"/>
                      <w:lang w:val="en-US" w:eastAsia="zh-CN"/>
                    </w:rPr>
                    <w:t>6~9</w:t>
                  </w:r>
                  <w:r>
                    <w:rPr>
                      <w:rFonts w:hint="eastAsia"/>
                      <w:color w:val="auto"/>
                      <w:sz w:val="21"/>
                      <w:szCs w:val="21"/>
                      <w:lang w:val="en-US" w:eastAsia="zh-CN"/>
                    </w:rPr>
                    <w:t>（</w:t>
                  </w:r>
                  <w:r>
                    <w:rPr>
                      <w:rFonts w:hint="default"/>
                      <w:color w:val="auto"/>
                      <w:sz w:val="21"/>
                      <w:szCs w:val="21"/>
                      <w:lang w:val="en-US" w:eastAsia="zh-CN"/>
                    </w:rPr>
                    <w:t>无量纲</w:t>
                  </w:r>
                  <w:r>
                    <w:rPr>
                      <w:rFonts w:hint="eastAsia"/>
                      <w:color w:val="auto"/>
                      <w:sz w:val="21"/>
                      <w:szCs w:val="21"/>
                      <w:lang w:val="en-US" w:eastAsia="zh-CN"/>
                    </w:rPr>
                    <w:t>）</w:t>
                  </w:r>
                </w:p>
              </w:tc>
              <w:tc>
                <w:tcPr>
                  <w:tcW w:w="543" w:type="pct"/>
                  <w:tcBorders>
                    <w:tl2br w:val="nil"/>
                    <w:tr2bl w:val="nil"/>
                  </w:tcBorders>
                  <w:noWrap w:val="0"/>
                  <w:vAlign w:val="center"/>
                </w:tcPr>
                <w:p w14:paraId="0DC7C47C">
                  <w:pPr>
                    <w:pStyle w:val="40"/>
                    <w:bidi w:val="0"/>
                    <w:rPr>
                      <w:rFonts w:hint="default"/>
                      <w:color w:val="auto"/>
                      <w:sz w:val="21"/>
                      <w:szCs w:val="21"/>
                      <w:lang w:val="en-US" w:eastAsia="zh-CN"/>
                    </w:rPr>
                  </w:pPr>
                  <w:r>
                    <w:rPr>
                      <w:rFonts w:hint="eastAsia"/>
                      <w:color w:val="auto"/>
                      <w:sz w:val="21"/>
                      <w:szCs w:val="21"/>
                      <w:lang w:val="en-US" w:eastAsia="zh-CN"/>
                    </w:rPr>
                    <w:t>5</w:t>
                  </w:r>
                  <w:r>
                    <w:rPr>
                      <w:rFonts w:hint="default"/>
                      <w:color w:val="auto"/>
                      <w:sz w:val="21"/>
                      <w:szCs w:val="21"/>
                      <w:lang w:val="en-US" w:eastAsia="zh-CN"/>
                    </w:rPr>
                    <w:t>0</w:t>
                  </w:r>
                </w:p>
              </w:tc>
              <w:tc>
                <w:tcPr>
                  <w:tcW w:w="668" w:type="pct"/>
                  <w:tcBorders>
                    <w:tl2br w:val="nil"/>
                    <w:tr2bl w:val="nil"/>
                  </w:tcBorders>
                  <w:noWrap w:val="0"/>
                  <w:vAlign w:val="center"/>
                </w:tcPr>
                <w:p w14:paraId="0C8532AB">
                  <w:pPr>
                    <w:pStyle w:val="40"/>
                    <w:bidi w:val="0"/>
                    <w:rPr>
                      <w:rFonts w:hint="default"/>
                      <w:color w:val="auto"/>
                      <w:sz w:val="21"/>
                      <w:szCs w:val="21"/>
                      <w:lang w:val="en-US" w:eastAsia="zh-CN"/>
                    </w:rPr>
                  </w:pPr>
                  <w:r>
                    <w:rPr>
                      <w:rFonts w:hint="eastAsia"/>
                      <w:color w:val="auto"/>
                      <w:sz w:val="21"/>
                      <w:szCs w:val="21"/>
                      <w:lang w:val="en-US" w:eastAsia="zh-CN"/>
                    </w:rPr>
                    <w:t>1</w:t>
                  </w:r>
                  <w:r>
                    <w:rPr>
                      <w:rFonts w:hint="default"/>
                      <w:color w:val="auto"/>
                      <w:sz w:val="21"/>
                      <w:szCs w:val="21"/>
                      <w:lang w:val="en-US" w:eastAsia="zh-CN"/>
                    </w:rPr>
                    <w:t>0</w:t>
                  </w:r>
                </w:p>
              </w:tc>
              <w:tc>
                <w:tcPr>
                  <w:tcW w:w="668" w:type="pct"/>
                  <w:tcBorders>
                    <w:tl2br w:val="nil"/>
                    <w:tr2bl w:val="nil"/>
                  </w:tcBorders>
                  <w:noWrap w:val="0"/>
                  <w:vAlign w:val="center"/>
                </w:tcPr>
                <w:p w14:paraId="64D3AF30">
                  <w:pPr>
                    <w:pStyle w:val="40"/>
                    <w:bidi w:val="0"/>
                    <w:rPr>
                      <w:rFonts w:hint="default"/>
                      <w:color w:val="auto"/>
                      <w:sz w:val="21"/>
                      <w:szCs w:val="21"/>
                      <w:lang w:val="en-US" w:eastAsia="zh-CN"/>
                    </w:rPr>
                  </w:pPr>
                  <w:r>
                    <w:rPr>
                      <w:rFonts w:hint="eastAsia"/>
                      <w:color w:val="auto"/>
                      <w:sz w:val="21"/>
                      <w:szCs w:val="21"/>
                      <w:lang w:val="en-US" w:eastAsia="zh-CN"/>
                    </w:rPr>
                    <w:t>1</w:t>
                  </w:r>
                  <w:r>
                    <w:rPr>
                      <w:rFonts w:hint="default"/>
                      <w:color w:val="auto"/>
                      <w:sz w:val="21"/>
                      <w:szCs w:val="21"/>
                      <w:lang w:val="en-US" w:eastAsia="zh-CN"/>
                    </w:rPr>
                    <w:t>0</w:t>
                  </w:r>
                </w:p>
              </w:tc>
              <w:tc>
                <w:tcPr>
                  <w:tcW w:w="608" w:type="pct"/>
                  <w:tcBorders>
                    <w:tl2br w:val="nil"/>
                    <w:tr2bl w:val="nil"/>
                  </w:tcBorders>
                  <w:noWrap w:val="0"/>
                  <w:vAlign w:val="center"/>
                </w:tcPr>
                <w:p w14:paraId="1CAD33D5">
                  <w:pPr>
                    <w:pStyle w:val="40"/>
                    <w:bidi w:val="0"/>
                    <w:rPr>
                      <w:rFonts w:hint="default"/>
                      <w:color w:val="auto"/>
                      <w:sz w:val="21"/>
                      <w:szCs w:val="21"/>
                      <w:lang w:val="en-US" w:eastAsia="zh-CN"/>
                    </w:rPr>
                  </w:pPr>
                  <w:r>
                    <w:rPr>
                      <w:rFonts w:hint="eastAsia"/>
                      <w:color w:val="auto"/>
                      <w:sz w:val="21"/>
                      <w:szCs w:val="21"/>
                      <w:lang w:val="en-US" w:eastAsia="zh-CN"/>
                    </w:rPr>
                    <w:t>5（8）</w:t>
                  </w:r>
                </w:p>
              </w:tc>
              <w:tc>
                <w:tcPr>
                  <w:tcW w:w="608" w:type="pct"/>
                  <w:tcBorders>
                    <w:tl2br w:val="nil"/>
                    <w:tr2bl w:val="nil"/>
                  </w:tcBorders>
                  <w:noWrap w:val="0"/>
                  <w:vAlign w:val="center"/>
                </w:tcPr>
                <w:p w14:paraId="198F18F8">
                  <w:pPr>
                    <w:pStyle w:val="40"/>
                    <w:bidi w:val="0"/>
                    <w:rPr>
                      <w:rFonts w:hint="default"/>
                      <w:color w:val="auto"/>
                      <w:sz w:val="21"/>
                      <w:szCs w:val="21"/>
                      <w:lang w:val="en-US" w:eastAsia="zh-CN"/>
                    </w:rPr>
                  </w:pPr>
                  <w:r>
                    <w:rPr>
                      <w:rFonts w:hint="eastAsia"/>
                      <w:color w:val="auto"/>
                      <w:sz w:val="21"/>
                      <w:szCs w:val="21"/>
                      <w:lang w:val="en-US" w:eastAsia="zh-CN"/>
                    </w:rPr>
                    <w:t>15</w:t>
                  </w:r>
                </w:p>
              </w:tc>
              <w:tc>
                <w:tcPr>
                  <w:tcW w:w="639" w:type="pct"/>
                  <w:tcBorders>
                    <w:tl2br w:val="nil"/>
                    <w:tr2bl w:val="nil"/>
                  </w:tcBorders>
                  <w:noWrap w:val="0"/>
                  <w:vAlign w:val="center"/>
                </w:tcPr>
                <w:p w14:paraId="75ACED5F">
                  <w:pPr>
                    <w:pStyle w:val="40"/>
                    <w:bidi w:val="0"/>
                    <w:rPr>
                      <w:rFonts w:hint="default"/>
                      <w:color w:val="auto"/>
                      <w:sz w:val="21"/>
                      <w:szCs w:val="21"/>
                      <w:lang w:val="en-US" w:eastAsia="zh-CN"/>
                    </w:rPr>
                  </w:pPr>
                  <w:r>
                    <w:rPr>
                      <w:rFonts w:hint="eastAsia"/>
                      <w:color w:val="auto"/>
                      <w:sz w:val="21"/>
                      <w:szCs w:val="21"/>
                      <w:lang w:val="en-US" w:eastAsia="zh-CN"/>
                    </w:rPr>
                    <w:t>0.5</w:t>
                  </w:r>
                </w:p>
              </w:tc>
            </w:tr>
          </w:tbl>
          <w:p w14:paraId="664C4D1B">
            <w:pPr>
              <w:pStyle w:val="5"/>
              <w:ind w:firstLine="480"/>
              <w:rPr>
                <w:color w:val="auto"/>
              </w:rPr>
            </w:pPr>
            <w:r>
              <w:rPr>
                <w:rFonts w:hint="eastAsia"/>
                <w:color w:val="auto"/>
              </w:rPr>
              <w:t>大学城污水处理厂废水处理工艺采用</w:t>
            </w:r>
            <w:r>
              <w:rPr>
                <w:rFonts w:hint="eastAsia"/>
                <w:color w:val="auto"/>
                <w:lang w:eastAsia="zh-CN"/>
              </w:rPr>
              <w:t>“</w:t>
            </w:r>
            <w:r>
              <w:rPr>
                <w:rFonts w:hint="eastAsia"/>
                <w:color w:val="auto"/>
              </w:rPr>
              <w:t>污水→粗格栅→进水泵房→细格栅→旋流沉砂池→AAO生物反应池→二沉池→高效沉淀池→滤布滤池→紫外消毒渠</w:t>
            </w:r>
            <w:r>
              <w:rPr>
                <w:rFonts w:hint="eastAsia"/>
                <w:color w:val="auto"/>
                <w:lang w:eastAsia="zh-CN"/>
              </w:rPr>
              <w:t>”</w:t>
            </w:r>
            <w:r>
              <w:rPr>
                <w:rFonts w:hint="eastAsia"/>
                <w:color w:val="auto"/>
              </w:rPr>
              <w:t>，项目污水处理工艺流程图详见图4.1-1。</w:t>
            </w:r>
          </w:p>
          <w:p w14:paraId="1836F25B">
            <w:pPr>
              <w:pStyle w:val="5"/>
              <w:spacing w:line="240" w:lineRule="auto"/>
              <w:ind w:firstLine="0" w:firstLineChars="0"/>
              <w:rPr>
                <w:color w:val="auto"/>
              </w:rPr>
            </w:pPr>
            <w:r>
              <w:rPr>
                <w:rFonts w:hint="default"/>
                <w:color w:val="auto"/>
                <w:highlight w:val="none"/>
                <w:lang w:val="en-US" w:eastAsia="zh-CN"/>
              </w:rPr>
              <w:drawing>
                <wp:inline distT="0" distB="0" distL="114300" distR="114300">
                  <wp:extent cx="5189855" cy="2268855"/>
                  <wp:effectExtent l="0" t="0" r="0" b="0"/>
                  <wp:docPr id="1" name="图片 1" descr="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污水处理工艺"/>
                          <pic:cNvPicPr>
                            <a:picLocks noChangeAspect="1"/>
                          </pic:cNvPicPr>
                        </pic:nvPicPr>
                        <pic:blipFill>
                          <a:blip r:embed="rId22"/>
                          <a:stretch>
                            <a:fillRect/>
                          </a:stretch>
                        </pic:blipFill>
                        <pic:spPr>
                          <a:xfrm>
                            <a:off x="0" y="0"/>
                            <a:ext cx="5189855" cy="2268855"/>
                          </a:xfrm>
                          <a:prstGeom prst="rect">
                            <a:avLst/>
                          </a:prstGeom>
                          <a:noFill/>
                          <a:ln>
                            <a:noFill/>
                          </a:ln>
                        </pic:spPr>
                      </pic:pic>
                    </a:graphicData>
                  </a:graphic>
                </wp:inline>
              </w:drawing>
            </w:r>
          </w:p>
          <w:p w14:paraId="0EFC55F8">
            <w:pPr>
              <w:pStyle w:val="39"/>
              <w:spacing w:before="24" w:after="24"/>
              <w:rPr>
                <w:color w:val="auto"/>
              </w:rPr>
            </w:pPr>
            <w:r>
              <w:rPr>
                <w:rFonts w:hint="eastAsia"/>
                <w:color w:val="auto"/>
              </w:rPr>
              <w:t>图4.1-1  大学城污水处理厂废水处理工艺流程图</w:t>
            </w:r>
          </w:p>
          <w:p w14:paraId="017AB475">
            <w:pPr>
              <w:pStyle w:val="5"/>
              <w:ind w:firstLine="480"/>
              <w:rPr>
                <w:color w:val="auto"/>
              </w:rPr>
            </w:pPr>
            <w:r>
              <w:rPr>
                <w:rFonts w:hint="eastAsia"/>
                <w:color w:val="auto"/>
              </w:rPr>
              <w:t>②依托可行性分析</w:t>
            </w:r>
          </w:p>
          <w:p w14:paraId="5B69AA2B">
            <w:pPr>
              <w:pStyle w:val="5"/>
              <w:ind w:firstLine="480"/>
              <w:rPr>
                <w:color w:val="auto"/>
              </w:rPr>
            </w:pPr>
            <w:r>
              <w:rPr>
                <w:rFonts w:hint="eastAsia"/>
                <w:color w:val="auto"/>
              </w:rPr>
              <w:t>A.接管可行性</w:t>
            </w:r>
          </w:p>
          <w:p w14:paraId="7FB22044">
            <w:pPr>
              <w:pStyle w:val="5"/>
              <w:ind w:firstLine="480"/>
              <w:rPr>
                <w:color w:val="auto"/>
              </w:rPr>
            </w:pPr>
            <w:r>
              <w:rPr>
                <w:color w:val="auto"/>
              </w:rPr>
              <w:t>根据《福州市闽侯县大学城污水处理厂三期扩建工程（第二阶段）》可知</w:t>
            </w:r>
            <w:r>
              <w:rPr>
                <w:rFonts w:hint="eastAsia"/>
                <w:color w:val="auto"/>
              </w:rPr>
              <w:t>，大学城污水处理厂服务范围包括上街镇区、大学城和南屿片区等，总服务面积为88km</w:t>
            </w:r>
            <w:r>
              <w:rPr>
                <w:rFonts w:hint="eastAsia"/>
                <w:color w:val="auto"/>
                <w:vertAlign w:val="superscript"/>
              </w:rPr>
              <w:t>2</w:t>
            </w:r>
            <w:r>
              <w:rPr>
                <w:rFonts w:hint="eastAsia"/>
                <w:color w:val="auto"/>
              </w:rPr>
              <w:t>，服务范围内人口预测为近期55万人、远期72万人。本项目位于南屿片区，在大学城污水处理厂的服务范围内，目前项目周边污水管网已经接到项目所在区域，污水汇集后通过厂区外敷设的污水干管进入污水处理厂处理。</w:t>
            </w:r>
          </w:p>
          <w:p w14:paraId="6F8CC48A">
            <w:pPr>
              <w:pStyle w:val="5"/>
              <w:ind w:firstLine="480"/>
              <w:rPr>
                <w:color w:val="auto"/>
              </w:rPr>
            </w:pPr>
            <w:r>
              <w:rPr>
                <w:rFonts w:hint="eastAsia"/>
                <w:color w:val="auto"/>
              </w:rPr>
              <w:t>B.水质负荷</w:t>
            </w:r>
          </w:p>
          <w:p w14:paraId="065CDB72">
            <w:pPr>
              <w:pStyle w:val="5"/>
              <w:ind w:firstLine="480"/>
              <w:rPr>
                <w:color w:val="auto"/>
              </w:rPr>
            </w:pPr>
            <w:r>
              <w:rPr>
                <w:color w:val="auto"/>
              </w:rPr>
              <w:t>生活污水经化粪池处理达标后排入市政</w:t>
            </w:r>
            <w:r>
              <w:rPr>
                <w:rFonts w:hint="eastAsia"/>
                <w:color w:val="auto"/>
              </w:rPr>
              <w:t>污水</w:t>
            </w:r>
            <w:r>
              <w:rPr>
                <w:color w:val="auto"/>
              </w:rPr>
              <w:t>管网，纳入大学城污水处理厂</w:t>
            </w:r>
            <w:r>
              <w:rPr>
                <w:rFonts w:hint="eastAsia"/>
                <w:color w:val="auto"/>
              </w:rPr>
              <w:t>。</w:t>
            </w:r>
            <w:r>
              <w:rPr>
                <w:color w:val="auto"/>
              </w:rPr>
              <w:t>根据</w:t>
            </w:r>
            <w:r>
              <w:rPr>
                <w:rFonts w:hint="eastAsia"/>
                <w:color w:val="auto"/>
              </w:rPr>
              <w:t>前文</w:t>
            </w:r>
            <w:r>
              <w:rPr>
                <w:color w:val="auto"/>
              </w:rPr>
              <w:t>工程分析预测可知，项目综合废水排入市政污水管网内污染物排放浓度情况表4.</w:t>
            </w:r>
            <w:r>
              <w:rPr>
                <w:rFonts w:hint="eastAsia"/>
                <w:color w:val="auto"/>
              </w:rPr>
              <w:t>1</w:t>
            </w:r>
            <w:r>
              <w:rPr>
                <w:color w:val="auto"/>
              </w:rPr>
              <w:t>-</w:t>
            </w:r>
            <w:r>
              <w:rPr>
                <w:rFonts w:hint="eastAsia"/>
                <w:color w:val="auto"/>
                <w:lang w:val="en-US" w:eastAsia="zh-CN"/>
              </w:rPr>
              <w:t>2</w:t>
            </w:r>
            <w:r>
              <w:rPr>
                <w:color w:val="auto"/>
              </w:rPr>
              <w:t>。</w:t>
            </w:r>
          </w:p>
          <w:p w14:paraId="335B5AE3">
            <w:pPr>
              <w:pStyle w:val="36"/>
              <w:spacing w:before="0" w:after="0"/>
              <w:rPr>
                <w:color w:val="auto"/>
              </w:rPr>
            </w:pPr>
            <w:r>
              <w:rPr>
                <w:rFonts w:hint="eastAsia"/>
                <w:color w:val="auto"/>
              </w:rPr>
              <w:t>表4.1-</w:t>
            </w:r>
            <w:r>
              <w:rPr>
                <w:rFonts w:hint="eastAsia"/>
                <w:color w:val="auto"/>
                <w:lang w:val="en-US" w:eastAsia="zh-CN"/>
              </w:rPr>
              <w:t>2</w:t>
            </w:r>
            <w:r>
              <w:rPr>
                <w:rFonts w:hint="eastAsia"/>
                <w:color w:val="auto"/>
              </w:rPr>
              <w:t xml:space="preserve">  本项目废水总排口排放情况一览表</w:t>
            </w:r>
          </w:p>
          <w:tbl>
            <w:tblPr>
              <w:tblStyle w:val="31"/>
              <w:tblW w:w="7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937"/>
              <w:gridCol w:w="1637"/>
              <w:gridCol w:w="1801"/>
              <w:gridCol w:w="1212"/>
            </w:tblGrid>
            <w:tr w14:paraId="6E6A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top w:val="single" w:color="auto" w:sz="12" w:space="0"/>
                    <w:left w:val="nil"/>
                  </w:tcBorders>
                  <w:vAlign w:val="center"/>
                </w:tcPr>
                <w:p w14:paraId="52BA9253">
                  <w:pPr>
                    <w:adjustRightInd w:val="0"/>
                    <w:snapToGrid w:val="0"/>
                    <w:spacing w:before="24" w:beforeLines="10" w:after="24" w:afterLines="10" w:line="240" w:lineRule="auto"/>
                    <w:jc w:val="center"/>
                    <w:rPr>
                      <w:color w:val="auto"/>
                      <w:kern w:val="0"/>
                      <w:sz w:val="21"/>
                      <w:szCs w:val="20"/>
                    </w:rPr>
                  </w:pPr>
                  <w:r>
                    <w:rPr>
                      <w:color w:val="auto"/>
                      <w:kern w:val="0"/>
                      <w:sz w:val="21"/>
                      <w:szCs w:val="20"/>
                    </w:rPr>
                    <w:t>污染物种类</w:t>
                  </w:r>
                </w:p>
              </w:tc>
              <w:tc>
                <w:tcPr>
                  <w:tcW w:w="1217" w:type="pct"/>
                  <w:tcBorders>
                    <w:top w:val="single" w:color="auto" w:sz="12" w:space="0"/>
                  </w:tcBorders>
                  <w:vAlign w:val="center"/>
                </w:tcPr>
                <w:p w14:paraId="5A8C6E84">
                  <w:pPr>
                    <w:adjustRightInd w:val="0"/>
                    <w:snapToGrid w:val="0"/>
                    <w:spacing w:before="24" w:beforeLines="10" w:after="24" w:afterLines="10" w:line="240" w:lineRule="auto"/>
                    <w:jc w:val="center"/>
                    <w:rPr>
                      <w:color w:val="auto"/>
                      <w:kern w:val="0"/>
                      <w:sz w:val="21"/>
                      <w:szCs w:val="20"/>
                    </w:rPr>
                  </w:pPr>
                  <w:r>
                    <w:rPr>
                      <w:color w:val="auto"/>
                      <w:kern w:val="0"/>
                      <w:sz w:val="21"/>
                      <w:szCs w:val="20"/>
                    </w:rPr>
                    <w:t>排放浓度</w:t>
                  </w:r>
                  <w:r>
                    <w:rPr>
                      <w:rFonts w:hint="eastAsia" w:ascii="宋体" w:hAnsi="宋体" w:cs="宋体"/>
                      <w:color w:val="auto"/>
                      <w:kern w:val="0"/>
                      <w:sz w:val="21"/>
                      <w:szCs w:val="20"/>
                    </w:rPr>
                    <w:t>(</w:t>
                  </w:r>
                  <w:r>
                    <w:rPr>
                      <w:color w:val="auto"/>
                      <w:kern w:val="0"/>
                      <w:sz w:val="21"/>
                      <w:szCs w:val="20"/>
                    </w:rPr>
                    <w:t>mg/L</w:t>
                  </w:r>
                  <w:r>
                    <w:rPr>
                      <w:rFonts w:hint="eastAsia" w:ascii="宋体" w:hAnsi="宋体" w:cs="宋体"/>
                      <w:color w:val="auto"/>
                      <w:kern w:val="0"/>
                      <w:sz w:val="21"/>
                      <w:szCs w:val="20"/>
                    </w:rPr>
                    <w:t>)</w:t>
                  </w:r>
                </w:p>
              </w:tc>
              <w:tc>
                <w:tcPr>
                  <w:tcW w:w="1028" w:type="pct"/>
                  <w:tcBorders>
                    <w:top w:val="single" w:color="auto" w:sz="12" w:space="0"/>
                  </w:tcBorders>
                  <w:vAlign w:val="center"/>
                </w:tcPr>
                <w:p w14:paraId="58789B2A">
                  <w:pPr>
                    <w:adjustRightInd w:val="0"/>
                    <w:snapToGrid w:val="0"/>
                    <w:spacing w:before="24" w:beforeLines="10" w:after="24" w:afterLines="10" w:line="240" w:lineRule="auto"/>
                    <w:jc w:val="center"/>
                    <w:rPr>
                      <w:color w:val="auto"/>
                      <w:kern w:val="0"/>
                      <w:sz w:val="21"/>
                      <w:szCs w:val="20"/>
                    </w:rPr>
                  </w:pPr>
                  <w:r>
                    <w:rPr>
                      <w:color w:val="auto"/>
                      <w:kern w:val="0"/>
                      <w:sz w:val="21"/>
                      <w:szCs w:val="20"/>
                    </w:rPr>
                    <w:t>允许排放标准</w:t>
                  </w:r>
                  <w:r>
                    <w:rPr>
                      <w:rFonts w:hint="eastAsia" w:ascii="宋体" w:hAnsi="宋体" w:cs="宋体"/>
                      <w:color w:val="auto"/>
                      <w:kern w:val="0"/>
                      <w:sz w:val="21"/>
                      <w:szCs w:val="20"/>
                    </w:rPr>
                    <w:t>(</w:t>
                  </w:r>
                  <w:r>
                    <w:rPr>
                      <w:color w:val="auto"/>
                      <w:kern w:val="0"/>
                      <w:sz w:val="21"/>
                      <w:szCs w:val="20"/>
                    </w:rPr>
                    <w:t>mg/L</w:t>
                  </w:r>
                  <w:r>
                    <w:rPr>
                      <w:rFonts w:hint="eastAsia" w:ascii="宋体" w:hAnsi="宋体" w:cs="宋体"/>
                      <w:color w:val="auto"/>
                      <w:kern w:val="0"/>
                      <w:sz w:val="21"/>
                      <w:szCs w:val="20"/>
                    </w:rPr>
                    <w:t>)</w:t>
                  </w:r>
                </w:p>
              </w:tc>
              <w:tc>
                <w:tcPr>
                  <w:tcW w:w="1131" w:type="pct"/>
                  <w:tcBorders>
                    <w:top w:val="single" w:color="auto" w:sz="12" w:space="0"/>
                    <w:right w:val="nil"/>
                  </w:tcBorders>
                  <w:vAlign w:val="center"/>
                </w:tcPr>
                <w:p w14:paraId="4829DBC3">
                  <w:pPr>
                    <w:widowControl w:val="0"/>
                    <w:bidi w:val="0"/>
                    <w:adjustRightInd w:val="0"/>
                    <w:snapToGrid w:val="0"/>
                    <w:spacing w:before="10" w:beforeLines="10" w:after="10" w:afterLines="10" w:line="240" w:lineRule="auto"/>
                    <w:jc w:val="center"/>
                    <w:rPr>
                      <w:color w:val="auto"/>
                      <w:kern w:val="0"/>
                      <w:sz w:val="21"/>
                      <w:szCs w:val="20"/>
                    </w:rPr>
                  </w:pPr>
                  <w:r>
                    <w:rPr>
                      <w:rFonts w:hint="default" w:ascii="Times New Roman" w:hAnsi="Times New Roman" w:eastAsia="宋体" w:cs="Times New Roman"/>
                      <w:color w:val="auto"/>
                      <w:kern w:val="0"/>
                      <w:sz w:val="21"/>
                      <w:szCs w:val="20"/>
                      <w:lang w:val="en-US" w:eastAsia="zh-CN" w:bidi="ar-SA"/>
                    </w:rPr>
                    <w:t>污水厂进水水质</w:t>
                  </w:r>
                  <w:r>
                    <w:rPr>
                      <w:rFonts w:hint="eastAsia" w:ascii="宋体" w:hAnsi="宋体" w:eastAsia="宋体" w:cs="宋体"/>
                      <w:color w:val="auto"/>
                      <w:kern w:val="0"/>
                      <w:sz w:val="21"/>
                      <w:szCs w:val="20"/>
                      <w:lang w:val="en-US" w:eastAsia="zh-CN" w:bidi="ar-SA"/>
                    </w:rPr>
                    <w:t>(</w:t>
                  </w:r>
                  <w:r>
                    <w:rPr>
                      <w:rFonts w:hint="default" w:ascii="Times New Roman" w:hAnsi="Times New Roman" w:eastAsia="宋体" w:cs="Times New Roman"/>
                      <w:color w:val="auto"/>
                      <w:kern w:val="0"/>
                      <w:sz w:val="21"/>
                      <w:szCs w:val="20"/>
                      <w:lang w:val="en-US" w:eastAsia="zh-CN" w:bidi="ar-SA"/>
                    </w:rPr>
                    <w:t>mg/L</w:t>
                  </w:r>
                  <w:r>
                    <w:rPr>
                      <w:rFonts w:hint="eastAsia" w:ascii="宋体" w:hAnsi="宋体" w:eastAsia="宋体" w:cs="宋体"/>
                      <w:color w:val="auto"/>
                      <w:kern w:val="0"/>
                      <w:sz w:val="21"/>
                      <w:szCs w:val="20"/>
                      <w:lang w:val="en-US" w:eastAsia="zh-CN" w:bidi="ar-SA"/>
                    </w:rPr>
                    <w:t>)</w:t>
                  </w:r>
                </w:p>
              </w:tc>
              <w:tc>
                <w:tcPr>
                  <w:tcW w:w="761" w:type="pct"/>
                  <w:tcBorders>
                    <w:top w:val="single" w:color="auto" w:sz="12" w:space="0"/>
                    <w:right w:val="nil"/>
                  </w:tcBorders>
                  <w:vAlign w:val="center"/>
                </w:tcPr>
                <w:p w14:paraId="25E5729A">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达标情况</w:t>
                  </w:r>
                </w:p>
              </w:tc>
            </w:tr>
            <w:tr w14:paraId="5E83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left w:val="nil"/>
                  </w:tcBorders>
                  <w:vAlign w:val="center"/>
                </w:tcPr>
                <w:p w14:paraId="7BD9E3B0">
                  <w:pPr>
                    <w:adjustRightInd w:val="0"/>
                    <w:snapToGrid w:val="0"/>
                    <w:spacing w:before="24" w:beforeLines="10" w:after="24" w:afterLines="10" w:line="240" w:lineRule="auto"/>
                    <w:jc w:val="center"/>
                    <w:rPr>
                      <w:color w:val="auto"/>
                      <w:kern w:val="0"/>
                      <w:sz w:val="21"/>
                      <w:szCs w:val="20"/>
                    </w:rPr>
                  </w:pPr>
                  <w:r>
                    <w:rPr>
                      <w:color w:val="auto"/>
                      <w:kern w:val="0"/>
                      <w:sz w:val="21"/>
                      <w:szCs w:val="20"/>
                    </w:rPr>
                    <w:t>pH</w:t>
                  </w:r>
                </w:p>
              </w:tc>
              <w:tc>
                <w:tcPr>
                  <w:tcW w:w="1217" w:type="pct"/>
                  <w:vAlign w:val="center"/>
                </w:tcPr>
                <w:p w14:paraId="7100C41B">
                  <w:pPr>
                    <w:adjustRightInd w:val="0"/>
                    <w:snapToGrid w:val="0"/>
                    <w:spacing w:before="24" w:beforeLines="10" w:after="24" w:afterLines="10" w:line="240" w:lineRule="auto"/>
                    <w:jc w:val="center"/>
                    <w:rPr>
                      <w:color w:val="auto"/>
                      <w:kern w:val="0"/>
                      <w:sz w:val="21"/>
                      <w:szCs w:val="20"/>
                    </w:rPr>
                  </w:pPr>
                  <w:r>
                    <w:rPr>
                      <w:color w:val="auto"/>
                      <w:kern w:val="0"/>
                      <w:sz w:val="21"/>
                      <w:szCs w:val="20"/>
                    </w:rPr>
                    <w:t>6-9</w:t>
                  </w:r>
                </w:p>
              </w:tc>
              <w:tc>
                <w:tcPr>
                  <w:tcW w:w="1028" w:type="pct"/>
                  <w:vAlign w:val="center"/>
                </w:tcPr>
                <w:p w14:paraId="457032AC">
                  <w:pPr>
                    <w:adjustRightInd w:val="0"/>
                    <w:snapToGrid w:val="0"/>
                    <w:spacing w:before="24" w:beforeLines="10" w:after="24" w:afterLines="10" w:line="240" w:lineRule="auto"/>
                    <w:jc w:val="center"/>
                    <w:rPr>
                      <w:color w:val="auto"/>
                      <w:kern w:val="0"/>
                      <w:sz w:val="21"/>
                      <w:szCs w:val="20"/>
                    </w:rPr>
                  </w:pPr>
                  <w:r>
                    <w:rPr>
                      <w:color w:val="auto"/>
                      <w:kern w:val="0"/>
                      <w:sz w:val="21"/>
                      <w:szCs w:val="20"/>
                    </w:rPr>
                    <w:t>6-9</w:t>
                  </w:r>
                  <w:r>
                    <w:rPr>
                      <w:rFonts w:hint="eastAsia" w:ascii="宋体" w:hAnsi="宋体" w:cs="宋体"/>
                      <w:color w:val="auto"/>
                      <w:kern w:val="0"/>
                      <w:sz w:val="21"/>
                      <w:szCs w:val="20"/>
                    </w:rPr>
                    <w:t>(无量纲)</w:t>
                  </w:r>
                </w:p>
              </w:tc>
              <w:tc>
                <w:tcPr>
                  <w:tcW w:w="1131" w:type="pct"/>
                  <w:tcBorders>
                    <w:right w:val="nil"/>
                  </w:tcBorders>
                  <w:vAlign w:val="center"/>
                </w:tcPr>
                <w:p w14:paraId="69A952F3">
                  <w:pPr>
                    <w:widowControl w:val="0"/>
                    <w:bidi w:val="0"/>
                    <w:adjustRightInd w:val="0"/>
                    <w:snapToGrid w:val="0"/>
                    <w:spacing w:before="10" w:beforeLines="10" w:after="10" w:afterLines="10" w:line="240" w:lineRule="auto"/>
                    <w:jc w:val="center"/>
                    <w:rPr>
                      <w:color w:val="auto"/>
                      <w:kern w:val="0"/>
                      <w:sz w:val="21"/>
                      <w:szCs w:val="20"/>
                    </w:rPr>
                  </w:pPr>
                  <w:r>
                    <w:rPr>
                      <w:rFonts w:hint="default" w:ascii="Times New Roman" w:hAnsi="Times New Roman" w:eastAsia="宋体" w:cs="Times New Roman"/>
                      <w:color w:val="auto"/>
                      <w:kern w:val="0"/>
                      <w:sz w:val="21"/>
                      <w:szCs w:val="20"/>
                      <w:lang w:val="en-US" w:eastAsia="zh-CN" w:bidi="ar-SA"/>
                    </w:rPr>
                    <w:t>6-9</w:t>
                  </w:r>
                  <w:r>
                    <w:rPr>
                      <w:rFonts w:hint="eastAsia" w:ascii="宋体" w:hAnsi="宋体" w:eastAsia="宋体" w:cs="宋体"/>
                      <w:color w:val="auto"/>
                      <w:kern w:val="0"/>
                      <w:sz w:val="21"/>
                      <w:szCs w:val="20"/>
                      <w:lang w:val="en-US" w:eastAsia="zh-CN" w:bidi="ar-SA"/>
                    </w:rPr>
                    <w:t>(无量纲)</w:t>
                  </w:r>
                </w:p>
              </w:tc>
              <w:tc>
                <w:tcPr>
                  <w:tcW w:w="761" w:type="pct"/>
                  <w:tcBorders>
                    <w:right w:val="nil"/>
                  </w:tcBorders>
                  <w:vAlign w:val="center"/>
                </w:tcPr>
                <w:p w14:paraId="7C54DBDA">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w:t>
                  </w:r>
                </w:p>
              </w:tc>
            </w:tr>
            <w:tr w14:paraId="5321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left w:val="nil"/>
                  </w:tcBorders>
                  <w:vAlign w:val="center"/>
                </w:tcPr>
                <w:p w14:paraId="6D107974">
                  <w:pPr>
                    <w:adjustRightInd w:val="0"/>
                    <w:snapToGrid w:val="0"/>
                    <w:spacing w:before="24" w:beforeLines="10" w:after="24" w:afterLines="10" w:line="240" w:lineRule="auto"/>
                    <w:jc w:val="center"/>
                    <w:rPr>
                      <w:color w:val="auto"/>
                      <w:kern w:val="0"/>
                      <w:sz w:val="21"/>
                      <w:szCs w:val="20"/>
                    </w:rPr>
                  </w:pPr>
                  <w:r>
                    <w:rPr>
                      <w:color w:val="auto"/>
                      <w:kern w:val="0"/>
                      <w:sz w:val="21"/>
                      <w:szCs w:val="20"/>
                    </w:rPr>
                    <w:t>COD</w:t>
                  </w:r>
                  <w:r>
                    <w:rPr>
                      <w:rFonts w:hint="eastAsia"/>
                      <w:color w:val="auto"/>
                      <w:kern w:val="0"/>
                      <w:sz w:val="21"/>
                      <w:szCs w:val="20"/>
                      <w:vertAlign w:val="subscript"/>
                    </w:rPr>
                    <w:t>Cr</w:t>
                  </w:r>
                </w:p>
              </w:tc>
              <w:tc>
                <w:tcPr>
                  <w:tcW w:w="1217" w:type="pct"/>
                  <w:vAlign w:val="center"/>
                </w:tcPr>
                <w:p w14:paraId="2C1056AC">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228</w:t>
                  </w:r>
                </w:p>
              </w:tc>
              <w:tc>
                <w:tcPr>
                  <w:tcW w:w="1028" w:type="pct"/>
                  <w:vAlign w:val="center"/>
                </w:tcPr>
                <w:p w14:paraId="09D9BDF5">
                  <w:pPr>
                    <w:adjustRightInd w:val="0"/>
                    <w:snapToGrid w:val="0"/>
                    <w:spacing w:before="24" w:beforeLines="10" w:after="24" w:afterLines="10" w:line="240" w:lineRule="auto"/>
                    <w:jc w:val="center"/>
                    <w:rPr>
                      <w:color w:val="auto"/>
                      <w:kern w:val="0"/>
                      <w:sz w:val="21"/>
                      <w:szCs w:val="20"/>
                    </w:rPr>
                  </w:pPr>
                  <w:r>
                    <w:rPr>
                      <w:color w:val="auto"/>
                      <w:kern w:val="0"/>
                      <w:sz w:val="21"/>
                      <w:szCs w:val="20"/>
                    </w:rPr>
                    <w:t>500</w:t>
                  </w:r>
                </w:p>
              </w:tc>
              <w:tc>
                <w:tcPr>
                  <w:tcW w:w="1131" w:type="pct"/>
                  <w:tcBorders>
                    <w:right w:val="nil"/>
                  </w:tcBorders>
                  <w:vAlign w:val="center"/>
                </w:tcPr>
                <w:p w14:paraId="4EBCB593">
                  <w:pPr>
                    <w:widowControl w:val="0"/>
                    <w:bidi w:val="0"/>
                    <w:adjustRightInd w:val="0"/>
                    <w:snapToGrid w:val="0"/>
                    <w:spacing w:before="10" w:beforeLines="10" w:after="10" w:afterLines="10" w:line="240" w:lineRule="auto"/>
                    <w:jc w:val="center"/>
                    <w:rPr>
                      <w:color w:val="auto"/>
                      <w:kern w:val="0"/>
                      <w:sz w:val="21"/>
                      <w:szCs w:val="20"/>
                    </w:rPr>
                  </w:pPr>
                  <w:r>
                    <w:rPr>
                      <w:rFonts w:hint="eastAsia" w:ascii="Times New Roman" w:hAnsi="Times New Roman" w:eastAsia="宋体" w:cs="Times New Roman"/>
                      <w:color w:val="auto"/>
                      <w:kern w:val="0"/>
                      <w:sz w:val="21"/>
                      <w:szCs w:val="20"/>
                      <w:lang w:val="en-US" w:eastAsia="zh-CN" w:bidi="ar-SA"/>
                    </w:rPr>
                    <w:t>240</w:t>
                  </w:r>
                </w:p>
              </w:tc>
              <w:tc>
                <w:tcPr>
                  <w:tcW w:w="761" w:type="pct"/>
                  <w:tcBorders>
                    <w:right w:val="nil"/>
                  </w:tcBorders>
                  <w:vAlign w:val="center"/>
                </w:tcPr>
                <w:p w14:paraId="01591FB2">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w:t>
                  </w:r>
                </w:p>
              </w:tc>
            </w:tr>
            <w:tr w14:paraId="2713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left w:val="nil"/>
                  </w:tcBorders>
                  <w:vAlign w:val="center"/>
                </w:tcPr>
                <w:p w14:paraId="4EC113A0">
                  <w:pPr>
                    <w:adjustRightInd w:val="0"/>
                    <w:snapToGrid w:val="0"/>
                    <w:spacing w:before="24" w:beforeLines="10" w:after="24" w:afterLines="10" w:line="240" w:lineRule="auto"/>
                    <w:jc w:val="center"/>
                    <w:rPr>
                      <w:color w:val="auto"/>
                      <w:kern w:val="0"/>
                      <w:sz w:val="21"/>
                      <w:szCs w:val="20"/>
                    </w:rPr>
                  </w:pPr>
                  <w:r>
                    <w:rPr>
                      <w:color w:val="auto"/>
                      <w:kern w:val="0"/>
                      <w:sz w:val="21"/>
                      <w:szCs w:val="20"/>
                    </w:rPr>
                    <w:t>BOD</w:t>
                  </w:r>
                  <w:r>
                    <w:rPr>
                      <w:color w:val="auto"/>
                      <w:kern w:val="0"/>
                      <w:sz w:val="21"/>
                      <w:szCs w:val="20"/>
                      <w:vertAlign w:val="subscript"/>
                    </w:rPr>
                    <w:t>5</w:t>
                  </w:r>
                </w:p>
              </w:tc>
              <w:tc>
                <w:tcPr>
                  <w:tcW w:w="1217" w:type="pct"/>
                  <w:vAlign w:val="center"/>
                </w:tcPr>
                <w:p w14:paraId="601AD184">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100</w:t>
                  </w:r>
                </w:p>
              </w:tc>
              <w:tc>
                <w:tcPr>
                  <w:tcW w:w="1028" w:type="pct"/>
                  <w:vAlign w:val="center"/>
                </w:tcPr>
                <w:p w14:paraId="7FE4A079">
                  <w:pPr>
                    <w:adjustRightInd w:val="0"/>
                    <w:snapToGrid w:val="0"/>
                    <w:spacing w:before="24" w:beforeLines="10" w:after="24" w:afterLines="10" w:line="240" w:lineRule="auto"/>
                    <w:jc w:val="center"/>
                    <w:rPr>
                      <w:color w:val="auto"/>
                      <w:kern w:val="0"/>
                      <w:sz w:val="21"/>
                      <w:szCs w:val="20"/>
                    </w:rPr>
                  </w:pPr>
                  <w:r>
                    <w:rPr>
                      <w:color w:val="auto"/>
                      <w:kern w:val="0"/>
                      <w:sz w:val="21"/>
                      <w:szCs w:val="20"/>
                    </w:rPr>
                    <w:t>300</w:t>
                  </w:r>
                </w:p>
              </w:tc>
              <w:tc>
                <w:tcPr>
                  <w:tcW w:w="1131" w:type="pct"/>
                  <w:tcBorders>
                    <w:right w:val="nil"/>
                  </w:tcBorders>
                  <w:vAlign w:val="center"/>
                </w:tcPr>
                <w:p w14:paraId="6AFBA48F">
                  <w:pPr>
                    <w:widowControl w:val="0"/>
                    <w:bidi w:val="0"/>
                    <w:adjustRightInd w:val="0"/>
                    <w:snapToGrid w:val="0"/>
                    <w:spacing w:before="10" w:beforeLines="10" w:after="10" w:afterLines="10" w:line="240" w:lineRule="auto"/>
                    <w:jc w:val="center"/>
                    <w:rPr>
                      <w:color w:val="auto"/>
                      <w:kern w:val="0"/>
                      <w:sz w:val="21"/>
                      <w:szCs w:val="20"/>
                    </w:rPr>
                  </w:pPr>
                  <w:r>
                    <w:rPr>
                      <w:rFonts w:hint="eastAsia" w:ascii="Times New Roman" w:hAnsi="Times New Roman" w:eastAsia="宋体" w:cs="Times New Roman"/>
                      <w:color w:val="auto"/>
                      <w:kern w:val="0"/>
                      <w:sz w:val="21"/>
                      <w:szCs w:val="20"/>
                      <w:lang w:val="en-US" w:eastAsia="zh-CN" w:bidi="ar-SA"/>
                    </w:rPr>
                    <w:t>120</w:t>
                  </w:r>
                </w:p>
              </w:tc>
              <w:tc>
                <w:tcPr>
                  <w:tcW w:w="761" w:type="pct"/>
                  <w:tcBorders>
                    <w:right w:val="nil"/>
                  </w:tcBorders>
                  <w:vAlign w:val="center"/>
                </w:tcPr>
                <w:p w14:paraId="00ED34E7">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w:t>
                  </w:r>
                </w:p>
              </w:tc>
            </w:tr>
            <w:tr w14:paraId="45C1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left w:val="nil"/>
                  </w:tcBorders>
                  <w:vAlign w:val="center"/>
                </w:tcPr>
                <w:p w14:paraId="24E34D2A">
                  <w:pPr>
                    <w:adjustRightInd w:val="0"/>
                    <w:snapToGrid w:val="0"/>
                    <w:spacing w:before="24" w:beforeLines="10" w:after="24" w:afterLines="10" w:line="240" w:lineRule="auto"/>
                    <w:jc w:val="center"/>
                    <w:rPr>
                      <w:color w:val="auto"/>
                      <w:kern w:val="0"/>
                      <w:sz w:val="21"/>
                      <w:szCs w:val="20"/>
                    </w:rPr>
                  </w:pPr>
                  <w:r>
                    <w:rPr>
                      <w:color w:val="auto"/>
                      <w:kern w:val="0"/>
                      <w:sz w:val="21"/>
                      <w:szCs w:val="20"/>
                    </w:rPr>
                    <w:t>SS</w:t>
                  </w:r>
                </w:p>
              </w:tc>
              <w:tc>
                <w:tcPr>
                  <w:tcW w:w="1217" w:type="pct"/>
                  <w:vAlign w:val="center"/>
                </w:tcPr>
                <w:p w14:paraId="3F13F9CB">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70</w:t>
                  </w:r>
                </w:p>
              </w:tc>
              <w:tc>
                <w:tcPr>
                  <w:tcW w:w="1028" w:type="pct"/>
                  <w:vAlign w:val="center"/>
                </w:tcPr>
                <w:p w14:paraId="7C62C569">
                  <w:pPr>
                    <w:adjustRightInd w:val="0"/>
                    <w:snapToGrid w:val="0"/>
                    <w:spacing w:before="24" w:beforeLines="10" w:after="24" w:afterLines="10" w:line="240" w:lineRule="auto"/>
                    <w:jc w:val="center"/>
                    <w:rPr>
                      <w:color w:val="auto"/>
                      <w:kern w:val="0"/>
                      <w:sz w:val="21"/>
                      <w:szCs w:val="20"/>
                    </w:rPr>
                  </w:pPr>
                  <w:r>
                    <w:rPr>
                      <w:color w:val="auto"/>
                      <w:kern w:val="0"/>
                      <w:sz w:val="21"/>
                      <w:szCs w:val="20"/>
                    </w:rPr>
                    <w:t>400</w:t>
                  </w:r>
                </w:p>
              </w:tc>
              <w:tc>
                <w:tcPr>
                  <w:tcW w:w="1131" w:type="pct"/>
                  <w:tcBorders>
                    <w:right w:val="nil"/>
                  </w:tcBorders>
                  <w:vAlign w:val="center"/>
                </w:tcPr>
                <w:p w14:paraId="2B4795D8">
                  <w:pPr>
                    <w:widowControl w:val="0"/>
                    <w:bidi w:val="0"/>
                    <w:adjustRightInd w:val="0"/>
                    <w:snapToGrid w:val="0"/>
                    <w:spacing w:before="10" w:beforeLines="10" w:after="10" w:afterLines="10" w:line="240" w:lineRule="auto"/>
                    <w:jc w:val="center"/>
                    <w:rPr>
                      <w:color w:val="auto"/>
                      <w:kern w:val="0"/>
                      <w:sz w:val="21"/>
                      <w:szCs w:val="20"/>
                    </w:rPr>
                  </w:pPr>
                  <w:r>
                    <w:rPr>
                      <w:rFonts w:hint="eastAsia" w:ascii="Times New Roman" w:hAnsi="Times New Roman" w:eastAsia="宋体" w:cs="Times New Roman"/>
                      <w:color w:val="auto"/>
                      <w:kern w:val="0"/>
                      <w:sz w:val="21"/>
                      <w:szCs w:val="20"/>
                      <w:lang w:val="en-US" w:eastAsia="zh-CN" w:bidi="ar-SA"/>
                    </w:rPr>
                    <w:t>180</w:t>
                  </w:r>
                </w:p>
              </w:tc>
              <w:tc>
                <w:tcPr>
                  <w:tcW w:w="761" w:type="pct"/>
                  <w:tcBorders>
                    <w:right w:val="nil"/>
                  </w:tcBorders>
                  <w:vAlign w:val="center"/>
                </w:tcPr>
                <w:p w14:paraId="743C3B70">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w:t>
                  </w:r>
                </w:p>
              </w:tc>
            </w:tr>
            <w:tr w14:paraId="3E0D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tcBorders>
                    <w:left w:val="nil"/>
                    <w:bottom w:val="single" w:color="auto" w:sz="12" w:space="0"/>
                  </w:tcBorders>
                  <w:vAlign w:val="center"/>
                </w:tcPr>
                <w:p w14:paraId="1CF220F6">
                  <w:pPr>
                    <w:adjustRightInd w:val="0"/>
                    <w:snapToGrid w:val="0"/>
                    <w:spacing w:before="24" w:beforeLines="10" w:after="24" w:afterLines="10" w:line="240" w:lineRule="auto"/>
                    <w:jc w:val="center"/>
                    <w:rPr>
                      <w:color w:val="auto"/>
                      <w:kern w:val="0"/>
                      <w:sz w:val="21"/>
                      <w:szCs w:val="20"/>
                    </w:rPr>
                  </w:pPr>
                  <w:r>
                    <w:rPr>
                      <w:color w:val="auto"/>
                      <w:kern w:val="0"/>
                      <w:sz w:val="21"/>
                      <w:szCs w:val="20"/>
                    </w:rPr>
                    <w:t>NH</w:t>
                  </w:r>
                  <w:r>
                    <w:rPr>
                      <w:color w:val="auto"/>
                      <w:kern w:val="0"/>
                      <w:sz w:val="21"/>
                      <w:szCs w:val="20"/>
                      <w:vertAlign w:val="subscript"/>
                    </w:rPr>
                    <w:t>3</w:t>
                  </w:r>
                  <w:r>
                    <w:rPr>
                      <w:color w:val="auto"/>
                      <w:kern w:val="0"/>
                      <w:sz w:val="21"/>
                      <w:szCs w:val="20"/>
                    </w:rPr>
                    <w:t>-N</w:t>
                  </w:r>
                </w:p>
              </w:tc>
              <w:tc>
                <w:tcPr>
                  <w:tcW w:w="1217" w:type="pct"/>
                  <w:tcBorders>
                    <w:bottom w:val="single" w:color="auto" w:sz="12" w:space="0"/>
                  </w:tcBorders>
                  <w:vAlign w:val="center"/>
                </w:tcPr>
                <w:p w14:paraId="0FE745C0">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30</w:t>
                  </w:r>
                </w:p>
              </w:tc>
              <w:tc>
                <w:tcPr>
                  <w:tcW w:w="1028" w:type="pct"/>
                  <w:tcBorders>
                    <w:bottom w:val="single" w:color="auto" w:sz="12" w:space="0"/>
                  </w:tcBorders>
                  <w:vAlign w:val="center"/>
                </w:tcPr>
                <w:p w14:paraId="366B9C0F">
                  <w:pPr>
                    <w:adjustRightInd w:val="0"/>
                    <w:snapToGrid w:val="0"/>
                    <w:spacing w:before="24" w:beforeLines="10" w:after="24" w:afterLines="10" w:line="240" w:lineRule="auto"/>
                    <w:jc w:val="center"/>
                    <w:rPr>
                      <w:color w:val="auto"/>
                      <w:kern w:val="0"/>
                      <w:sz w:val="21"/>
                      <w:szCs w:val="20"/>
                    </w:rPr>
                  </w:pPr>
                  <w:r>
                    <w:rPr>
                      <w:color w:val="auto"/>
                      <w:kern w:val="0"/>
                      <w:sz w:val="21"/>
                      <w:szCs w:val="20"/>
                    </w:rPr>
                    <w:t>45</w:t>
                  </w:r>
                </w:p>
              </w:tc>
              <w:tc>
                <w:tcPr>
                  <w:tcW w:w="1131" w:type="pct"/>
                  <w:tcBorders>
                    <w:bottom w:val="single" w:color="auto" w:sz="12" w:space="0"/>
                    <w:right w:val="nil"/>
                  </w:tcBorders>
                  <w:vAlign w:val="center"/>
                </w:tcPr>
                <w:p w14:paraId="13A9DC94">
                  <w:pPr>
                    <w:widowControl w:val="0"/>
                    <w:bidi w:val="0"/>
                    <w:adjustRightInd w:val="0"/>
                    <w:snapToGrid w:val="0"/>
                    <w:spacing w:before="10" w:beforeLines="10" w:after="10" w:afterLines="10" w:line="240" w:lineRule="auto"/>
                    <w:jc w:val="center"/>
                    <w:rPr>
                      <w:color w:val="auto"/>
                      <w:kern w:val="0"/>
                      <w:sz w:val="21"/>
                      <w:szCs w:val="20"/>
                    </w:rPr>
                  </w:pPr>
                  <w:r>
                    <w:rPr>
                      <w:rFonts w:hint="eastAsia" w:ascii="Times New Roman" w:hAnsi="Times New Roman" w:eastAsia="宋体" w:cs="Times New Roman"/>
                      <w:color w:val="auto"/>
                      <w:kern w:val="0"/>
                      <w:sz w:val="21"/>
                      <w:szCs w:val="20"/>
                      <w:lang w:val="en-US" w:eastAsia="zh-CN" w:bidi="ar-SA"/>
                    </w:rPr>
                    <w:t>30</w:t>
                  </w:r>
                </w:p>
              </w:tc>
              <w:tc>
                <w:tcPr>
                  <w:tcW w:w="761" w:type="pct"/>
                  <w:tcBorders>
                    <w:bottom w:val="single" w:color="auto" w:sz="12" w:space="0"/>
                    <w:right w:val="nil"/>
                  </w:tcBorders>
                  <w:vAlign w:val="center"/>
                </w:tcPr>
                <w:p w14:paraId="594EC5F6">
                  <w:pPr>
                    <w:adjustRightInd w:val="0"/>
                    <w:snapToGrid w:val="0"/>
                    <w:spacing w:before="24" w:beforeLines="10" w:after="24" w:afterLines="10" w:line="240" w:lineRule="auto"/>
                    <w:jc w:val="center"/>
                    <w:rPr>
                      <w:color w:val="auto"/>
                      <w:kern w:val="0"/>
                      <w:sz w:val="21"/>
                      <w:szCs w:val="20"/>
                    </w:rPr>
                  </w:pPr>
                  <w:r>
                    <w:rPr>
                      <w:color w:val="auto"/>
                      <w:kern w:val="0"/>
                      <w:sz w:val="21"/>
                      <w:szCs w:val="20"/>
                    </w:rPr>
                    <w:t>达标</w:t>
                  </w:r>
                </w:p>
              </w:tc>
            </w:tr>
          </w:tbl>
          <w:p w14:paraId="2104CEFE">
            <w:pPr>
              <w:pStyle w:val="5"/>
              <w:ind w:firstLine="480"/>
              <w:rPr>
                <w:color w:val="auto"/>
              </w:rPr>
            </w:pPr>
            <w:r>
              <w:rPr>
                <w:color w:val="auto"/>
              </w:rPr>
              <w:t>根据上表所列数据，本项目生活污水主要污染物排放浓度均能满足《污水综合排放标准》</w:t>
            </w:r>
            <w:r>
              <w:rPr>
                <w:rFonts w:hint="eastAsia"/>
                <w:color w:val="auto"/>
              </w:rPr>
              <w:t>（</w:t>
            </w:r>
            <w:r>
              <w:rPr>
                <w:color w:val="auto"/>
              </w:rPr>
              <w:t>GB8978-1996</w:t>
            </w:r>
            <w:r>
              <w:rPr>
                <w:rFonts w:hint="eastAsia"/>
                <w:color w:val="auto"/>
              </w:rPr>
              <w:t>）</w:t>
            </w:r>
            <w:r>
              <w:rPr>
                <w:color w:val="auto"/>
              </w:rPr>
              <w:t>表4三级标准及《污水排入城镇下水道水质标准》</w:t>
            </w:r>
            <w:r>
              <w:rPr>
                <w:rFonts w:hint="eastAsia"/>
                <w:color w:val="auto"/>
              </w:rPr>
              <w:t>（</w:t>
            </w:r>
            <w:r>
              <w:rPr>
                <w:color w:val="auto"/>
              </w:rPr>
              <w:t>GB/T 31962-2015</w:t>
            </w:r>
            <w:r>
              <w:rPr>
                <w:rFonts w:hint="eastAsia"/>
                <w:color w:val="auto"/>
              </w:rPr>
              <w:t>）</w:t>
            </w:r>
            <w:r>
              <w:rPr>
                <w:color w:val="auto"/>
              </w:rPr>
              <w:t>表1中B级标准限值。</w:t>
            </w:r>
          </w:p>
          <w:p w14:paraId="5085B7DF">
            <w:pPr>
              <w:ind w:firstLine="480" w:firstLineChars="200"/>
              <w:rPr>
                <w:rFonts w:cs="宋体"/>
                <w:color w:val="auto"/>
              </w:rPr>
            </w:pPr>
            <w:r>
              <w:rPr>
                <w:rFonts w:hint="eastAsia" w:cs="宋体"/>
                <w:color w:val="auto"/>
              </w:rPr>
              <w:t>C.水量负荷</w:t>
            </w:r>
          </w:p>
          <w:p w14:paraId="34EBB86F">
            <w:pPr>
              <w:pStyle w:val="5"/>
              <w:ind w:firstLine="480"/>
              <w:rPr>
                <w:color w:val="auto"/>
              </w:rPr>
            </w:pPr>
            <w:r>
              <w:rPr>
                <w:rFonts w:hint="eastAsia"/>
                <w:color w:val="auto"/>
              </w:rPr>
              <w:t>根据《福州市闽侯县大学城污水处理厂三期扩</w:t>
            </w:r>
            <w:r>
              <w:rPr>
                <w:rFonts w:hint="eastAsia"/>
                <w:color w:val="auto"/>
                <w:highlight w:val="none"/>
              </w:rPr>
              <w:t>建工程（第二阶段）》可知，大学城污水处理厂设计总处理规模为12万m</w:t>
            </w:r>
            <w:r>
              <w:rPr>
                <w:rFonts w:hint="eastAsia"/>
                <w:color w:val="auto"/>
                <w:highlight w:val="none"/>
                <w:vertAlign w:val="superscript"/>
              </w:rPr>
              <w:t>3</w:t>
            </w:r>
            <w:r>
              <w:rPr>
                <w:rFonts w:hint="eastAsia"/>
                <w:color w:val="auto"/>
                <w:highlight w:val="none"/>
              </w:rPr>
              <w:t>/d，目前实际处理规模为8.3万m</w:t>
            </w:r>
            <w:r>
              <w:rPr>
                <w:rFonts w:hint="eastAsia"/>
                <w:color w:val="auto"/>
                <w:highlight w:val="none"/>
                <w:vertAlign w:val="superscript"/>
              </w:rPr>
              <w:t>3</w:t>
            </w:r>
            <w:r>
              <w:rPr>
                <w:rFonts w:hint="eastAsia"/>
                <w:color w:val="auto"/>
                <w:highlight w:val="none"/>
              </w:rPr>
              <w:t>/d，本项目废水排放量为952m</w:t>
            </w:r>
            <w:r>
              <w:rPr>
                <w:rFonts w:hint="eastAsia"/>
                <w:color w:val="auto"/>
                <w:highlight w:val="none"/>
                <w:vertAlign w:val="superscript"/>
              </w:rPr>
              <w:t>3</w:t>
            </w:r>
            <w:r>
              <w:rPr>
                <w:rFonts w:hint="eastAsia"/>
                <w:color w:val="auto"/>
                <w:highlight w:val="none"/>
              </w:rPr>
              <w:t>/a（3.4m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占污水处理厂剩余规模的0.0041%，</w:t>
            </w:r>
            <w:r>
              <w:rPr>
                <w:rFonts w:hint="eastAsia"/>
                <w:color w:val="auto"/>
                <w:highlight w:val="none"/>
              </w:rPr>
              <w:t>大学城污水处理厂采用</w:t>
            </w:r>
            <w:r>
              <w:rPr>
                <w:rFonts w:hint="eastAsia"/>
                <w:color w:val="auto"/>
                <w:highlight w:val="none"/>
                <w:lang w:eastAsia="zh-CN"/>
              </w:rPr>
              <w:t>“</w:t>
            </w:r>
            <w:r>
              <w:rPr>
                <w:rFonts w:hint="eastAsia"/>
                <w:color w:val="auto"/>
                <w:highlight w:val="none"/>
              </w:rPr>
              <w:t>污水→粗格栅→进水泵房→</w:t>
            </w:r>
            <w:r>
              <w:rPr>
                <w:rFonts w:hint="eastAsia"/>
                <w:color w:val="auto"/>
              </w:rPr>
              <w:t>细格栅→旋流沉砂池→AAO生物反应池→二沉池→高效沉淀池→滤布滤池→紫外消毒渠</w:t>
            </w:r>
            <w:r>
              <w:rPr>
                <w:rFonts w:hint="eastAsia"/>
                <w:color w:val="auto"/>
                <w:lang w:eastAsia="zh-CN"/>
              </w:rPr>
              <w:t>”</w:t>
            </w:r>
            <w:r>
              <w:rPr>
                <w:rFonts w:hint="eastAsia"/>
                <w:color w:val="auto"/>
              </w:rPr>
              <w:t>处理工艺，属于城镇污水处理厂通用工艺，因此，从处理能力及处理工艺分析，大学城污水处理厂可接纳项目废水排放量，不会对污水处理厂水量负荷造成冲击。</w:t>
            </w:r>
          </w:p>
          <w:p w14:paraId="520F4CAB">
            <w:pPr>
              <w:pStyle w:val="4"/>
              <w:ind w:firstLine="0" w:firstLineChars="0"/>
              <w:rPr>
                <w:color w:val="auto"/>
              </w:rPr>
            </w:pPr>
            <w:r>
              <w:rPr>
                <w:rFonts w:hint="eastAsia"/>
                <w:color w:val="auto"/>
              </w:rPr>
              <w:t>4.1.3废水自行监测计划</w:t>
            </w:r>
          </w:p>
          <w:p w14:paraId="2FFD2DDD">
            <w:pPr>
              <w:ind w:firstLine="480" w:firstLineChars="200"/>
              <w:rPr>
                <w:rFonts w:cs="宋体"/>
                <w:color w:val="auto"/>
              </w:rPr>
            </w:pPr>
            <w:r>
              <w:rPr>
                <w:rFonts w:hint="eastAsia" w:cs="宋体"/>
                <w:color w:val="auto"/>
              </w:rPr>
              <w:t>根据《固定污染源排污许可分类管理名录（2019年版）》（生态环境部第11号）可知，本项目应当进行登记管理，登记管理无自行监测要求，详见表4.1-3。</w:t>
            </w:r>
          </w:p>
          <w:p w14:paraId="1ED546C9">
            <w:pPr>
              <w:adjustRightInd w:val="0"/>
              <w:snapToGrid w:val="0"/>
              <w:spacing w:line="240" w:lineRule="auto"/>
              <w:jc w:val="center"/>
              <w:rPr>
                <w:b/>
                <w:color w:val="auto"/>
                <w:kern w:val="0"/>
                <w:szCs w:val="20"/>
              </w:rPr>
            </w:pPr>
            <w:r>
              <w:rPr>
                <w:rFonts w:hint="eastAsia"/>
                <w:b/>
                <w:color w:val="auto"/>
                <w:kern w:val="0"/>
                <w:szCs w:val="20"/>
              </w:rPr>
              <w:t>表4.1-3  固定污染源排污许可分类管理名录（摘录）</w:t>
            </w:r>
          </w:p>
          <w:tbl>
            <w:tblPr>
              <w:tblStyle w:val="31"/>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2646"/>
              <w:gridCol w:w="1162"/>
              <w:gridCol w:w="2550"/>
              <w:gridCol w:w="1020"/>
            </w:tblGrid>
            <w:tr w14:paraId="504E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top w:val="single" w:color="auto" w:sz="12" w:space="0"/>
                    <w:left w:val="nil"/>
                    <w:bottom w:val="single" w:color="auto" w:sz="4" w:space="0"/>
                  </w:tcBorders>
                  <w:vAlign w:val="center"/>
                </w:tcPr>
                <w:p w14:paraId="77095C24">
                  <w:pPr>
                    <w:adjustRightInd w:val="0"/>
                    <w:snapToGrid w:val="0"/>
                    <w:spacing w:line="240" w:lineRule="auto"/>
                    <w:jc w:val="center"/>
                    <w:rPr>
                      <w:color w:val="auto"/>
                      <w:kern w:val="0"/>
                      <w:sz w:val="21"/>
                      <w:szCs w:val="20"/>
                    </w:rPr>
                  </w:pPr>
                  <w:r>
                    <w:rPr>
                      <w:rFonts w:hint="eastAsia"/>
                      <w:color w:val="auto"/>
                      <w:kern w:val="0"/>
                      <w:sz w:val="21"/>
                      <w:szCs w:val="20"/>
                    </w:rPr>
                    <w:t>序号</w:t>
                  </w:r>
                </w:p>
              </w:tc>
              <w:tc>
                <w:tcPr>
                  <w:tcW w:w="2646" w:type="dxa"/>
                  <w:tcBorders>
                    <w:top w:val="single" w:color="auto" w:sz="12" w:space="0"/>
                    <w:bottom w:val="single" w:color="auto" w:sz="4" w:space="0"/>
                  </w:tcBorders>
                  <w:vAlign w:val="center"/>
                </w:tcPr>
                <w:p w14:paraId="3D20CA16">
                  <w:pPr>
                    <w:adjustRightInd w:val="0"/>
                    <w:snapToGrid w:val="0"/>
                    <w:spacing w:line="240" w:lineRule="auto"/>
                    <w:jc w:val="center"/>
                    <w:rPr>
                      <w:color w:val="auto"/>
                      <w:kern w:val="0"/>
                      <w:sz w:val="21"/>
                      <w:szCs w:val="20"/>
                    </w:rPr>
                  </w:pPr>
                  <w:r>
                    <w:rPr>
                      <w:rFonts w:hint="eastAsia"/>
                      <w:color w:val="auto"/>
                      <w:kern w:val="0"/>
                      <w:sz w:val="21"/>
                      <w:szCs w:val="20"/>
                    </w:rPr>
                    <w:t>行业类别</w:t>
                  </w:r>
                </w:p>
              </w:tc>
              <w:tc>
                <w:tcPr>
                  <w:tcW w:w="1162" w:type="dxa"/>
                  <w:tcBorders>
                    <w:top w:val="single" w:color="auto" w:sz="12" w:space="0"/>
                    <w:bottom w:val="single" w:color="auto" w:sz="4" w:space="0"/>
                  </w:tcBorders>
                  <w:vAlign w:val="center"/>
                </w:tcPr>
                <w:p w14:paraId="2DF59552">
                  <w:pPr>
                    <w:adjustRightInd w:val="0"/>
                    <w:snapToGrid w:val="0"/>
                    <w:spacing w:line="240" w:lineRule="auto"/>
                    <w:jc w:val="center"/>
                    <w:rPr>
                      <w:color w:val="auto"/>
                      <w:kern w:val="0"/>
                      <w:sz w:val="21"/>
                      <w:szCs w:val="20"/>
                    </w:rPr>
                  </w:pPr>
                  <w:r>
                    <w:rPr>
                      <w:rFonts w:hint="eastAsia"/>
                      <w:color w:val="auto"/>
                      <w:kern w:val="0"/>
                      <w:sz w:val="21"/>
                      <w:szCs w:val="20"/>
                    </w:rPr>
                    <w:t>重点管理</w:t>
                  </w:r>
                </w:p>
              </w:tc>
              <w:tc>
                <w:tcPr>
                  <w:tcW w:w="2550" w:type="dxa"/>
                  <w:tcBorders>
                    <w:top w:val="single" w:color="auto" w:sz="12" w:space="0"/>
                    <w:bottom w:val="single" w:color="auto" w:sz="4" w:space="0"/>
                  </w:tcBorders>
                  <w:vAlign w:val="center"/>
                </w:tcPr>
                <w:p w14:paraId="416E30C6">
                  <w:pPr>
                    <w:adjustRightInd w:val="0"/>
                    <w:snapToGrid w:val="0"/>
                    <w:spacing w:line="240" w:lineRule="auto"/>
                    <w:jc w:val="center"/>
                    <w:rPr>
                      <w:color w:val="auto"/>
                      <w:kern w:val="0"/>
                      <w:sz w:val="21"/>
                      <w:szCs w:val="20"/>
                    </w:rPr>
                  </w:pPr>
                  <w:r>
                    <w:rPr>
                      <w:rFonts w:hint="eastAsia"/>
                      <w:color w:val="auto"/>
                      <w:kern w:val="0"/>
                      <w:sz w:val="21"/>
                      <w:szCs w:val="20"/>
                    </w:rPr>
                    <w:t>简化管理</w:t>
                  </w:r>
                </w:p>
              </w:tc>
              <w:tc>
                <w:tcPr>
                  <w:tcW w:w="1020" w:type="dxa"/>
                  <w:tcBorders>
                    <w:top w:val="single" w:color="auto" w:sz="12" w:space="0"/>
                    <w:bottom w:val="single" w:color="auto" w:sz="4" w:space="0"/>
                    <w:right w:val="nil"/>
                  </w:tcBorders>
                  <w:shd w:val="clear" w:color="D7D7D7" w:fill="A4A4A4"/>
                  <w:vAlign w:val="center"/>
                </w:tcPr>
                <w:p w14:paraId="3B51E86F">
                  <w:pPr>
                    <w:adjustRightInd w:val="0"/>
                    <w:snapToGrid w:val="0"/>
                    <w:spacing w:line="240" w:lineRule="auto"/>
                    <w:jc w:val="center"/>
                    <w:rPr>
                      <w:color w:val="auto"/>
                      <w:kern w:val="0"/>
                      <w:sz w:val="21"/>
                      <w:szCs w:val="20"/>
                    </w:rPr>
                  </w:pPr>
                  <w:r>
                    <w:rPr>
                      <w:rFonts w:hint="eastAsia"/>
                      <w:color w:val="auto"/>
                      <w:kern w:val="0"/>
                      <w:sz w:val="21"/>
                      <w:szCs w:val="20"/>
                    </w:rPr>
                    <w:t>登记管理</w:t>
                  </w:r>
                </w:p>
              </w:tc>
            </w:tr>
            <w:tr w14:paraId="0918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46" w:type="dxa"/>
                  <w:gridSpan w:val="5"/>
                  <w:tcBorders>
                    <w:top w:val="single" w:color="auto" w:sz="4" w:space="0"/>
                    <w:left w:val="nil"/>
                    <w:right w:val="nil"/>
                  </w:tcBorders>
                  <w:shd w:val="clear" w:color="D7D7D7" w:fill="A4A4A4"/>
                  <w:vAlign w:val="center"/>
                </w:tcPr>
                <w:p w14:paraId="75A65502">
                  <w:pPr>
                    <w:adjustRightInd w:val="0"/>
                    <w:snapToGrid w:val="0"/>
                    <w:spacing w:line="240" w:lineRule="auto"/>
                    <w:jc w:val="left"/>
                    <w:rPr>
                      <w:color w:val="auto"/>
                      <w:kern w:val="0"/>
                      <w:sz w:val="21"/>
                      <w:szCs w:val="20"/>
                    </w:rPr>
                  </w:pPr>
                  <w:r>
                    <w:rPr>
                      <w:rFonts w:hint="eastAsia"/>
                      <w:color w:val="auto"/>
                      <w:kern w:val="0"/>
                      <w:sz w:val="21"/>
                      <w:szCs w:val="20"/>
                    </w:rPr>
                    <w:t>二十四、橡胶和塑料制品业29</w:t>
                  </w:r>
                </w:p>
              </w:tc>
            </w:tr>
            <w:tr w14:paraId="37D8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tcBorders>
                  <w:vAlign w:val="center"/>
                </w:tcPr>
                <w:p w14:paraId="7F6A77FF">
                  <w:pPr>
                    <w:adjustRightInd w:val="0"/>
                    <w:snapToGrid w:val="0"/>
                    <w:spacing w:line="240" w:lineRule="auto"/>
                    <w:jc w:val="center"/>
                    <w:rPr>
                      <w:color w:val="auto"/>
                      <w:kern w:val="0"/>
                      <w:sz w:val="21"/>
                      <w:szCs w:val="20"/>
                    </w:rPr>
                  </w:pPr>
                  <w:r>
                    <w:rPr>
                      <w:rFonts w:hint="eastAsia"/>
                      <w:color w:val="auto"/>
                      <w:kern w:val="0"/>
                      <w:sz w:val="21"/>
                      <w:szCs w:val="20"/>
                    </w:rPr>
                    <w:t>62</w:t>
                  </w:r>
                </w:p>
              </w:tc>
              <w:tc>
                <w:tcPr>
                  <w:tcW w:w="2646" w:type="dxa"/>
                  <w:vAlign w:val="center"/>
                </w:tcPr>
                <w:p w14:paraId="328A62C8">
                  <w:pPr>
                    <w:adjustRightInd w:val="0"/>
                    <w:snapToGrid w:val="0"/>
                    <w:spacing w:line="240" w:lineRule="auto"/>
                    <w:jc w:val="center"/>
                    <w:rPr>
                      <w:color w:val="auto"/>
                      <w:kern w:val="0"/>
                      <w:sz w:val="21"/>
                      <w:szCs w:val="20"/>
                    </w:rPr>
                  </w:pPr>
                  <w:r>
                    <w:rPr>
                      <w:rFonts w:hint="eastAsia"/>
                      <w:color w:val="auto"/>
                      <w:kern w:val="0"/>
                      <w:sz w:val="21"/>
                      <w:szCs w:val="20"/>
                    </w:rPr>
                    <w:t>塑料制品业292</w:t>
                  </w:r>
                </w:p>
              </w:tc>
              <w:tc>
                <w:tcPr>
                  <w:tcW w:w="1162" w:type="dxa"/>
                  <w:vAlign w:val="center"/>
                </w:tcPr>
                <w:p w14:paraId="01FC50ED">
                  <w:pPr>
                    <w:adjustRightInd w:val="0"/>
                    <w:snapToGrid w:val="0"/>
                    <w:spacing w:line="240" w:lineRule="auto"/>
                    <w:jc w:val="center"/>
                    <w:rPr>
                      <w:color w:val="auto"/>
                      <w:kern w:val="0"/>
                      <w:sz w:val="21"/>
                      <w:szCs w:val="20"/>
                    </w:rPr>
                  </w:pPr>
                  <w:r>
                    <w:rPr>
                      <w:rFonts w:hint="eastAsia"/>
                      <w:color w:val="auto"/>
                      <w:kern w:val="0"/>
                      <w:sz w:val="21"/>
                      <w:szCs w:val="20"/>
                    </w:rPr>
                    <w:t>塑料人造革、合成革制造2925</w:t>
                  </w:r>
                </w:p>
              </w:tc>
              <w:tc>
                <w:tcPr>
                  <w:tcW w:w="2550" w:type="dxa"/>
                  <w:vAlign w:val="center"/>
                </w:tcPr>
                <w:p w14:paraId="47B94566">
                  <w:pPr>
                    <w:adjustRightInd w:val="0"/>
                    <w:snapToGrid w:val="0"/>
                    <w:spacing w:line="240" w:lineRule="auto"/>
                    <w:jc w:val="center"/>
                    <w:rPr>
                      <w:color w:val="auto"/>
                      <w:kern w:val="0"/>
                      <w:sz w:val="21"/>
                      <w:szCs w:val="20"/>
                    </w:rPr>
                  </w:pPr>
                  <w:r>
                    <w:rPr>
                      <w:color w:val="auto"/>
                      <w:kern w:val="0"/>
                      <w:sz w:val="21"/>
                      <w:szCs w:val="20"/>
                    </w:rPr>
                    <w:t>年产1万吨及以上的泡沫塑料制造2924</w:t>
                  </w:r>
                  <w:r>
                    <w:rPr>
                      <w:rFonts w:hint="eastAsia"/>
                      <w:color w:val="auto"/>
                      <w:kern w:val="0"/>
                      <w:sz w:val="21"/>
                      <w:szCs w:val="20"/>
                    </w:rPr>
                    <w:t>，</w:t>
                  </w:r>
                  <w:r>
                    <w:rPr>
                      <w:color w:val="auto"/>
                      <w:kern w:val="0"/>
                      <w:sz w:val="21"/>
                      <w:szCs w:val="20"/>
                    </w:rPr>
                    <w:t>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1020" w:type="dxa"/>
                  <w:tcBorders>
                    <w:right w:val="nil"/>
                  </w:tcBorders>
                  <w:shd w:val="clear" w:color="D7D7D7" w:fill="A4A4A4" w:themeFill="background1" w:themeFillShade="A5"/>
                  <w:vAlign w:val="center"/>
                </w:tcPr>
                <w:p w14:paraId="29A847D4">
                  <w:pPr>
                    <w:adjustRightInd w:val="0"/>
                    <w:snapToGrid w:val="0"/>
                    <w:spacing w:line="240" w:lineRule="auto"/>
                    <w:jc w:val="center"/>
                    <w:rPr>
                      <w:color w:val="auto"/>
                      <w:kern w:val="0"/>
                      <w:sz w:val="21"/>
                      <w:szCs w:val="20"/>
                    </w:rPr>
                  </w:pPr>
                  <w:r>
                    <w:rPr>
                      <w:rFonts w:hint="eastAsia"/>
                      <w:color w:val="auto"/>
                      <w:kern w:val="0"/>
                      <w:sz w:val="21"/>
                      <w:szCs w:val="20"/>
                    </w:rPr>
                    <w:t>其他</w:t>
                  </w:r>
                </w:p>
              </w:tc>
            </w:tr>
            <w:tr w14:paraId="3C7C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46" w:type="dxa"/>
                  <w:gridSpan w:val="5"/>
                  <w:tcBorders>
                    <w:left w:val="nil"/>
                    <w:right w:val="nil"/>
                  </w:tcBorders>
                  <w:shd w:val="clear" w:color="auto" w:fill="A4A4A4"/>
                  <w:vAlign w:val="center"/>
                </w:tcPr>
                <w:p w14:paraId="02ACDBE4">
                  <w:pPr>
                    <w:adjustRightInd w:val="0"/>
                    <w:snapToGrid w:val="0"/>
                    <w:spacing w:line="240" w:lineRule="auto"/>
                    <w:jc w:val="left"/>
                    <w:rPr>
                      <w:color w:val="auto"/>
                      <w:kern w:val="0"/>
                      <w:sz w:val="21"/>
                      <w:szCs w:val="20"/>
                    </w:rPr>
                  </w:pPr>
                  <w:r>
                    <w:rPr>
                      <w:rFonts w:hint="eastAsia"/>
                      <w:color w:val="auto"/>
                      <w:kern w:val="0"/>
                      <w:sz w:val="21"/>
                      <w:szCs w:val="20"/>
                    </w:rPr>
                    <w:t>三十、金属制品业33</w:t>
                  </w:r>
                </w:p>
              </w:tc>
            </w:tr>
            <w:tr w14:paraId="7452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bottom w:val="single" w:color="auto" w:sz="12" w:space="0"/>
                  </w:tcBorders>
                  <w:vAlign w:val="center"/>
                </w:tcPr>
                <w:p w14:paraId="0E4BC610">
                  <w:pPr>
                    <w:adjustRightInd w:val="0"/>
                    <w:snapToGrid w:val="0"/>
                    <w:spacing w:line="240" w:lineRule="auto"/>
                    <w:jc w:val="center"/>
                    <w:rPr>
                      <w:color w:val="auto"/>
                      <w:kern w:val="0"/>
                      <w:sz w:val="21"/>
                      <w:szCs w:val="20"/>
                    </w:rPr>
                  </w:pPr>
                  <w:r>
                    <w:rPr>
                      <w:rFonts w:hint="eastAsia"/>
                      <w:color w:val="auto"/>
                      <w:kern w:val="0"/>
                      <w:sz w:val="21"/>
                      <w:szCs w:val="20"/>
                    </w:rPr>
                    <w:t>80</w:t>
                  </w:r>
                </w:p>
              </w:tc>
              <w:tc>
                <w:tcPr>
                  <w:tcW w:w="2646" w:type="dxa"/>
                  <w:tcBorders>
                    <w:bottom w:val="single" w:color="auto" w:sz="12" w:space="0"/>
                  </w:tcBorders>
                  <w:vAlign w:val="center"/>
                </w:tcPr>
                <w:p w14:paraId="0BFA0E69">
                  <w:pPr>
                    <w:adjustRightInd w:val="0"/>
                    <w:snapToGrid w:val="0"/>
                    <w:spacing w:line="240" w:lineRule="auto"/>
                    <w:jc w:val="center"/>
                    <w:rPr>
                      <w:color w:val="auto"/>
                      <w:kern w:val="0"/>
                      <w:sz w:val="21"/>
                      <w:szCs w:val="20"/>
                    </w:rPr>
                  </w:pPr>
                  <w:r>
                    <w:rPr>
                      <w:color w:val="auto"/>
                      <w:kern w:val="0"/>
                      <w:sz w:val="21"/>
                      <w:szCs w:val="20"/>
                    </w:rPr>
                    <w:t>结构性金属制品制造 331，金属工具制造 332，集装箱及金属包装容器制造333，金属丝绳及其制品制造334，建筑、安全用金属制品制造335，搪瓷制品制造 337，金属制日用品制造338</w:t>
                  </w:r>
                  <w:r>
                    <w:rPr>
                      <w:rFonts w:hint="eastAsia"/>
                      <w:color w:val="auto"/>
                      <w:kern w:val="0"/>
                      <w:sz w:val="21"/>
                      <w:szCs w:val="20"/>
                    </w:rPr>
                    <w:t>，</w:t>
                  </w:r>
                  <w:r>
                    <w:rPr>
                      <w:color w:val="auto"/>
                      <w:kern w:val="0"/>
                      <w:sz w:val="21"/>
                      <w:szCs w:val="20"/>
                    </w:rPr>
                    <w:t>铸造及其他金属制品制造339</w:t>
                  </w:r>
                  <w:r>
                    <w:rPr>
                      <w:rFonts w:hint="eastAsia"/>
                      <w:color w:val="auto"/>
                      <w:kern w:val="0"/>
                      <w:sz w:val="21"/>
                      <w:szCs w:val="20"/>
                    </w:rPr>
                    <w:t>（</w:t>
                  </w:r>
                  <w:r>
                    <w:rPr>
                      <w:color w:val="auto"/>
                      <w:kern w:val="0"/>
                      <w:sz w:val="21"/>
                      <w:szCs w:val="20"/>
                    </w:rPr>
                    <w:t>除黑色金属铸造 3391、有色金属铸造3392</w:t>
                  </w:r>
                  <w:r>
                    <w:rPr>
                      <w:rFonts w:hint="eastAsia"/>
                      <w:color w:val="auto"/>
                      <w:kern w:val="0"/>
                      <w:sz w:val="21"/>
                      <w:szCs w:val="20"/>
                    </w:rPr>
                    <w:t>）</w:t>
                  </w:r>
                </w:p>
              </w:tc>
              <w:tc>
                <w:tcPr>
                  <w:tcW w:w="1162" w:type="dxa"/>
                  <w:tcBorders>
                    <w:bottom w:val="single" w:color="auto" w:sz="12" w:space="0"/>
                  </w:tcBorders>
                  <w:vAlign w:val="center"/>
                </w:tcPr>
                <w:p w14:paraId="13078746">
                  <w:pPr>
                    <w:adjustRightInd w:val="0"/>
                    <w:snapToGrid w:val="0"/>
                    <w:spacing w:line="240" w:lineRule="auto"/>
                    <w:jc w:val="center"/>
                    <w:rPr>
                      <w:color w:val="auto"/>
                      <w:kern w:val="0"/>
                      <w:sz w:val="21"/>
                      <w:szCs w:val="20"/>
                    </w:rPr>
                  </w:pPr>
                  <w:r>
                    <w:rPr>
                      <w:color w:val="auto"/>
                      <w:kern w:val="0"/>
                      <w:sz w:val="21"/>
                      <w:szCs w:val="20"/>
                    </w:rPr>
                    <w:t>涉及通用工序重点管理的</w:t>
                  </w:r>
                </w:p>
              </w:tc>
              <w:tc>
                <w:tcPr>
                  <w:tcW w:w="2550" w:type="dxa"/>
                  <w:tcBorders>
                    <w:bottom w:val="single" w:color="auto" w:sz="12" w:space="0"/>
                  </w:tcBorders>
                  <w:vAlign w:val="center"/>
                </w:tcPr>
                <w:p w14:paraId="22DD3397">
                  <w:pPr>
                    <w:adjustRightInd w:val="0"/>
                    <w:snapToGrid w:val="0"/>
                    <w:spacing w:line="240" w:lineRule="auto"/>
                    <w:jc w:val="center"/>
                    <w:rPr>
                      <w:color w:val="auto"/>
                      <w:kern w:val="0"/>
                      <w:sz w:val="21"/>
                      <w:szCs w:val="20"/>
                    </w:rPr>
                  </w:pPr>
                  <w:r>
                    <w:rPr>
                      <w:color w:val="auto"/>
                      <w:kern w:val="0"/>
                      <w:sz w:val="21"/>
                      <w:szCs w:val="20"/>
                    </w:rPr>
                    <w:t>涉及通用工序简化管理的</w:t>
                  </w:r>
                </w:p>
              </w:tc>
              <w:tc>
                <w:tcPr>
                  <w:tcW w:w="1020" w:type="dxa"/>
                  <w:tcBorders>
                    <w:bottom w:val="single" w:color="auto" w:sz="12" w:space="0"/>
                    <w:right w:val="nil"/>
                  </w:tcBorders>
                  <w:shd w:val="clear" w:color="D7D7D7" w:fill="A4A4A4"/>
                  <w:vAlign w:val="center"/>
                </w:tcPr>
                <w:p w14:paraId="1B10F350">
                  <w:pPr>
                    <w:adjustRightInd w:val="0"/>
                    <w:snapToGrid w:val="0"/>
                    <w:spacing w:line="240" w:lineRule="auto"/>
                    <w:jc w:val="center"/>
                    <w:rPr>
                      <w:color w:val="auto"/>
                      <w:kern w:val="0"/>
                      <w:sz w:val="21"/>
                      <w:szCs w:val="20"/>
                    </w:rPr>
                  </w:pPr>
                  <w:r>
                    <w:rPr>
                      <w:rFonts w:hint="eastAsia"/>
                      <w:color w:val="auto"/>
                      <w:kern w:val="0"/>
                      <w:sz w:val="21"/>
                      <w:szCs w:val="20"/>
                    </w:rPr>
                    <w:t>其他</w:t>
                  </w:r>
                </w:p>
              </w:tc>
            </w:tr>
          </w:tbl>
          <w:p w14:paraId="2D6DE0A0">
            <w:pPr>
              <w:pStyle w:val="3"/>
              <w:spacing w:before="0" w:after="0"/>
              <w:rPr>
                <w:color w:val="auto"/>
              </w:rPr>
            </w:pPr>
            <w:r>
              <w:rPr>
                <w:rFonts w:hint="eastAsia"/>
                <w:color w:val="auto"/>
              </w:rPr>
              <w:t>4.2运营期大气环境影响分析和污染防控措施</w:t>
            </w:r>
          </w:p>
          <w:p w14:paraId="6B4F2D38">
            <w:pPr>
              <w:pStyle w:val="4"/>
              <w:ind w:firstLine="0" w:firstLineChars="0"/>
              <w:rPr>
                <w:color w:val="auto"/>
              </w:rPr>
            </w:pPr>
            <w:r>
              <w:rPr>
                <w:rFonts w:hint="eastAsia"/>
                <w:color w:val="auto"/>
              </w:rPr>
              <w:t>4.2.1运营期废气源强核算</w:t>
            </w:r>
          </w:p>
          <w:p w14:paraId="5786A80A">
            <w:pPr>
              <w:ind w:firstLine="480" w:firstLineChars="200"/>
              <w:rPr>
                <w:bCs/>
                <w:color w:val="auto"/>
              </w:rPr>
            </w:pPr>
            <w:r>
              <w:rPr>
                <w:rFonts w:hint="eastAsia"/>
                <w:color w:val="auto"/>
                <w:kern w:val="0"/>
              </w:rPr>
              <w:t>本项目运营期产生的</w:t>
            </w:r>
            <w:r>
              <w:rPr>
                <w:rFonts w:hint="eastAsia"/>
                <w:bCs/>
                <w:color w:val="auto"/>
              </w:rPr>
              <w:t>颗粒物主要来自亚克力、PVC板材雕刻、切割，金属板材切割，焊接工序，喷漆工序（漆雾）；</w:t>
            </w:r>
            <w:r>
              <w:rPr>
                <w:rFonts w:hint="eastAsia"/>
                <w:color w:val="auto"/>
              </w:rPr>
              <w:t>热压，人工组装（玻璃胶），UV打印及其设备清洗和调漆、喷漆、烤漆、喷枪清洗工序产生的污染物因子为非甲烷总烃、乙酸乙酯与乙酸丁酯合计、二甲苯。</w:t>
            </w:r>
          </w:p>
          <w:p w14:paraId="63E97AA5">
            <w:pPr>
              <w:ind w:firstLine="482" w:firstLineChars="200"/>
              <w:rPr>
                <w:b/>
                <w:bCs/>
                <w:color w:val="auto"/>
                <w:spacing w:val="-10"/>
                <w:szCs w:val="21"/>
              </w:rPr>
            </w:pPr>
            <w:r>
              <w:rPr>
                <w:rFonts w:hint="eastAsia" w:cs="宋体"/>
                <w:b/>
                <w:bCs/>
                <w:color w:val="auto"/>
              </w:rPr>
              <w:t>（1）</w:t>
            </w:r>
            <w:r>
              <w:rPr>
                <w:rFonts w:hint="eastAsia"/>
                <w:b/>
                <w:bCs/>
                <w:color w:val="auto"/>
              </w:rPr>
              <w:t>亚克力、</w:t>
            </w:r>
            <w:r>
              <w:rPr>
                <w:b/>
                <w:bCs/>
                <w:color w:val="auto"/>
                <w:spacing w:val="-10"/>
                <w:szCs w:val="21"/>
              </w:rPr>
              <w:t>PVC板材雕刻、切割</w:t>
            </w:r>
            <w:r>
              <w:rPr>
                <w:rFonts w:hint="eastAsia"/>
                <w:b/>
                <w:bCs/>
                <w:color w:val="auto"/>
                <w:spacing w:val="-10"/>
                <w:szCs w:val="21"/>
              </w:rPr>
              <w:t>粉尘</w:t>
            </w:r>
          </w:p>
          <w:p w14:paraId="0F13052E">
            <w:pPr>
              <w:adjustRightInd w:val="0"/>
              <w:snapToGrid w:val="0"/>
              <w:ind w:firstLine="440" w:firstLineChars="200"/>
              <w:rPr>
                <w:bCs/>
                <w:color w:val="auto"/>
                <w:spacing w:val="-10"/>
                <w:szCs w:val="21"/>
              </w:rPr>
            </w:pPr>
            <w:r>
              <w:rPr>
                <w:bCs/>
                <w:color w:val="auto"/>
                <w:spacing w:val="-10"/>
                <w:szCs w:val="21"/>
              </w:rPr>
              <w:t>本项目生产过程中需要对亚克力板和PVC板进行雕刻</w:t>
            </w:r>
            <w:r>
              <w:rPr>
                <w:rFonts w:hint="eastAsia"/>
                <w:bCs/>
                <w:color w:val="auto"/>
                <w:spacing w:val="-10"/>
                <w:szCs w:val="21"/>
              </w:rPr>
              <w:t>、切割。</w:t>
            </w:r>
            <w:r>
              <w:rPr>
                <w:rFonts w:hint="eastAsia"/>
                <w:bCs/>
                <w:color w:val="auto"/>
                <w:spacing w:val="-10"/>
                <w:szCs w:val="21"/>
                <w:highlight w:val="none"/>
                <w:lang w:val="en-US" w:eastAsia="zh-CN"/>
              </w:rPr>
              <w:t>亚克力板的熔化温度为240℃~270℃，裂解温度高于270℃。</w:t>
            </w:r>
            <w:r>
              <w:rPr>
                <w:bCs/>
                <w:color w:val="auto"/>
                <w:spacing w:val="-10"/>
                <w:szCs w:val="21"/>
                <w:highlight w:val="none"/>
              </w:rPr>
              <w:t>PVC</w:t>
            </w:r>
            <w:r>
              <w:rPr>
                <w:rFonts w:hint="eastAsia"/>
                <w:bCs/>
                <w:color w:val="auto"/>
                <w:spacing w:val="-10"/>
                <w:szCs w:val="21"/>
                <w:highlight w:val="none"/>
                <w:lang w:val="en-US" w:eastAsia="zh-CN"/>
              </w:rPr>
              <w:t>板分解温度为220℃~280℃</w:t>
            </w:r>
            <w:r>
              <w:rPr>
                <w:bCs/>
                <w:color w:val="auto"/>
                <w:spacing w:val="-10"/>
                <w:szCs w:val="21"/>
                <w:highlight w:val="none"/>
              </w:rPr>
              <w:t>。</w:t>
            </w:r>
            <w:r>
              <w:rPr>
                <w:bCs/>
                <w:color w:val="auto"/>
                <w:spacing w:val="-10"/>
                <w:szCs w:val="21"/>
              </w:rPr>
              <w:t>亚克力板块与PVC板块均为塑料单体聚合物制品，本项目归为同类型材料一并计算。</w:t>
            </w:r>
          </w:p>
          <w:p w14:paraId="67BA6523">
            <w:pPr>
              <w:wordWrap w:val="0"/>
              <w:adjustRightInd w:val="0"/>
              <w:snapToGrid w:val="0"/>
              <w:ind w:firstLine="480" w:firstLineChars="200"/>
              <w:rPr>
                <w:bCs/>
                <w:color w:val="auto"/>
                <w:szCs w:val="21"/>
              </w:rPr>
            </w:pPr>
            <w:r>
              <w:rPr>
                <w:rFonts w:hint="eastAsia"/>
                <w:bCs/>
                <w:color w:val="auto"/>
                <w:szCs w:val="21"/>
              </w:rPr>
              <w:t>根据《第二次全国污染源普查产排污核算系数手册（试用版）》中</w:t>
            </w:r>
            <w:r>
              <w:rPr>
                <w:rFonts w:hint="eastAsia"/>
                <w:bCs/>
                <w:color w:val="auto"/>
                <w:szCs w:val="21"/>
                <w:lang w:eastAsia="zh-CN"/>
              </w:rPr>
              <w:t>“</w:t>
            </w:r>
            <w:r>
              <w:rPr>
                <w:rFonts w:hint="eastAsia"/>
                <w:bCs/>
                <w:color w:val="auto"/>
                <w:szCs w:val="21"/>
              </w:rPr>
              <w:t>工艺美术品使用亚克力等有机高分子材料为原料，通过切割-雕刻-抛光生产工艺美术品的下料、切割、雕刻，抛光工段参照34通用设备制造行业工段为下料，产品为下料件，原料为钢板，铝板、铝合金板、其他金属材料、玻璃纤维、其他非金属材料，工艺为锯床、砂轮切割机切割</w:t>
            </w:r>
            <w:r>
              <w:rPr>
                <w:rFonts w:hint="eastAsia"/>
                <w:bCs/>
                <w:color w:val="auto"/>
                <w:szCs w:val="21"/>
                <w:lang w:eastAsia="zh-CN"/>
              </w:rPr>
              <w:t>”</w:t>
            </w:r>
            <w:r>
              <w:rPr>
                <w:rFonts w:hint="eastAsia"/>
                <w:bCs/>
                <w:color w:val="auto"/>
                <w:szCs w:val="21"/>
              </w:rPr>
              <w:t>。</w:t>
            </w:r>
          </w:p>
          <w:p w14:paraId="74C6EF17">
            <w:pPr>
              <w:adjustRightInd w:val="0"/>
              <w:snapToGrid w:val="0"/>
              <w:ind w:firstLine="480" w:firstLineChars="200"/>
              <w:rPr>
                <w:bCs/>
                <w:color w:val="auto"/>
                <w:szCs w:val="21"/>
              </w:rPr>
            </w:pPr>
            <w:r>
              <w:rPr>
                <w:rFonts w:hint="eastAsia"/>
                <w:bCs/>
                <w:color w:val="auto"/>
                <w:szCs w:val="21"/>
              </w:rPr>
              <w:t>本项目使用的原料为PVC板、亚力克板，切割、雕刻粉尘产生量参照《排放源统计调查产排污核算方法和系数手册》-33-37、431-434机械行业系数手册中下料（原料名称：钢板、铝板铝合金板、其他金属材料、玻璃纤维、其他非金属材料；工艺名称：锯床、砂轮切割机切割）-粉尘产生量为5.3kg/t-原料，本项目原料使用量约为110t，则切割、雕刻工序粉尘产生量为0.583t/a，则粉尘产生速率为0.26kg/h。</w:t>
            </w:r>
          </w:p>
          <w:p w14:paraId="3F75DEAA">
            <w:pPr>
              <w:ind w:firstLine="480" w:firstLineChars="200"/>
              <w:rPr>
                <w:bCs/>
                <w:color w:val="auto"/>
                <w:szCs w:val="21"/>
              </w:rPr>
            </w:pPr>
            <w:r>
              <w:rPr>
                <w:rFonts w:hint="eastAsia"/>
                <w:color w:val="auto"/>
              </w:rPr>
              <w:t>雕刻、切割工序分别在固定的区域内进行，雕刻、切割工序产生的废气采用集气罩</w:t>
            </w:r>
            <w:r>
              <w:rPr>
                <w:rFonts w:hint="eastAsia" w:cs="宋体"/>
                <w:color w:val="auto"/>
              </w:rPr>
              <w:t>收集</w:t>
            </w:r>
            <w:r>
              <w:rPr>
                <w:rFonts w:hint="eastAsia"/>
                <w:color w:val="auto"/>
              </w:rPr>
              <w:t>，收集效率为9</w:t>
            </w:r>
            <w:r>
              <w:rPr>
                <w:rFonts w:hint="eastAsia"/>
                <w:color w:val="auto"/>
                <w:lang w:val="en-US" w:eastAsia="zh-CN"/>
              </w:rPr>
              <w:t>0</w:t>
            </w:r>
            <w:r>
              <w:rPr>
                <w:rFonts w:hint="eastAsia"/>
                <w:color w:val="auto"/>
              </w:rPr>
              <w:t>%。</w:t>
            </w:r>
            <w:r>
              <w:rPr>
                <w:rFonts w:hint="eastAsia" w:cs="宋体"/>
                <w:color w:val="auto"/>
              </w:rPr>
              <w:t>项目拟建一台风量为10000m</w:t>
            </w:r>
            <w:r>
              <w:rPr>
                <w:rFonts w:hint="eastAsia" w:cs="宋体"/>
                <w:color w:val="auto"/>
                <w:vertAlign w:val="superscript"/>
              </w:rPr>
              <w:t>3</w:t>
            </w:r>
            <w:r>
              <w:rPr>
                <w:rFonts w:hint="eastAsia" w:cs="宋体"/>
                <w:color w:val="auto"/>
              </w:rPr>
              <w:t>/h的风机和布袋除尘器作为末端治理设施，查阅《排放源统计调查产排污核算方法和系数手册》，袋式除尘器对颗粒物去除效率一般为90%~99.7%，本次评价治理效率取</w:t>
            </w:r>
            <w:r>
              <w:rPr>
                <w:rFonts w:hint="eastAsia" w:cs="宋体"/>
                <w:color w:val="auto"/>
                <w:lang w:val="en-US" w:eastAsia="zh-CN"/>
              </w:rPr>
              <w:t>99</w:t>
            </w:r>
            <w:r>
              <w:rPr>
                <w:rFonts w:hint="eastAsia" w:cs="宋体"/>
                <w:color w:val="auto"/>
              </w:rPr>
              <w:t>%。</w:t>
            </w:r>
            <w:r>
              <w:rPr>
                <w:color w:val="auto"/>
              </w:rPr>
              <w:t>则</w:t>
            </w:r>
            <w:r>
              <w:rPr>
                <w:rFonts w:hint="eastAsia"/>
                <w:color w:val="auto"/>
              </w:rPr>
              <w:t>雕刻、切割工序产生</w:t>
            </w:r>
            <w:r>
              <w:rPr>
                <w:color w:val="auto"/>
              </w:rPr>
              <w:t>粉尘有组织排放量为</w:t>
            </w:r>
            <w:r>
              <w:rPr>
                <w:rFonts w:hint="eastAsia"/>
                <w:color w:val="auto"/>
                <w:lang w:val="en-US" w:eastAsia="zh-CN"/>
              </w:rPr>
              <w:t>0.00525</w:t>
            </w:r>
            <w:r>
              <w:rPr>
                <w:rFonts w:hint="eastAsia"/>
                <w:color w:val="auto"/>
              </w:rPr>
              <w:t>t/a，排放速率为</w:t>
            </w:r>
            <w:r>
              <w:rPr>
                <w:rFonts w:hint="eastAsia"/>
                <w:color w:val="auto"/>
                <w:lang w:val="en-US" w:eastAsia="zh-CN"/>
              </w:rPr>
              <w:t>0.0023</w:t>
            </w:r>
            <w:r>
              <w:rPr>
                <w:rFonts w:hint="eastAsia"/>
                <w:bCs/>
                <w:color w:val="auto"/>
                <w:szCs w:val="21"/>
              </w:rPr>
              <w:t>kg/h。</w:t>
            </w:r>
            <w:r>
              <w:rPr>
                <w:color w:val="auto"/>
              </w:rPr>
              <w:t>则</w:t>
            </w:r>
            <w:r>
              <w:rPr>
                <w:rFonts w:hint="eastAsia"/>
                <w:color w:val="auto"/>
              </w:rPr>
              <w:t>雕刻、切割工序粉</w:t>
            </w:r>
            <w:r>
              <w:rPr>
                <w:color w:val="auto"/>
              </w:rPr>
              <w:t>尘无组织排放量为</w:t>
            </w:r>
            <w:r>
              <w:rPr>
                <w:rFonts w:hint="eastAsia"/>
                <w:color w:val="auto"/>
                <w:lang w:val="en-US" w:eastAsia="zh-CN"/>
              </w:rPr>
              <w:t>0.0583</w:t>
            </w:r>
            <w:r>
              <w:rPr>
                <w:color w:val="auto"/>
              </w:rPr>
              <w:t>t/a（</w:t>
            </w:r>
            <w:r>
              <w:rPr>
                <w:rFonts w:hint="eastAsia"/>
                <w:color w:val="auto"/>
              </w:rPr>
              <w:t>排放速率</w:t>
            </w:r>
            <w:r>
              <w:rPr>
                <w:rFonts w:hint="eastAsia"/>
                <w:color w:val="auto"/>
                <w:lang w:val="en-US" w:eastAsia="zh-CN"/>
              </w:rPr>
              <w:t>0.02603</w:t>
            </w:r>
            <w:r>
              <w:rPr>
                <w:color w:val="auto"/>
              </w:rPr>
              <w:t>kg/h）</w:t>
            </w:r>
            <w:r>
              <w:rPr>
                <w:bCs/>
                <w:color w:val="auto"/>
                <w:szCs w:val="21"/>
              </w:rPr>
              <w:t>。</w:t>
            </w:r>
          </w:p>
          <w:p w14:paraId="27EBF0D5">
            <w:pPr>
              <w:adjustRightInd w:val="0"/>
              <w:snapToGrid w:val="0"/>
              <w:ind w:firstLine="482" w:firstLineChars="200"/>
              <w:rPr>
                <w:b/>
                <w:color w:val="auto"/>
                <w:szCs w:val="21"/>
              </w:rPr>
            </w:pPr>
            <w:r>
              <w:rPr>
                <w:rFonts w:hint="eastAsia"/>
                <w:b/>
                <w:color w:val="auto"/>
                <w:szCs w:val="21"/>
              </w:rPr>
              <w:t>（2）</w:t>
            </w:r>
            <w:r>
              <w:rPr>
                <w:b/>
                <w:color w:val="auto"/>
              </w:rPr>
              <w:t>金属板材激光切割</w:t>
            </w:r>
            <w:r>
              <w:rPr>
                <w:rFonts w:hint="eastAsia"/>
                <w:b/>
                <w:color w:val="auto"/>
              </w:rPr>
              <w:t>烟尘</w:t>
            </w:r>
          </w:p>
          <w:p w14:paraId="2B01095E">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bCs/>
                <w:color w:val="auto"/>
                <w:szCs w:val="21"/>
                <w:highlight w:val="none"/>
                <w:vertAlign w:val="baseline"/>
                <w:lang w:val="en-US" w:eastAsia="zh-CN"/>
              </w:rPr>
            </w:pPr>
            <w:r>
              <w:rPr>
                <w:rFonts w:hint="eastAsia" w:ascii="Times New Roman" w:hAnsi="Times New Roman" w:eastAsia="宋体" w:cs="Times New Roman"/>
                <w:b w:val="0"/>
                <w:bCs/>
                <w:color w:val="auto"/>
                <w:szCs w:val="21"/>
                <w:highlight w:val="none"/>
                <w:vertAlign w:val="baseline"/>
                <w:lang w:val="en-US" w:eastAsia="zh-CN"/>
              </w:rPr>
              <w:t>本项目金属板材在使用切割机进行</w:t>
            </w:r>
            <w:r>
              <w:rPr>
                <w:rFonts w:hint="eastAsia" w:cs="Times New Roman"/>
                <w:b w:val="0"/>
                <w:bCs/>
                <w:color w:val="auto"/>
                <w:szCs w:val="21"/>
                <w:highlight w:val="none"/>
                <w:vertAlign w:val="baseline"/>
                <w:lang w:val="en-US" w:eastAsia="zh-CN"/>
              </w:rPr>
              <w:t>激光</w:t>
            </w:r>
            <w:r>
              <w:rPr>
                <w:rFonts w:hint="eastAsia" w:ascii="Times New Roman" w:hAnsi="Times New Roman" w:eastAsia="宋体" w:cs="Times New Roman"/>
                <w:b w:val="0"/>
                <w:bCs/>
                <w:color w:val="auto"/>
                <w:szCs w:val="21"/>
                <w:highlight w:val="none"/>
                <w:vertAlign w:val="baseline"/>
                <w:lang w:val="en-US" w:eastAsia="zh-CN"/>
              </w:rPr>
              <w:t>切割时会产生金属烟尘</w:t>
            </w:r>
            <w:r>
              <w:rPr>
                <w:rFonts w:hint="eastAsia" w:cs="Times New Roman"/>
                <w:b w:val="0"/>
                <w:bCs/>
                <w:color w:val="auto"/>
                <w:szCs w:val="21"/>
                <w:highlight w:val="none"/>
                <w:vertAlign w:val="baseline"/>
                <w:lang w:val="en-US" w:eastAsia="zh-CN"/>
              </w:rPr>
              <w:t>。金属板材</w:t>
            </w:r>
            <w:r>
              <w:rPr>
                <w:rFonts w:hint="eastAsia" w:ascii="Times New Roman" w:hAnsi="Times New Roman" w:eastAsia="宋体" w:cs="Times New Roman"/>
                <w:b w:val="0"/>
                <w:bCs/>
                <w:color w:val="auto"/>
                <w:szCs w:val="21"/>
                <w:highlight w:val="none"/>
                <w:vertAlign w:val="baseline"/>
                <w:lang w:val="en-US" w:eastAsia="zh-CN"/>
              </w:rPr>
              <w:t>切割</w:t>
            </w:r>
            <w:r>
              <w:rPr>
                <w:rFonts w:hint="eastAsia" w:cs="Times New Roman"/>
                <w:b w:val="0"/>
                <w:bCs/>
                <w:color w:val="auto"/>
                <w:szCs w:val="21"/>
                <w:highlight w:val="none"/>
                <w:vertAlign w:val="baseline"/>
                <w:lang w:val="en-US" w:eastAsia="zh-CN"/>
              </w:rPr>
              <w:t>烟尘</w:t>
            </w:r>
            <w:r>
              <w:rPr>
                <w:rFonts w:hint="eastAsia" w:ascii="Times New Roman" w:hAnsi="Times New Roman" w:eastAsia="宋体" w:cs="Times New Roman"/>
                <w:b w:val="0"/>
                <w:bCs/>
                <w:color w:val="auto"/>
                <w:szCs w:val="21"/>
                <w:highlight w:val="none"/>
                <w:vertAlign w:val="baseline"/>
                <w:lang w:val="en-US" w:eastAsia="zh-CN"/>
              </w:rPr>
              <w:t>污染源强</w:t>
            </w:r>
            <w:r>
              <w:rPr>
                <w:rFonts w:hint="eastAsia" w:ascii="Times New Roman" w:hAnsi="Times New Roman" w:eastAsia="宋体" w:cs="Times New Roman"/>
                <w:bCs/>
                <w:color w:val="auto"/>
                <w:szCs w:val="21"/>
                <w:highlight w:val="none"/>
                <w:vertAlign w:val="baseline"/>
                <w:lang w:val="en-US" w:eastAsia="zh-CN"/>
              </w:rPr>
              <w:t>照《排放源统计调查产排污核算方法和系数手册》-33-37、431-434机械行业系数手册中下料（原料名称：钢板、铝板铝合金板、</w:t>
            </w:r>
            <w:r>
              <w:rPr>
                <w:rFonts w:hint="eastAsia" w:cs="Times New Roman"/>
                <w:bCs/>
                <w:color w:val="auto"/>
                <w:szCs w:val="21"/>
                <w:highlight w:val="none"/>
                <w:vertAlign w:val="baseline"/>
                <w:lang w:val="en-US" w:eastAsia="zh-CN"/>
              </w:rPr>
              <w:t>其他</w:t>
            </w:r>
            <w:r>
              <w:rPr>
                <w:rFonts w:hint="eastAsia" w:ascii="Times New Roman" w:hAnsi="Times New Roman" w:eastAsia="宋体" w:cs="Times New Roman"/>
                <w:bCs/>
                <w:color w:val="auto"/>
                <w:szCs w:val="21"/>
                <w:highlight w:val="none"/>
                <w:vertAlign w:val="baseline"/>
                <w:lang w:val="en-US" w:eastAsia="zh-CN"/>
              </w:rPr>
              <w:t>金属材料、玻璃纤维、</w:t>
            </w:r>
            <w:r>
              <w:rPr>
                <w:rFonts w:hint="eastAsia" w:cs="Times New Roman"/>
                <w:bCs/>
                <w:color w:val="auto"/>
                <w:szCs w:val="21"/>
                <w:highlight w:val="none"/>
                <w:vertAlign w:val="baseline"/>
                <w:lang w:val="en-US" w:eastAsia="zh-CN"/>
              </w:rPr>
              <w:t>其他</w:t>
            </w:r>
            <w:r>
              <w:rPr>
                <w:rFonts w:hint="eastAsia" w:ascii="Times New Roman" w:hAnsi="Times New Roman" w:eastAsia="宋体" w:cs="Times New Roman"/>
                <w:bCs/>
                <w:color w:val="auto"/>
                <w:szCs w:val="21"/>
                <w:highlight w:val="none"/>
                <w:vertAlign w:val="baseline"/>
                <w:lang w:val="en-US" w:eastAsia="zh-CN"/>
              </w:rPr>
              <w:t>非金属材料；工艺名称：锯床、砂轮切割机切割）-粉尘产生量为5.3kg/t-原料</w:t>
            </w:r>
            <w:r>
              <w:rPr>
                <w:rFonts w:hint="eastAsia" w:ascii="Times New Roman" w:hAnsi="Times New Roman" w:eastAsia="宋体" w:cs="Times New Roman"/>
                <w:b w:val="0"/>
                <w:bCs/>
                <w:color w:val="auto"/>
                <w:szCs w:val="21"/>
                <w:highlight w:val="none"/>
                <w:vertAlign w:val="baseline"/>
                <w:lang w:val="en-US" w:eastAsia="zh-CN"/>
              </w:rPr>
              <w:t>，</w:t>
            </w:r>
            <w:r>
              <w:rPr>
                <w:rFonts w:hint="eastAsia" w:ascii="Times New Roman" w:hAnsi="Times New Roman" w:eastAsia="宋体" w:cs="Times New Roman"/>
                <w:bCs/>
                <w:color w:val="auto"/>
                <w:szCs w:val="21"/>
                <w:highlight w:val="none"/>
                <w:vertAlign w:val="baseline"/>
                <w:lang w:val="en-US" w:eastAsia="zh-CN"/>
              </w:rPr>
              <w:t>本项目年工作280天，每天工作8小时，</w:t>
            </w:r>
            <w:r>
              <w:rPr>
                <w:rFonts w:hint="eastAsia" w:cs="Times New Roman"/>
                <w:bCs/>
                <w:color w:val="auto"/>
                <w:szCs w:val="21"/>
                <w:highlight w:val="none"/>
                <w:vertAlign w:val="baseline"/>
                <w:lang w:val="en-US" w:eastAsia="zh-CN"/>
              </w:rPr>
              <w:t>金属板材使用量为20t，</w:t>
            </w:r>
            <w:r>
              <w:rPr>
                <w:rFonts w:hint="eastAsia" w:ascii="Times New Roman" w:hAnsi="Times New Roman" w:eastAsia="宋体" w:cs="Times New Roman"/>
                <w:bCs/>
                <w:color w:val="auto"/>
                <w:szCs w:val="21"/>
                <w:highlight w:val="none"/>
                <w:vertAlign w:val="baseline"/>
                <w:lang w:val="en-US" w:eastAsia="zh-CN"/>
              </w:rPr>
              <w:t>则</w:t>
            </w:r>
            <w:r>
              <w:rPr>
                <w:rFonts w:hint="eastAsia" w:cs="Times New Roman"/>
                <w:bCs/>
                <w:color w:val="auto"/>
                <w:szCs w:val="21"/>
                <w:highlight w:val="none"/>
                <w:vertAlign w:val="baseline"/>
                <w:lang w:val="en-US" w:eastAsia="zh-CN"/>
              </w:rPr>
              <w:t>金属板材</w:t>
            </w:r>
            <w:r>
              <w:rPr>
                <w:rFonts w:hint="eastAsia" w:ascii="Times New Roman" w:hAnsi="Times New Roman" w:eastAsia="宋体" w:cs="Times New Roman"/>
                <w:bCs/>
                <w:color w:val="auto"/>
                <w:szCs w:val="21"/>
                <w:highlight w:val="none"/>
                <w:vertAlign w:val="baseline"/>
                <w:lang w:val="en-US" w:eastAsia="zh-CN"/>
              </w:rPr>
              <w:t>切割烟尘</w:t>
            </w:r>
            <w:r>
              <w:rPr>
                <w:rFonts w:hint="eastAsia" w:cs="Times New Roman"/>
                <w:bCs/>
                <w:color w:val="auto"/>
                <w:szCs w:val="21"/>
                <w:highlight w:val="none"/>
                <w:vertAlign w:val="baseline"/>
                <w:lang w:val="en-US" w:eastAsia="zh-CN"/>
              </w:rPr>
              <w:t>产生</w:t>
            </w:r>
            <w:r>
              <w:rPr>
                <w:rFonts w:hint="eastAsia" w:ascii="Times New Roman" w:hAnsi="Times New Roman" w:eastAsia="宋体" w:cs="Times New Roman"/>
                <w:bCs/>
                <w:color w:val="auto"/>
                <w:szCs w:val="21"/>
                <w:highlight w:val="none"/>
                <w:vertAlign w:val="baseline"/>
                <w:lang w:val="en-US" w:eastAsia="zh-CN"/>
              </w:rPr>
              <w:t>量为</w:t>
            </w:r>
            <w:r>
              <w:rPr>
                <w:rFonts w:hint="eastAsia" w:cs="Times New Roman"/>
                <w:bCs/>
                <w:color w:val="auto"/>
                <w:szCs w:val="21"/>
                <w:highlight w:val="none"/>
                <w:vertAlign w:val="baseline"/>
                <w:lang w:val="en-US" w:eastAsia="zh-CN"/>
              </w:rPr>
              <w:t>0.106</w:t>
            </w:r>
            <w:r>
              <w:rPr>
                <w:rFonts w:hint="eastAsia" w:ascii="Times New Roman" w:hAnsi="Times New Roman" w:eastAsia="宋体" w:cs="Times New Roman"/>
                <w:bCs/>
                <w:color w:val="auto"/>
                <w:szCs w:val="21"/>
                <w:highlight w:val="none"/>
                <w:vertAlign w:val="baseline"/>
                <w:lang w:val="en-US" w:eastAsia="zh-CN"/>
              </w:rPr>
              <w:t>t/a</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bCs/>
                <w:color w:val="auto"/>
                <w:szCs w:val="21"/>
                <w:highlight w:val="none"/>
                <w:vertAlign w:val="baseline"/>
                <w:lang w:val="en-US" w:eastAsia="zh-CN"/>
              </w:rPr>
              <w:t>产生速率为0.0</w:t>
            </w:r>
            <w:r>
              <w:rPr>
                <w:rFonts w:hint="eastAsia" w:cs="Times New Roman"/>
                <w:bCs/>
                <w:color w:val="auto"/>
                <w:szCs w:val="21"/>
                <w:highlight w:val="none"/>
                <w:vertAlign w:val="baseline"/>
                <w:lang w:val="en-US" w:eastAsia="zh-CN"/>
              </w:rPr>
              <w:t>5</w:t>
            </w:r>
            <w:r>
              <w:rPr>
                <w:rFonts w:hint="eastAsia" w:ascii="Times New Roman" w:hAnsi="Times New Roman" w:eastAsia="宋体" w:cs="Times New Roman"/>
                <w:bCs/>
                <w:color w:val="auto"/>
                <w:szCs w:val="21"/>
                <w:highlight w:val="none"/>
                <w:vertAlign w:val="baseline"/>
                <w:lang w:val="en-US" w:eastAsia="zh-CN"/>
              </w:rPr>
              <w:t>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bCs/>
                <w:color w:val="auto"/>
                <w:szCs w:val="21"/>
                <w:highlight w:val="none"/>
                <w:vertAlign w:val="baseline"/>
                <w:lang w:val="en-US" w:eastAsia="zh-CN"/>
              </w:rPr>
              <w:t>。</w:t>
            </w:r>
          </w:p>
          <w:p w14:paraId="7920F8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eastAsia"/>
                <w:color w:val="auto"/>
                <w:highlight w:val="none"/>
                <w:lang w:val="en-US" w:eastAsia="zh-CN"/>
              </w:rPr>
              <w:t>金属板材激光切割工序产生的废气采用集气罩</w:t>
            </w:r>
            <w:r>
              <w:rPr>
                <w:rFonts w:hint="eastAsia" w:ascii="Times New Roman" w:hAnsi="Times New Roman" w:eastAsia="宋体" w:cs="宋体"/>
                <w:color w:val="auto"/>
                <w:kern w:val="2"/>
                <w:sz w:val="24"/>
                <w:szCs w:val="24"/>
                <w:highlight w:val="none"/>
                <w:lang w:val="en-US" w:eastAsia="zh-CN" w:bidi="ar-SA"/>
              </w:rPr>
              <w:t>收集</w:t>
            </w:r>
            <w:r>
              <w:rPr>
                <w:rFonts w:hint="eastAsia"/>
                <w:color w:val="auto"/>
                <w:highlight w:val="none"/>
                <w:lang w:val="en-US" w:eastAsia="zh-CN"/>
              </w:rPr>
              <w:t>，收集效率为90%。</w:t>
            </w:r>
            <w:r>
              <w:rPr>
                <w:rFonts w:hint="eastAsia" w:ascii="Times New Roman" w:hAnsi="Times New Roman" w:eastAsia="宋体" w:cs="宋体"/>
                <w:color w:val="auto"/>
                <w:kern w:val="2"/>
                <w:sz w:val="24"/>
                <w:szCs w:val="24"/>
                <w:highlight w:val="none"/>
                <w:lang w:val="en-US" w:eastAsia="zh-CN" w:bidi="ar-SA"/>
              </w:rPr>
              <w:t>项目拟建一台风量为10000m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/h的风机和布袋除尘器作为末端治理设施，查阅《排放源统计调查产排污核算方法和系数手册》，</w:t>
            </w:r>
            <w:r>
              <w:rPr>
                <w:rFonts w:hint="eastAsia" w:cs="宋体"/>
                <w:color w:val="auto"/>
                <w:kern w:val="2"/>
                <w:sz w:val="24"/>
                <w:szCs w:val="24"/>
                <w:highlight w:val="none"/>
                <w:lang w:val="en-US" w:eastAsia="zh-CN" w:bidi="ar-SA"/>
              </w:rPr>
              <w:t>袋式除尘器对颗粒物去除效率一般为90%~99.7%，本次评价治理效率取99</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则</w:t>
            </w:r>
            <w:r>
              <w:rPr>
                <w:rFonts w:hint="eastAsia"/>
                <w:color w:val="auto"/>
                <w:highlight w:val="none"/>
                <w:lang w:val="en-US" w:eastAsia="zh-CN"/>
              </w:rPr>
              <w:t>金属板材激光切割工序产生的废气</w:t>
            </w:r>
            <w:r>
              <w:rPr>
                <w:rFonts w:hint="default" w:ascii="Times New Roman" w:hAnsi="Times New Roman" w:eastAsia="宋体" w:cs="Times New Roman"/>
                <w:color w:val="auto"/>
                <w:kern w:val="2"/>
                <w:sz w:val="24"/>
                <w:szCs w:val="24"/>
                <w:highlight w:val="none"/>
                <w:lang w:val="en-US" w:eastAsia="zh-CN" w:bidi="ar-SA"/>
              </w:rPr>
              <w:t>有组织排放量为</w:t>
            </w:r>
            <w:r>
              <w:rPr>
                <w:rFonts w:hint="eastAsia" w:cs="Times New Roman"/>
                <w:color w:val="auto"/>
                <w:kern w:val="2"/>
                <w:sz w:val="24"/>
                <w:szCs w:val="24"/>
                <w:highlight w:val="none"/>
                <w:lang w:val="en-US" w:eastAsia="zh-CN" w:bidi="ar-SA"/>
              </w:rPr>
              <w:t>0.00095t/a，排放速率为0.0004</w:t>
            </w:r>
            <w:r>
              <w:rPr>
                <w:rFonts w:hint="eastAsia" w:ascii="Times New Roman" w:hAnsi="Times New Roman" w:eastAsia="宋体" w:cs="Times New Roman"/>
                <w:bCs/>
                <w:color w:val="auto"/>
                <w:szCs w:val="21"/>
                <w:highlight w:val="none"/>
                <w:vertAlign w:val="baseline"/>
                <w:lang w:val="en-US" w:eastAsia="zh-CN"/>
              </w:rPr>
              <w:t>kg/h。</w:t>
            </w:r>
            <w:r>
              <w:rPr>
                <w:rFonts w:hint="default" w:ascii="Times New Roman" w:hAnsi="Times New Roman" w:eastAsia="宋体" w:cs="Times New Roman"/>
                <w:color w:val="auto"/>
                <w:kern w:val="0"/>
                <w:sz w:val="24"/>
                <w:szCs w:val="24"/>
                <w:highlight w:val="none"/>
                <w:lang w:val="en-US" w:eastAsia="zh-CN" w:bidi="ar"/>
              </w:rPr>
              <w:t>则无组织排放量约为</w:t>
            </w:r>
            <w:r>
              <w:rPr>
                <w:rFonts w:hint="eastAsia" w:cs="Times New Roman"/>
                <w:color w:val="auto"/>
                <w:kern w:val="0"/>
                <w:sz w:val="24"/>
                <w:szCs w:val="24"/>
                <w:highlight w:val="none"/>
                <w:lang w:val="en-US" w:eastAsia="zh-CN" w:bidi="ar"/>
              </w:rPr>
              <w:t>0.0106</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2"/>
                <w:sz w:val="24"/>
                <w:szCs w:val="24"/>
                <w:highlight w:val="none"/>
                <w:lang w:val="en-US" w:eastAsia="zh-CN" w:bidi="ar-SA"/>
              </w:rPr>
              <w:t>排放速率为</w:t>
            </w:r>
            <w:r>
              <w:rPr>
                <w:rFonts w:hint="default" w:ascii="Times New Roman" w:hAnsi="Times New Roman" w:eastAsia="宋体" w:cs="Times New Roman"/>
                <w:color w:val="auto"/>
                <w:kern w:val="0"/>
                <w:sz w:val="24"/>
                <w:szCs w:val="24"/>
                <w:highlight w:val="none"/>
                <w:lang w:val="en-US" w:eastAsia="zh-CN" w:bidi="ar"/>
              </w:rPr>
              <w:t>0.004</w:t>
            </w:r>
            <w:r>
              <w:rPr>
                <w:rFonts w:hint="eastAsia" w:cs="Times New Roman"/>
                <w:color w:val="auto"/>
                <w:kern w:val="0"/>
                <w:sz w:val="24"/>
                <w:szCs w:val="24"/>
                <w:highlight w:val="none"/>
                <w:lang w:val="en-US" w:eastAsia="zh-CN" w:bidi="ar"/>
              </w:rPr>
              <w:t>73</w:t>
            </w:r>
            <w:r>
              <w:rPr>
                <w:rFonts w:hint="default" w:ascii="Times New Roman" w:hAnsi="Times New Roman" w:eastAsia="宋体" w:cs="Times New Roman"/>
                <w:color w:val="auto"/>
                <w:kern w:val="0"/>
                <w:sz w:val="24"/>
                <w:szCs w:val="24"/>
                <w:highlight w:val="none"/>
                <w:lang w:val="en-US" w:eastAsia="zh-CN" w:bidi="ar"/>
              </w:rPr>
              <w:t>kg/h。</w:t>
            </w:r>
          </w:p>
          <w:p w14:paraId="5C02FBDD">
            <w:pPr>
              <w:adjustRightInd w:val="0"/>
              <w:snapToGrid w:val="0"/>
              <w:ind w:firstLine="482" w:firstLineChars="200"/>
              <w:rPr>
                <w:b/>
                <w:color w:val="auto"/>
                <w:szCs w:val="21"/>
              </w:rPr>
            </w:pPr>
            <w:r>
              <w:rPr>
                <w:b/>
                <w:color w:val="auto"/>
                <w:szCs w:val="21"/>
              </w:rPr>
              <w:t>（3）焊接</w:t>
            </w:r>
            <w:r>
              <w:rPr>
                <w:rFonts w:hint="eastAsia"/>
                <w:b/>
                <w:color w:val="auto"/>
                <w:szCs w:val="21"/>
              </w:rPr>
              <w:t>烟尘</w:t>
            </w:r>
          </w:p>
          <w:p w14:paraId="7985356F">
            <w:pPr>
              <w:adjustRightInd w:val="0"/>
              <w:snapToGrid w:val="0"/>
              <w:ind w:firstLine="480" w:firstLineChars="200"/>
              <w:rPr>
                <w:bCs/>
                <w:color w:val="auto"/>
                <w:szCs w:val="21"/>
              </w:rPr>
            </w:pPr>
            <w:r>
              <w:rPr>
                <w:rFonts w:hint="eastAsia"/>
                <w:bCs/>
                <w:color w:val="auto"/>
                <w:szCs w:val="21"/>
              </w:rPr>
              <w:t>本项目焊接工序在生产车间的焊接区内进行，以氩气为保护气体使用直流或者交流电弧焊机进行焊接，焊接材料为焊丝，均不含铅，主要成分为Fe、C、Mn、Ni、Cu、Al、Si、Cr等，参考《排放源统计调查产排污核算方法和系数手册》（2021年）中33-37，431-434机械行业系数手册表09焊接中</w:t>
            </w:r>
            <w:r>
              <w:rPr>
                <w:rFonts w:hint="eastAsia"/>
                <w:bCs/>
                <w:color w:val="auto"/>
                <w:szCs w:val="21"/>
                <w:lang w:eastAsia="zh-CN"/>
              </w:rPr>
              <w:t>“</w:t>
            </w:r>
            <w:r>
              <w:rPr>
                <w:rFonts w:hint="eastAsia"/>
                <w:bCs/>
                <w:color w:val="auto"/>
                <w:szCs w:val="21"/>
              </w:rPr>
              <w:t>二氧化碳保护焊、埋弧焊、氩弧焊</w:t>
            </w:r>
            <w:r>
              <w:rPr>
                <w:rFonts w:hint="eastAsia"/>
                <w:bCs/>
                <w:color w:val="auto"/>
                <w:szCs w:val="21"/>
                <w:lang w:eastAsia="zh-CN"/>
              </w:rPr>
              <w:t>”</w:t>
            </w:r>
            <w:r>
              <w:rPr>
                <w:rFonts w:hint="eastAsia"/>
                <w:bCs/>
                <w:color w:val="auto"/>
                <w:szCs w:val="21"/>
              </w:rPr>
              <w:t>中颗粒物的产物系数为9.19千克/吨原料</w:t>
            </w:r>
            <w:r>
              <w:rPr>
                <w:rFonts w:hint="eastAsia"/>
                <w:bCs/>
                <w:color w:val="auto"/>
                <w:szCs w:val="21"/>
                <w:lang w:eastAsia="zh-CN"/>
              </w:rPr>
              <w:t>”</w:t>
            </w:r>
            <w:r>
              <w:rPr>
                <w:rFonts w:hint="eastAsia"/>
                <w:bCs/>
                <w:color w:val="auto"/>
                <w:szCs w:val="21"/>
              </w:rPr>
              <w:t>，本项目焊丝用量为0.05t/a，则焊接烟尘产生量约为0.00046t/a，焊接烟尘产生速率为0.00021kg/h。</w:t>
            </w:r>
          </w:p>
          <w:p w14:paraId="065FCF99">
            <w:pPr>
              <w:widowControl/>
              <w:ind w:firstLine="480" w:firstLineChars="200"/>
              <w:rPr>
                <w:color w:val="auto"/>
              </w:rPr>
            </w:pPr>
            <w:r>
              <w:rPr>
                <w:rFonts w:hint="eastAsia" w:ascii="宋体" w:hAnsi="宋体" w:cs="宋体"/>
                <w:color w:val="auto"/>
                <w:kern w:val="0"/>
                <w:lang w:bidi="ar"/>
              </w:rPr>
              <w:t>项目在焊接工位设置移动式焊接烟尘净化器对焊接烟尘进行净化处理后在厂区内无组织排放。项目移动式焊接烟尘净化器是与焊接点同步移动，根据《移动式烟尘净化装置》设计说明中提及到收集移动式烟尘的收集效率可达</w:t>
            </w:r>
            <w:r>
              <w:rPr>
                <w:color w:val="auto"/>
                <w:kern w:val="0"/>
                <w:lang w:bidi="ar"/>
              </w:rPr>
              <w:t>80%</w:t>
            </w:r>
            <w:r>
              <w:rPr>
                <w:rFonts w:hint="eastAsia" w:ascii="宋体" w:hAnsi="宋体" w:cs="宋体"/>
                <w:color w:val="auto"/>
                <w:kern w:val="0"/>
                <w:lang w:bidi="ar"/>
              </w:rPr>
              <w:t>以上，本项目主要收集颗粒物，因此收集效率按</w:t>
            </w:r>
            <w:r>
              <w:rPr>
                <w:color w:val="auto"/>
                <w:kern w:val="0"/>
                <w:lang w:bidi="ar"/>
              </w:rPr>
              <w:t>80%</w:t>
            </w:r>
            <w:r>
              <w:rPr>
                <w:rFonts w:hint="eastAsia" w:ascii="宋体" w:hAnsi="宋体" w:cs="宋体"/>
                <w:color w:val="auto"/>
                <w:kern w:val="0"/>
                <w:lang w:bidi="ar"/>
              </w:rPr>
              <w:t>计算，参考《排放源统计调查产排污核算方法和系数手册》（公告</w:t>
            </w:r>
            <w:r>
              <w:rPr>
                <w:color w:val="auto"/>
                <w:kern w:val="0"/>
                <w:lang w:bidi="ar"/>
              </w:rPr>
              <w:t>2021</w:t>
            </w:r>
            <w:r>
              <w:rPr>
                <w:rFonts w:hint="eastAsia" w:ascii="宋体" w:hAnsi="宋体" w:cs="宋体"/>
                <w:color w:val="auto"/>
                <w:kern w:val="0"/>
                <w:lang w:bidi="ar"/>
              </w:rPr>
              <w:t>年第</w:t>
            </w:r>
            <w:r>
              <w:rPr>
                <w:color w:val="auto"/>
                <w:kern w:val="0"/>
                <w:lang w:bidi="ar"/>
              </w:rPr>
              <w:t>24</w:t>
            </w:r>
            <w:r>
              <w:rPr>
                <w:rFonts w:hint="eastAsia" w:ascii="宋体" w:hAnsi="宋体" w:cs="宋体"/>
                <w:color w:val="auto"/>
                <w:kern w:val="0"/>
                <w:lang w:bidi="ar"/>
              </w:rPr>
              <w:t>号）中机械加工行业中移动式烟尘净化器处理效率可达到</w:t>
            </w:r>
            <w:r>
              <w:rPr>
                <w:color w:val="auto"/>
                <w:kern w:val="0"/>
                <w:lang w:bidi="ar"/>
              </w:rPr>
              <w:t>95%</w:t>
            </w:r>
            <w:r>
              <w:rPr>
                <w:rFonts w:hint="eastAsia" w:ascii="宋体" w:hAnsi="宋体" w:cs="宋体"/>
                <w:color w:val="auto"/>
                <w:kern w:val="0"/>
                <w:lang w:bidi="ar"/>
              </w:rPr>
              <w:t>，则无组织排放的烟尘量约为</w:t>
            </w:r>
            <w:r>
              <w:rPr>
                <w:color w:val="auto"/>
                <w:kern w:val="0"/>
                <w:lang w:bidi="ar"/>
              </w:rPr>
              <w:t>0.000</w:t>
            </w:r>
            <w:r>
              <w:rPr>
                <w:rFonts w:hint="eastAsia"/>
                <w:color w:val="auto"/>
                <w:kern w:val="0"/>
                <w:lang w:bidi="ar"/>
              </w:rPr>
              <w:t>11</w:t>
            </w:r>
            <w:r>
              <w:rPr>
                <w:color w:val="auto"/>
                <w:kern w:val="0"/>
                <w:lang w:bidi="ar"/>
              </w:rPr>
              <w:t>t/a</w:t>
            </w:r>
            <w:r>
              <w:rPr>
                <w:rFonts w:hint="eastAsia" w:ascii="宋体" w:hAnsi="宋体" w:cs="宋体"/>
                <w:color w:val="auto"/>
                <w:kern w:val="0"/>
                <w:lang w:bidi="ar"/>
              </w:rPr>
              <w:t>，</w:t>
            </w:r>
            <w:r>
              <w:rPr>
                <w:color w:val="auto"/>
                <w:kern w:val="0"/>
                <w:lang w:bidi="ar"/>
              </w:rPr>
              <w:t>0.000</w:t>
            </w:r>
            <w:r>
              <w:rPr>
                <w:rFonts w:hint="eastAsia"/>
                <w:color w:val="auto"/>
                <w:kern w:val="0"/>
                <w:lang w:bidi="ar"/>
              </w:rPr>
              <w:t>05</w:t>
            </w:r>
            <w:r>
              <w:rPr>
                <w:color w:val="auto"/>
                <w:kern w:val="0"/>
                <w:lang w:bidi="ar"/>
              </w:rPr>
              <w:t>kg/h</w:t>
            </w:r>
            <w:r>
              <w:rPr>
                <w:rFonts w:hint="eastAsia" w:ascii="宋体" w:hAnsi="宋体" w:cs="宋体"/>
                <w:color w:val="auto"/>
                <w:kern w:val="0"/>
                <w:lang w:bidi="ar"/>
              </w:rPr>
              <w:t>。</w:t>
            </w:r>
          </w:p>
          <w:p w14:paraId="24ABE631">
            <w:pPr>
              <w:ind w:firstLine="482" w:firstLineChars="200"/>
              <w:rPr>
                <w:b/>
                <w:bCs/>
                <w:color w:val="auto"/>
              </w:rPr>
            </w:pPr>
            <w:r>
              <w:rPr>
                <w:rFonts w:hint="eastAsia"/>
                <w:b/>
                <w:bCs/>
                <w:color w:val="auto"/>
              </w:rPr>
              <w:t>（4）喷漆漆雾</w:t>
            </w:r>
          </w:p>
          <w:p w14:paraId="71AAB5D2">
            <w:pPr>
              <w:ind w:firstLine="480" w:firstLineChars="200"/>
              <w:rPr>
                <w:color w:val="auto"/>
              </w:rPr>
            </w:pPr>
            <w:r>
              <w:rPr>
                <w:rFonts w:hint="eastAsia" w:cs="宋体"/>
                <w:color w:val="auto"/>
              </w:rPr>
              <w:t>本项目拟设一台水帘柜，根据产品种类使用不同的涂料对半成品进行喷漆</w:t>
            </w:r>
            <w:r>
              <w:rPr>
                <w:rFonts w:hint="eastAsia" w:cs="宋体"/>
                <w:color w:val="auto"/>
                <w:lang w:eastAsia="zh-CN"/>
              </w:rPr>
              <w:t>，</w:t>
            </w:r>
            <w:r>
              <w:rPr>
                <w:rFonts w:hint="eastAsia"/>
                <w:color w:val="auto"/>
              </w:rPr>
              <w:t>使用油性漆或水性漆在喷漆工序中会产生一定的漆雾。</w:t>
            </w:r>
            <w:r>
              <w:rPr>
                <w:color w:val="auto"/>
              </w:rPr>
              <w:t>根据《涂装工艺与设备》</w:t>
            </w:r>
            <w:r>
              <w:rPr>
                <w:rFonts w:hint="eastAsia"/>
                <w:color w:val="auto"/>
              </w:rPr>
              <w:t>（</w:t>
            </w:r>
            <w:r>
              <w:rPr>
                <w:color w:val="auto"/>
              </w:rPr>
              <w:t>化学工业出版社</w:t>
            </w:r>
            <w:r>
              <w:rPr>
                <w:rFonts w:hint="eastAsia"/>
                <w:color w:val="auto"/>
              </w:rPr>
              <w:t>）</w:t>
            </w:r>
            <w:r>
              <w:rPr>
                <w:color w:val="auto"/>
              </w:rPr>
              <w:t>，喷涂距离在15~20cm，附着效率约为65</w:t>
            </w:r>
            <w:r>
              <w:rPr>
                <w:rFonts w:hint="eastAsia"/>
                <w:color w:val="auto"/>
              </w:rPr>
              <w:t>%～</w:t>
            </w:r>
            <w:r>
              <w:rPr>
                <w:color w:val="auto"/>
              </w:rPr>
              <w:t>75%，本次附着效率按70%计算。</w:t>
            </w:r>
          </w:p>
          <w:p w14:paraId="3D0E3931">
            <w:pPr>
              <w:pStyle w:val="36"/>
              <w:spacing w:before="0" w:after="0"/>
              <w:rPr>
                <w:color w:val="auto"/>
              </w:rPr>
            </w:pPr>
            <w:r>
              <w:rPr>
                <w:color w:val="auto"/>
              </w:rPr>
              <w:t>表</w:t>
            </w:r>
            <w:r>
              <w:rPr>
                <w:rFonts w:hint="eastAsia"/>
                <w:color w:val="auto"/>
              </w:rPr>
              <w:t>4.2-1</w:t>
            </w:r>
            <w:r>
              <w:rPr>
                <w:color w:val="auto"/>
              </w:rPr>
              <w:t xml:space="preserve">  </w:t>
            </w:r>
            <w:r>
              <w:rPr>
                <w:rFonts w:hint="eastAsia"/>
                <w:color w:val="auto"/>
              </w:rPr>
              <w:t>本项目漆雾（油性漆）产生情况一览表</w:t>
            </w:r>
          </w:p>
          <w:tbl>
            <w:tblPr>
              <w:tblStyle w:val="30"/>
              <w:tblW w:w="49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287"/>
              <w:gridCol w:w="1186"/>
              <w:gridCol w:w="1220"/>
              <w:gridCol w:w="1178"/>
              <w:gridCol w:w="1410"/>
            </w:tblGrid>
            <w:tr w14:paraId="7CE95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15" w:type="pct"/>
                  <w:tcBorders>
                    <w:tl2br w:val="nil"/>
                    <w:tr2bl w:val="nil"/>
                  </w:tcBorders>
                  <w:vAlign w:val="center"/>
                </w:tcPr>
                <w:p w14:paraId="65B4E909">
                  <w:pPr>
                    <w:adjustRightInd w:val="0"/>
                    <w:snapToGrid w:val="0"/>
                    <w:spacing w:line="240" w:lineRule="auto"/>
                    <w:jc w:val="center"/>
                    <w:rPr>
                      <w:bCs/>
                      <w:color w:val="auto"/>
                      <w:sz w:val="21"/>
                      <w:szCs w:val="21"/>
                    </w:rPr>
                  </w:pPr>
                  <w:r>
                    <w:rPr>
                      <w:rFonts w:hint="eastAsia"/>
                      <w:bCs/>
                      <w:color w:val="auto"/>
                      <w:sz w:val="21"/>
                      <w:szCs w:val="21"/>
                    </w:rPr>
                    <w:t>类型（调配后）</w:t>
                  </w:r>
                </w:p>
              </w:tc>
              <w:tc>
                <w:tcPr>
                  <w:tcW w:w="816" w:type="pct"/>
                  <w:tcBorders>
                    <w:tl2br w:val="nil"/>
                    <w:tr2bl w:val="nil"/>
                  </w:tcBorders>
                  <w:vAlign w:val="center"/>
                </w:tcPr>
                <w:p w14:paraId="685CEF1C">
                  <w:pPr>
                    <w:adjustRightInd w:val="0"/>
                    <w:snapToGrid w:val="0"/>
                    <w:spacing w:line="240" w:lineRule="auto"/>
                    <w:jc w:val="center"/>
                    <w:rPr>
                      <w:bCs/>
                      <w:color w:val="auto"/>
                      <w:sz w:val="21"/>
                      <w:szCs w:val="21"/>
                    </w:rPr>
                  </w:pPr>
                  <w:r>
                    <w:rPr>
                      <w:rFonts w:hint="eastAsia"/>
                      <w:bCs/>
                      <w:color w:val="auto"/>
                      <w:sz w:val="21"/>
                      <w:szCs w:val="21"/>
                    </w:rPr>
                    <w:t>使</w:t>
                  </w:r>
                  <w:r>
                    <w:rPr>
                      <w:bCs/>
                      <w:color w:val="auto"/>
                      <w:sz w:val="21"/>
                      <w:szCs w:val="21"/>
                    </w:rPr>
                    <w:t>用量</w:t>
                  </w:r>
                </w:p>
                <w:p w14:paraId="504DF424">
                  <w:pPr>
                    <w:adjustRightInd w:val="0"/>
                    <w:snapToGrid w:val="0"/>
                    <w:spacing w:line="240" w:lineRule="auto"/>
                    <w:jc w:val="center"/>
                    <w:rPr>
                      <w:bCs/>
                      <w:color w:val="auto"/>
                      <w:sz w:val="21"/>
                      <w:szCs w:val="21"/>
                    </w:rPr>
                  </w:pPr>
                  <w:r>
                    <w:rPr>
                      <w:rFonts w:hint="eastAsia"/>
                      <w:bCs/>
                      <w:color w:val="auto"/>
                      <w:sz w:val="21"/>
                      <w:szCs w:val="21"/>
                    </w:rPr>
                    <w:t>（</w:t>
                  </w:r>
                  <w:r>
                    <w:rPr>
                      <w:bCs/>
                      <w:color w:val="auto"/>
                      <w:sz w:val="21"/>
                      <w:szCs w:val="21"/>
                    </w:rPr>
                    <w:t>t/a</w:t>
                  </w:r>
                  <w:r>
                    <w:rPr>
                      <w:rFonts w:hint="eastAsia"/>
                      <w:bCs/>
                      <w:color w:val="auto"/>
                      <w:sz w:val="21"/>
                      <w:szCs w:val="21"/>
                    </w:rPr>
                    <w:t>）</w:t>
                  </w:r>
                </w:p>
              </w:tc>
              <w:tc>
                <w:tcPr>
                  <w:tcW w:w="752" w:type="pct"/>
                  <w:tcBorders>
                    <w:tl2br w:val="nil"/>
                    <w:tr2bl w:val="nil"/>
                  </w:tcBorders>
                  <w:vAlign w:val="center"/>
                </w:tcPr>
                <w:p w14:paraId="599BE34A">
                  <w:pPr>
                    <w:adjustRightInd w:val="0"/>
                    <w:snapToGrid w:val="0"/>
                    <w:spacing w:line="240" w:lineRule="auto"/>
                    <w:jc w:val="center"/>
                    <w:rPr>
                      <w:bCs/>
                      <w:color w:val="auto"/>
                      <w:sz w:val="21"/>
                      <w:szCs w:val="21"/>
                    </w:rPr>
                  </w:pPr>
                  <w:r>
                    <w:rPr>
                      <w:rFonts w:hint="eastAsia"/>
                      <w:bCs/>
                      <w:color w:val="auto"/>
                      <w:sz w:val="21"/>
                      <w:szCs w:val="21"/>
                    </w:rPr>
                    <w:t>喷漆效率（%）</w:t>
                  </w:r>
                </w:p>
              </w:tc>
              <w:tc>
                <w:tcPr>
                  <w:tcW w:w="774" w:type="pct"/>
                  <w:tcBorders>
                    <w:tl2br w:val="nil"/>
                    <w:tr2bl w:val="nil"/>
                  </w:tcBorders>
                  <w:vAlign w:val="center"/>
                </w:tcPr>
                <w:p w14:paraId="4C6B8265">
                  <w:pPr>
                    <w:adjustRightInd w:val="0"/>
                    <w:snapToGrid w:val="0"/>
                    <w:spacing w:line="240" w:lineRule="auto"/>
                    <w:jc w:val="center"/>
                    <w:rPr>
                      <w:bCs/>
                      <w:color w:val="auto"/>
                      <w:sz w:val="21"/>
                      <w:szCs w:val="21"/>
                    </w:rPr>
                  </w:pPr>
                  <w:r>
                    <w:rPr>
                      <w:rFonts w:hint="eastAsia"/>
                      <w:bCs/>
                      <w:color w:val="auto"/>
                      <w:sz w:val="21"/>
                      <w:szCs w:val="21"/>
                    </w:rPr>
                    <w:t>未附着量（</w:t>
                  </w:r>
                  <w:r>
                    <w:rPr>
                      <w:bCs/>
                      <w:color w:val="auto"/>
                      <w:sz w:val="21"/>
                      <w:szCs w:val="21"/>
                    </w:rPr>
                    <w:t>t/a</w:t>
                  </w:r>
                  <w:r>
                    <w:rPr>
                      <w:rFonts w:hint="eastAsia"/>
                      <w:bCs/>
                      <w:color w:val="auto"/>
                      <w:sz w:val="21"/>
                      <w:szCs w:val="21"/>
                    </w:rPr>
                    <w:t>）</w:t>
                  </w:r>
                </w:p>
              </w:tc>
              <w:tc>
                <w:tcPr>
                  <w:tcW w:w="747" w:type="pct"/>
                  <w:tcBorders>
                    <w:tl2br w:val="nil"/>
                    <w:tr2bl w:val="nil"/>
                  </w:tcBorders>
                  <w:vAlign w:val="center"/>
                </w:tcPr>
                <w:p w14:paraId="537647D7">
                  <w:pPr>
                    <w:adjustRightInd w:val="0"/>
                    <w:snapToGrid w:val="0"/>
                    <w:spacing w:line="240" w:lineRule="auto"/>
                    <w:jc w:val="center"/>
                    <w:rPr>
                      <w:bCs/>
                      <w:color w:val="auto"/>
                      <w:sz w:val="21"/>
                      <w:szCs w:val="21"/>
                    </w:rPr>
                  </w:pPr>
                  <w:r>
                    <w:rPr>
                      <w:rFonts w:hint="eastAsia"/>
                      <w:bCs/>
                      <w:color w:val="auto"/>
                      <w:sz w:val="21"/>
                      <w:szCs w:val="21"/>
                    </w:rPr>
                    <w:t>固含量（%）</w:t>
                  </w:r>
                </w:p>
              </w:tc>
              <w:tc>
                <w:tcPr>
                  <w:tcW w:w="893" w:type="pct"/>
                  <w:tcBorders>
                    <w:tl2br w:val="nil"/>
                    <w:tr2bl w:val="nil"/>
                  </w:tcBorders>
                  <w:vAlign w:val="center"/>
                </w:tcPr>
                <w:p w14:paraId="7BAED333">
                  <w:pPr>
                    <w:adjustRightInd w:val="0"/>
                    <w:snapToGrid w:val="0"/>
                    <w:spacing w:line="240" w:lineRule="auto"/>
                    <w:jc w:val="center"/>
                    <w:rPr>
                      <w:bCs/>
                      <w:color w:val="auto"/>
                      <w:sz w:val="21"/>
                      <w:szCs w:val="21"/>
                    </w:rPr>
                  </w:pPr>
                  <w:r>
                    <w:rPr>
                      <w:rFonts w:hint="eastAsia"/>
                      <w:bCs/>
                      <w:color w:val="auto"/>
                      <w:sz w:val="21"/>
                      <w:szCs w:val="21"/>
                    </w:rPr>
                    <w:t>漆雾产生量（</w:t>
                  </w:r>
                  <w:r>
                    <w:rPr>
                      <w:bCs/>
                      <w:color w:val="auto"/>
                      <w:sz w:val="21"/>
                      <w:szCs w:val="21"/>
                    </w:rPr>
                    <w:t>t/a</w:t>
                  </w:r>
                  <w:r>
                    <w:rPr>
                      <w:rFonts w:hint="eastAsia"/>
                      <w:bCs/>
                      <w:color w:val="auto"/>
                      <w:sz w:val="21"/>
                      <w:szCs w:val="21"/>
                    </w:rPr>
                    <w:t>）</w:t>
                  </w:r>
                </w:p>
              </w:tc>
            </w:tr>
            <w:tr w14:paraId="48CB7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15" w:type="pct"/>
                  <w:tcBorders>
                    <w:tl2br w:val="nil"/>
                    <w:tr2bl w:val="nil"/>
                  </w:tcBorders>
                  <w:vAlign w:val="center"/>
                </w:tcPr>
                <w:p w14:paraId="1E0AEB19">
                  <w:pPr>
                    <w:adjustRightInd w:val="0"/>
                    <w:snapToGrid w:val="0"/>
                    <w:spacing w:line="240" w:lineRule="auto"/>
                    <w:jc w:val="center"/>
                    <w:rPr>
                      <w:bCs/>
                      <w:color w:val="auto"/>
                      <w:sz w:val="21"/>
                      <w:szCs w:val="21"/>
                    </w:rPr>
                  </w:pPr>
                  <w:r>
                    <w:rPr>
                      <w:rFonts w:hint="eastAsia"/>
                      <w:bCs/>
                      <w:color w:val="auto"/>
                      <w:sz w:val="21"/>
                      <w:szCs w:val="21"/>
                    </w:rPr>
                    <w:t>油性漆</w:t>
                  </w:r>
                </w:p>
              </w:tc>
              <w:tc>
                <w:tcPr>
                  <w:tcW w:w="816" w:type="pct"/>
                  <w:tcBorders>
                    <w:tl2br w:val="nil"/>
                    <w:tr2bl w:val="nil"/>
                  </w:tcBorders>
                  <w:vAlign w:val="center"/>
                </w:tcPr>
                <w:p w14:paraId="23E9E20B">
                  <w:pPr>
                    <w:spacing w:line="240" w:lineRule="auto"/>
                    <w:jc w:val="center"/>
                    <w:rPr>
                      <w:bCs/>
                      <w:color w:val="auto"/>
                      <w:sz w:val="21"/>
                      <w:szCs w:val="21"/>
                    </w:rPr>
                  </w:pPr>
                  <w:r>
                    <w:rPr>
                      <w:rFonts w:hint="eastAsia"/>
                      <w:bCs/>
                      <w:color w:val="auto"/>
                      <w:sz w:val="21"/>
                      <w:szCs w:val="21"/>
                    </w:rPr>
                    <w:t>1.8</w:t>
                  </w:r>
                </w:p>
              </w:tc>
              <w:tc>
                <w:tcPr>
                  <w:tcW w:w="752" w:type="pct"/>
                  <w:tcBorders>
                    <w:tl2br w:val="nil"/>
                    <w:tr2bl w:val="nil"/>
                  </w:tcBorders>
                  <w:vAlign w:val="center"/>
                </w:tcPr>
                <w:p w14:paraId="5E91902B">
                  <w:pPr>
                    <w:spacing w:line="240" w:lineRule="auto"/>
                    <w:jc w:val="center"/>
                    <w:rPr>
                      <w:bCs/>
                      <w:color w:val="auto"/>
                      <w:sz w:val="21"/>
                      <w:szCs w:val="21"/>
                    </w:rPr>
                  </w:pPr>
                  <w:r>
                    <w:rPr>
                      <w:rFonts w:hint="eastAsia"/>
                      <w:bCs/>
                      <w:color w:val="auto"/>
                      <w:sz w:val="21"/>
                      <w:szCs w:val="21"/>
                    </w:rPr>
                    <w:t>70</w:t>
                  </w:r>
                </w:p>
              </w:tc>
              <w:tc>
                <w:tcPr>
                  <w:tcW w:w="774" w:type="pct"/>
                  <w:tcBorders>
                    <w:tl2br w:val="nil"/>
                    <w:tr2bl w:val="nil"/>
                  </w:tcBorders>
                  <w:vAlign w:val="center"/>
                </w:tcPr>
                <w:p w14:paraId="1154A91A">
                  <w:pPr>
                    <w:spacing w:line="240" w:lineRule="auto"/>
                    <w:jc w:val="center"/>
                    <w:rPr>
                      <w:bCs/>
                      <w:color w:val="auto"/>
                      <w:sz w:val="21"/>
                      <w:szCs w:val="21"/>
                    </w:rPr>
                  </w:pPr>
                  <w:r>
                    <w:rPr>
                      <w:rFonts w:hint="eastAsia"/>
                      <w:bCs/>
                      <w:color w:val="auto"/>
                      <w:sz w:val="21"/>
                      <w:szCs w:val="21"/>
                    </w:rPr>
                    <w:t>0.54</w:t>
                  </w:r>
                </w:p>
              </w:tc>
              <w:tc>
                <w:tcPr>
                  <w:tcW w:w="747" w:type="pct"/>
                  <w:tcBorders>
                    <w:tl2br w:val="nil"/>
                    <w:tr2bl w:val="nil"/>
                  </w:tcBorders>
                  <w:vAlign w:val="center"/>
                </w:tcPr>
                <w:p w14:paraId="77E7F800">
                  <w:pPr>
                    <w:spacing w:line="240" w:lineRule="auto"/>
                    <w:jc w:val="center"/>
                    <w:rPr>
                      <w:bCs/>
                      <w:color w:val="auto"/>
                      <w:sz w:val="21"/>
                      <w:szCs w:val="21"/>
                    </w:rPr>
                  </w:pPr>
                  <w:r>
                    <w:rPr>
                      <w:rFonts w:hint="eastAsia"/>
                      <w:bCs/>
                      <w:color w:val="auto"/>
                      <w:sz w:val="21"/>
                      <w:szCs w:val="21"/>
                    </w:rPr>
                    <w:t>53</w:t>
                  </w:r>
                </w:p>
              </w:tc>
              <w:tc>
                <w:tcPr>
                  <w:tcW w:w="893" w:type="pct"/>
                  <w:tcBorders>
                    <w:tl2br w:val="nil"/>
                    <w:tr2bl w:val="nil"/>
                  </w:tcBorders>
                  <w:vAlign w:val="center"/>
                </w:tcPr>
                <w:p w14:paraId="192202A0">
                  <w:pPr>
                    <w:spacing w:line="240" w:lineRule="auto"/>
                    <w:jc w:val="center"/>
                    <w:rPr>
                      <w:bCs/>
                      <w:color w:val="auto"/>
                      <w:sz w:val="21"/>
                      <w:szCs w:val="21"/>
                    </w:rPr>
                  </w:pPr>
                  <w:r>
                    <w:rPr>
                      <w:rFonts w:hint="eastAsia"/>
                      <w:bCs/>
                      <w:color w:val="auto"/>
                      <w:sz w:val="21"/>
                      <w:szCs w:val="21"/>
                    </w:rPr>
                    <w:t>0.2862</w:t>
                  </w:r>
                </w:p>
              </w:tc>
            </w:tr>
            <w:tr w14:paraId="07CF6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15" w:type="pct"/>
                  <w:tcBorders>
                    <w:tl2br w:val="nil"/>
                    <w:tr2bl w:val="nil"/>
                  </w:tcBorders>
                  <w:vAlign w:val="center"/>
                </w:tcPr>
                <w:p w14:paraId="410FB110">
                  <w:pPr>
                    <w:adjustRightInd w:val="0"/>
                    <w:snapToGrid w:val="0"/>
                    <w:spacing w:line="240" w:lineRule="auto"/>
                    <w:jc w:val="center"/>
                    <w:rPr>
                      <w:bCs/>
                      <w:color w:val="auto"/>
                      <w:sz w:val="21"/>
                      <w:szCs w:val="21"/>
                    </w:rPr>
                  </w:pPr>
                  <w:r>
                    <w:rPr>
                      <w:rFonts w:hint="eastAsia"/>
                      <w:bCs/>
                      <w:color w:val="auto"/>
                      <w:sz w:val="21"/>
                      <w:szCs w:val="21"/>
                    </w:rPr>
                    <w:t>水性漆</w:t>
                  </w:r>
                </w:p>
              </w:tc>
              <w:tc>
                <w:tcPr>
                  <w:tcW w:w="816" w:type="pct"/>
                  <w:tcBorders>
                    <w:tl2br w:val="nil"/>
                    <w:tr2bl w:val="nil"/>
                  </w:tcBorders>
                  <w:vAlign w:val="center"/>
                </w:tcPr>
                <w:p w14:paraId="1208841D">
                  <w:pPr>
                    <w:spacing w:line="240" w:lineRule="auto"/>
                    <w:jc w:val="center"/>
                    <w:rPr>
                      <w:bCs/>
                      <w:color w:val="auto"/>
                      <w:sz w:val="21"/>
                      <w:szCs w:val="21"/>
                    </w:rPr>
                  </w:pPr>
                  <w:r>
                    <w:rPr>
                      <w:rFonts w:hint="eastAsia"/>
                      <w:bCs/>
                      <w:color w:val="auto"/>
                      <w:sz w:val="21"/>
                      <w:szCs w:val="21"/>
                    </w:rPr>
                    <w:t>0.8</w:t>
                  </w:r>
                </w:p>
              </w:tc>
              <w:tc>
                <w:tcPr>
                  <w:tcW w:w="752" w:type="pct"/>
                  <w:tcBorders>
                    <w:tl2br w:val="nil"/>
                    <w:tr2bl w:val="nil"/>
                  </w:tcBorders>
                  <w:vAlign w:val="center"/>
                </w:tcPr>
                <w:p w14:paraId="6BC10315">
                  <w:pPr>
                    <w:spacing w:line="240" w:lineRule="auto"/>
                    <w:jc w:val="center"/>
                    <w:rPr>
                      <w:bCs/>
                      <w:color w:val="auto"/>
                      <w:sz w:val="21"/>
                      <w:szCs w:val="21"/>
                    </w:rPr>
                  </w:pPr>
                  <w:r>
                    <w:rPr>
                      <w:rFonts w:hint="eastAsia"/>
                      <w:bCs/>
                      <w:color w:val="auto"/>
                      <w:sz w:val="21"/>
                      <w:szCs w:val="21"/>
                    </w:rPr>
                    <w:t>70</w:t>
                  </w:r>
                </w:p>
              </w:tc>
              <w:tc>
                <w:tcPr>
                  <w:tcW w:w="774" w:type="pct"/>
                  <w:tcBorders>
                    <w:tl2br w:val="nil"/>
                    <w:tr2bl w:val="nil"/>
                  </w:tcBorders>
                  <w:vAlign w:val="center"/>
                </w:tcPr>
                <w:p w14:paraId="66A01F75">
                  <w:pPr>
                    <w:spacing w:line="240" w:lineRule="auto"/>
                    <w:jc w:val="center"/>
                    <w:rPr>
                      <w:bCs/>
                      <w:color w:val="auto"/>
                      <w:sz w:val="21"/>
                      <w:szCs w:val="21"/>
                    </w:rPr>
                  </w:pPr>
                  <w:r>
                    <w:rPr>
                      <w:rFonts w:hint="eastAsia"/>
                      <w:bCs/>
                      <w:color w:val="auto"/>
                      <w:sz w:val="21"/>
                      <w:szCs w:val="21"/>
                    </w:rPr>
                    <w:t>0.24</w:t>
                  </w:r>
                </w:p>
              </w:tc>
              <w:tc>
                <w:tcPr>
                  <w:tcW w:w="747" w:type="pct"/>
                  <w:tcBorders>
                    <w:tl2br w:val="nil"/>
                    <w:tr2bl w:val="nil"/>
                  </w:tcBorders>
                  <w:vAlign w:val="center"/>
                </w:tcPr>
                <w:p w14:paraId="27E3BBD3">
                  <w:pPr>
                    <w:spacing w:line="240" w:lineRule="auto"/>
                    <w:jc w:val="center"/>
                    <w:rPr>
                      <w:bCs/>
                      <w:color w:val="auto"/>
                      <w:sz w:val="21"/>
                      <w:szCs w:val="21"/>
                    </w:rPr>
                  </w:pPr>
                  <w:r>
                    <w:rPr>
                      <w:rFonts w:hint="eastAsia"/>
                      <w:bCs/>
                      <w:color w:val="auto"/>
                      <w:sz w:val="21"/>
                      <w:szCs w:val="21"/>
                    </w:rPr>
                    <w:t>45</w:t>
                  </w:r>
                </w:p>
              </w:tc>
              <w:tc>
                <w:tcPr>
                  <w:tcW w:w="893" w:type="pct"/>
                  <w:tcBorders>
                    <w:tl2br w:val="nil"/>
                    <w:tr2bl w:val="nil"/>
                  </w:tcBorders>
                  <w:vAlign w:val="center"/>
                </w:tcPr>
                <w:p w14:paraId="66A94BD7">
                  <w:pPr>
                    <w:spacing w:line="240" w:lineRule="auto"/>
                    <w:jc w:val="center"/>
                    <w:rPr>
                      <w:bCs/>
                      <w:color w:val="auto"/>
                      <w:sz w:val="21"/>
                      <w:szCs w:val="21"/>
                    </w:rPr>
                  </w:pPr>
                  <w:r>
                    <w:rPr>
                      <w:rFonts w:hint="eastAsia"/>
                      <w:bCs/>
                      <w:color w:val="auto"/>
                      <w:sz w:val="21"/>
                      <w:szCs w:val="21"/>
                    </w:rPr>
                    <w:t>0.108</w:t>
                  </w:r>
                </w:p>
              </w:tc>
            </w:tr>
          </w:tbl>
          <w:p w14:paraId="72124FEF">
            <w:pPr>
              <w:ind w:firstLine="480" w:firstLineChars="200"/>
              <w:rPr>
                <w:rFonts w:hint="default" w:eastAsia="宋体"/>
                <w:color w:val="auto"/>
                <w:lang w:val="en-US" w:eastAsia="zh-CN"/>
              </w:rPr>
            </w:pPr>
            <w:r>
              <w:rPr>
                <w:color w:val="auto"/>
              </w:rPr>
              <w:t>参考《排放源统计调查产排污核算方法和系数手册》</w:t>
            </w:r>
            <w:r>
              <w:rPr>
                <w:rFonts w:hint="eastAsia"/>
                <w:color w:val="auto"/>
              </w:rPr>
              <w:t>（</w:t>
            </w:r>
            <w:r>
              <w:rPr>
                <w:color w:val="auto"/>
              </w:rPr>
              <w:t>公告2021年第24号</w:t>
            </w:r>
            <w:r>
              <w:rPr>
                <w:rFonts w:hint="eastAsia"/>
                <w:color w:val="auto"/>
              </w:rPr>
              <w:t>）</w:t>
            </w:r>
            <w:r>
              <w:rPr>
                <w:color w:val="auto"/>
              </w:rPr>
              <w:t>中木质家具制造行业系数手册，水帘湿式喷雾净化对颗粒物的处理效率为80%</w:t>
            </w:r>
            <w:r>
              <w:rPr>
                <w:rFonts w:hint="eastAsia"/>
                <w:color w:val="auto"/>
              </w:rPr>
              <w:t>。</w:t>
            </w:r>
            <w:r>
              <w:rPr>
                <w:rFonts w:hint="eastAsia"/>
                <w:color w:val="auto"/>
                <w:lang w:val="en-US" w:eastAsia="zh-CN"/>
              </w:rPr>
              <w:t>项目设置水帘柜对喷漆过程产生漆雾工序产生的颗粒物进行处理，处理效率按80%计，则油性漆漆雾产生量约为0.05724t/a，水性漆漆雾产生量约为0.0216t/a。</w:t>
            </w:r>
          </w:p>
          <w:p w14:paraId="2431163E">
            <w:pPr>
              <w:ind w:firstLine="480" w:firstLineChars="200"/>
              <w:rPr>
                <w:rFonts w:cs="宋体"/>
                <w:color w:val="auto"/>
              </w:rPr>
            </w:pPr>
            <w:r>
              <w:rPr>
                <w:rFonts w:hint="eastAsia" w:cs="宋体"/>
                <w:color w:val="auto"/>
                <w:lang w:val="en-US" w:eastAsia="zh-CN"/>
              </w:rPr>
              <w:t>漆雾负压收集后进入“干式过滤+二级活性炭吸附装置”处理后经一根22m高排气筒（DA001）排放。废气收集效率按90%，</w:t>
            </w:r>
            <w:r>
              <w:rPr>
                <w:rFonts w:hint="eastAsia" w:cs="宋体"/>
                <w:color w:val="auto"/>
              </w:rPr>
              <w:t>干式过滤对颗粒物的处理效率为70%。</w:t>
            </w:r>
            <w:r>
              <w:rPr>
                <w:rFonts w:hint="eastAsia"/>
                <w:color w:val="auto"/>
                <w:lang w:val="en-US" w:eastAsia="zh-CN"/>
              </w:rPr>
              <w:t>项目设置干式过滤对颗粒物处理效率按70%计</w:t>
            </w:r>
            <w:r>
              <w:rPr>
                <w:rFonts w:hint="eastAsia" w:cs="宋体"/>
                <w:color w:val="auto"/>
              </w:rPr>
              <w:t>。</w:t>
            </w:r>
          </w:p>
          <w:p w14:paraId="0A2F0F69">
            <w:pPr>
              <w:ind w:firstLine="480" w:firstLineChars="200"/>
              <w:rPr>
                <w:color w:val="auto"/>
              </w:rPr>
            </w:pPr>
            <w:r>
              <w:rPr>
                <w:rFonts w:hint="eastAsia" w:cs="宋体"/>
                <w:color w:val="auto"/>
              </w:rPr>
              <w:t>油性漆每天使用6小时，则漆雾（油性漆）有组织排放量为</w:t>
            </w:r>
            <w:r>
              <w:rPr>
                <w:rFonts w:hint="eastAsia" w:cs="宋体"/>
                <w:color w:val="auto"/>
                <w:lang w:val="en-US" w:eastAsia="zh-CN"/>
              </w:rPr>
              <w:t>0.01545</w:t>
            </w:r>
            <w:r>
              <w:rPr>
                <w:rFonts w:hint="eastAsia" w:cs="宋体"/>
                <w:color w:val="auto"/>
              </w:rPr>
              <w:t>t/a，排放速率为</w:t>
            </w:r>
            <w:r>
              <w:rPr>
                <w:rFonts w:hint="eastAsia" w:cs="宋体"/>
                <w:color w:val="auto"/>
                <w:lang w:val="en-US" w:eastAsia="zh-CN"/>
              </w:rPr>
              <w:t>0.0092</w:t>
            </w:r>
            <w:r>
              <w:rPr>
                <w:rFonts w:hint="eastAsia" w:cs="宋体"/>
                <w:color w:val="auto"/>
              </w:rPr>
              <w:t>kg/h。</w:t>
            </w:r>
            <w:r>
              <w:rPr>
                <w:rFonts w:hint="eastAsia"/>
                <w:color w:val="auto"/>
              </w:rPr>
              <w:t>水性漆</w:t>
            </w:r>
            <w:r>
              <w:rPr>
                <w:rFonts w:hint="eastAsia" w:cs="宋体"/>
                <w:color w:val="auto"/>
              </w:rPr>
              <w:t>每天使用2小时，则漆雾（</w:t>
            </w:r>
            <w:r>
              <w:rPr>
                <w:rFonts w:hint="eastAsia"/>
                <w:color w:val="auto"/>
              </w:rPr>
              <w:t>水性漆</w:t>
            </w:r>
            <w:r>
              <w:rPr>
                <w:rFonts w:hint="eastAsia" w:cs="宋体"/>
                <w:color w:val="auto"/>
              </w:rPr>
              <w:t>）有组织排放量为</w:t>
            </w:r>
            <w:r>
              <w:rPr>
                <w:rFonts w:hint="eastAsia" w:cs="宋体"/>
                <w:color w:val="auto"/>
                <w:lang w:val="en-US" w:eastAsia="zh-CN"/>
              </w:rPr>
              <w:t>0.00583</w:t>
            </w:r>
            <w:r>
              <w:rPr>
                <w:rFonts w:hint="eastAsia" w:cs="宋体"/>
                <w:color w:val="auto"/>
              </w:rPr>
              <w:t>t/a，排放速率为</w:t>
            </w:r>
            <w:r>
              <w:rPr>
                <w:rFonts w:hint="eastAsia" w:cs="宋体"/>
                <w:color w:val="auto"/>
                <w:lang w:val="en-US" w:eastAsia="zh-CN"/>
              </w:rPr>
              <w:t>0.0104</w:t>
            </w:r>
            <w:r>
              <w:rPr>
                <w:rFonts w:hint="eastAsia" w:cs="宋体"/>
                <w:color w:val="auto"/>
              </w:rPr>
              <w:t>kg/h。</w:t>
            </w:r>
          </w:p>
          <w:p w14:paraId="4A6EDC2D">
            <w:pPr>
              <w:ind w:firstLine="482" w:firstLineChars="200"/>
              <w:rPr>
                <w:b/>
                <w:bCs/>
                <w:color w:val="auto"/>
                <w:spacing w:val="-10"/>
                <w:szCs w:val="21"/>
              </w:rPr>
            </w:pPr>
            <w:r>
              <w:rPr>
                <w:b/>
                <w:bCs/>
                <w:color w:val="auto"/>
              </w:rPr>
              <w:t>（</w:t>
            </w:r>
            <w:r>
              <w:rPr>
                <w:rFonts w:hint="eastAsia"/>
                <w:b/>
                <w:bCs/>
                <w:color w:val="auto"/>
              </w:rPr>
              <w:t>5</w:t>
            </w:r>
            <w:r>
              <w:rPr>
                <w:b/>
                <w:bCs/>
                <w:color w:val="auto"/>
              </w:rPr>
              <w:t>）</w:t>
            </w:r>
            <w:r>
              <w:rPr>
                <w:b/>
                <w:bCs/>
                <w:color w:val="auto"/>
                <w:spacing w:val="-10"/>
                <w:szCs w:val="21"/>
              </w:rPr>
              <w:t>热压工序产生有机</w:t>
            </w:r>
            <w:r>
              <w:rPr>
                <w:b/>
                <w:bCs/>
                <w:color w:val="auto"/>
                <w:szCs w:val="21"/>
              </w:rPr>
              <w:t>废气</w:t>
            </w:r>
          </w:p>
          <w:p w14:paraId="1A018A8F">
            <w:pPr>
              <w:adjustRightInd w:val="0"/>
              <w:snapToGrid w:val="0"/>
              <w:ind w:firstLine="440" w:firstLineChars="200"/>
              <w:rPr>
                <w:bCs/>
                <w:color w:val="auto"/>
                <w:szCs w:val="21"/>
              </w:rPr>
            </w:pPr>
            <w:r>
              <w:rPr>
                <w:bCs/>
                <w:color w:val="auto"/>
                <w:spacing w:val="-10"/>
                <w:szCs w:val="21"/>
              </w:rPr>
              <w:t>本项目进行热压操作时，采用电加热的方式，因此不会产生燃料废气，生产工艺所用原材料为PVC板材和亚克力板材，进料时无粉尘产生，因此本项目</w:t>
            </w:r>
            <w:r>
              <w:rPr>
                <w:rFonts w:hint="eastAsia"/>
                <w:bCs/>
                <w:color w:val="auto"/>
                <w:spacing w:val="-10"/>
                <w:szCs w:val="21"/>
              </w:rPr>
              <w:t>热压工序</w:t>
            </w:r>
            <w:r>
              <w:rPr>
                <w:bCs/>
                <w:color w:val="auto"/>
                <w:spacing w:val="-10"/>
                <w:szCs w:val="21"/>
              </w:rPr>
              <w:t>产生的主要废气为有机废气，</w:t>
            </w:r>
            <w:r>
              <w:rPr>
                <w:rFonts w:hint="eastAsia"/>
                <w:bCs/>
                <w:color w:val="auto"/>
                <w:spacing w:val="-10"/>
                <w:szCs w:val="21"/>
              </w:rPr>
              <w:t>热压</w:t>
            </w:r>
            <w:r>
              <w:rPr>
                <w:bCs/>
                <w:color w:val="auto"/>
                <w:spacing w:val="-10"/>
                <w:szCs w:val="21"/>
              </w:rPr>
              <w:t>过程中不发生化学反应</w:t>
            </w:r>
            <w:r>
              <w:rPr>
                <w:rFonts w:hint="eastAsia"/>
                <w:bCs/>
                <w:color w:val="auto"/>
                <w:spacing w:val="-10"/>
                <w:szCs w:val="21"/>
              </w:rPr>
              <w:t>。</w:t>
            </w:r>
            <w:r>
              <w:rPr>
                <w:bCs/>
                <w:color w:val="auto"/>
                <w:spacing w:val="-10"/>
                <w:szCs w:val="21"/>
              </w:rPr>
              <w:t>根</w:t>
            </w:r>
            <w:r>
              <w:rPr>
                <w:bCs/>
                <w:color w:val="auto"/>
                <w:spacing w:val="-10"/>
                <w:szCs w:val="21"/>
                <w:highlight w:val="none"/>
              </w:rPr>
              <w:t>据企业提供的资料，</w:t>
            </w:r>
            <w:r>
              <w:rPr>
                <w:rFonts w:hint="eastAsia"/>
                <w:bCs/>
                <w:color w:val="auto"/>
                <w:spacing w:val="-10"/>
                <w:szCs w:val="21"/>
                <w:highlight w:val="none"/>
              </w:rPr>
              <w:t>热压工序</w:t>
            </w:r>
            <w:r>
              <w:rPr>
                <w:rFonts w:hint="eastAsia"/>
                <w:bCs/>
                <w:color w:val="auto"/>
                <w:spacing w:val="-10"/>
                <w:szCs w:val="21"/>
                <w:highlight w:val="none"/>
                <w:lang w:val="en-US" w:eastAsia="zh-CN"/>
              </w:rPr>
              <w:t>温度为120℃</w:t>
            </w:r>
            <w:r>
              <w:rPr>
                <w:bCs/>
                <w:color w:val="auto"/>
                <w:szCs w:val="21"/>
                <w:highlight w:val="none"/>
              </w:rPr>
              <w:t>~</w:t>
            </w:r>
            <w:r>
              <w:rPr>
                <w:rFonts w:hint="eastAsia"/>
                <w:bCs/>
                <w:color w:val="auto"/>
                <w:szCs w:val="21"/>
                <w:highlight w:val="none"/>
                <w:lang w:val="en-US" w:eastAsia="zh-CN"/>
              </w:rPr>
              <w:t>180</w:t>
            </w:r>
            <w:r>
              <w:rPr>
                <w:bCs/>
                <w:color w:val="auto"/>
                <w:szCs w:val="21"/>
                <w:highlight w:val="none"/>
              </w:rPr>
              <w:t>℃</w:t>
            </w:r>
            <w:r>
              <w:rPr>
                <w:rFonts w:hint="eastAsia"/>
                <w:bCs/>
                <w:color w:val="auto"/>
                <w:spacing w:val="-10"/>
                <w:szCs w:val="21"/>
                <w:highlight w:val="none"/>
              </w:rPr>
              <w:t>，</w:t>
            </w:r>
            <w:r>
              <w:rPr>
                <w:rFonts w:hint="eastAsia"/>
                <w:bCs/>
                <w:color w:val="auto"/>
                <w:szCs w:val="21"/>
                <w:highlight w:val="none"/>
                <w:lang w:val="en-US" w:eastAsia="zh-CN"/>
              </w:rPr>
              <w:t>亚克力板材熔化温度为240</w:t>
            </w:r>
            <w:r>
              <w:rPr>
                <w:rFonts w:hint="eastAsia"/>
                <w:bCs/>
                <w:color w:val="auto"/>
                <w:spacing w:val="-10"/>
                <w:szCs w:val="21"/>
                <w:highlight w:val="none"/>
                <w:lang w:val="en-US" w:eastAsia="zh-CN"/>
              </w:rPr>
              <w:t>℃</w:t>
            </w:r>
            <w:r>
              <w:rPr>
                <w:bCs/>
                <w:color w:val="auto"/>
                <w:szCs w:val="21"/>
                <w:highlight w:val="none"/>
              </w:rPr>
              <w:t>~</w:t>
            </w:r>
            <w:r>
              <w:rPr>
                <w:rFonts w:hint="eastAsia"/>
                <w:bCs/>
                <w:color w:val="auto"/>
                <w:szCs w:val="21"/>
                <w:highlight w:val="none"/>
                <w:lang w:val="en-US" w:eastAsia="zh-CN"/>
              </w:rPr>
              <w:t>270</w:t>
            </w:r>
            <w:r>
              <w:rPr>
                <w:bCs/>
                <w:color w:val="auto"/>
                <w:szCs w:val="21"/>
                <w:highlight w:val="none"/>
              </w:rPr>
              <w:t>℃</w:t>
            </w:r>
            <w:r>
              <w:rPr>
                <w:rFonts w:hint="eastAsia"/>
                <w:bCs/>
                <w:color w:val="auto"/>
                <w:szCs w:val="21"/>
                <w:highlight w:val="none"/>
                <w:lang w:eastAsia="zh-CN"/>
              </w:rPr>
              <w:t>，</w:t>
            </w:r>
            <w:r>
              <w:rPr>
                <w:rFonts w:hint="eastAsia"/>
                <w:bCs/>
                <w:color w:val="auto"/>
                <w:szCs w:val="21"/>
                <w:highlight w:val="none"/>
                <w:lang w:val="en-US" w:eastAsia="zh-CN"/>
              </w:rPr>
              <w:t>裂解温度高于270℃，240</w:t>
            </w:r>
            <w:r>
              <w:rPr>
                <w:bCs/>
                <w:color w:val="auto"/>
                <w:szCs w:val="21"/>
                <w:highlight w:val="none"/>
              </w:rPr>
              <w:t>分解温度</w:t>
            </w:r>
            <w:r>
              <w:rPr>
                <w:rFonts w:hint="eastAsia"/>
                <w:bCs/>
                <w:color w:val="auto"/>
                <w:szCs w:val="21"/>
                <w:highlight w:val="none"/>
              </w:rPr>
              <w:t>为</w:t>
            </w:r>
            <w:r>
              <w:rPr>
                <w:bCs/>
                <w:color w:val="auto"/>
                <w:szCs w:val="21"/>
                <w:highlight w:val="none"/>
              </w:rPr>
              <w:t>260~300℃，</w:t>
            </w:r>
            <w:r>
              <w:rPr>
                <w:rFonts w:hint="eastAsia"/>
                <w:bCs/>
                <w:color w:val="auto"/>
                <w:szCs w:val="21"/>
                <w:highlight w:val="none"/>
                <w:lang w:val="en-US" w:eastAsia="zh-CN"/>
              </w:rPr>
              <w:t>PVC板分解温度为220</w:t>
            </w:r>
            <w:r>
              <w:rPr>
                <w:rFonts w:hint="eastAsia"/>
                <w:bCs/>
                <w:color w:val="auto"/>
                <w:spacing w:val="-10"/>
                <w:szCs w:val="21"/>
                <w:highlight w:val="none"/>
                <w:lang w:val="en-US" w:eastAsia="zh-CN"/>
              </w:rPr>
              <w:t>℃</w:t>
            </w:r>
            <w:r>
              <w:rPr>
                <w:bCs/>
                <w:color w:val="auto"/>
                <w:szCs w:val="21"/>
                <w:highlight w:val="none"/>
              </w:rPr>
              <w:t>~</w:t>
            </w:r>
            <w:r>
              <w:rPr>
                <w:rFonts w:hint="eastAsia"/>
                <w:bCs/>
                <w:color w:val="auto"/>
                <w:szCs w:val="21"/>
                <w:highlight w:val="none"/>
                <w:lang w:val="en-US" w:eastAsia="zh-CN"/>
              </w:rPr>
              <w:t>280</w:t>
            </w:r>
            <w:r>
              <w:rPr>
                <w:bCs/>
                <w:color w:val="auto"/>
                <w:szCs w:val="21"/>
                <w:highlight w:val="none"/>
              </w:rPr>
              <w:t>℃</w:t>
            </w:r>
            <w:r>
              <w:rPr>
                <w:bCs/>
                <w:color w:val="auto"/>
                <w:szCs w:val="21"/>
              </w:rPr>
              <w:t>因此</w:t>
            </w:r>
            <w:r>
              <w:rPr>
                <w:rFonts w:hint="eastAsia"/>
                <w:bCs/>
                <w:color w:val="auto"/>
                <w:szCs w:val="21"/>
              </w:rPr>
              <w:t>热压</w:t>
            </w:r>
            <w:r>
              <w:rPr>
                <w:bCs/>
                <w:color w:val="auto"/>
                <w:szCs w:val="21"/>
              </w:rPr>
              <w:t>时无分解废气产生，但</w:t>
            </w:r>
            <w:r>
              <w:rPr>
                <w:rFonts w:hint="eastAsia"/>
                <w:bCs/>
                <w:color w:val="auto"/>
                <w:szCs w:val="21"/>
              </w:rPr>
              <w:t>塑料原料在受热情况下，塑料中残存未聚合的反应单体挥发至空气中，从而形成挥发性有机物。</w:t>
            </w:r>
          </w:p>
          <w:p w14:paraId="482D4C1E">
            <w:pPr>
              <w:adjustRightInd w:val="0"/>
              <w:snapToGrid w:val="0"/>
              <w:ind w:firstLine="480" w:firstLineChars="200"/>
              <w:rPr>
                <w:bCs/>
                <w:color w:val="auto"/>
                <w:szCs w:val="21"/>
              </w:rPr>
            </w:pPr>
            <w:r>
              <w:rPr>
                <w:rFonts w:hint="eastAsia"/>
                <w:bCs/>
                <w:color w:val="auto"/>
                <w:szCs w:val="21"/>
              </w:rPr>
              <w:t>由于</w:t>
            </w:r>
            <w:r>
              <w:rPr>
                <w:rFonts w:hint="eastAsia"/>
                <w:bCs/>
                <w:color w:val="auto"/>
                <w:spacing w:val="-10"/>
                <w:szCs w:val="21"/>
              </w:rPr>
              <w:t>热压</w:t>
            </w:r>
            <w:r>
              <w:rPr>
                <w:rFonts w:hint="eastAsia"/>
                <w:bCs/>
                <w:color w:val="auto"/>
                <w:szCs w:val="21"/>
              </w:rPr>
              <w:t>时加热温度一般控制在塑料原料允许的范围内，且在半封闭的容器内进行加热，产生的单体仅有少量排出，产生的废气VOCs（以非甲烷总烃计）。</w:t>
            </w:r>
          </w:p>
          <w:p w14:paraId="0CCDEF45">
            <w:pPr>
              <w:ind w:firstLine="480" w:firstLineChars="200"/>
              <w:rPr>
                <w:color w:val="auto"/>
              </w:rPr>
            </w:pPr>
            <w:r>
              <w:rPr>
                <w:rFonts w:hint="eastAsia"/>
                <w:color w:val="auto"/>
              </w:rPr>
              <w:t>项目参考《空气污染物排放和控制手册》（美国国家环保局）中推荐的公式，塑料加工废气排放系数，非甲烷总烃的排放系数为0.35kg/t原料。本项目热压工序使用原辅料约为5t/a，则本项目热压工序VOCS的产生量为0.00175t/a，产生速率为0.00078kg/h。</w:t>
            </w:r>
          </w:p>
          <w:p w14:paraId="5360F1C6">
            <w:pPr>
              <w:ind w:firstLine="480" w:firstLineChars="200"/>
              <w:rPr>
                <w:color w:val="auto"/>
              </w:rPr>
            </w:pPr>
            <w:r>
              <w:rPr>
                <w:rFonts w:hint="eastAsia"/>
                <w:color w:val="auto"/>
              </w:rPr>
              <w:t>本项目PVC板和亚克力板热压时产生的有机废气较少，瞬间产生的浓度较低，不易收集，经过车间通风无组织排放即可达标。</w:t>
            </w:r>
          </w:p>
          <w:p w14:paraId="49280C40">
            <w:pPr>
              <w:adjustRightInd w:val="0"/>
              <w:snapToGrid w:val="0"/>
              <w:ind w:firstLine="482" w:firstLineChars="200"/>
              <w:rPr>
                <w:b/>
                <w:color w:val="auto"/>
                <w:szCs w:val="21"/>
              </w:rPr>
            </w:pPr>
            <w:r>
              <w:rPr>
                <w:b/>
                <w:color w:val="auto"/>
                <w:szCs w:val="21"/>
              </w:rPr>
              <w:t>（</w:t>
            </w:r>
            <w:r>
              <w:rPr>
                <w:rFonts w:hint="eastAsia"/>
                <w:b/>
                <w:color w:val="auto"/>
                <w:szCs w:val="21"/>
              </w:rPr>
              <w:t>6</w:t>
            </w:r>
            <w:r>
              <w:rPr>
                <w:b/>
                <w:color w:val="auto"/>
                <w:szCs w:val="21"/>
              </w:rPr>
              <w:t>）打胶废气</w:t>
            </w:r>
          </w:p>
          <w:p w14:paraId="206ACC7E">
            <w:pPr>
              <w:adjustRightInd w:val="0"/>
              <w:snapToGrid w:val="0"/>
              <w:ind w:firstLine="440" w:firstLineChars="200"/>
              <w:rPr>
                <w:bCs/>
                <w:color w:val="auto"/>
                <w:szCs w:val="21"/>
              </w:rPr>
            </w:pPr>
            <w:r>
              <w:rPr>
                <w:bCs/>
                <w:color w:val="auto"/>
                <w:spacing w:val="-10"/>
                <w:szCs w:val="21"/>
              </w:rPr>
              <w:t>本项目部件在</w:t>
            </w:r>
            <w:r>
              <w:rPr>
                <w:rFonts w:hint="eastAsia"/>
                <w:bCs/>
                <w:color w:val="auto"/>
                <w:spacing w:val="-10"/>
                <w:szCs w:val="21"/>
              </w:rPr>
              <w:t>人工</w:t>
            </w:r>
            <w:r>
              <w:rPr>
                <w:bCs/>
                <w:color w:val="auto"/>
                <w:spacing w:val="-10"/>
                <w:szCs w:val="21"/>
              </w:rPr>
              <w:t>粘贴组装的过程中</w:t>
            </w:r>
            <w:r>
              <w:rPr>
                <w:bCs/>
                <w:color w:val="auto"/>
                <w:spacing w:val="-10"/>
                <w:szCs w:val="21"/>
                <w:highlight w:val="none"/>
              </w:rPr>
              <w:t>使用玻璃胶，</w:t>
            </w:r>
            <w:r>
              <w:rPr>
                <w:bCs/>
                <w:color w:val="auto"/>
                <w:spacing w:val="-10"/>
                <w:szCs w:val="21"/>
              </w:rPr>
              <w:t>会产生少量有机废气，主要污染物为VOC</w:t>
            </w:r>
            <w:r>
              <w:rPr>
                <w:rFonts w:hint="eastAsia"/>
                <w:bCs/>
                <w:color w:val="auto"/>
                <w:spacing w:val="-10"/>
                <w:szCs w:val="21"/>
              </w:rPr>
              <w:t>s。本项目所使用的玻璃胶为单组分硅酮胶密封胶，硅酮主要由聚二甲基硅氧烷、二氧化硅等组成，固含量高，常温固化，无需加热。本项目玻璃胶的使用量较少且固化速度快，因此挥发产生的有机废气量较少，参考《</w:t>
            </w:r>
            <w:r>
              <w:rPr>
                <w:rFonts w:hint="eastAsia"/>
                <w:bCs/>
                <w:color w:val="auto"/>
                <w:spacing w:val="-10"/>
                <w:szCs w:val="21"/>
                <w:lang w:eastAsia="zh-CN"/>
              </w:rPr>
              <w:t>“</w:t>
            </w:r>
            <w:r>
              <w:rPr>
                <w:rFonts w:hint="eastAsia"/>
                <w:bCs/>
                <w:color w:val="auto"/>
                <w:spacing w:val="-10"/>
                <w:szCs w:val="21"/>
              </w:rPr>
              <w:t>工业挥发性有机物控制对策研究</w:t>
            </w:r>
            <w:r>
              <w:rPr>
                <w:rFonts w:hint="eastAsia"/>
                <w:bCs/>
                <w:color w:val="auto"/>
                <w:spacing w:val="-10"/>
                <w:szCs w:val="21"/>
                <w:lang w:eastAsia="zh-CN"/>
              </w:rPr>
              <w:t>”</w:t>
            </w:r>
            <w:r>
              <w:rPr>
                <w:rFonts w:hint="eastAsia"/>
                <w:bCs/>
                <w:color w:val="auto"/>
                <w:spacing w:val="-10"/>
                <w:szCs w:val="21"/>
              </w:rPr>
              <w:t>项目阶段汇报讨论会资料汇编》，一般胶粘剂有机废气排放系数为8kg/t，</w:t>
            </w:r>
            <w:r>
              <w:rPr>
                <w:rFonts w:hint="eastAsia"/>
                <w:color w:val="auto"/>
              </w:rPr>
              <w:t>项目人工组装工序使用玻璃胶为1t/a，</w:t>
            </w:r>
            <w:r>
              <w:rPr>
                <w:rFonts w:hint="eastAsia"/>
                <w:bCs/>
                <w:color w:val="auto"/>
                <w:szCs w:val="21"/>
              </w:rPr>
              <w:t>则本项目打胶时VOC</w:t>
            </w:r>
            <w:r>
              <w:rPr>
                <w:rFonts w:hint="eastAsia"/>
                <w:bCs/>
                <w:color w:val="auto"/>
                <w:szCs w:val="21"/>
                <w:vertAlign w:val="subscript"/>
              </w:rPr>
              <w:t>S</w:t>
            </w:r>
            <w:r>
              <w:rPr>
                <w:rFonts w:hint="eastAsia"/>
                <w:bCs/>
                <w:color w:val="auto"/>
                <w:szCs w:val="21"/>
              </w:rPr>
              <w:t>的产生量为0.0008t/a，产生速率为0.00036kg/h。</w:t>
            </w:r>
          </w:p>
          <w:p w14:paraId="3C33BE10">
            <w:pPr>
              <w:adjustRightInd w:val="0"/>
              <w:snapToGrid w:val="0"/>
              <w:ind w:firstLine="480" w:firstLineChars="200"/>
              <w:rPr>
                <w:bCs/>
                <w:color w:val="auto"/>
                <w:szCs w:val="21"/>
              </w:rPr>
            </w:pPr>
            <w:r>
              <w:rPr>
                <w:rFonts w:hint="eastAsia"/>
                <w:bCs/>
                <w:color w:val="auto"/>
                <w:szCs w:val="21"/>
              </w:rPr>
              <w:t>本项目人工打胶时产生的有机废气较少，瞬间产生的浓度较低，不易收集，经过车间通风无组织排放即可达标。</w:t>
            </w:r>
          </w:p>
          <w:p w14:paraId="280F3FCF">
            <w:pPr>
              <w:ind w:firstLine="482" w:firstLineChars="200"/>
              <w:rPr>
                <w:rFonts w:cs="宋体"/>
                <w:b/>
                <w:bCs/>
                <w:color w:val="auto"/>
              </w:rPr>
            </w:pPr>
            <w:r>
              <w:rPr>
                <w:rFonts w:hint="eastAsia" w:cs="宋体"/>
                <w:b/>
                <w:bCs/>
                <w:color w:val="auto"/>
              </w:rPr>
              <w:t>（7）UV打印及其设备清洁工序产生的有机废气</w:t>
            </w:r>
          </w:p>
          <w:p w14:paraId="6C0FB36D">
            <w:pPr>
              <w:ind w:firstLine="480" w:firstLineChars="200"/>
              <w:rPr>
                <w:color w:val="auto"/>
              </w:rPr>
            </w:pPr>
            <w:r>
              <w:rPr>
                <w:rFonts w:hint="eastAsia"/>
                <w:color w:val="auto"/>
              </w:rPr>
              <w:t>根据建设单位提供的资料</w:t>
            </w:r>
            <w:r>
              <w:rPr>
                <w:color w:val="auto"/>
              </w:rPr>
              <w:t>，本项目UV油</w:t>
            </w:r>
            <w:r>
              <w:rPr>
                <w:color w:val="auto"/>
                <w:highlight w:val="none"/>
              </w:rPr>
              <w:t>墨</w:t>
            </w:r>
            <w:r>
              <w:rPr>
                <w:rFonts w:hint="eastAsia"/>
                <w:color w:val="auto"/>
                <w:highlight w:val="none"/>
              </w:rPr>
              <w:t>使用量为</w:t>
            </w:r>
            <w:r>
              <w:rPr>
                <w:color w:val="auto"/>
                <w:highlight w:val="none"/>
              </w:rPr>
              <w:t>0.</w:t>
            </w:r>
            <w:r>
              <w:rPr>
                <w:rFonts w:hint="eastAsia"/>
                <w:color w:val="auto"/>
                <w:highlight w:val="none"/>
              </w:rPr>
              <w:t>16</w:t>
            </w:r>
            <w:r>
              <w:rPr>
                <w:color w:val="auto"/>
                <w:highlight w:val="none"/>
              </w:rPr>
              <w:t>t</w:t>
            </w:r>
            <w:r>
              <w:rPr>
                <w:rFonts w:hint="eastAsia"/>
                <w:color w:val="auto"/>
                <w:highlight w:val="none"/>
              </w:rPr>
              <w:t>/</w:t>
            </w:r>
            <w:r>
              <w:rPr>
                <w:color w:val="auto"/>
                <w:highlight w:val="none"/>
              </w:rPr>
              <w:t>a。</w:t>
            </w:r>
            <w:r>
              <w:rPr>
                <w:rFonts w:hint="eastAsia"/>
                <w:color w:val="auto"/>
                <w:highlight w:val="none"/>
              </w:rPr>
              <w:t>根据</w:t>
            </w:r>
            <w:r>
              <w:rPr>
                <w:rFonts w:hint="eastAsia"/>
                <w:color w:val="auto"/>
                <w:highlight w:val="none"/>
                <w:lang w:val="en-US" w:eastAsia="zh-CN"/>
              </w:rPr>
              <w:t>UV油墨检测</w:t>
            </w:r>
            <w:r>
              <w:rPr>
                <w:rFonts w:hint="eastAsia"/>
                <w:color w:val="auto"/>
                <w:highlight w:val="none"/>
              </w:rPr>
              <w:t>报告</w:t>
            </w:r>
            <w:r>
              <w:rPr>
                <w:rFonts w:hint="eastAsia"/>
                <w:color w:val="auto"/>
                <w:highlight w:val="none"/>
                <w:lang w:eastAsia="zh-CN"/>
              </w:rPr>
              <w:t>（</w:t>
            </w:r>
            <w:r>
              <w:rPr>
                <w:rFonts w:hint="eastAsia"/>
                <w:color w:val="auto"/>
                <w:highlight w:val="none"/>
                <w:lang w:val="en-US" w:eastAsia="zh-CN"/>
              </w:rPr>
              <w:t>见附件10</w:t>
            </w:r>
            <w:r>
              <w:rPr>
                <w:rFonts w:hint="eastAsia"/>
                <w:color w:val="auto"/>
                <w:highlight w:val="none"/>
                <w:lang w:eastAsia="zh-CN"/>
              </w:rPr>
              <w:t>）</w:t>
            </w:r>
            <w:r>
              <w:rPr>
                <w:rFonts w:hint="eastAsia"/>
                <w:color w:val="auto"/>
                <w:highlight w:val="none"/>
              </w:rPr>
              <w:t>，本项目UV油墨VOCs含量约为</w:t>
            </w:r>
            <w:r>
              <w:rPr>
                <w:rFonts w:hint="eastAsia"/>
                <w:color w:val="auto"/>
                <w:highlight w:val="none"/>
                <w:lang w:val="en-US" w:eastAsia="zh-CN"/>
              </w:rPr>
              <w:t>5.8</w:t>
            </w:r>
            <w:r>
              <w:rPr>
                <w:rFonts w:hint="eastAsia"/>
                <w:color w:val="auto"/>
                <w:highlight w:val="none"/>
              </w:rPr>
              <w:t>%，则VOCs</w:t>
            </w:r>
            <w:r>
              <w:rPr>
                <w:rFonts w:hint="eastAsia" w:cs="宋体"/>
                <w:color w:val="auto"/>
                <w:highlight w:val="none"/>
              </w:rPr>
              <w:t>（以非甲烷总烃计）</w:t>
            </w:r>
            <w:r>
              <w:rPr>
                <w:rFonts w:hint="eastAsia"/>
                <w:color w:val="auto"/>
                <w:highlight w:val="none"/>
              </w:rPr>
              <w:t>产生量为</w:t>
            </w:r>
            <w:r>
              <w:rPr>
                <w:rFonts w:hint="eastAsia"/>
                <w:color w:val="auto"/>
                <w:highlight w:val="none"/>
                <w:lang w:val="en-US" w:eastAsia="zh-CN"/>
              </w:rPr>
              <w:t>0.00928</w:t>
            </w:r>
            <w:r>
              <w:rPr>
                <w:rFonts w:hint="eastAsia"/>
                <w:color w:val="auto"/>
                <w:highlight w:val="none"/>
              </w:rPr>
              <w:t>t/a。UV打印完成后</w:t>
            </w:r>
            <w:r>
              <w:rPr>
                <w:rFonts w:hint="eastAsia"/>
                <w:color w:val="auto"/>
              </w:rPr>
              <w:t>使用75%的酒精进行擦拭，擦拭过程中有机废气挥发，项目75%酒精年使用量为0.005t，根据其理化性质，VOCs含量为75%，计算得出VOCs</w:t>
            </w:r>
            <w:r>
              <w:rPr>
                <w:rFonts w:hint="eastAsia" w:cs="宋体"/>
                <w:color w:val="auto"/>
              </w:rPr>
              <w:t>（以非甲烷总烃计）</w:t>
            </w:r>
            <w:r>
              <w:rPr>
                <w:rFonts w:hint="eastAsia"/>
                <w:color w:val="auto"/>
              </w:rPr>
              <w:t>产生量约为</w:t>
            </w:r>
            <w:r>
              <w:rPr>
                <w:rFonts w:hint="eastAsia"/>
                <w:color w:val="auto"/>
                <w:lang w:val="en-US" w:eastAsia="zh-CN"/>
              </w:rPr>
              <w:t>0.00005</w:t>
            </w:r>
            <w:r>
              <w:rPr>
                <w:rFonts w:hint="eastAsia"/>
                <w:color w:val="auto"/>
              </w:rPr>
              <w:t>t/a。则总VOCs</w:t>
            </w:r>
            <w:r>
              <w:rPr>
                <w:rFonts w:hint="eastAsia" w:cs="宋体"/>
                <w:color w:val="auto"/>
              </w:rPr>
              <w:t>（以非甲烷总烃计）</w:t>
            </w:r>
            <w:r>
              <w:rPr>
                <w:rFonts w:hint="eastAsia"/>
                <w:color w:val="auto"/>
              </w:rPr>
              <w:t>产生量约为</w:t>
            </w:r>
            <w:r>
              <w:rPr>
                <w:rFonts w:hint="eastAsia"/>
                <w:color w:val="auto"/>
                <w:lang w:val="en-US" w:eastAsia="zh-CN"/>
              </w:rPr>
              <w:t>0.00933</w:t>
            </w:r>
            <w:r>
              <w:rPr>
                <w:rFonts w:hint="eastAsia"/>
                <w:color w:val="auto"/>
              </w:rPr>
              <w:t>t/a</w:t>
            </w:r>
            <w:r>
              <w:rPr>
                <w:rFonts w:hint="eastAsia"/>
                <w:color w:val="auto"/>
                <w:lang w:eastAsia="zh-CN"/>
              </w:rPr>
              <w:t>，</w:t>
            </w:r>
            <w:r>
              <w:rPr>
                <w:rFonts w:hint="eastAsia"/>
                <w:color w:val="auto"/>
                <w:lang w:val="en-US" w:eastAsia="zh-CN"/>
              </w:rPr>
              <w:t>产生速率为0.00417kg/h</w:t>
            </w:r>
            <w:r>
              <w:rPr>
                <w:rFonts w:hint="eastAsia"/>
                <w:color w:val="auto"/>
              </w:rPr>
              <w:t>。</w:t>
            </w:r>
          </w:p>
          <w:p w14:paraId="31634486">
            <w:pPr>
              <w:ind w:firstLine="480" w:firstLineChars="200"/>
              <w:rPr>
                <w:rFonts w:cs="宋体"/>
                <w:color w:val="auto"/>
              </w:rPr>
            </w:pPr>
            <w:r>
              <w:rPr>
                <w:rFonts w:hint="eastAsia"/>
                <w:color w:val="auto"/>
              </w:rPr>
              <w:t>本项目UV打印</w:t>
            </w:r>
            <w:r>
              <w:rPr>
                <w:rFonts w:hint="eastAsia" w:cs="宋体"/>
                <w:color w:val="auto"/>
              </w:rPr>
              <w:t>及其设备清洁工序产生</w:t>
            </w:r>
            <w:r>
              <w:rPr>
                <w:rFonts w:hint="eastAsia"/>
                <w:color w:val="auto"/>
              </w:rPr>
              <w:t>的有机废气经车间密闭负压收集，收集效率为90%。收集废气进入</w:t>
            </w:r>
            <w:r>
              <w:rPr>
                <w:rFonts w:hint="eastAsia"/>
                <w:color w:val="auto"/>
                <w:lang w:eastAsia="zh-CN"/>
              </w:rPr>
              <w:t>“</w:t>
            </w:r>
            <w:r>
              <w:rPr>
                <w:rFonts w:hint="eastAsia"/>
                <w:color w:val="auto"/>
              </w:rPr>
              <w:t>干式过滤+二级活性炭吸附装置</w:t>
            </w:r>
            <w:r>
              <w:rPr>
                <w:rFonts w:hint="eastAsia"/>
                <w:color w:val="auto"/>
                <w:lang w:eastAsia="zh-CN"/>
              </w:rPr>
              <w:t>”</w:t>
            </w:r>
            <w:r>
              <w:rPr>
                <w:rFonts w:hint="eastAsia"/>
                <w:color w:val="auto"/>
              </w:rPr>
              <w:t>处理后通过22m排气筒（DA001）达标排放</w:t>
            </w:r>
            <w:r>
              <w:rPr>
                <w:rFonts w:hint="eastAsia" w:cs="宋体"/>
                <w:color w:val="auto"/>
              </w:rPr>
              <w:t>。</w:t>
            </w:r>
          </w:p>
          <w:p w14:paraId="62BD30E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default"/>
                <w:color w:val="auto"/>
                <w:lang w:val="en-US" w:eastAsia="zh-CN"/>
              </w:rPr>
              <w:t>参考《广东省家具行业挥发性有机化合物废气治理技术指南》</w:t>
            </w:r>
            <w:r>
              <w:rPr>
                <w:rFonts w:hint="eastAsia"/>
                <w:color w:val="auto"/>
                <w:lang w:val="en-US" w:eastAsia="zh-CN"/>
              </w:rPr>
              <w:t>（</w:t>
            </w:r>
            <w:r>
              <w:rPr>
                <w:rFonts w:hint="default"/>
                <w:color w:val="auto"/>
                <w:lang w:val="en-US" w:eastAsia="zh-CN"/>
              </w:rPr>
              <w:t>粤环[2013]79号</w:t>
            </w:r>
            <w:r>
              <w:rPr>
                <w:rFonts w:hint="eastAsia"/>
                <w:color w:val="auto"/>
                <w:lang w:val="en-US" w:eastAsia="zh-CN"/>
              </w:rPr>
              <w:t>）</w:t>
            </w:r>
            <w:r>
              <w:rPr>
                <w:rFonts w:hint="default"/>
                <w:color w:val="auto"/>
                <w:lang w:val="en-US" w:eastAsia="zh-CN"/>
              </w:rPr>
              <w:t>中对有机废气治理设施的治理效率可得，活性炭吸附法处理效率为50~80%。本项目选用碘值不低于800mg/g的颗粒型活性炭，吸附能力较强，本次评价单级活性炭对有机废气的处理效率取50%，则二级活性炭对有机废气的综合处理效率约为75%。</w:t>
            </w:r>
          </w:p>
          <w:p w14:paraId="4848A01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本项目干式过滤对气态VOCs无显著去除作用（即效率按0%计），</w:t>
            </w:r>
            <w:r>
              <w:rPr>
                <w:rFonts w:hint="eastAsia" w:cs="宋体"/>
                <w:color w:val="auto"/>
              </w:rPr>
              <w:t>二级活性炭处理效率约为75%</w:t>
            </w:r>
            <w:r>
              <w:rPr>
                <w:rStyle w:val="35"/>
                <w:rFonts w:hint="eastAsia"/>
                <w:color w:val="auto"/>
                <w:lang w:eastAsia="zh-CN"/>
              </w:rPr>
              <w:t>，</w:t>
            </w:r>
            <w:r>
              <w:rPr>
                <w:rFonts w:hint="default"/>
                <w:color w:val="auto"/>
                <w:lang w:val="en-US" w:eastAsia="zh-CN"/>
              </w:rPr>
              <w:t>因此本项目</w:t>
            </w:r>
            <w:r>
              <w:rPr>
                <w:rFonts w:hint="eastAsia"/>
                <w:color w:val="auto"/>
                <w:lang w:val="en-US" w:eastAsia="zh-CN"/>
              </w:rPr>
              <w:t>“干</w:t>
            </w:r>
            <w:r>
              <w:rPr>
                <w:rFonts w:hint="default"/>
                <w:color w:val="auto"/>
                <w:lang w:val="en-US" w:eastAsia="zh-CN"/>
              </w:rPr>
              <w:t>式过滤+二级活性炭吸附装置</w:t>
            </w:r>
            <w:r>
              <w:rPr>
                <w:rFonts w:hint="eastAsia"/>
                <w:color w:val="auto"/>
                <w:lang w:val="en-US" w:eastAsia="zh-CN"/>
              </w:rPr>
              <w:t>”</w:t>
            </w:r>
            <w:r>
              <w:rPr>
                <w:rFonts w:hint="default"/>
                <w:color w:val="auto"/>
                <w:lang w:val="en-US" w:eastAsia="zh-CN"/>
              </w:rPr>
              <w:t>对非甲烷总烃的处理效率按</w:t>
            </w:r>
            <w:r>
              <w:rPr>
                <w:rFonts w:hint="eastAsia"/>
                <w:color w:val="auto"/>
                <w:lang w:val="en-US" w:eastAsia="zh-CN"/>
              </w:rPr>
              <w:t>75</w:t>
            </w:r>
            <w:r>
              <w:rPr>
                <w:rFonts w:hint="default"/>
                <w:color w:val="auto"/>
                <w:lang w:val="en-US" w:eastAsia="zh-CN"/>
              </w:rPr>
              <w:t>%。</w:t>
            </w:r>
            <w:r>
              <w:rPr>
                <w:rFonts w:hint="eastAsia" w:cs="宋体"/>
                <w:color w:val="auto"/>
              </w:rPr>
              <w:t>则</w:t>
            </w:r>
            <w:r>
              <w:rPr>
                <w:rFonts w:hint="eastAsia"/>
                <w:color w:val="auto"/>
              </w:rPr>
              <w:t>UV打印</w:t>
            </w:r>
            <w:r>
              <w:rPr>
                <w:rFonts w:hint="eastAsia" w:cs="宋体"/>
                <w:color w:val="auto"/>
              </w:rPr>
              <w:t>及其设备清洁废气VOCs（以非甲烷总烃计）有组织排放量为</w:t>
            </w:r>
            <w:r>
              <w:rPr>
                <w:rFonts w:hint="eastAsia" w:cs="宋体"/>
                <w:color w:val="auto"/>
                <w:lang w:val="en-US" w:eastAsia="zh-CN"/>
              </w:rPr>
              <w:t>0.0021</w:t>
            </w:r>
            <w:r>
              <w:rPr>
                <w:rFonts w:hint="eastAsia" w:cs="宋体"/>
                <w:color w:val="auto"/>
              </w:rPr>
              <w:t>t/a，排放速率为</w:t>
            </w:r>
            <w:r>
              <w:rPr>
                <w:rFonts w:hint="eastAsia" w:cs="宋体"/>
                <w:color w:val="auto"/>
                <w:lang w:val="en-US" w:eastAsia="zh-CN"/>
              </w:rPr>
              <w:t>0.0009</w:t>
            </w:r>
            <w:r>
              <w:rPr>
                <w:rFonts w:hint="eastAsia" w:cs="宋体"/>
                <w:color w:val="auto"/>
              </w:rPr>
              <w:t>kg/h。</w:t>
            </w:r>
            <w:r>
              <w:rPr>
                <w:color w:val="auto"/>
              </w:rPr>
              <w:tab/>
            </w:r>
          </w:p>
          <w:p w14:paraId="25339E21">
            <w:pPr>
              <w:ind w:firstLine="482" w:firstLineChars="200"/>
              <w:rPr>
                <w:b/>
                <w:bCs/>
                <w:color w:val="auto"/>
              </w:rPr>
            </w:pPr>
            <w:r>
              <w:rPr>
                <w:rFonts w:hint="eastAsia"/>
                <w:b/>
                <w:bCs/>
                <w:color w:val="auto"/>
              </w:rPr>
              <w:t>（8）</w:t>
            </w:r>
            <w:r>
              <w:rPr>
                <w:b/>
                <w:bCs/>
                <w:color w:val="auto"/>
              </w:rPr>
              <w:t>调漆、喷漆、</w:t>
            </w:r>
            <w:r>
              <w:rPr>
                <w:rFonts w:hint="eastAsia"/>
                <w:b/>
                <w:bCs/>
                <w:color w:val="auto"/>
              </w:rPr>
              <w:t>烤漆</w:t>
            </w:r>
            <w:r>
              <w:rPr>
                <w:b/>
                <w:bCs/>
                <w:color w:val="auto"/>
              </w:rPr>
              <w:t>、喷枪清洗工序</w:t>
            </w:r>
            <w:r>
              <w:rPr>
                <w:rFonts w:hint="eastAsia"/>
                <w:b/>
                <w:bCs/>
                <w:color w:val="auto"/>
              </w:rPr>
              <w:t>产生的有机</w:t>
            </w:r>
            <w:r>
              <w:rPr>
                <w:b/>
                <w:bCs/>
                <w:color w:val="auto"/>
              </w:rPr>
              <w:t>废气</w:t>
            </w:r>
          </w:p>
          <w:p w14:paraId="2274C986">
            <w:pPr>
              <w:ind w:firstLine="480" w:firstLineChars="200"/>
              <w:rPr>
                <w:rFonts w:hint="eastAsia" w:cs="宋体"/>
                <w:color w:val="auto"/>
                <w:lang w:val="en-US" w:eastAsia="zh-CN"/>
              </w:rPr>
            </w:pPr>
            <w:r>
              <w:rPr>
                <w:rFonts w:hint="eastAsia" w:cs="宋体"/>
                <w:color w:val="auto"/>
              </w:rPr>
              <w:t>项目调漆、喷漆、烤漆、喷枪清洗工序均在密闭车间内进行</w:t>
            </w:r>
            <w:r>
              <w:rPr>
                <w:rFonts w:hint="eastAsia" w:cs="宋体"/>
                <w:color w:val="auto"/>
                <w:lang w:eastAsia="zh-CN"/>
              </w:rPr>
              <w:t>，</w:t>
            </w:r>
            <w:r>
              <w:rPr>
                <w:rFonts w:hint="eastAsia" w:cs="宋体"/>
                <w:color w:val="auto"/>
                <w:lang w:val="en-US" w:eastAsia="zh-CN"/>
              </w:rPr>
              <w:t>设密闭负压收集，即项目密闭车间仅留一道物料和人员进出的大门，工作室关闭车间门，出于密闭状态，限制人员、物料随意进出，车间内设置排风系统排风量大于送风系统送风量，形成密闭负压状态。</w:t>
            </w:r>
          </w:p>
          <w:p w14:paraId="48461BCC">
            <w:pPr>
              <w:ind w:firstLine="480" w:firstLineChars="200"/>
              <w:rPr>
                <w:rFonts w:cs="宋体"/>
                <w:color w:val="auto"/>
              </w:rPr>
            </w:pPr>
            <w:r>
              <w:rPr>
                <w:rFonts w:hint="eastAsia"/>
                <w:color w:val="auto"/>
              </w:rPr>
              <w:t>调漆、喷漆、烤漆、喷枪清洗工序产生有机废气经密闭负压收集后采用</w:t>
            </w:r>
            <w:r>
              <w:rPr>
                <w:rFonts w:hint="eastAsia"/>
                <w:color w:val="auto"/>
                <w:lang w:eastAsia="zh-CN"/>
              </w:rPr>
              <w:t>“</w:t>
            </w:r>
            <w:r>
              <w:rPr>
                <w:rFonts w:hint="eastAsia"/>
                <w:color w:val="auto"/>
              </w:rPr>
              <w:t>干式过滤+活性炭吸附装置</w:t>
            </w:r>
            <w:r>
              <w:rPr>
                <w:rFonts w:hint="eastAsia"/>
                <w:color w:val="auto"/>
                <w:lang w:eastAsia="zh-CN"/>
              </w:rPr>
              <w:t>”</w:t>
            </w:r>
            <w:r>
              <w:rPr>
                <w:rFonts w:hint="eastAsia"/>
                <w:color w:val="auto"/>
              </w:rPr>
              <w:t>净化后引至1根22m高排气筒排放（DA001），少量未经收集的直接以无组织形式排放。废气产排情况见表4.2-2，表4.2-3。</w:t>
            </w:r>
          </w:p>
          <w:p w14:paraId="44A549B6">
            <w:pPr>
              <w:pStyle w:val="36"/>
              <w:spacing w:before="0" w:after="0"/>
              <w:rPr>
                <w:color w:val="auto"/>
              </w:rPr>
            </w:pPr>
            <w:r>
              <w:rPr>
                <w:color w:val="auto"/>
              </w:rPr>
              <w:t>表</w:t>
            </w:r>
            <w:r>
              <w:rPr>
                <w:rFonts w:hint="eastAsia"/>
                <w:color w:val="auto"/>
              </w:rPr>
              <w:t>4.2-2</w:t>
            </w:r>
            <w:r>
              <w:rPr>
                <w:color w:val="auto"/>
              </w:rPr>
              <w:t xml:space="preserve">  </w:t>
            </w:r>
            <w:r>
              <w:rPr>
                <w:rFonts w:hint="eastAsia"/>
                <w:color w:val="auto"/>
              </w:rPr>
              <w:t>项目有机废气产生情况一览表</w:t>
            </w:r>
          </w:p>
          <w:tbl>
            <w:tblPr>
              <w:tblStyle w:val="31"/>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2"/>
              <w:gridCol w:w="1538"/>
              <w:gridCol w:w="1887"/>
              <w:gridCol w:w="1995"/>
            </w:tblGrid>
            <w:tr w14:paraId="1B12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top w:val="single" w:color="auto" w:sz="12" w:space="0"/>
                    <w:left w:val="nil"/>
                  </w:tcBorders>
                </w:tcPr>
                <w:p w14:paraId="1409947A">
                  <w:pPr>
                    <w:spacing w:line="288" w:lineRule="auto"/>
                    <w:jc w:val="center"/>
                    <w:rPr>
                      <w:color w:val="auto"/>
                      <w:sz w:val="21"/>
                      <w:szCs w:val="21"/>
                    </w:rPr>
                  </w:pPr>
                  <w:r>
                    <w:rPr>
                      <w:rFonts w:hint="eastAsia"/>
                      <w:color w:val="auto"/>
                      <w:sz w:val="21"/>
                      <w:szCs w:val="21"/>
                    </w:rPr>
                    <w:t>原料</w:t>
                  </w:r>
                </w:p>
              </w:tc>
              <w:tc>
                <w:tcPr>
                  <w:tcW w:w="1262" w:type="dxa"/>
                  <w:tcBorders>
                    <w:top w:val="single" w:color="auto" w:sz="12" w:space="0"/>
                  </w:tcBorders>
                </w:tcPr>
                <w:p w14:paraId="4E91B920">
                  <w:pPr>
                    <w:spacing w:line="288" w:lineRule="auto"/>
                    <w:jc w:val="center"/>
                    <w:rPr>
                      <w:color w:val="auto"/>
                      <w:sz w:val="21"/>
                      <w:szCs w:val="21"/>
                    </w:rPr>
                  </w:pPr>
                  <w:r>
                    <w:rPr>
                      <w:rFonts w:hint="eastAsia"/>
                      <w:color w:val="auto"/>
                      <w:sz w:val="21"/>
                      <w:szCs w:val="21"/>
                    </w:rPr>
                    <w:t>用量（t）</w:t>
                  </w:r>
                </w:p>
              </w:tc>
              <w:tc>
                <w:tcPr>
                  <w:tcW w:w="1538" w:type="dxa"/>
                  <w:tcBorders>
                    <w:top w:val="single" w:color="auto" w:sz="12" w:space="0"/>
                  </w:tcBorders>
                </w:tcPr>
                <w:p w14:paraId="4777F24B">
                  <w:pPr>
                    <w:spacing w:line="288" w:lineRule="auto"/>
                    <w:jc w:val="center"/>
                    <w:rPr>
                      <w:color w:val="auto"/>
                      <w:sz w:val="21"/>
                      <w:szCs w:val="21"/>
                    </w:rPr>
                  </w:pPr>
                  <w:r>
                    <w:rPr>
                      <w:rFonts w:hint="eastAsia"/>
                      <w:color w:val="auto"/>
                      <w:sz w:val="21"/>
                      <w:szCs w:val="21"/>
                    </w:rPr>
                    <w:t>污染因子</w:t>
                  </w:r>
                </w:p>
              </w:tc>
              <w:tc>
                <w:tcPr>
                  <w:tcW w:w="1887" w:type="dxa"/>
                  <w:tcBorders>
                    <w:top w:val="single" w:color="auto" w:sz="12" w:space="0"/>
                  </w:tcBorders>
                </w:tcPr>
                <w:p w14:paraId="5F96EFC6">
                  <w:pPr>
                    <w:spacing w:line="288" w:lineRule="auto"/>
                    <w:jc w:val="center"/>
                    <w:rPr>
                      <w:color w:val="auto"/>
                      <w:sz w:val="21"/>
                      <w:szCs w:val="21"/>
                    </w:rPr>
                  </w:pPr>
                  <w:r>
                    <w:rPr>
                      <w:rFonts w:hint="eastAsia"/>
                      <w:color w:val="auto"/>
                      <w:sz w:val="21"/>
                      <w:szCs w:val="21"/>
                    </w:rPr>
                    <w:t>污染物含量（%）</w:t>
                  </w:r>
                </w:p>
              </w:tc>
              <w:tc>
                <w:tcPr>
                  <w:tcW w:w="1995" w:type="dxa"/>
                  <w:tcBorders>
                    <w:top w:val="single" w:color="auto" w:sz="12" w:space="0"/>
                    <w:right w:val="nil"/>
                  </w:tcBorders>
                </w:tcPr>
                <w:p w14:paraId="3C79788A">
                  <w:pPr>
                    <w:spacing w:line="288" w:lineRule="auto"/>
                    <w:jc w:val="center"/>
                    <w:rPr>
                      <w:color w:val="auto"/>
                      <w:sz w:val="21"/>
                      <w:szCs w:val="21"/>
                    </w:rPr>
                  </w:pPr>
                  <w:r>
                    <w:rPr>
                      <w:rFonts w:hint="eastAsia"/>
                      <w:color w:val="auto"/>
                      <w:sz w:val="21"/>
                      <w:szCs w:val="21"/>
                    </w:rPr>
                    <w:t>污染物产生量（t）</w:t>
                  </w:r>
                </w:p>
              </w:tc>
            </w:tr>
            <w:tr w14:paraId="03BF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left w:val="nil"/>
                  </w:tcBorders>
                </w:tcPr>
                <w:p w14:paraId="203F1231">
                  <w:pPr>
                    <w:spacing w:before="240" w:beforeLines="100" w:line="288" w:lineRule="auto"/>
                    <w:jc w:val="center"/>
                    <w:rPr>
                      <w:color w:val="auto"/>
                      <w:sz w:val="21"/>
                      <w:szCs w:val="21"/>
                    </w:rPr>
                  </w:pPr>
                  <w:r>
                    <w:rPr>
                      <w:rFonts w:hint="eastAsia"/>
                      <w:color w:val="auto"/>
                      <w:sz w:val="21"/>
                      <w:szCs w:val="21"/>
                    </w:rPr>
                    <w:t>油漆</w:t>
                  </w:r>
                </w:p>
              </w:tc>
              <w:tc>
                <w:tcPr>
                  <w:tcW w:w="1262" w:type="dxa"/>
                </w:tcPr>
                <w:p w14:paraId="2EA9B56C">
                  <w:pPr>
                    <w:spacing w:before="240" w:beforeLines="100" w:line="288" w:lineRule="auto"/>
                    <w:jc w:val="center"/>
                    <w:rPr>
                      <w:color w:val="auto"/>
                      <w:sz w:val="21"/>
                      <w:szCs w:val="21"/>
                    </w:rPr>
                  </w:pPr>
                  <w:r>
                    <w:rPr>
                      <w:rFonts w:hint="eastAsia"/>
                      <w:color w:val="auto"/>
                      <w:sz w:val="21"/>
                      <w:szCs w:val="21"/>
                    </w:rPr>
                    <w:t>0.9</w:t>
                  </w:r>
                </w:p>
              </w:tc>
              <w:tc>
                <w:tcPr>
                  <w:tcW w:w="1538" w:type="dxa"/>
                </w:tcPr>
                <w:p w14:paraId="3FA1BEFC">
                  <w:pPr>
                    <w:spacing w:line="288" w:lineRule="auto"/>
                    <w:jc w:val="center"/>
                    <w:rPr>
                      <w:color w:val="auto"/>
                      <w:sz w:val="21"/>
                      <w:szCs w:val="21"/>
                    </w:rPr>
                  </w:pPr>
                  <w:r>
                    <w:rPr>
                      <w:rFonts w:hint="eastAsia"/>
                      <w:color w:val="auto"/>
                      <w:sz w:val="21"/>
                      <w:szCs w:val="21"/>
                    </w:rPr>
                    <w:t>乙酸乙酯与乙酸丁酯合计</w:t>
                  </w:r>
                </w:p>
              </w:tc>
              <w:tc>
                <w:tcPr>
                  <w:tcW w:w="1887" w:type="dxa"/>
                </w:tcPr>
                <w:p w14:paraId="3B289FB7">
                  <w:pPr>
                    <w:spacing w:line="288" w:lineRule="auto"/>
                    <w:jc w:val="center"/>
                    <w:rPr>
                      <w:color w:val="auto"/>
                      <w:sz w:val="21"/>
                      <w:szCs w:val="21"/>
                    </w:rPr>
                  </w:pPr>
                  <w:r>
                    <w:rPr>
                      <w:rFonts w:hint="eastAsia"/>
                      <w:color w:val="auto"/>
                      <w:sz w:val="21"/>
                      <w:szCs w:val="21"/>
                    </w:rPr>
                    <w:t>6</w:t>
                  </w:r>
                </w:p>
              </w:tc>
              <w:tc>
                <w:tcPr>
                  <w:tcW w:w="1995" w:type="dxa"/>
                  <w:tcBorders>
                    <w:right w:val="nil"/>
                  </w:tcBorders>
                </w:tcPr>
                <w:p w14:paraId="208404FA">
                  <w:pPr>
                    <w:widowControl/>
                    <w:jc w:val="center"/>
                    <w:textAlignment w:val="top"/>
                    <w:rPr>
                      <w:color w:val="auto"/>
                      <w:sz w:val="21"/>
                      <w:szCs w:val="21"/>
                    </w:rPr>
                  </w:pPr>
                  <w:r>
                    <w:rPr>
                      <w:color w:val="auto"/>
                      <w:kern w:val="0"/>
                      <w:sz w:val="21"/>
                      <w:szCs w:val="21"/>
                      <w:lang w:bidi="ar"/>
                    </w:rPr>
                    <w:t>0.054</w:t>
                  </w:r>
                </w:p>
              </w:tc>
            </w:tr>
            <w:tr w14:paraId="0D18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tcBorders>
                    <w:left w:val="nil"/>
                  </w:tcBorders>
                </w:tcPr>
                <w:p w14:paraId="6A9B6A99">
                  <w:pPr>
                    <w:spacing w:before="360" w:beforeLines="150" w:line="288" w:lineRule="auto"/>
                    <w:jc w:val="center"/>
                    <w:rPr>
                      <w:color w:val="auto"/>
                      <w:sz w:val="21"/>
                      <w:szCs w:val="21"/>
                    </w:rPr>
                  </w:pPr>
                  <w:r>
                    <w:rPr>
                      <w:rFonts w:hint="eastAsia"/>
                      <w:color w:val="auto"/>
                      <w:sz w:val="21"/>
                      <w:szCs w:val="21"/>
                    </w:rPr>
                    <w:t>固化剂</w:t>
                  </w:r>
                </w:p>
              </w:tc>
              <w:tc>
                <w:tcPr>
                  <w:tcW w:w="1262" w:type="dxa"/>
                  <w:vMerge w:val="restart"/>
                </w:tcPr>
                <w:p w14:paraId="67554E70">
                  <w:pPr>
                    <w:spacing w:before="360" w:beforeLines="150" w:line="288" w:lineRule="auto"/>
                    <w:jc w:val="center"/>
                    <w:rPr>
                      <w:color w:val="auto"/>
                      <w:sz w:val="21"/>
                      <w:szCs w:val="21"/>
                    </w:rPr>
                  </w:pPr>
                  <w:r>
                    <w:rPr>
                      <w:rFonts w:hint="eastAsia"/>
                      <w:color w:val="auto"/>
                      <w:sz w:val="21"/>
                      <w:szCs w:val="21"/>
                    </w:rPr>
                    <w:t>0.6</w:t>
                  </w:r>
                </w:p>
              </w:tc>
              <w:tc>
                <w:tcPr>
                  <w:tcW w:w="1538" w:type="dxa"/>
                </w:tcPr>
                <w:p w14:paraId="4EAF1D3E">
                  <w:pPr>
                    <w:spacing w:line="288" w:lineRule="auto"/>
                    <w:jc w:val="center"/>
                    <w:rPr>
                      <w:color w:val="auto"/>
                      <w:sz w:val="21"/>
                      <w:szCs w:val="21"/>
                    </w:rPr>
                  </w:pPr>
                  <w:r>
                    <w:rPr>
                      <w:rFonts w:hint="eastAsia"/>
                      <w:color w:val="auto"/>
                      <w:sz w:val="21"/>
                      <w:szCs w:val="21"/>
                    </w:rPr>
                    <w:t>非甲烷总烃</w:t>
                  </w:r>
                </w:p>
              </w:tc>
              <w:tc>
                <w:tcPr>
                  <w:tcW w:w="1887" w:type="dxa"/>
                </w:tcPr>
                <w:p w14:paraId="2F01A559">
                  <w:pPr>
                    <w:spacing w:line="288" w:lineRule="auto"/>
                    <w:jc w:val="center"/>
                    <w:rPr>
                      <w:color w:val="auto"/>
                      <w:sz w:val="21"/>
                      <w:szCs w:val="21"/>
                    </w:rPr>
                  </w:pPr>
                  <w:r>
                    <w:rPr>
                      <w:rFonts w:hint="eastAsia"/>
                      <w:color w:val="auto"/>
                      <w:sz w:val="21"/>
                      <w:szCs w:val="21"/>
                    </w:rPr>
                    <w:t>39</w:t>
                  </w:r>
                </w:p>
              </w:tc>
              <w:tc>
                <w:tcPr>
                  <w:tcW w:w="1995" w:type="dxa"/>
                  <w:tcBorders>
                    <w:right w:val="nil"/>
                  </w:tcBorders>
                </w:tcPr>
                <w:p w14:paraId="6D31084B">
                  <w:pPr>
                    <w:widowControl/>
                    <w:jc w:val="center"/>
                    <w:textAlignment w:val="top"/>
                    <w:rPr>
                      <w:color w:val="auto"/>
                      <w:sz w:val="21"/>
                      <w:szCs w:val="21"/>
                    </w:rPr>
                  </w:pPr>
                  <w:r>
                    <w:rPr>
                      <w:color w:val="auto"/>
                      <w:kern w:val="0"/>
                      <w:sz w:val="21"/>
                      <w:szCs w:val="21"/>
                      <w:lang w:bidi="ar"/>
                    </w:rPr>
                    <w:t>0.234</w:t>
                  </w:r>
                </w:p>
              </w:tc>
            </w:tr>
            <w:tr w14:paraId="478B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tcPr>
                <w:p w14:paraId="6F67C0DE">
                  <w:pPr>
                    <w:spacing w:line="288" w:lineRule="auto"/>
                    <w:jc w:val="center"/>
                    <w:rPr>
                      <w:color w:val="auto"/>
                      <w:sz w:val="21"/>
                      <w:szCs w:val="21"/>
                    </w:rPr>
                  </w:pPr>
                </w:p>
              </w:tc>
              <w:tc>
                <w:tcPr>
                  <w:tcW w:w="1262" w:type="dxa"/>
                  <w:vMerge w:val="continue"/>
                </w:tcPr>
                <w:p w14:paraId="7A5EFDE1">
                  <w:pPr>
                    <w:spacing w:line="288" w:lineRule="auto"/>
                    <w:jc w:val="center"/>
                    <w:rPr>
                      <w:color w:val="auto"/>
                      <w:sz w:val="21"/>
                      <w:szCs w:val="21"/>
                    </w:rPr>
                  </w:pPr>
                </w:p>
              </w:tc>
              <w:tc>
                <w:tcPr>
                  <w:tcW w:w="1538" w:type="dxa"/>
                </w:tcPr>
                <w:p w14:paraId="293E9D0C">
                  <w:pPr>
                    <w:spacing w:line="288" w:lineRule="auto"/>
                    <w:jc w:val="center"/>
                    <w:rPr>
                      <w:color w:val="auto"/>
                      <w:sz w:val="21"/>
                      <w:szCs w:val="21"/>
                    </w:rPr>
                  </w:pPr>
                  <w:r>
                    <w:rPr>
                      <w:rFonts w:hint="eastAsia"/>
                      <w:color w:val="auto"/>
                      <w:sz w:val="21"/>
                      <w:szCs w:val="21"/>
                    </w:rPr>
                    <w:t>乙酸乙酯与乙酸丁酯合计</w:t>
                  </w:r>
                </w:p>
              </w:tc>
              <w:tc>
                <w:tcPr>
                  <w:tcW w:w="1887" w:type="dxa"/>
                </w:tcPr>
                <w:p w14:paraId="621B9605">
                  <w:pPr>
                    <w:spacing w:line="288" w:lineRule="auto"/>
                    <w:jc w:val="center"/>
                    <w:rPr>
                      <w:color w:val="auto"/>
                      <w:sz w:val="21"/>
                      <w:szCs w:val="21"/>
                    </w:rPr>
                  </w:pPr>
                  <w:r>
                    <w:rPr>
                      <w:rFonts w:hint="eastAsia"/>
                      <w:color w:val="auto"/>
                      <w:sz w:val="21"/>
                      <w:szCs w:val="21"/>
                    </w:rPr>
                    <w:t>30</w:t>
                  </w:r>
                </w:p>
              </w:tc>
              <w:tc>
                <w:tcPr>
                  <w:tcW w:w="1995" w:type="dxa"/>
                  <w:tcBorders>
                    <w:right w:val="nil"/>
                  </w:tcBorders>
                </w:tcPr>
                <w:p w14:paraId="575734A7">
                  <w:pPr>
                    <w:widowControl/>
                    <w:jc w:val="center"/>
                    <w:textAlignment w:val="top"/>
                    <w:rPr>
                      <w:color w:val="auto"/>
                      <w:sz w:val="21"/>
                      <w:szCs w:val="21"/>
                    </w:rPr>
                  </w:pPr>
                  <w:r>
                    <w:rPr>
                      <w:color w:val="auto"/>
                      <w:kern w:val="0"/>
                      <w:sz w:val="21"/>
                      <w:szCs w:val="21"/>
                      <w:lang w:bidi="ar"/>
                    </w:rPr>
                    <w:t>0.18</w:t>
                  </w:r>
                </w:p>
              </w:tc>
            </w:tr>
            <w:tr w14:paraId="75A1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Borders>
                    <w:left w:val="nil"/>
                  </w:tcBorders>
                </w:tcPr>
                <w:p w14:paraId="58773B77">
                  <w:pPr>
                    <w:spacing w:line="288" w:lineRule="auto"/>
                    <w:jc w:val="center"/>
                    <w:rPr>
                      <w:color w:val="auto"/>
                      <w:sz w:val="21"/>
                      <w:szCs w:val="21"/>
                    </w:rPr>
                  </w:pPr>
                </w:p>
              </w:tc>
              <w:tc>
                <w:tcPr>
                  <w:tcW w:w="1262" w:type="dxa"/>
                  <w:vMerge w:val="continue"/>
                </w:tcPr>
                <w:p w14:paraId="71313059">
                  <w:pPr>
                    <w:spacing w:line="288" w:lineRule="auto"/>
                    <w:jc w:val="center"/>
                    <w:rPr>
                      <w:color w:val="auto"/>
                      <w:sz w:val="21"/>
                      <w:szCs w:val="21"/>
                    </w:rPr>
                  </w:pPr>
                </w:p>
              </w:tc>
              <w:tc>
                <w:tcPr>
                  <w:tcW w:w="1538" w:type="dxa"/>
                </w:tcPr>
                <w:p w14:paraId="0718CAA9">
                  <w:pPr>
                    <w:spacing w:line="288" w:lineRule="auto"/>
                    <w:jc w:val="center"/>
                    <w:rPr>
                      <w:color w:val="auto"/>
                      <w:sz w:val="21"/>
                      <w:szCs w:val="21"/>
                    </w:rPr>
                  </w:pPr>
                  <w:r>
                    <w:rPr>
                      <w:rFonts w:hint="eastAsia"/>
                      <w:color w:val="auto"/>
                      <w:sz w:val="21"/>
                      <w:szCs w:val="21"/>
                    </w:rPr>
                    <w:t>二甲苯</w:t>
                  </w:r>
                </w:p>
              </w:tc>
              <w:tc>
                <w:tcPr>
                  <w:tcW w:w="1887" w:type="dxa"/>
                </w:tcPr>
                <w:p w14:paraId="5D23607A">
                  <w:pPr>
                    <w:spacing w:line="288" w:lineRule="auto"/>
                    <w:jc w:val="center"/>
                    <w:rPr>
                      <w:color w:val="auto"/>
                      <w:sz w:val="21"/>
                      <w:szCs w:val="21"/>
                    </w:rPr>
                  </w:pPr>
                  <w:r>
                    <w:rPr>
                      <w:rFonts w:hint="eastAsia"/>
                      <w:color w:val="auto"/>
                      <w:sz w:val="21"/>
                      <w:szCs w:val="21"/>
                    </w:rPr>
                    <w:t>25</w:t>
                  </w:r>
                </w:p>
              </w:tc>
              <w:tc>
                <w:tcPr>
                  <w:tcW w:w="1995" w:type="dxa"/>
                  <w:tcBorders>
                    <w:right w:val="nil"/>
                  </w:tcBorders>
                </w:tcPr>
                <w:p w14:paraId="3139132B">
                  <w:pPr>
                    <w:widowControl/>
                    <w:jc w:val="center"/>
                    <w:textAlignment w:val="top"/>
                    <w:rPr>
                      <w:color w:val="auto"/>
                      <w:sz w:val="21"/>
                      <w:szCs w:val="21"/>
                    </w:rPr>
                  </w:pPr>
                  <w:r>
                    <w:rPr>
                      <w:color w:val="auto"/>
                      <w:kern w:val="0"/>
                      <w:sz w:val="21"/>
                      <w:szCs w:val="21"/>
                      <w:lang w:bidi="ar"/>
                    </w:rPr>
                    <w:t>0.15</w:t>
                  </w:r>
                </w:p>
              </w:tc>
            </w:tr>
            <w:tr w14:paraId="0C3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left w:val="nil"/>
                  </w:tcBorders>
                </w:tcPr>
                <w:p w14:paraId="4436693F">
                  <w:pPr>
                    <w:spacing w:line="288" w:lineRule="auto"/>
                    <w:jc w:val="center"/>
                    <w:rPr>
                      <w:color w:val="auto"/>
                      <w:sz w:val="21"/>
                      <w:szCs w:val="21"/>
                    </w:rPr>
                  </w:pPr>
                  <w:r>
                    <w:rPr>
                      <w:rFonts w:hint="eastAsia"/>
                      <w:color w:val="auto"/>
                      <w:sz w:val="21"/>
                      <w:szCs w:val="21"/>
                    </w:rPr>
                    <w:t>稀释剂</w:t>
                  </w:r>
                </w:p>
              </w:tc>
              <w:tc>
                <w:tcPr>
                  <w:tcW w:w="1262" w:type="dxa"/>
                </w:tcPr>
                <w:p w14:paraId="76706C6D">
                  <w:pPr>
                    <w:spacing w:line="288" w:lineRule="auto"/>
                    <w:jc w:val="center"/>
                    <w:rPr>
                      <w:color w:val="auto"/>
                      <w:sz w:val="21"/>
                      <w:szCs w:val="21"/>
                    </w:rPr>
                  </w:pPr>
                  <w:r>
                    <w:rPr>
                      <w:rFonts w:hint="eastAsia"/>
                      <w:color w:val="auto"/>
                      <w:sz w:val="21"/>
                      <w:szCs w:val="21"/>
                    </w:rPr>
                    <w:t>0.3</w:t>
                  </w:r>
                </w:p>
              </w:tc>
              <w:tc>
                <w:tcPr>
                  <w:tcW w:w="1538" w:type="dxa"/>
                </w:tcPr>
                <w:p w14:paraId="51FC89EF">
                  <w:pPr>
                    <w:spacing w:line="288" w:lineRule="auto"/>
                    <w:jc w:val="center"/>
                    <w:rPr>
                      <w:color w:val="auto"/>
                      <w:sz w:val="21"/>
                      <w:szCs w:val="21"/>
                    </w:rPr>
                  </w:pPr>
                  <w:r>
                    <w:rPr>
                      <w:rFonts w:hint="eastAsia"/>
                      <w:color w:val="auto"/>
                      <w:sz w:val="21"/>
                      <w:szCs w:val="21"/>
                    </w:rPr>
                    <w:t>非甲烷总烃</w:t>
                  </w:r>
                </w:p>
              </w:tc>
              <w:tc>
                <w:tcPr>
                  <w:tcW w:w="1887" w:type="dxa"/>
                </w:tcPr>
                <w:p w14:paraId="604464DF">
                  <w:pPr>
                    <w:spacing w:line="288" w:lineRule="auto"/>
                    <w:jc w:val="center"/>
                    <w:rPr>
                      <w:color w:val="auto"/>
                      <w:sz w:val="21"/>
                      <w:szCs w:val="21"/>
                    </w:rPr>
                  </w:pPr>
                  <w:r>
                    <w:rPr>
                      <w:rFonts w:hint="eastAsia"/>
                      <w:color w:val="auto"/>
                      <w:sz w:val="21"/>
                      <w:szCs w:val="21"/>
                    </w:rPr>
                    <w:t>100</w:t>
                  </w:r>
                </w:p>
              </w:tc>
              <w:tc>
                <w:tcPr>
                  <w:tcW w:w="1995" w:type="dxa"/>
                  <w:tcBorders>
                    <w:right w:val="nil"/>
                  </w:tcBorders>
                </w:tcPr>
                <w:p w14:paraId="3ADEB10E">
                  <w:pPr>
                    <w:widowControl/>
                    <w:jc w:val="center"/>
                    <w:textAlignment w:val="top"/>
                    <w:rPr>
                      <w:color w:val="auto"/>
                      <w:sz w:val="21"/>
                      <w:szCs w:val="21"/>
                    </w:rPr>
                  </w:pPr>
                  <w:r>
                    <w:rPr>
                      <w:color w:val="auto"/>
                      <w:kern w:val="0"/>
                      <w:sz w:val="21"/>
                      <w:szCs w:val="21"/>
                      <w:lang w:bidi="ar"/>
                    </w:rPr>
                    <w:t>0.3</w:t>
                  </w:r>
                </w:p>
              </w:tc>
            </w:tr>
            <w:tr w14:paraId="6B25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tcBorders>
                    <w:left w:val="nil"/>
                  </w:tcBorders>
                </w:tcPr>
                <w:p w14:paraId="54F11CB9">
                  <w:pPr>
                    <w:spacing w:line="288" w:lineRule="auto"/>
                    <w:jc w:val="center"/>
                    <w:rPr>
                      <w:color w:val="auto"/>
                      <w:sz w:val="21"/>
                      <w:szCs w:val="21"/>
                    </w:rPr>
                  </w:pPr>
                  <w:r>
                    <w:rPr>
                      <w:rFonts w:hint="eastAsia"/>
                      <w:color w:val="auto"/>
                      <w:sz w:val="21"/>
                      <w:szCs w:val="21"/>
                    </w:rPr>
                    <w:t>水性漆</w:t>
                  </w:r>
                </w:p>
              </w:tc>
              <w:tc>
                <w:tcPr>
                  <w:tcW w:w="1262" w:type="dxa"/>
                </w:tcPr>
                <w:p w14:paraId="40E7B95A">
                  <w:pPr>
                    <w:spacing w:line="288" w:lineRule="auto"/>
                    <w:jc w:val="center"/>
                    <w:rPr>
                      <w:color w:val="auto"/>
                      <w:sz w:val="21"/>
                      <w:szCs w:val="21"/>
                    </w:rPr>
                  </w:pPr>
                  <w:r>
                    <w:rPr>
                      <w:rFonts w:hint="eastAsia"/>
                      <w:color w:val="auto"/>
                      <w:sz w:val="21"/>
                      <w:szCs w:val="21"/>
                    </w:rPr>
                    <w:t>0.8</w:t>
                  </w:r>
                </w:p>
              </w:tc>
              <w:tc>
                <w:tcPr>
                  <w:tcW w:w="1538" w:type="dxa"/>
                </w:tcPr>
                <w:p w14:paraId="14BE8ADD">
                  <w:pPr>
                    <w:spacing w:line="288" w:lineRule="auto"/>
                    <w:jc w:val="center"/>
                    <w:rPr>
                      <w:color w:val="auto"/>
                      <w:sz w:val="21"/>
                      <w:szCs w:val="21"/>
                    </w:rPr>
                  </w:pPr>
                  <w:r>
                    <w:rPr>
                      <w:rFonts w:hint="eastAsia"/>
                      <w:color w:val="auto"/>
                      <w:sz w:val="21"/>
                      <w:szCs w:val="21"/>
                    </w:rPr>
                    <w:t>非甲烷总烃</w:t>
                  </w:r>
                </w:p>
              </w:tc>
              <w:tc>
                <w:tcPr>
                  <w:tcW w:w="1887" w:type="dxa"/>
                </w:tcPr>
                <w:p w14:paraId="6CE1F99A">
                  <w:pPr>
                    <w:spacing w:line="288" w:lineRule="auto"/>
                    <w:jc w:val="center"/>
                    <w:rPr>
                      <w:color w:val="auto"/>
                      <w:sz w:val="21"/>
                      <w:szCs w:val="21"/>
                    </w:rPr>
                  </w:pPr>
                  <w:r>
                    <w:rPr>
                      <w:rFonts w:hint="eastAsia"/>
                      <w:color w:val="auto"/>
                      <w:sz w:val="21"/>
                      <w:szCs w:val="21"/>
                    </w:rPr>
                    <w:t>15</w:t>
                  </w:r>
                </w:p>
              </w:tc>
              <w:tc>
                <w:tcPr>
                  <w:tcW w:w="1995" w:type="dxa"/>
                  <w:tcBorders>
                    <w:right w:val="nil"/>
                  </w:tcBorders>
                </w:tcPr>
                <w:p w14:paraId="3431876D">
                  <w:pPr>
                    <w:widowControl/>
                    <w:jc w:val="center"/>
                    <w:textAlignment w:val="top"/>
                    <w:rPr>
                      <w:color w:val="auto"/>
                      <w:sz w:val="21"/>
                      <w:szCs w:val="21"/>
                    </w:rPr>
                  </w:pPr>
                  <w:r>
                    <w:rPr>
                      <w:color w:val="auto"/>
                      <w:kern w:val="0"/>
                      <w:sz w:val="21"/>
                      <w:szCs w:val="21"/>
                      <w:lang w:bidi="ar"/>
                    </w:rPr>
                    <w:t>0.12</w:t>
                  </w:r>
                </w:p>
              </w:tc>
            </w:tr>
            <w:tr w14:paraId="4920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gridSpan w:val="2"/>
                  <w:vMerge w:val="restart"/>
                  <w:tcBorders>
                    <w:left w:val="nil"/>
                  </w:tcBorders>
                </w:tcPr>
                <w:p w14:paraId="0C00C63A">
                  <w:pPr>
                    <w:spacing w:before="480" w:beforeLines="200" w:line="288" w:lineRule="auto"/>
                    <w:jc w:val="center"/>
                    <w:rPr>
                      <w:color w:val="auto"/>
                      <w:sz w:val="21"/>
                      <w:szCs w:val="21"/>
                    </w:rPr>
                  </w:pPr>
                  <w:r>
                    <w:rPr>
                      <w:rFonts w:hint="eastAsia"/>
                      <w:color w:val="auto"/>
                      <w:sz w:val="21"/>
                      <w:szCs w:val="21"/>
                    </w:rPr>
                    <w:t>合计</w:t>
                  </w:r>
                </w:p>
              </w:tc>
              <w:tc>
                <w:tcPr>
                  <w:tcW w:w="3425" w:type="dxa"/>
                  <w:gridSpan w:val="2"/>
                </w:tcPr>
                <w:p w14:paraId="14C164D5">
                  <w:pPr>
                    <w:spacing w:line="288" w:lineRule="auto"/>
                    <w:jc w:val="center"/>
                    <w:rPr>
                      <w:color w:val="auto"/>
                      <w:sz w:val="21"/>
                      <w:szCs w:val="21"/>
                    </w:rPr>
                  </w:pPr>
                  <w:r>
                    <w:rPr>
                      <w:rFonts w:hint="eastAsia"/>
                      <w:color w:val="auto"/>
                      <w:sz w:val="21"/>
                      <w:szCs w:val="21"/>
                    </w:rPr>
                    <w:t>非甲烷总烃</w:t>
                  </w:r>
                </w:p>
              </w:tc>
              <w:tc>
                <w:tcPr>
                  <w:tcW w:w="1995" w:type="dxa"/>
                  <w:tcBorders>
                    <w:right w:val="nil"/>
                  </w:tcBorders>
                </w:tcPr>
                <w:p w14:paraId="5A45F6F9">
                  <w:pPr>
                    <w:widowControl/>
                    <w:jc w:val="center"/>
                    <w:textAlignment w:val="top"/>
                    <w:rPr>
                      <w:color w:val="auto"/>
                      <w:sz w:val="21"/>
                      <w:szCs w:val="21"/>
                    </w:rPr>
                  </w:pPr>
                  <w:r>
                    <w:rPr>
                      <w:color w:val="auto"/>
                      <w:kern w:val="0"/>
                      <w:sz w:val="21"/>
                      <w:szCs w:val="21"/>
                      <w:lang w:bidi="ar"/>
                    </w:rPr>
                    <w:t>0.654</w:t>
                  </w:r>
                </w:p>
              </w:tc>
            </w:tr>
            <w:tr w14:paraId="0848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gridSpan w:val="2"/>
                  <w:vMerge w:val="continue"/>
                  <w:tcBorders>
                    <w:left w:val="nil"/>
                  </w:tcBorders>
                </w:tcPr>
                <w:p w14:paraId="0491A9D0">
                  <w:pPr>
                    <w:spacing w:line="288" w:lineRule="auto"/>
                    <w:jc w:val="center"/>
                    <w:rPr>
                      <w:color w:val="auto"/>
                      <w:sz w:val="21"/>
                      <w:szCs w:val="21"/>
                    </w:rPr>
                  </w:pPr>
                </w:p>
              </w:tc>
              <w:tc>
                <w:tcPr>
                  <w:tcW w:w="3425" w:type="dxa"/>
                  <w:gridSpan w:val="2"/>
                </w:tcPr>
                <w:p w14:paraId="632C4D07">
                  <w:pPr>
                    <w:spacing w:line="288" w:lineRule="auto"/>
                    <w:jc w:val="center"/>
                    <w:rPr>
                      <w:color w:val="auto"/>
                      <w:sz w:val="21"/>
                      <w:szCs w:val="21"/>
                    </w:rPr>
                  </w:pPr>
                  <w:r>
                    <w:rPr>
                      <w:color w:val="auto"/>
                      <w:sz w:val="21"/>
                      <w:szCs w:val="21"/>
                    </w:rPr>
                    <w:t>乙酸乙酯与乙酸丁酯合计</w:t>
                  </w:r>
                </w:p>
              </w:tc>
              <w:tc>
                <w:tcPr>
                  <w:tcW w:w="1995" w:type="dxa"/>
                  <w:tcBorders>
                    <w:right w:val="nil"/>
                  </w:tcBorders>
                </w:tcPr>
                <w:p w14:paraId="3593F5C9">
                  <w:pPr>
                    <w:widowControl/>
                    <w:jc w:val="center"/>
                    <w:textAlignment w:val="top"/>
                    <w:rPr>
                      <w:color w:val="auto"/>
                      <w:sz w:val="21"/>
                      <w:szCs w:val="21"/>
                    </w:rPr>
                  </w:pPr>
                  <w:r>
                    <w:rPr>
                      <w:color w:val="auto"/>
                      <w:kern w:val="0"/>
                      <w:sz w:val="21"/>
                      <w:szCs w:val="21"/>
                      <w:lang w:bidi="ar"/>
                    </w:rPr>
                    <w:t>0.054</w:t>
                  </w:r>
                </w:p>
              </w:tc>
            </w:tr>
            <w:tr w14:paraId="555C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gridSpan w:val="2"/>
                  <w:vMerge w:val="continue"/>
                  <w:tcBorders>
                    <w:left w:val="nil"/>
                    <w:bottom w:val="single" w:color="auto" w:sz="12" w:space="0"/>
                  </w:tcBorders>
                </w:tcPr>
                <w:p w14:paraId="7335F820">
                  <w:pPr>
                    <w:spacing w:line="288" w:lineRule="auto"/>
                    <w:jc w:val="center"/>
                    <w:rPr>
                      <w:color w:val="auto"/>
                      <w:sz w:val="21"/>
                      <w:szCs w:val="21"/>
                    </w:rPr>
                  </w:pPr>
                </w:p>
              </w:tc>
              <w:tc>
                <w:tcPr>
                  <w:tcW w:w="3425" w:type="dxa"/>
                  <w:gridSpan w:val="2"/>
                  <w:tcBorders>
                    <w:bottom w:val="single" w:color="auto" w:sz="12" w:space="0"/>
                  </w:tcBorders>
                </w:tcPr>
                <w:p w14:paraId="787CD523">
                  <w:pPr>
                    <w:spacing w:line="288" w:lineRule="auto"/>
                    <w:jc w:val="center"/>
                    <w:rPr>
                      <w:color w:val="auto"/>
                      <w:sz w:val="21"/>
                      <w:szCs w:val="21"/>
                    </w:rPr>
                  </w:pPr>
                  <w:r>
                    <w:rPr>
                      <w:rFonts w:hint="eastAsia"/>
                      <w:color w:val="auto"/>
                      <w:sz w:val="21"/>
                      <w:szCs w:val="21"/>
                    </w:rPr>
                    <w:t>二甲苯</w:t>
                  </w:r>
                </w:p>
              </w:tc>
              <w:tc>
                <w:tcPr>
                  <w:tcW w:w="1995" w:type="dxa"/>
                  <w:tcBorders>
                    <w:bottom w:val="single" w:color="auto" w:sz="12" w:space="0"/>
                    <w:right w:val="nil"/>
                  </w:tcBorders>
                  <w:vAlign w:val="center"/>
                </w:tcPr>
                <w:p w14:paraId="6809A71C">
                  <w:pPr>
                    <w:widowControl/>
                    <w:jc w:val="center"/>
                    <w:textAlignment w:val="center"/>
                    <w:rPr>
                      <w:color w:val="auto"/>
                      <w:sz w:val="21"/>
                      <w:szCs w:val="21"/>
                    </w:rPr>
                  </w:pPr>
                  <w:r>
                    <w:rPr>
                      <w:color w:val="auto"/>
                      <w:kern w:val="0"/>
                      <w:sz w:val="21"/>
                      <w:szCs w:val="21"/>
                      <w:lang w:bidi="ar"/>
                    </w:rPr>
                    <w:t>0.15</w:t>
                  </w:r>
                </w:p>
              </w:tc>
            </w:tr>
          </w:tbl>
          <w:p w14:paraId="623330C2">
            <w:pPr>
              <w:ind w:firstLine="482" w:firstLineChars="200"/>
              <w:rPr>
                <w:b/>
                <w:bCs/>
                <w:color w:val="auto"/>
              </w:rPr>
            </w:pPr>
            <w:r>
              <w:rPr>
                <w:b/>
                <w:bCs/>
                <w:color w:val="auto"/>
              </w:rPr>
              <w:t>（</w:t>
            </w:r>
            <w:r>
              <w:rPr>
                <w:rFonts w:hint="eastAsia"/>
                <w:b/>
                <w:bCs/>
                <w:color w:val="auto"/>
              </w:rPr>
              <w:t>9</w:t>
            </w:r>
            <w:r>
              <w:rPr>
                <w:b/>
                <w:bCs/>
                <w:color w:val="auto"/>
              </w:rPr>
              <w:t>）废气收集效率</w:t>
            </w:r>
          </w:p>
          <w:p w14:paraId="55F479BE">
            <w:pPr>
              <w:pStyle w:val="14"/>
              <w:ind w:firstLine="480" w:firstLineChars="200"/>
              <w:rPr>
                <w:rFonts w:hint="eastAsia" w:ascii="Times New Roman" w:hAnsi="Times New Roman"/>
                <w:color w:val="auto"/>
              </w:rPr>
            </w:pPr>
            <w:r>
              <w:rPr>
                <w:rFonts w:hint="eastAsia" w:ascii="Times New Roman" w:hAnsi="Times New Roman"/>
                <w:color w:val="auto"/>
              </w:rPr>
              <w:t>根据《广东省工业源挥发性有机物减排量核算方法</w:t>
            </w:r>
            <w:r>
              <w:rPr>
                <w:rFonts w:hint="eastAsia" w:ascii="Times New Roman" w:hAnsi="Times New Roman"/>
                <w:color w:val="auto"/>
                <w:lang w:eastAsia="zh-CN"/>
              </w:rPr>
              <w:t>（</w:t>
            </w:r>
            <w:r>
              <w:rPr>
                <w:rFonts w:hint="eastAsia" w:ascii="Times New Roman" w:hAnsi="Times New Roman"/>
                <w:color w:val="auto"/>
              </w:rPr>
              <w:t>2023年修订版</w:t>
            </w:r>
            <w:r>
              <w:rPr>
                <w:rFonts w:hint="eastAsia" w:ascii="Times New Roman" w:hAnsi="Times New Roman"/>
                <w:color w:val="auto"/>
                <w:lang w:eastAsia="zh-CN"/>
              </w:rPr>
              <w:t>）</w:t>
            </w:r>
            <w:r>
              <w:rPr>
                <w:rFonts w:hint="eastAsia" w:ascii="Times New Roman" w:hAnsi="Times New Roman"/>
                <w:color w:val="auto"/>
              </w:rPr>
              <w:t>》</w:t>
            </w:r>
            <w:r>
              <w:rPr>
                <w:rFonts w:hint="eastAsia" w:ascii="Times New Roman" w:hAnsi="Times New Roman"/>
                <w:color w:val="auto"/>
                <w:lang w:eastAsia="zh-CN"/>
              </w:rPr>
              <w:t>“</w:t>
            </w:r>
            <w:r>
              <w:rPr>
                <w:rFonts w:hint="eastAsia" w:ascii="Times New Roman" w:hAnsi="Times New Roman"/>
                <w:color w:val="auto"/>
              </w:rPr>
              <w:t>表3.3-2废气收集集气效率参考值</w:t>
            </w:r>
            <w:r>
              <w:rPr>
                <w:rFonts w:hint="eastAsia" w:ascii="Times New Roman" w:hAnsi="Times New Roman"/>
                <w:color w:val="auto"/>
                <w:lang w:eastAsia="zh-CN"/>
              </w:rPr>
              <w:t>”</w:t>
            </w:r>
            <w:r>
              <w:rPr>
                <w:rFonts w:hint="eastAsia" w:ascii="Times New Roman" w:hAnsi="Times New Roman"/>
                <w:color w:val="auto"/>
              </w:rPr>
              <w:t>，项单层密闭负压，</w:t>
            </w:r>
            <w:r>
              <w:rPr>
                <w:rFonts w:hint="eastAsia" w:ascii="Times New Roman" w:hAnsi="Times New Roman"/>
                <w:color w:val="auto"/>
                <w:lang w:eastAsia="zh-CN"/>
              </w:rPr>
              <w:t>“</w:t>
            </w:r>
            <w:r>
              <w:rPr>
                <w:rFonts w:hint="eastAsia" w:ascii="Times New Roman" w:hAnsi="Times New Roman"/>
                <w:color w:val="auto"/>
              </w:rPr>
              <w:t>VOCs产生源设置在密闭车间、密闭设备</w:t>
            </w:r>
            <w:r>
              <w:rPr>
                <w:rFonts w:hint="eastAsia" w:ascii="Times New Roman" w:hAnsi="Times New Roman"/>
                <w:color w:val="auto"/>
                <w:lang w:eastAsia="zh-CN"/>
              </w:rPr>
              <w:t>（</w:t>
            </w:r>
            <w:r>
              <w:rPr>
                <w:rFonts w:hint="eastAsia" w:ascii="Times New Roman" w:hAnsi="Times New Roman"/>
                <w:color w:val="auto"/>
              </w:rPr>
              <w:t>含反应釜</w:t>
            </w:r>
            <w:r>
              <w:rPr>
                <w:rFonts w:hint="eastAsia" w:ascii="Times New Roman" w:hAnsi="Times New Roman"/>
                <w:color w:val="auto"/>
                <w:lang w:eastAsia="zh-CN"/>
              </w:rPr>
              <w:t>）</w:t>
            </w:r>
            <w:r>
              <w:rPr>
                <w:rFonts w:hint="eastAsia" w:ascii="Times New Roman" w:hAnsi="Times New Roman"/>
                <w:color w:val="auto"/>
              </w:rPr>
              <w:t>、密闭管道内，所有开口处，包括人员或物料进出口处呈负压</w:t>
            </w:r>
            <w:r>
              <w:rPr>
                <w:rFonts w:hint="eastAsia" w:ascii="Times New Roman" w:hAnsi="Times New Roman"/>
                <w:color w:val="auto"/>
                <w:lang w:eastAsia="zh-CN"/>
              </w:rPr>
              <w:t>”</w:t>
            </w:r>
            <w:r>
              <w:rPr>
                <w:rFonts w:hint="eastAsia" w:ascii="Times New Roman" w:hAnsi="Times New Roman"/>
                <w:color w:val="auto"/>
              </w:rPr>
              <w:t>VOCs收集效率为90%。</w:t>
            </w:r>
          </w:p>
          <w:p w14:paraId="60E2708B">
            <w:pPr>
              <w:pStyle w:val="14"/>
              <w:ind w:firstLine="480" w:firstLineChars="200"/>
              <w:rPr>
                <w:rFonts w:ascii="Times New Roman" w:hAnsi="Times New Roman"/>
                <w:color w:val="auto"/>
              </w:rPr>
            </w:pPr>
            <w:r>
              <w:rPr>
                <w:rFonts w:hint="eastAsia" w:ascii="Times New Roman" w:hAnsi="Times New Roman"/>
                <w:color w:val="auto"/>
              </w:rPr>
              <w:t>项目拟设置的喷漆房、烤漆房、UV打印车间，工作时间均维持在负压密闭状态，调漆、喷漆、烤漆、喷枪清洗工序和UV打印及其设备清洁工序产生有机废气经密闭负压收集后采用</w:t>
            </w:r>
            <w:r>
              <w:rPr>
                <w:rFonts w:hint="eastAsia" w:ascii="Times New Roman" w:hAnsi="Times New Roman"/>
                <w:color w:val="auto"/>
                <w:lang w:eastAsia="zh-CN"/>
              </w:rPr>
              <w:t>“</w:t>
            </w:r>
            <w:r>
              <w:rPr>
                <w:rFonts w:hint="eastAsia" w:ascii="Times New Roman" w:hAnsi="Times New Roman"/>
                <w:color w:val="auto"/>
              </w:rPr>
              <w:t>干式过滤+活性炭吸附装置</w:t>
            </w:r>
            <w:r>
              <w:rPr>
                <w:rFonts w:hint="eastAsia" w:ascii="Times New Roman" w:hAnsi="Times New Roman"/>
                <w:color w:val="auto"/>
                <w:lang w:eastAsia="zh-CN"/>
              </w:rPr>
              <w:t>”</w:t>
            </w:r>
            <w:r>
              <w:rPr>
                <w:rFonts w:hint="eastAsia" w:ascii="Times New Roman" w:hAnsi="Times New Roman"/>
                <w:color w:val="auto"/>
              </w:rPr>
              <w:t>净化后引至1根22m高排气筒排放（DA001），少量未经收集的直接以无组织形式排放。</w:t>
            </w:r>
          </w:p>
          <w:p w14:paraId="2E18EA8B">
            <w:pPr>
              <w:ind w:firstLine="480" w:firstLineChars="200"/>
              <w:rPr>
                <w:rFonts w:hint="default"/>
                <w:color w:val="auto"/>
                <w:lang w:val="en-US" w:eastAsia="zh-CN"/>
              </w:rPr>
            </w:pPr>
            <w:r>
              <w:rPr>
                <w:rFonts w:hint="eastAsia"/>
                <w:color w:val="auto"/>
              </w:rPr>
              <w:t>根据密闭喷漆房风量计算公式：车间所需新风量=换气次数×车间面积×车间高度（考虑实际建设过程中风阻损耗等问题，实际风量仅为标定风机风量的80%）。根据《三废处理工程技术手册-废气卷》中第十七章净化系统的设计可知，有害气体尘埃发出地换气次数为20以上次/时，再结合生产车间的实际操作及设计的换气次</w:t>
            </w:r>
            <w:r>
              <w:rPr>
                <w:rFonts w:hint="eastAsia"/>
                <w:color w:val="auto"/>
                <w:highlight w:val="none"/>
              </w:rPr>
              <w:t>数，本评价按20次/小时计算，则喷漆房、烤漆房和UV打印车间</w:t>
            </w:r>
            <w:r>
              <w:rPr>
                <w:rFonts w:hint="eastAsia"/>
                <w:color w:val="auto"/>
                <w:highlight w:val="none"/>
                <w:lang w:eastAsia="zh-CN"/>
              </w:rPr>
              <w:t>（</w:t>
            </w:r>
            <w:r>
              <w:rPr>
                <w:rFonts w:hint="eastAsia"/>
                <w:color w:val="auto"/>
                <w:highlight w:val="none"/>
                <w:lang w:val="en-US" w:eastAsia="zh-CN"/>
              </w:rPr>
              <w:t>总体积：325m</w:t>
            </w:r>
            <w:r>
              <w:rPr>
                <w:rFonts w:hint="eastAsia"/>
                <w:color w:val="auto"/>
                <w:highlight w:val="none"/>
                <w:vertAlign w:val="superscript"/>
                <w:lang w:val="en-US" w:eastAsia="zh-CN"/>
              </w:rPr>
              <w:t>3</w:t>
            </w:r>
            <w:r>
              <w:rPr>
                <w:rFonts w:hint="eastAsia"/>
                <w:color w:val="auto"/>
                <w:highlight w:val="none"/>
                <w:lang w:eastAsia="zh-CN"/>
              </w:rPr>
              <w:t>）</w:t>
            </w:r>
            <w:r>
              <w:rPr>
                <w:rFonts w:hint="eastAsia"/>
                <w:color w:val="auto"/>
                <w:highlight w:val="none"/>
              </w:rPr>
              <w:t>所需风量为=325×20</w:t>
            </w:r>
            <w:r>
              <w:rPr>
                <w:rFonts w:hint="eastAsia" w:ascii="微软雅黑" w:hAnsi="微软雅黑" w:eastAsia="微软雅黑" w:cs="微软雅黑"/>
                <w:color w:val="auto"/>
                <w:highlight w:val="none"/>
              </w:rPr>
              <w:t>÷</w:t>
            </w:r>
            <w:r>
              <w:rPr>
                <w:rFonts w:hint="eastAsia"/>
                <w:color w:val="auto"/>
                <w:highlight w:val="none"/>
              </w:rPr>
              <w:t>80%=8125m</w:t>
            </w:r>
            <w:r>
              <w:rPr>
                <w:rFonts w:hint="eastAsia"/>
                <w:color w:val="auto"/>
                <w:highlight w:val="none"/>
                <w:vertAlign w:val="superscript"/>
              </w:rPr>
              <w:t>3</w:t>
            </w:r>
            <w:r>
              <w:rPr>
                <w:rFonts w:hint="eastAsia"/>
                <w:color w:val="auto"/>
                <w:highlight w:val="none"/>
              </w:rPr>
              <w:t>/h。本评价建议采用风机风量为10000m</w:t>
            </w:r>
            <w:r>
              <w:rPr>
                <w:rFonts w:hint="eastAsia"/>
                <w:color w:val="auto"/>
                <w:highlight w:val="none"/>
                <w:vertAlign w:val="superscript"/>
              </w:rPr>
              <w:t>3</w:t>
            </w:r>
            <w:r>
              <w:rPr>
                <w:rFonts w:hint="eastAsia"/>
                <w:color w:val="auto"/>
                <w:highlight w:val="none"/>
              </w:rPr>
              <w:t>/h进行收集。综上所述，</w:t>
            </w:r>
            <w:r>
              <w:rPr>
                <w:rFonts w:hint="eastAsia"/>
                <w:color w:val="auto"/>
              </w:rPr>
              <w:t>通过上述措施以保证废气集气效率为90%。</w:t>
            </w:r>
          </w:p>
        </w:tc>
      </w:tr>
    </w:tbl>
    <w:p w14:paraId="769F78CE">
      <w:pPr>
        <w:pStyle w:val="6"/>
        <w:jc w:val="both"/>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134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3046"/>
      </w:tblGrid>
      <w:tr w14:paraId="1CE16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0" w:hRule="atLeast"/>
          <w:jc w:val="center"/>
        </w:trPr>
        <w:tc>
          <w:tcPr>
            <w:tcW w:w="366" w:type="dxa"/>
            <w:tcMar>
              <w:left w:w="28" w:type="dxa"/>
              <w:right w:w="28" w:type="dxa"/>
            </w:tcMar>
            <w:vAlign w:val="center"/>
          </w:tcPr>
          <w:p w14:paraId="5EEA65BA">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运营期环境影响和保护措施</w:t>
            </w:r>
          </w:p>
        </w:tc>
        <w:tc>
          <w:tcPr>
            <w:tcW w:w="13046" w:type="dxa"/>
          </w:tcPr>
          <w:p w14:paraId="614D8A2D">
            <w:pPr>
              <w:adjustRightInd w:val="0"/>
              <w:snapToGrid w:val="0"/>
              <w:spacing w:line="240" w:lineRule="auto"/>
              <w:jc w:val="center"/>
              <w:rPr>
                <w:b/>
                <w:color w:val="auto"/>
                <w:kern w:val="0"/>
                <w:szCs w:val="20"/>
              </w:rPr>
            </w:pPr>
            <w:r>
              <w:rPr>
                <w:rFonts w:hint="eastAsia"/>
                <w:b/>
                <w:color w:val="auto"/>
                <w:kern w:val="0"/>
                <w:szCs w:val="20"/>
              </w:rPr>
              <w:t>表4.2-3  本项目废气产排情况一览表</w:t>
            </w:r>
          </w:p>
          <w:tbl>
            <w:tblPr>
              <w:tblStyle w:val="30"/>
              <w:tblW w:w="12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742"/>
              <w:gridCol w:w="840"/>
              <w:gridCol w:w="777"/>
              <w:gridCol w:w="746"/>
              <w:gridCol w:w="412"/>
              <w:gridCol w:w="885"/>
              <w:gridCol w:w="630"/>
              <w:gridCol w:w="548"/>
              <w:gridCol w:w="740"/>
              <w:gridCol w:w="762"/>
              <w:gridCol w:w="838"/>
              <w:gridCol w:w="775"/>
              <w:gridCol w:w="747"/>
              <w:gridCol w:w="538"/>
              <w:gridCol w:w="788"/>
              <w:gridCol w:w="480"/>
              <w:gridCol w:w="480"/>
              <w:gridCol w:w="444"/>
            </w:tblGrid>
            <w:tr w14:paraId="5616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684" w:type="dxa"/>
                  <w:vMerge w:val="restart"/>
                  <w:tcBorders>
                    <w:top w:val="single" w:color="auto" w:sz="12" w:space="0"/>
                    <w:left w:val="nil"/>
                  </w:tcBorders>
                  <w:shd w:val="clear" w:color="auto" w:fill="auto"/>
                  <w:noWrap w:val="0"/>
                  <w:vAlign w:val="center"/>
                </w:tcPr>
                <w:p w14:paraId="12A2748F">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产污环节</w:t>
                  </w:r>
                </w:p>
              </w:tc>
              <w:tc>
                <w:tcPr>
                  <w:tcW w:w="742" w:type="dxa"/>
                  <w:vMerge w:val="restart"/>
                  <w:tcBorders>
                    <w:top w:val="single" w:color="auto" w:sz="12" w:space="0"/>
                  </w:tcBorders>
                  <w:shd w:val="clear" w:color="auto" w:fill="auto"/>
                  <w:noWrap w:val="0"/>
                  <w:vAlign w:val="center"/>
                </w:tcPr>
                <w:p w14:paraId="35BAED88">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w:t>
                  </w:r>
                </w:p>
              </w:tc>
              <w:tc>
                <w:tcPr>
                  <w:tcW w:w="1617" w:type="dxa"/>
                  <w:gridSpan w:val="2"/>
                  <w:tcBorders>
                    <w:top w:val="single" w:color="auto" w:sz="12" w:space="0"/>
                  </w:tcBorders>
                  <w:noWrap w:val="0"/>
                  <w:vAlign w:val="center"/>
                </w:tcPr>
                <w:p w14:paraId="0AB58CF9">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产生源强</w:t>
                  </w:r>
                </w:p>
              </w:tc>
              <w:tc>
                <w:tcPr>
                  <w:tcW w:w="746" w:type="dxa"/>
                  <w:vMerge w:val="restart"/>
                  <w:tcBorders>
                    <w:top w:val="single" w:color="auto" w:sz="12" w:space="0"/>
                  </w:tcBorders>
                  <w:shd w:val="clear" w:color="auto" w:fill="auto"/>
                  <w:noWrap w:val="0"/>
                  <w:vAlign w:val="center"/>
                </w:tcPr>
                <w:p w14:paraId="5701AB38">
                  <w:pPr>
                    <w:widowControl w:val="0"/>
                    <w:bidi w:val="0"/>
                    <w:adjustRightInd w:val="0"/>
                    <w:snapToGrid w:val="0"/>
                    <w:spacing w:before="10" w:beforeLines="10" w:after="10" w:afterLines="1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收集措施</w:t>
                  </w:r>
                </w:p>
              </w:tc>
              <w:tc>
                <w:tcPr>
                  <w:tcW w:w="412" w:type="dxa"/>
                  <w:vMerge w:val="restart"/>
                  <w:tcBorders>
                    <w:top w:val="single" w:color="auto" w:sz="12" w:space="0"/>
                  </w:tcBorders>
                  <w:shd w:val="clear" w:color="auto" w:fill="auto"/>
                  <w:noWrap w:val="0"/>
                  <w:vAlign w:val="center"/>
                </w:tcPr>
                <w:p w14:paraId="2E809DE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收集效率</w:t>
                  </w:r>
                  <w:r>
                    <w:rPr>
                      <w:rFonts w:ascii="Times New Roman" w:hAnsi="Times New Roman" w:eastAsia="宋体" w:cs="Times New Roman"/>
                      <w:color w:val="auto"/>
                      <w:kern w:val="0"/>
                      <w:sz w:val="21"/>
                      <w:szCs w:val="21"/>
                      <w:highlight w:val="none"/>
                      <w:lang w:val="en-US" w:eastAsia="zh-CN" w:bidi="ar-SA"/>
                    </w:rPr>
                    <w:t>%</w:t>
                  </w:r>
                </w:p>
              </w:tc>
              <w:tc>
                <w:tcPr>
                  <w:tcW w:w="885" w:type="dxa"/>
                  <w:vMerge w:val="restart"/>
                  <w:tcBorders>
                    <w:top w:val="single" w:color="auto" w:sz="12" w:space="0"/>
                  </w:tcBorders>
                  <w:shd w:val="clear" w:color="auto" w:fill="auto"/>
                  <w:noWrap w:val="0"/>
                  <w:vAlign w:val="center"/>
                </w:tcPr>
                <w:p w14:paraId="106E8245">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治理措施</w:t>
                  </w:r>
                </w:p>
              </w:tc>
              <w:tc>
                <w:tcPr>
                  <w:tcW w:w="630" w:type="dxa"/>
                  <w:vMerge w:val="restart"/>
                  <w:tcBorders>
                    <w:top w:val="single" w:color="auto" w:sz="12" w:space="0"/>
                  </w:tcBorders>
                  <w:shd w:val="clear" w:color="auto" w:fill="auto"/>
                  <w:noWrap w:val="0"/>
                  <w:vAlign w:val="center"/>
                </w:tcPr>
                <w:p w14:paraId="52665F37">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处理效率</w:t>
                  </w:r>
                </w:p>
                <w:p w14:paraId="2D3E3CC9">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w:t>
                  </w:r>
                </w:p>
              </w:tc>
              <w:tc>
                <w:tcPr>
                  <w:tcW w:w="548" w:type="dxa"/>
                  <w:vMerge w:val="restart"/>
                  <w:tcBorders>
                    <w:top w:val="single" w:color="auto" w:sz="12" w:space="0"/>
                  </w:tcBorders>
                  <w:shd w:val="clear" w:color="auto" w:fill="auto"/>
                  <w:noWrap w:val="0"/>
                  <w:vAlign w:val="center"/>
                </w:tcPr>
                <w:p w14:paraId="052C1008">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措施技术是否可行</w:t>
                  </w:r>
                </w:p>
              </w:tc>
              <w:tc>
                <w:tcPr>
                  <w:tcW w:w="740" w:type="dxa"/>
                  <w:vMerge w:val="restart"/>
                  <w:tcBorders>
                    <w:top w:val="single" w:color="auto" w:sz="12" w:space="0"/>
                  </w:tcBorders>
                  <w:shd w:val="clear" w:color="auto" w:fill="auto"/>
                  <w:noWrap w:val="0"/>
                  <w:vAlign w:val="center"/>
                </w:tcPr>
                <w:p w14:paraId="16A6046F">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排放形式</w:t>
                  </w:r>
                </w:p>
              </w:tc>
              <w:tc>
                <w:tcPr>
                  <w:tcW w:w="3122" w:type="dxa"/>
                  <w:gridSpan w:val="4"/>
                  <w:tcBorders>
                    <w:top w:val="single" w:color="auto" w:sz="12" w:space="0"/>
                  </w:tcBorders>
                  <w:noWrap w:val="0"/>
                  <w:vAlign w:val="center"/>
                </w:tcPr>
                <w:p w14:paraId="2688DD1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排放源强</w:t>
                  </w:r>
                </w:p>
              </w:tc>
              <w:tc>
                <w:tcPr>
                  <w:tcW w:w="538" w:type="dxa"/>
                  <w:vMerge w:val="restart"/>
                  <w:tcBorders>
                    <w:top w:val="single" w:color="auto" w:sz="12" w:space="0"/>
                  </w:tcBorders>
                  <w:noWrap w:val="0"/>
                  <w:tcMar>
                    <w:top w:w="0" w:type="dxa"/>
                    <w:left w:w="28" w:type="dxa"/>
                    <w:bottom w:w="0" w:type="dxa"/>
                    <w:right w:w="28" w:type="dxa"/>
                  </w:tcMar>
                  <w:vAlign w:val="center"/>
                </w:tcPr>
                <w:p w14:paraId="761BC60B">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年排放时间</w:t>
                  </w:r>
                  <w:r>
                    <w:rPr>
                      <w:rFonts w:ascii="Times New Roman" w:hAnsi="Times New Roman" w:eastAsia="宋体" w:cs="Times New Roman"/>
                      <w:color w:val="auto"/>
                      <w:kern w:val="0"/>
                      <w:sz w:val="21"/>
                      <w:szCs w:val="21"/>
                      <w:highlight w:val="none"/>
                      <w:lang w:val="en-US" w:eastAsia="zh-CN" w:bidi="ar-SA"/>
                    </w:rPr>
                    <w:t>h/a</w:t>
                  </w:r>
                </w:p>
              </w:tc>
              <w:tc>
                <w:tcPr>
                  <w:tcW w:w="2192" w:type="dxa"/>
                  <w:gridSpan w:val="4"/>
                  <w:tcBorders>
                    <w:top w:val="single" w:color="auto" w:sz="12" w:space="0"/>
                    <w:right w:val="nil"/>
                  </w:tcBorders>
                  <w:noWrap w:val="0"/>
                  <w:tcMar>
                    <w:top w:w="0" w:type="dxa"/>
                    <w:left w:w="28" w:type="dxa"/>
                    <w:bottom w:w="0" w:type="dxa"/>
                    <w:right w:w="28" w:type="dxa"/>
                  </w:tcMar>
                  <w:vAlign w:val="center"/>
                </w:tcPr>
                <w:p w14:paraId="3998FB9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排气筒概况</w:t>
                  </w:r>
                </w:p>
              </w:tc>
            </w:tr>
            <w:tr w14:paraId="43E8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684" w:type="dxa"/>
                  <w:vMerge w:val="continue"/>
                  <w:tcBorders>
                    <w:left w:val="nil"/>
                  </w:tcBorders>
                  <w:noWrap w:val="0"/>
                  <w:vAlign w:val="center"/>
                </w:tcPr>
                <w:p w14:paraId="1EFEDF75">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742" w:type="dxa"/>
                  <w:vMerge w:val="continue"/>
                  <w:noWrap w:val="0"/>
                  <w:vAlign w:val="center"/>
                </w:tcPr>
                <w:p w14:paraId="74BD2DA5">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840" w:type="dxa"/>
                  <w:shd w:val="clear" w:color="auto" w:fill="auto"/>
                  <w:noWrap w:val="0"/>
                  <w:vAlign w:val="center"/>
                </w:tcPr>
                <w:p w14:paraId="0952D7B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主要污染物产生量</w:t>
                  </w:r>
                  <w:r>
                    <w:rPr>
                      <w:rFonts w:ascii="Times New Roman" w:hAnsi="Times New Roman" w:eastAsia="宋体" w:cs="Times New Roman"/>
                      <w:color w:val="auto"/>
                      <w:kern w:val="0"/>
                      <w:sz w:val="21"/>
                      <w:szCs w:val="21"/>
                      <w:highlight w:val="none"/>
                      <w:lang w:val="en-US" w:eastAsia="zh-CN" w:bidi="ar-SA"/>
                    </w:rPr>
                    <w:t>t/a</w:t>
                  </w:r>
                </w:p>
              </w:tc>
              <w:tc>
                <w:tcPr>
                  <w:tcW w:w="777" w:type="dxa"/>
                  <w:shd w:val="clear" w:color="auto" w:fill="auto"/>
                  <w:noWrap w:val="0"/>
                  <w:vAlign w:val="center"/>
                </w:tcPr>
                <w:p w14:paraId="4931DA2F">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主要污染物产生速率</w:t>
                  </w:r>
                  <w:r>
                    <w:rPr>
                      <w:rFonts w:ascii="Times New Roman" w:hAnsi="Times New Roman" w:eastAsia="宋体" w:cs="Times New Roman"/>
                      <w:color w:val="auto"/>
                      <w:kern w:val="0"/>
                      <w:sz w:val="21"/>
                      <w:szCs w:val="21"/>
                      <w:highlight w:val="none"/>
                      <w:lang w:val="en-US" w:eastAsia="zh-CN" w:bidi="ar-SA"/>
                    </w:rPr>
                    <w:t>kg/h</w:t>
                  </w:r>
                </w:p>
              </w:tc>
              <w:tc>
                <w:tcPr>
                  <w:tcW w:w="746" w:type="dxa"/>
                  <w:vMerge w:val="continue"/>
                  <w:noWrap w:val="0"/>
                  <w:vAlign w:val="center"/>
                </w:tcPr>
                <w:p w14:paraId="3D3D5AFB">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412" w:type="dxa"/>
                  <w:vMerge w:val="continue"/>
                  <w:noWrap w:val="0"/>
                  <w:vAlign w:val="center"/>
                </w:tcPr>
                <w:p w14:paraId="7690E29C">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885" w:type="dxa"/>
                  <w:vMerge w:val="continue"/>
                  <w:noWrap w:val="0"/>
                  <w:vAlign w:val="center"/>
                </w:tcPr>
                <w:p w14:paraId="1C63BF02">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630" w:type="dxa"/>
                  <w:vMerge w:val="continue"/>
                  <w:noWrap w:val="0"/>
                  <w:vAlign w:val="center"/>
                </w:tcPr>
                <w:p w14:paraId="083021FD">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548" w:type="dxa"/>
                  <w:vMerge w:val="continue"/>
                  <w:noWrap w:val="0"/>
                  <w:vAlign w:val="center"/>
                </w:tcPr>
                <w:p w14:paraId="5C891EB8">
                  <w:pPr>
                    <w:widowControl w:val="0"/>
                    <w:bidi w:val="0"/>
                    <w:adjustRightInd w:val="0"/>
                    <w:snapToGrid w:val="0"/>
                    <w:spacing w:before="10" w:beforeLines="10" w:after="10" w:afterLines="10" w:line="240" w:lineRule="auto"/>
                    <w:jc w:val="both"/>
                    <w:rPr>
                      <w:rFonts w:ascii="Times New Roman" w:hAnsi="Times New Roman" w:eastAsia="宋体" w:cs="Times New Roman"/>
                      <w:color w:val="auto"/>
                      <w:kern w:val="0"/>
                      <w:sz w:val="21"/>
                      <w:szCs w:val="21"/>
                      <w:highlight w:val="none"/>
                      <w:lang w:val="en-US" w:eastAsia="zh-CN" w:bidi="ar-SA"/>
                    </w:rPr>
                  </w:pPr>
                </w:p>
              </w:tc>
              <w:tc>
                <w:tcPr>
                  <w:tcW w:w="740" w:type="dxa"/>
                  <w:vMerge w:val="continue"/>
                  <w:noWrap w:val="0"/>
                  <w:vAlign w:val="center"/>
                </w:tcPr>
                <w:p w14:paraId="710F338D">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p>
              </w:tc>
              <w:tc>
                <w:tcPr>
                  <w:tcW w:w="762" w:type="dxa"/>
                  <w:shd w:val="clear" w:color="auto" w:fill="auto"/>
                  <w:noWrap w:val="0"/>
                  <w:vAlign w:val="center"/>
                </w:tcPr>
                <w:p w14:paraId="385AB367">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主要污染物排放量</w:t>
                  </w:r>
                  <w:r>
                    <w:rPr>
                      <w:rFonts w:ascii="Times New Roman" w:hAnsi="Times New Roman" w:eastAsia="宋体" w:cs="Times New Roman"/>
                      <w:color w:val="auto"/>
                      <w:kern w:val="0"/>
                      <w:sz w:val="21"/>
                      <w:szCs w:val="21"/>
                      <w:highlight w:val="none"/>
                      <w:lang w:val="en-US" w:eastAsia="zh-CN" w:bidi="ar-SA"/>
                    </w:rPr>
                    <w:t>t/a</w:t>
                  </w:r>
                </w:p>
              </w:tc>
              <w:tc>
                <w:tcPr>
                  <w:tcW w:w="838" w:type="dxa"/>
                  <w:shd w:val="clear" w:color="auto" w:fill="auto"/>
                  <w:noWrap w:val="0"/>
                  <w:tcMar>
                    <w:top w:w="0" w:type="dxa"/>
                    <w:left w:w="28" w:type="dxa"/>
                    <w:bottom w:w="0" w:type="dxa"/>
                    <w:right w:w="28" w:type="dxa"/>
                  </w:tcMar>
                  <w:vAlign w:val="center"/>
                </w:tcPr>
                <w:p w14:paraId="052BF122">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污染物排放速率</w:t>
                  </w:r>
                  <w:r>
                    <w:rPr>
                      <w:rFonts w:ascii="Times New Roman" w:hAnsi="Times New Roman" w:eastAsia="宋体" w:cs="Times New Roman"/>
                      <w:color w:val="auto"/>
                      <w:kern w:val="0"/>
                      <w:sz w:val="21"/>
                      <w:szCs w:val="21"/>
                      <w:highlight w:val="none"/>
                      <w:lang w:val="en-US" w:eastAsia="zh-CN" w:bidi="ar-SA"/>
                    </w:rPr>
                    <w:t>kg/h</w:t>
                  </w:r>
                </w:p>
              </w:tc>
              <w:tc>
                <w:tcPr>
                  <w:tcW w:w="775" w:type="dxa"/>
                  <w:shd w:val="clear" w:color="auto" w:fill="auto"/>
                  <w:noWrap w:val="0"/>
                  <w:tcMar>
                    <w:top w:w="0" w:type="dxa"/>
                    <w:left w:w="28" w:type="dxa"/>
                    <w:bottom w:w="0" w:type="dxa"/>
                    <w:right w:w="28" w:type="dxa"/>
                  </w:tcMar>
                  <w:vAlign w:val="center"/>
                </w:tcPr>
                <w:p w14:paraId="427C7C74">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排气量m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/h</w:t>
                  </w:r>
                </w:p>
              </w:tc>
              <w:tc>
                <w:tcPr>
                  <w:tcW w:w="747" w:type="dxa"/>
                  <w:shd w:val="clear" w:color="auto" w:fill="auto"/>
                  <w:noWrap w:val="0"/>
                  <w:tcMar>
                    <w:top w:w="0" w:type="dxa"/>
                    <w:left w:w="28" w:type="dxa"/>
                    <w:bottom w:w="0" w:type="dxa"/>
                    <w:right w:w="28" w:type="dxa"/>
                  </w:tcMar>
                  <w:vAlign w:val="center"/>
                </w:tcPr>
                <w:p w14:paraId="3BD459A5">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污染物排放浓度</w:t>
                  </w:r>
                  <w:r>
                    <w:rPr>
                      <w:rFonts w:ascii="Times New Roman" w:hAnsi="Times New Roman" w:eastAsia="宋体" w:cs="Times New Roman"/>
                      <w:color w:val="auto"/>
                      <w:kern w:val="0"/>
                      <w:sz w:val="21"/>
                      <w:szCs w:val="21"/>
                      <w:highlight w:val="none"/>
                      <w:lang w:val="en-US" w:eastAsia="zh-CN" w:bidi="ar-SA"/>
                    </w:rPr>
                    <w:t>mg/m</w:t>
                  </w:r>
                  <w:r>
                    <w:rPr>
                      <w:rFonts w:ascii="Times New Roman" w:hAnsi="Times New Roman" w:eastAsia="宋体" w:cs="Times New Roman"/>
                      <w:color w:val="auto"/>
                      <w:kern w:val="0"/>
                      <w:sz w:val="21"/>
                      <w:szCs w:val="21"/>
                      <w:highlight w:val="none"/>
                      <w:vertAlign w:val="superscript"/>
                      <w:lang w:val="en-US" w:eastAsia="zh-CN" w:bidi="ar-SA"/>
                    </w:rPr>
                    <w:t>3</w:t>
                  </w:r>
                </w:p>
              </w:tc>
              <w:tc>
                <w:tcPr>
                  <w:tcW w:w="538" w:type="dxa"/>
                  <w:vMerge w:val="continue"/>
                  <w:noWrap w:val="0"/>
                  <w:tcMar>
                    <w:top w:w="0" w:type="dxa"/>
                    <w:left w:w="28" w:type="dxa"/>
                    <w:bottom w:w="0" w:type="dxa"/>
                    <w:right w:w="28" w:type="dxa"/>
                  </w:tcMar>
                  <w:vAlign w:val="center"/>
                </w:tcPr>
                <w:p w14:paraId="6BF3CC05">
                  <w:pPr>
                    <w:widowControl w:val="0"/>
                    <w:bidi w:val="0"/>
                    <w:adjustRightInd w:val="0"/>
                    <w:snapToGrid w:val="0"/>
                    <w:spacing w:before="10" w:beforeLines="10" w:after="10" w:afterLines="10" w:line="240" w:lineRule="auto"/>
                    <w:jc w:val="center"/>
                    <w:rPr>
                      <w:rFonts w:ascii="Times New Roman" w:hAnsi="Times New Roman" w:eastAsia="宋体" w:cs="Times New Roman"/>
                      <w:color w:val="auto"/>
                      <w:kern w:val="0"/>
                      <w:sz w:val="21"/>
                      <w:szCs w:val="21"/>
                      <w:highlight w:val="none"/>
                      <w:lang w:val="en-US" w:eastAsia="zh-CN" w:bidi="ar-SA"/>
                    </w:rPr>
                  </w:pPr>
                </w:p>
              </w:tc>
              <w:tc>
                <w:tcPr>
                  <w:tcW w:w="788" w:type="dxa"/>
                  <w:shd w:val="clear" w:color="auto" w:fill="auto"/>
                  <w:noWrap w:val="0"/>
                  <w:tcMar>
                    <w:top w:w="0" w:type="dxa"/>
                    <w:left w:w="28" w:type="dxa"/>
                    <w:bottom w:w="0" w:type="dxa"/>
                    <w:right w:w="28" w:type="dxa"/>
                  </w:tcMar>
                  <w:vAlign w:val="center"/>
                </w:tcPr>
                <w:p w14:paraId="40F12260">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编号及名称</w:t>
                  </w:r>
                </w:p>
              </w:tc>
              <w:tc>
                <w:tcPr>
                  <w:tcW w:w="480" w:type="dxa"/>
                  <w:shd w:val="clear" w:color="auto" w:fill="auto"/>
                  <w:noWrap w:val="0"/>
                  <w:tcMar>
                    <w:top w:w="0" w:type="dxa"/>
                    <w:left w:w="28" w:type="dxa"/>
                    <w:bottom w:w="0" w:type="dxa"/>
                    <w:right w:w="28" w:type="dxa"/>
                  </w:tcMar>
                  <w:vAlign w:val="center"/>
                </w:tcPr>
                <w:p w14:paraId="152DDDCE">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高度</w:t>
                  </w:r>
                  <w:r>
                    <w:rPr>
                      <w:rFonts w:ascii="Times New Roman" w:hAnsi="Times New Roman" w:eastAsia="宋体" w:cs="Times New Roman"/>
                      <w:color w:val="auto"/>
                      <w:kern w:val="0"/>
                      <w:sz w:val="21"/>
                      <w:szCs w:val="21"/>
                      <w:highlight w:val="none"/>
                      <w:lang w:val="en-US" w:eastAsia="zh-CN" w:bidi="ar-SA"/>
                    </w:rPr>
                    <w:t>m</w:t>
                  </w:r>
                </w:p>
              </w:tc>
              <w:tc>
                <w:tcPr>
                  <w:tcW w:w="480" w:type="dxa"/>
                  <w:shd w:val="clear" w:color="auto" w:fill="auto"/>
                  <w:noWrap w:val="0"/>
                  <w:tcMar>
                    <w:top w:w="0" w:type="dxa"/>
                    <w:left w:w="28" w:type="dxa"/>
                    <w:bottom w:w="0" w:type="dxa"/>
                    <w:right w:w="28" w:type="dxa"/>
                  </w:tcMar>
                  <w:vAlign w:val="center"/>
                </w:tcPr>
                <w:p w14:paraId="5A181518">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内径</w:t>
                  </w:r>
                  <w:r>
                    <w:rPr>
                      <w:rFonts w:ascii="Times New Roman" w:hAnsi="Times New Roman" w:eastAsia="宋体" w:cs="Times New Roman"/>
                      <w:color w:val="auto"/>
                      <w:kern w:val="0"/>
                      <w:sz w:val="21"/>
                      <w:szCs w:val="21"/>
                      <w:highlight w:val="none"/>
                      <w:lang w:val="en-US" w:eastAsia="zh-CN" w:bidi="ar-SA"/>
                    </w:rPr>
                    <w:t>m</w:t>
                  </w:r>
                </w:p>
              </w:tc>
              <w:tc>
                <w:tcPr>
                  <w:tcW w:w="444" w:type="dxa"/>
                  <w:tcBorders>
                    <w:right w:val="nil"/>
                  </w:tcBorders>
                  <w:shd w:val="clear" w:color="auto" w:fill="auto"/>
                  <w:noWrap w:val="0"/>
                  <w:tcMar>
                    <w:top w:w="0" w:type="dxa"/>
                    <w:left w:w="28" w:type="dxa"/>
                    <w:bottom w:w="0" w:type="dxa"/>
                    <w:right w:w="28" w:type="dxa"/>
                  </w:tcMar>
                  <w:vAlign w:val="center"/>
                </w:tcPr>
                <w:p w14:paraId="02636EAB">
                  <w:pPr>
                    <w:widowControl w:val="0"/>
                    <w:bidi w:val="0"/>
                    <w:adjustRightInd w:val="0"/>
                    <w:snapToGrid w:val="0"/>
                    <w:spacing w:before="10" w:beforeLines="10" w:after="10" w:afterLines="10"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温度</w:t>
                  </w:r>
                  <w:r>
                    <w:rPr>
                      <w:rFonts w:hint="default" w:ascii="Times New Roman" w:hAnsi="Times New Roman" w:eastAsia="宋体" w:cs="Times New Roman"/>
                      <w:color w:val="auto"/>
                      <w:kern w:val="0"/>
                      <w:sz w:val="21"/>
                      <w:szCs w:val="21"/>
                      <w:highlight w:val="none"/>
                      <w:lang w:val="en-US" w:eastAsia="zh-CN" w:bidi="ar-SA"/>
                    </w:rPr>
                    <w:t>℃</w:t>
                  </w:r>
                </w:p>
              </w:tc>
            </w:tr>
            <w:tr w14:paraId="0B09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restart"/>
                  <w:tcBorders>
                    <w:left w:val="nil"/>
                  </w:tcBorders>
                  <w:noWrap w:val="0"/>
                  <w:vAlign w:val="center"/>
                </w:tcPr>
                <w:p w14:paraId="57EA50F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PVC、亚克力板材雕刻、切割</w:t>
                  </w:r>
                </w:p>
              </w:tc>
              <w:tc>
                <w:tcPr>
                  <w:tcW w:w="742" w:type="dxa"/>
                  <w:vMerge w:val="restart"/>
                  <w:noWrap w:val="0"/>
                  <w:vAlign w:val="center"/>
                </w:tcPr>
                <w:p w14:paraId="566870AA">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840" w:type="dxa"/>
                  <w:vMerge w:val="restart"/>
                  <w:noWrap w:val="0"/>
                  <w:vAlign w:val="center"/>
                </w:tcPr>
                <w:p w14:paraId="40E3B1D5">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0.583</w:t>
                  </w:r>
                </w:p>
              </w:tc>
              <w:tc>
                <w:tcPr>
                  <w:tcW w:w="777" w:type="dxa"/>
                  <w:vMerge w:val="restart"/>
                  <w:noWrap w:val="0"/>
                  <w:vAlign w:val="center"/>
                </w:tcPr>
                <w:p w14:paraId="577C8DEE">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0.26</w:t>
                  </w:r>
                </w:p>
              </w:tc>
              <w:tc>
                <w:tcPr>
                  <w:tcW w:w="746" w:type="dxa"/>
                  <w:vMerge w:val="restart"/>
                  <w:noWrap w:val="0"/>
                  <w:vAlign w:val="center"/>
                </w:tcPr>
                <w:p w14:paraId="2C620FF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车间密闭，集气罩收集</w:t>
                  </w:r>
                </w:p>
              </w:tc>
              <w:tc>
                <w:tcPr>
                  <w:tcW w:w="412" w:type="dxa"/>
                  <w:vMerge w:val="restart"/>
                  <w:noWrap w:val="0"/>
                  <w:vAlign w:val="center"/>
                </w:tcPr>
                <w:p w14:paraId="1B6A7E09">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885" w:type="dxa"/>
                  <w:vMerge w:val="restart"/>
                  <w:noWrap w:val="0"/>
                  <w:vAlign w:val="center"/>
                </w:tcPr>
                <w:p w14:paraId="2CBA748D">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布袋除尘器</w:t>
                  </w:r>
                </w:p>
              </w:tc>
              <w:tc>
                <w:tcPr>
                  <w:tcW w:w="630" w:type="dxa"/>
                  <w:vMerge w:val="restart"/>
                  <w:noWrap w:val="0"/>
                  <w:vAlign w:val="center"/>
                </w:tcPr>
                <w:p w14:paraId="0D8757CE">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99</w:t>
                  </w:r>
                </w:p>
              </w:tc>
              <w:tc>
                <w:tcPr>
                  <w:tcW w:w="548" w:type="dxa"/>
                  <w:vMerge w:val="restart"/>
                  <w:noWrap w:val="0"/>
                  <w:vAlign w:val="center"/>
                </w:tcPr>
                <w:p w14:paraId="4F66451E">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是</w:t>
                  </w:r>
                </w:p>
              </w:tc>
              <w:tc>
                <w:tcPr>
                  <w:tcW w:w="740" w:type="dxa"/>
                  <w:noWrap w:val="0"/>
                  <w:vAlign w:val="center"/>
                </w:tcPr>
                <w:p w14:paraId="3F031CA7">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762" w:type="dxa"/>
                  <w:noWrap w:val="0"/>
                  <w:vAlign w:val="center"/>
                </w:tcPr>
                <w:p w14:paraId="74761C0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0.00525</w:t>
                  </w:r>
                </w:p>
              </w:tc>
              <w:tc>
                <w:tcPr>
                  <w:tcW w:w="838" w:type="dxa"/>
                  <w:noWrap w:val="0"/>
                  <w:tcMar>
                    <w:top w:w="0" w:type="dxa"/>
                    <w:left w:w="28" w:type="dxa"/>
                    <w:bottom w:w="0" w:type="dxa"/>
                    <w:right w:w="28" w:type="dxa"/>
                  </w:tcMar>
                  <w:vAlign w:val="center"/>
                </w:tcPr>
                <w:p w14:paraId="4106D8E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0.00234</w:t>
                  </w:r>
                </w:p>
              </w:tc>
              <w:tc>
                <w:tcPr>
                  <w:tcW w:w="775" w:type="dxa"/>
                  <w:noWrap w:val="0"/>
                  <w:tcMar>
                    <w:top w:w="0" w:type="dxa"/>
                    <w:left w:w="28" w:type="dxa"/>
                    <w:bottom w:w="0" w:type="dxa"/>
                    <w:right w:w="28" w:type="dxa"/>
                  </w:tcMar>
                  <w:vAlign w:val="center"/>
                </w:tcPr>
                <w:p w14:paraId="681A00B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747" w:type="dxa"/>
                  <w:noWrap w:val="0"/>
                  <w:tcMar>
                    <w:top w:w="0" w:type="dxa"/>
                    <w:left w:w="28" w:type="dxa"/>
                    <w:bottom w:w="0" w:type="dxa"/>
                    <w:right w:w="28" w:type="dxa"/>
                  </w:tcMar>
                  <w:vAlign w:val="center"/>
                </w:tcPr>
                <w:p w14:paraId="57556689">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0.23</w:t>
                  </w:r>
                </w:p>
              </w:tc>
              <w:tc>
                <w:tcPr>
                  <w:tcW w:w="538" w:type="dxa"/>
                  <w:vMerge w:val="restart"/>
                  <w:noWrap w:val="0"/>
                  <w:tcMar>
                    <w:top w:w="0" w:type="dxa"/>
                    <w:left w:w="28" w:type="dxa"/>
                    <w:bottom w:w="0" w:type="dxa"/>
                    <w:right w:w="28" w:type="dxa"/>
                  </w:tcMar>
                  <w:vAlign w:val="center"/>
                </w:tcPr>
                <w:p w14:paraId="08C12156">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2240</w:t>
                  </w:r>
                </w:p>
              </w:tc>
              <w:tc>
                <w:tcPr>
                  <w:tcW w:w="788" w:type="dxa"/>
                  <w:noWrap w:val="0"/>
                  <w:tcMar>
                    <w:top w:w="0" w:type="dxa"/>
                    <w:left w:w="28" w:type="dxa"/>
                    <w:bottom w:w="0" w:type="dxa"/>
                    <w:right w:w="28" w:type="dxa"/>
                  </w:tcMar>
                  <w:vAlign w:val="center"/>
                </w:tcPr>
                <w:p w14:paraId="04C4C235">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DA002</w:t>
                  </w:r>
                </w:p>
              </w:tc>
              <w:tc>
                <w:tcPr>
                  <w:tcW w:w="480" w:type="dxa"/>
                  <w:noWrap w:val="0"/>
                  <w:tcMar>
                    <w:top w:w="0" w:type="dxa"/>
                    <w:left w:w="28" w:type="dxa"/>
                    <w:bottom w:w="0" w:type="dxa"/>
                    <w:right w:w="28" w:type="dxa"/>
                  </w:tcMar>
                  <w:vAlign w:val="center"/>
                </w:tcPr>
                <w:p w14:paraId="6378F08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22</w:t>
                  </w:r>
                </w:p>
              </w:tc>
              <w:tc>
                <w:tcPr>
                  <w:tcW w:w="480" w:type="dxa"/>
                  <w:noWrap w:val="0"/>
                  <w:tcMar>
                    <w:top w:w="0" w:type="dxa"/>
                    <w:left w:w="28" w:type="dxa"/>
                    <w:bottom w:w="0" w:type="dxa"/>
                    <w:right w:w="28" w:type="dxa"/>
                  </w:tcMar>
                  <w:vAlign w:val="center"/>
                </w:tcPr>
                <w:p w14:paraId="68CC301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444" w:type="dxa"/>
                  <w:tcBorders>
                    <w:right w:val="nil"/>
                  </w:tcBorders>
                  <w:noWrap w:val="0"/>
                  <w:tcMar>
                    <w:top w:w="0" w:type="dxa"/>
                    <w:left w:w="28" w:type="dxa"/>
                    <w:bottom w:w="0" w:type="dxa"/>
                    <w:right w:w="28" w:type="dxa"/>
                  </w:tcMar>
                  <w:vAlign w:val="center"/>
                </w:tcPr>
                <w:p w14:paraId="788D053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25</w:t>
                  </w:r>
                </w:p>
              </w:tc>
            </w:tr>
            <w:tr w14:paraId="3844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49FF325A">
                  <w:pPr>
                    <w:pStyle w:val="40"/>
                    <w:bidi w:val="0"/>
                    <w:rPr>
                      <w:rFonts w:hint="eastAsia"/>
                      <w:color w:val="auto"/>
                      <w:sz w:val="21"/>
                      <w:szCs w:val="21"/>
                      <w:highlight w:val="none"/>
                      <w:lang w:val="en-US" w:eastAsia="zh-CN"/>
                    </w:rPr>
                  </w:pPr>
                </w:p>
              </w:tc>
              <w:tc>
                <w:tcPr>
                  <w:tcW w:w="742" w:type="dxa"/>
                  <w:vMerge w:val="continue"/>
                  <w:noWrap w:val="0"/>
                  <w:vAlign w:val="center"/>
                </w:tcPr>
                <w:p w14:paraId="37D384D0">
                  <w:pPr>
                    <w:pStyle w:val="40"/>
                    <w:bidi w:val="0"/>
                    <w:rPr>
                      <w:rFonts w:hint="eastAsia"/>
                      <w:color w:val="auto"/>
                      <w:sz w:val="21"/>
                      <w:szCs w:val="21"/>
                      <w:highlight w:val="none"/>
                      <w:lang w:val="en-US" w:eastAsia="zh-CN"/>
                    </w:rPr>
                  </w:pPr>
                </w:p>
              </w:tc>
              <w:tc>
                <w:tcPr>
                  <w:tcW w:w="840" w:type="dxa"/>
                  <w:vMerge w:val="continue"/>
                  <w:noWrap w:val="0"/>
                  <w:vAlign w:val="center"/>
                </w:tcPr>
                <w:p w14:paraId="28F3D2C7">
                  <w:pPr>
                    <w:pStyle w:val="40"/>
                    <w:bidi w:val="0"/>
                    <w:rPr>
                      <w:rFonts w:hint="eastAsia"/>
                      <w:color w:val="auto"/>
                      <w:sz w:val="21"/>
                      <w:szCs w:val="21"/>
                      <w:highlight w:val="none"/>
                      <w:lang w:val="en-US" w:eastAsia="zh-CN"/>
                    </w:rPr>
                  </w:pPr>
                </w:p>
              </w:tc>
              <w:tc>
                <w:tcPr>
                  <w:tcW w:w="777" w:type="dxa"/>
                  <w:vMerge w:val="continue"/>
                  <w:noWrap w:val="0"/>
                  <w:vAlign w:val="center"/>
                </w:tcPr>
                <w:p w14:paraId="078C289A">
                  <w:pPr>
                    <w:pStyle w:val="40"/>
                    <w:bidi w:val="0"/>
                    <w:rPr>
                      <w:rFonts w:hint="eastAsia"/>
                      <w:color w:val="auto"/>
                      <w:sz w:val="21"/>
                      <w:szCs w:val="21"/>
                      <w:highlight w:val="none"/>
                      <w:lang w:val="en-US" w:eastAsia="zh-CN"/>
                    </w:rPr>
                  </w:pPr>
                </w:p>
              </w:tc>
              <w:tc>
                <w:tcPr>
                  <w:tcW w:w="746" w:type="dxa"/>
                  <w:vMerge w:val="continue"/>
                  <w:noWrap w:val="0"/>
                  <w:vAlign w:val="center"/>
                </w:tcPr>
                <w:p w14:paraId="3957A76D">
                  <w:pPr>
                    <w:pStyle w:val="40"/>
                    <w:bidi w:val="0"/>
                    <w:rPr>
                      <w:rFonts w:hint="eastAsia"/>
                      <w:color w:val="auto"/>
                      <w:sz w:val="21"/>
                      <w:szCs w:val="21"/>
                      <w:highlight w:val="none"/>
                      <w:lang w:val="en-US" w:eastAsia="zh-CN"/>
                    </w:rPr>
                  </w:pPr>
                </w:p>
              </w:tc>
              <w:tc>
                <w:tcPr>
                  <w:tcW w:w="412" w:type="dxa"/>
                  <w:vMerge w:val="continue"/>
                  <w:noWrap w:val="0"/>
                  <w:vAlign w:val="center"/>
                </w:tcPr>
                <w:p w14:paraId="4941E784">
                  <w:pPr>
                    <w:pStyle w:val="40"/>
                    <w:bidi w:val="0"/>
                    <w:rPr>
                      <w:rFonts w:hint="eastAsia"/>
                      <w:color w:val="auto"/>
                      <w:sz w:val="21"/>
                      <w:szCs w:val="21"/>
                      <w:highlight w:val="none"/>
                      <w:lang w:val="en-US" w:eastAsia="zh-CN"/>
                    </w:rPr>
                  </w:pPr>
                </w:p>
              </w:tc>
              <w:tc>
                <w:tcPr>
                  <w:tcW w:w="885" w:type="dxa"/>
                  <w:vMerge w:val="continue"/>
                  <w:noWrap w:val="0"/>
                  <w:vAlign w:val="center"/>
                </w:tcPr>
                <w:p w14:paraId="5D5CC9A7">
                  <w:pPr>
                    <w:pStyle w:val="40"/>
                    <w:bidi w:val="0"/>
                    <w:rPr>
                      <w:rFonts w:hint="eastAsia"/>
                      <w:color w:val="auto"/>
                      <w:sz w:val="21"/>
                      <w:szCs w:val="21"/>
                      <w:highlight w:val="none"/>
                      <w:lang w:val="en-US" w:eastAsia="zh-CN"/>
                    </w:rPr>
                  </w:pPr>
                </w:p>
              </w:tc>
              <w:tc>
                <w:tcPr>
                  <w:tcW w:w="630" w:type="dxa"/>
                  <w:vMerge w:val="continue"/>
                  <w:noWrap w:val="0"/>
                  <w:vAlign w:val="center"/>
                </w:tcPr>
                <w:p w14:paraId="63C83F29">
                  <w:pPr>
                    <w:pStyle w:val="40"/>
                    <w:bidi w:val="0"/>
                    <w:rPr>
                      <w:rFonts w:hint="eastAsia"/>
                      <w:color w:val="auto"/>
                      <w:sz w:val="21"/>
                      <w:szCs w:val="21"/>
                      <w:highlight w:val="none"/>
                      <w:lang w:val="en-US" w:eastAsia="zh-CN"/>
                    </w:rPr>
                  </w:pPr>
                </w:p>
              </w:tc>
              <w:tc>
                <w:tcPr>
                  <w:tcW w:w="548" w:type="dxa"/>
                  <w:vMerge w:val="continue"/>
                  <w:noWrap w:val="0"/>
                  <w:vAlign w:val="center"/>
                </w:tcPr>
                <w:p w14:paraId="1BCA311E">
                  <w:pPr>
                    <w:pStyle w:val="40"/>
                    <w:bidi w:val="0"/>
                    <w:rPr>
                      <w:rFonts w:hint="eastAsia"/>
                      <w:color w:val="auto"/>
                      <w:sz w:val="21"/>
                      <w:szCs w:val="21"/>
                      <w:highlight w:val="none"/>
                      <w:lang w:val="en-US" w:eastAsia="zh-CN"/>
                    </w:rPr>
                  </w:pPr>
                </w:p>
              </w:tc>
              <w:tc>
                <w:tcPr>
                  <w:tcW w:w="740" w:type="dxa"/>
                  <w:noWrap w:val="0"/>
                  <w:vAlign w:val="center"/>
                </w:tcPr>
                <w:p w14:paraId="31AB4024">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762" w:type="dxa"/>
                  <w:noWrap w:val="0"/>
                  <w:vAlign w:val="center"/>
                </w:tcPr>
                <w:p w14:paraId="28B2C52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0.0583</w:t>
                  </w:r>
                </w:p>
              </w:tc>
              <w:tc>
                <w:tcPr>
                  <w:tcW w:w="838" w:type="dxa"/>
                  <w:noWrap w:val="0"/>
                  <w:tcMar>
                    <w:top w:w="0" w:type="dxa"/>
                    <w:left w:w="28" w:type="dxa"/>
                    <w:bottom w:w="0" w:type="dxa"/>
                    <w:right w:w="28" w:type="dxa"/>
                  </w:tcMar>
                  <w:vAlign w:val="center"/>
                </w:tcPr>
                <w:p w14:paraId="7B1D1B3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0.02603</w:t>
                  </w:r>
                </w:p>
              </w:tc>
              <w:tc>
                <w:tcPr>
                  <w:tcW w:w="775" w:type="dxa"/>
                  <w:noWrap w:val="0"/>
                  <w:tcMar>
                    <w:top w:w="0" w:type="dxa"/>
                    <w:left w:w="28" w:type="dxa"/>
                    <w:bottom w:w="0" w:type="dxa"/>
                    <w:right w:w="28" w:type="dxa"/>
                  </w:tcMar>
                  <w:vAlign w:val="center"/>
                </w:tcPr>
                <w:p w14:paraId="33609DC2">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47" w:type="dxa"/>
                  <w:noWrap w:val="0"/>
                  <w:tcMar>
                    <w:top w:w="0" w:type="dxa"/>
                    <w:left w:w="28" w:type="dxa"/>
                    <w:bottom w:w="0" w:type="dxa"/>
                    <w:right w:w="28" w:type="dxa"/>
                  </w:tcMar>
                  <w:vAlign w:val="center"/>
                </w:tcPr>
                <w:p w14:paraId="4CDDE22D">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538" w:type="dxa"/>
                  <w:vMerge w:val="continue"/>
                  <w:noWrap w:val="0"/>
                  <w:tcMar>
                    <w:top w:w="0" w:type="dxa"/>
                    <w:left w:w="28" w:type="dxa"/>
                    <w:bottom w:w="0" w:type="dxa"/>
                    <w:right w:w="28" w:type="dxa"/>
                  </w:tcMar>
                  <w:vAlign w:val="center"/>
                </w:tcPr>
                <w:p w14:paraId="3760CD23">
                  <w:pPr>
                    <w:pStyle w:val="40"/>
                    <w:bidi w:val="0"/>
                    <w:rPr>
                      <w:rFonts w:hint="eastAsia"/>
                      <w:color w:val="auto"/>
                      <w:sz w:val="21"/>
                      <w:szCs w:val="21"/>
                      <w:highlight w:val="none"/>
                      <w:lang w:val="en-US" w:eastAsia="zh-CN"/>
                    </w:rPr>
                  </w:pPr>
                </w:p>
              </w:tc>
              <w:tc>
                <w:tcPr>
                  <w:tcW w:w="2192" w:type="dxa"/>
                  <w:gridSpan w:val="4"/>
                  <w:tcBorders>
                    <w:right w:val="nil"/>
                  </w:tcBorders>
                  <w:noWrap w:val="0"/>
                  <w:tcMar>
                    <w:top w:w="0" w:type="dxa"/>
                    <w:left w:w="28" w:type="dxa"/>
                    <w:bottom w:w="0" w:type="dxa"/>
                    <w:right w:w="28" w:type="dxa"/>
                  </w:tcMar>
                  <w:vAlign w:val="center"/>
                </w:tcPr>
                <w:p w14:paraId="24CC1DC2">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2E0A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restart"/>
                  <w:tcBorders>
                    <w:left w:val="nil"/>
                  </w:tcBorders>
                  <w:noWrap w:val="0"/>
                  <w:vAlign w:val="center"/>
                </w:tcPr>
                <w:p w14:paraId="25F1CC2F">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金属板材切割烟尘</w:t>
                  </w:r>
                </w:p>
              </w:tc>
              <w:tc>
                <w:tcPr>
                  <w:tcW w:w="742" w:type="dxa"/>
                  <w:vMerge w:val="restart"/>
                  <w:noWrap w:val="0"/>
                  <w:vAlign w:val="center"/>
                </w:tcPr>
                <w:p w14:paraId="62E34842">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840" w:type="dxa"/>
                  <w:vMerge w:val="restart"/>
                  <w:noWrap w:val="0"/>
                  <w:vAlign w:val="center"/>
                </w:tcPr>
                <w:p w14:paraId="6CC6B89D">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0.106</w:t>
                  </w:r>
                </w:p>
              </w:tc>
              <w:tc>
                <w:tcPr>
                  <w:tcW w:w="777" w:type="dxa"/>
                  <w:vMerge w:val="restart"/>
                  <w:noWrap w:val="0"/>
                  <w:vAlign w:val="center"/>
                </w:tcPr>
                <w:p w14:paraId="4684DA6C">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0.05</w:t>
                  </w:r>
                </w:p>
              </w:tc>
              <w:tc>
                <w:tcPr>
                  <w:tcW w:w="746" w:type="dxa"/>
                  <w:vMerge w:val="restart"/>
                  <w:shd w:val="clear" w:color="auto" w:fill="auto"/>
                  <w:noWrap w:val="0"/>
                  <w:vAlign w:val="center"/>
                </w:tcPr>
                <w:p w14:paraId="27AFA6FB">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车间密闭，集气罩收集</w:t>
                  </w:r>
                </w:p>
              </w:tc>
              <w:tc>
                <w:tcPr>
                  <w:tcW w:w="412" w:type="dxa"/>
                  <w:vMerge w:val="restart"/>
                  <w:shd w:val="clear" w:color="auto" w:fill="auto"/>
                  <w:noWrap w:val="0"/>
                  <w:vAlign w:val="center"/>
                </w:tcPr>
                <w:p w14:paraId="0DC10D61">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90</w:t>
                  </w:r>
                </w:p>
              </w:tc>
              <w:tc>
                <w:tcPr>
                  <w:tcW w:w="885" w:type="dxa"/>
                  <w:vMerge w:val="restart"/>
                  <w:shd w:val="clear" w:color="auto" w:fill="auto"/>
                  <w:noWrap w:val="0"/>
                  <w:vAlign w:val="center"/>
                </w:tcPr>
                <w:p w14:paraId="008CF76F">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布袋除尘器</w:t>
                  </w:r>
                </w:p>
              </w:tc>
              <w:tc>
                <w:tcPr>
                  <w:tcW w:w="630" w:type="dxa"/>
                  <w:vMerge w:val="restart"/>
                  <w:shd w:val="clear" w:color="auto" w:fill="auto"/>
                  <w:noWrap w:val="0"/>
                  <w:vAlign w:val="center"/>
                </w:tcPr>
                <w:p w14:paraId="06451B06">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99</w:t>
                  </w:r>
                </w:p>
              </w:tc>
              <w:tc>
                <w:tcPr>
                  <w:tcW w:w="548" w:type="dxa"/>
                  <w:vMerge w:val="restart"/>
                  <w:shd w:val="clear" w:color="auto" w:fill="auto"/>
                  <w:noWrap w:val="0"/>
                  <w:vAlign w:val="center"/>
                </w:tcPr>
                <w:p w14:paraId="5680DD87">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740" w:type="dxa"/>
                  <w:shd w:val="clear" w:color="auto" w:fill="auto"/>
                  <w:noWrap w:val="0"/>
                  <w:vAlign w:val="center"/>
                </w:tcPr>
                <w:p w14:paraId="62769747">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0F052703">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0.00095</w:t>
                  </w:r>
                </w:p>
              </w:tc>
              <w:tc>
                <w:tcPr>
                  <w:tcW w:w="838" w:type="dxa"/>
                  <w:noWrap w:val="0"/>
                  <w:tcMar>
                    <w:top w:w="0" w:type="dxa"/>
                    <w:left w:w="28" w:type="dxa"/>
                    <w:bottom w:w="0" w:type="dxa"/>
                    <w:right w:w="28" w:type="dxa"/>
                  </w:tcMar>
                  <w:vAlign w:val="center"/>
                </w:tcPr>
                <w:p w14:paraId="3AA0610F">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0.0004</w:t>
                  </w:r>
                </w:p>
              </w:tc>
              <w:tc>
                <w:tcPr>
                  <w:tcW w:w="775" w:type="dxa"/>
                  <w:noWrap w:val="0"/>
                  <w:tcMar>
                    <w:top w:w="0" w:type="dxa"/>
                    <w:left w:w="28" w:type="dxa"/>
                    <w:bottom w:w="0" w:type="dxa"/>
                    <w:right w:w="28" w:type="dxa"/>
                  </w:tcMar>
                  <w:vAlign w:val="center"/>
                </w:tcPr>
                <w:p w14:paraId="6134442E">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747" w:type="dxa"/>
                  <w:noWrap w:val="0"/>
                  <w:tcMar>
                    <w:top w:w="0" w:type="dxa"/>
                    <w:left w:w="28" w:type="dxa"/>
                    <w:bottom w:w="0" w:type="dxa"/>
                    <w:right w:w="28" w:type="dxa"/>
                  </w:tcMar>
                  <w:vAlign w:val="center"/>
                </w:tcPr>
                <w:p w14:paraId="5852A907">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0.04</w:t>
                  </w:r>
                </w:p>
              </w:tc>
              <w:tc>
                <w:tcPr>
                  <w:tcW w:w="538" w:type="dxa"/>
                  <w:vMerge w:val="restart"/>
                  <w:noWrap w:val="0"/>
                  <w:tcMar>
                    <w:top w:w="0" w:type="dxa"/>
                    <w:left w:w="28" w:type="dxa"/>
                    <w:bottom w:w="0" w:type="dxa"/>
                    <w:right w:w="28" w:type="dxa"/>
                  </w:tcMar>
                  <w:vAlign w:val="center"/>
                </w:tcPr>
                <w:p w14:paraId="72498534">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2240</w:t>
                  </w:r>
                </w:p>
              </w:tc>
              <w:tc>
                <w:tcPr>
                  <w:tcW w:w="788" w:type="dxa"/>
                  <w:tcBorders>
                    <w:right w:val="nil"/>
                  </w:tcBorders>
                  <w:shd w:val="clear" w:color="auto" w:fill="auto"/>
                  <w:noWrap w:val="0"/>
                  <w:tcMar>
                    <w:top w:w="0" w:type="dxa"/>
                    <w:left w:w="28" w:type="dxa"/>
                    <w:bottom w:w="0" w:type="dxa"/>
                    <w:right w:w="28" w:type="dxa"/>
                  </w:tcMar>
                  <w:vAlign w:val="center"/>
                </w:tcPr>
                <w:p w14:paraId="18205880">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DA002</w:t>
                  </w:r>
                </w:p>
              </w:tc>
              <w:tc>
                <w:tcPr>
                  <w:tcW w:w="480" w:type="dxa"/>
                  <w:tcBorders>
                    <w:right w:val="nil"/>
                  </w:tcBorders>
                  <w:shd w:val="clear" w:color="auto" w:fill="auto"/>
                  <w:noWrap w:val="0"/>
                  <w:tcMar>
                    <w:top w:w="0" w:type="dxa"/>
                    <w:left w:w="28" w:type="dxa"/>
                    <w:bottom w:w="0" w:type="dxa"/>
                    <w:right w:w="28" w:type="dxa"/>
                  </w:tcMar>
                  <w:vAlign w:val="center"/>
                </w:tcPr>
                <w:p w14:paraId="7F38307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2AE72AC8">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322F453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5312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4CE45755">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742" w:type="dxa"/>
                  <w:vMerge w:val="continue"/>
                  <w:noWrap w:val="0"/>
                  <w:vAlign w:val="center"/>
                </w:tcPr>
                <w:p w14:paraId="7076AC73">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840" w:type="dxa"/>
                  <w:vMerge w:val="continue"/>
                  <w:noWrap w:val="0"/>
                  <w:vAlign w:val="center"/>
                </w:tcPr>
                <w:p w14:paraId="3A008723">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777" w:type="dxa"/>
                  <w:vMerge w:val="continue"/>
                  <w:noWrap w:val="0"/>
                  <w:vAlign w:val="center"/>
                </w:tcPr>
                <w:p w14:paraId="0CF6DE9E">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746" w:type="dxa"/>
                  <w:vMerge w:val="continue"/>
                  <w:shd w:val="clear" w:color="auto" w:fill="auto"/>
                  <w:noWrap w:val="0"/>
                  <w:vAlign w:val="center"/>
                </w:tcPr>
                <w:p w14:paraId="3A2983E6">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412" w:type="dxa"/>
                  <w:vMerge w:val="continue"/>
                  <w:shd w:val="clear" w:color="auto" w:fill="auto"/>
                  <w:noWrap w:val="0"/>
                  <w:vAlign w:val="center"/>
                </w:tcPr>
                <w:p w14:paraId="07EF8B0C">
                  <w:pPr>
                    <w:pStyle w:val="40"/>
                    <w:keepNext w:val="0"/>
                    <w:keepLines w:val="0"/>
                    <w:pageBreakBefore w:val="0"/>
                    <w:widowControl w:val="0"/>
                    <w:kinsoku/>
                    <w:wordWrap/>
                    <w:overflowPunct/>
                    <w:topLinePunct w:val="0"/>
                    <w:autoSpaceDE/>
                    <w:autoSpaceDN/>
                    <w:bidi w:val="0"/>
                    <w:spacing w:line="240" w:lineRule="auto"/>
                    <w:textAlignment w:val="auto"/>
                    <w:rPr>
                      <w:rFonts w:hint="eastAsia" w:cs="Times New Roman"/>
                      <w:color w:val="auto"/>
                      <w:kern w:val="0"/>
                      <w:sz w:val="21"/>
                      <w:szCs w:val="21"/>
                      <w:highlight w:val="none"/>
                      <w:lang w:val="en-US" w:eastAsia="zh-CN" w:bidi="ar-SA"/>
                    </w:rPr>
                  </w:pPr>
                </w:p>
              </w:tc>
              <w:tc>
                <w:tcPr>
                  <w:tcW w:w="885" w:type="dxa"/>
                  <w:vMerge w:val="continue"/>
                  <w:shd w:val="clear" w:color="auto" w:fill="auto"/>
                  <w:noWrap w:val="0"/>
                  <w:vAlign w:val="center"/>
                </w:tcPr>
                <w:p w14:paraId="37B0FC50">
                  <w:pPr>
                    <w:pStyle w:val="40"/>
                    <w:keepNext w:val="0"/>
                    <w:keepLines w:val="0"/>
                    <w:pageBreakBefore w:val="0"/>
                    <w:widowControl w:val="0"/>
                    <w:kinsoku/>
                    <w:wordWrap/>
                    <w:overflowPunct/>
                    <w:topLinePunct w:val="0"/>
                    <w:autoSpaceDE/>
                    <w:autoSpaceDN/>
                    <w:bidi w:val="0"/>
                    <w:spacing w:line="240" w:lineRule="auto"/>
                    <w:textAlignment w:val="auto"/>
                    <w:rPr>
                      <w:rFonts w:hint="eastAsia" w:cs="Times New Roman"/>
                      <w:color w:val="auto"/>
                      <w:kern w:val="0"/>
                      <w:sz w:val="21"/>
                      <w:szCs w:val="21"/>
                      <w:highlight w:val="none"/>
                      <w:lang w:val="en-US" w:eastAsia="zh-CN" w:bidi="ar-SA"/>
                    </w:rPr>
                  </w:pPr>
                </w:p>
              </w:tc>
              <w:tc>
                <w:tcPr>
                  <w:tcW w:w="630" w:type="dxa"/>
                  <w:vMerge w:val="continue"/>
                  <w:shd w:val="clear" w:color="auto" w:fill="auto"/>
                  <w:noWrap w:val="0"/>
                  <w:vAlign w:val="center"/>
                </w:tcPr>
                <w:p w14:paraId="3B8328B9">
                  <w:pPr>
                    <w:pStyle w:val="40"/>
                    <w:keepNext w:val="0"/>
                    <w:keepLines w:val="0"/>
                    <w:pageBreakBefore w:val="0"/>
                    <w:widowControl w:val="0"/>
                    <w:kinsoku/>
                    <w:wordWrap/>
                    <w:overflowPunct/>
                    <w:topLinePunct w:val="0"/>
                    <w:autoSpaceDE/>
                    <w:autoSpaceDN/>
                    <w:bidi w:val="0"/>
                    <w:spacing w:line="240" w:lineRule="auto"/>
                    <w:textAlignment w:val="auto"/>
                    <w:rPr>
                      <w:rFonts w:hint="eastAsia" w:cs="Times New Roman"/>
                      <w:color w:val="auto"/>
                      <w:kern w:val="0"/>
                      <w:sz w:val="21"/>
                      <w:szCs w:val="21"/>
                      <w:highlight w:val="none"/>
                      <w:lang w:val="en-US" w:eastAsia="zh-CN" w:bidi="ar-SA"/>
                    </w:rPr>
                  </w:pPr>
                </w:p>
              </w:tc>
              <w:tc>
                <w:tcPr>
                  <w:tcW w:w="548" w:type="dxa"/>
                  <w:vMerge w:val="continue"/>
                  <w:shd w:val="clear" w:color="auto" w:fill="auto"/>
                  <w:noWrap w:val="0"/>
                  <w:vAlign w:val="center"/>
                </w:tcPr>
                <w:p w14:paraId="5AF33D57">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740" w:type="dxa"/>
                  <w:shd w:val="clear" w:color="auto" w:fill="auto"/>
                  <w:noWrap w:val="0"/>
                  <w:vAlign w:val="center"/>
                </w:tcPr>
                <w:p w14:paraId="6FB2D7CA">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704C30A2">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0.0106</w:t>
                  </w:r>
                </w:p>
              </w:tc>
              <w:tc>
                <w:tcPr>
                  <w:tcW w:w="838" w:type="dxa"/>
                  <w:noWrap w:val="0"/>
                  <w:tcMar>
                    <w:top w:w="0" w:type="dxa"/>
                    <w:left w:w="28" w:type="dxa"/>
                    <w:bottom w:w="0" w:type="dxa"/>
                    <w:right w:w="28" w:type="dxa"/>
                  </w:tcMar>
                  <w:vAlign w:val="center"/>
                </w:tcPr>
                <w:p w14:paraId="58896F9B">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0.00473</w:t>
                  </w:r>
                </w:p>
              </w:tc>
              <w:tc>
                <w:tcPr>
                  <w:tcW w:w="775" w:type="dxa"/>
                  <w:shd w:val="clear" w:color="auto" w:fill="auto"/>
                  <w:noWrap w:val="0"/>
                  <w:tcMar>
                    <w:top w:w="0" w:type="dxa"/>
                    <w:left w:w="28" w:type="dxa"/>
                    <w:bottom w:w="0" w:type="dxa"/>
                    <w:right w:w="28" w:type="dxa"/>
                  </w:tcMar>
                  <w:vAlign w:val="center"/>
                </w:tcPr>
                <w:p w14:paraId="680166D2">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587FC8EF">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vMerge w:val="continue"/>
                  <w:noWrap w:val="0"/>
                  <w:tcMar>
                    <w:top w:w="0" w:type="dxa"/>
                    <w:left w:w="28" w:type="dxa"/>
                    <w:bottom w:w="0" w:type="dxa"/>
                    <w:right w:w="28" w:type="dxa"/>
                  </w:tcMar>
                  <w:vAlign w:val="center"/>
                </w:tcPr>
                <w:p w14:paraId="098F8766">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p>
              </w:tc>
              <w:tc>
                <w:tcPr>
                  <w:tcW w:w="2192" w:type="dxa"/>
                  <w:gridSpan w:val="4"/>
                  <w:tcBorders>
                    <w:right w:val="nil"/>
                  </w:tcBorders>
                  <w:shd w:val="clear" w:color="auto" w:fill="auto"/>
                  <w:noWrap w:val="0"/>
                  <w:tcMar>
                    <w:top w:w="0" w:type="dxa"/>
                    <w:left w:w="28" w:type="dxa"/>
                    <w:bottom w:w="0" w:type="dxa"/>
                    <w:right w:w="28" w:type="dxa"/>
                  </w:tcMar>
                  <w:vAlign w:val="center"/>
                </w:tcPr>
                <w:p w14:paraId="62CDAE5F">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600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tcBorders>
                    <w:left w:val="nil"/>
                  </w:tcBorders>
                  <w:noWrap w:val="0"/>
                  <w:vAlign w:val="center"/>
                </w:tcPr>
                <w:p w14:paraId="3B1DAA85">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焊接烟尘</w:t>
                  </w:r>
                </w:p>
              </w:tc>
              <w:tc>
                <w:tcPr>
                  <w:tcW w:w="742" w:type="dxa"/>
                  <w:noWrap w:val="0"/>
                  <w:vAlign w:val="center"/>
                </w:tcPr>
                <w:p w14:paraId="034B0EF5">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840" w:type="dxa"/>
                  <w:noWrap w:val="0"/>
                  <w:vAlign w:val="center"/>
                </w:tcPr>
                <w:p w14:paraId="19A7E807">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0.00046</w:t>
                  </w:r>
                </w:p>
              </w:tc>
              <w:tc>
                <w:tcPr>
                  <w:tcW w:w="777" w:type="dxa"/>
                  <w:noWrap w:val="0"/>
                  <w:vAlign w:val="center"/>
                </w:tcPr>
                <w:p w14:paraId="0751D058">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0.00021</w:t>
                  </w:r>
                </w:p>
              </w:tc>
              <w:tc>
                <w:tcPr>
                  <w:tcW w:w="746" w:type="dxa"/>
                  <w:shd w:val="clear" w:color="auto" w:fill="auto"/>
                  <w:noWrap w:val="0"/>
                  <w:vAlign w:val="center"/>
                </w:tcPr>
                <w:p w14:paraId="49772D65">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w:t>
                  </w:r>
                </w:p>
              </w:tc>
              <w:tc>
                <w:tcPr>
                  <w:tcW w:w="412" w:type="dxa"/>
                  <w:shd w:val="clear" w:color="auto" w:fill="auto"/>
                  <w:noWrap w:val="0"/>
                  <w:vAlign w:val="center"/>
                </w:tcPr>
                <w:p w14:paraId="755300B6">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80</w:t>
                  </w:r>
                </w:p>
              </w:tc>
              <w:tc>
                <w:tcPr>
                  <w:tcW w:w="885" w:type="dxa"/>
                  <w:shd w:val="clear" w:color="auto" w:fill="auto"/>
                  <w:noWrap w:val="0"/>
                  <w:vAlign w:val="center"/>
                </w:tcPr>
                <w:p w14:paraId="1232026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移动式焊烟除尘器</w:t>
                  </w:r>
                </w:p>
              </w:tc>
              <w:tc>
                <w:tcPr>
                  <w:tcW w:w="630" w:type="dxa"/>
                  <w:shd w:val="clear" w:color="auto" w:fill="auto"/>
                  <w:noWrap w:val="0"/>
                  <w:vAlign w:val="center"/>
                </w:tcPr>
                <w:p w14:paraId="1CB3C1E5">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95</w:t>
                  </w:r>
                </w:p>
              </w:tc>
              <w:tc>
                <w:tcPr>
                  <w:tcW w:w="548" w:type="dxa"/>
                  <w:shd w:val="clear" w:color="auto" w:fill="auto"/>
                  <w:noWrap w:val="0"/>
                  <w:vAlign w:val="center"/>
                </w:tcPr>
                <w:p w14:paraId="1B54A05A">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740" w:type="dxa"/>
                  <w:shd w:val="clear" w:color="auto" w:fill="auto"/>
                  <w:noWrap w:val="0"/>
                  <w:vAlign w:val="center"/>
                </w:tcPr>
                <w:p w14:paraId="23A57A55">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465B5FB7">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0.00011</w:t>
                  </w:r>
                </w:p>
              </w:tc>
              <w:tc>
                <w:tcPr>
                  <w:tcW w:w="838" w:type="dxa"/>
                  <w:noWrap w:val="0"/>
                  <w:tcMar>
                    <w:top w:w="0" w:type="dxa"/>
                    <w:left w:w="28" w:type="dxa"/>
                    <w:bottom w:w="0" w:type="dxa"/>
                    <w:right w:w="28" w:type="dxa"/>
                  </w:tcMar>
                  <w:vAlign w:val="center"/>
                </w:tcPr>
                <w:p w14:paraId="1C15937C">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0.00005</w:t>
                  </w:r>
                </w:p>
              </w:tc>
              <w:tc>
                <w:tcPr>
                  <w:tcW w:w="775" w:type="dxa"/>
                  <w:shd w:val="clear" w:color="auto" w:fill="auto"/>
                  <w:noWrap w:val="0"/>
                  <w:tcMar>
                    <w:top w:w="0" w:type="dxa"/>
                    <w:left w:w="28" w:type="dxa"/>
                    <w:bottom w:w="0" w:type="dxa"/>
                    <w:right w:w="28" w:type="dxa"/>
                  </w:tcMar>
                  <w:vAlign w:val="center"/>
                </w:tcPr>
                <w:p w14:paraId="27DB6FF4">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25FB4572">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noWrap w:val="0"/>
                  <w:tcMar>
                    <w:top w:w="0" w:type="dxa"/>
                    <w:left w:w="28" w:type="dxa"/>
                    <w:bottom w:w="0" w:type="dxa"/>
                    <w:right w:w="28" w:type="dxa"/>
                  </w:tcMar>
                  <w:vAlign w:val="center"/>
                </w:tcPr>
                <w:p w14:paraId="3AAA898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2240</w:t>
                  </w:r>
                </w:p>
              </w:tc>
              <w:tc>
                <w:tcPr>
                  <w:tcW w:w="2192" w:type="dxa"/>
                  <w:gridSpan w:val="4"/>
                  <w:tcBorders>
                    <w:right w:val="nil"/>
                  </w:tcBorders>
                  <w:shd w:val="clear" w:color="auto" w:fill="auto"/>
                  <w:noWrap w:val="0"/>
                  <w:tcMar>
                    <w:top w:w="0" w:type="dxa"/>
                    <w:left w:w="28" w:type="dxa"/>
                    <w:bottom w:w="0" w:type="dxa"/>
                    <w:right w:w="28" w:type="dxa"/>
                  </w:tcMar>
                  <w:vAlign w:val="center"/>
                </w:tcPr>
                <w:p w14:paraId="5AD30FDB">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12F7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restart"/>
                  <w:tcBorders>
                    <w:left w:val="nil"/>
                  </w:tcBorders>
                  <w:noWrap w:val="0"/>
                  <w:vAlign w:val="center"/>
                </w:tcPr>
                <w:p w14:paraId="477AA9C9">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喷漆漆雾（油性漆）</w:t>
                  </w:r>
                </w:p>
              </w:tc>
              <w:tc>
                <w:tcPr>
                  <w:tcW w:w="742" w:type="dxa"/>
                  <w:vMerge w:val="restart"/>
                  <w:noWrap w:val="0"/>
                  <w:vAlign w:val="center"/>
                </w:tcPr>
                <w:p w14:paraId="3BBFC3F2">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840" w:type="dxa"/>
                  <w:vMerge w:val="restart"/>
                  <w:noWrap w:val="0"/>
                  <w:vAlign w:val="center"/>
                </w:tcPr>
                <w:p w14:paraId="160D47B8">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0.2862</w:t>
                  </w:r>
                </w:p>
              </w:tc>
              <w:tc>
                <w:tcPr>
                  <w:tcW w:w="777" w:type="dxa"/>
                  <w:vMerge w:val="restart"/>
                  <w:noWrap w:val="0"/>
                  <w:vAlign w:val="center"/>
                </w:tcPr>
                <w:p w14:paraId="2FEFD5B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0.17</w:t>
                  </w:r>
                </w:p>
              </w:tc>
              <w:tc>
                <w:tcPr>
                  <w:tcW w:w="746" w:type="dxa"/>
                  <w:vMerge w:val="restart"/>
                  <w:noWrap w:val="0"/>
                  <w:vAlign w:val="center"/>
                </w:tcPr>
                <w:p w14:paraId="70FDF168">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车间密闭，负压收集</w:t>
                  </w:r>
                </w:p>
              </w:tc>
              <w:tc>
                <w:tcPr>
                  <w:tcW w:w="412" w:type="dxa"/>
                  <w:vMerge w:val="restart"/>
                  <w:noWrap w:val="0"/>
                  <w:vAlign w:val="center"/>
                </w:tcPr>
                <w:p w14:paraId="4E10493A">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885" w:type="dxa"/>
                  <w:noWrap w:val="0"/>
                  <w:vAlign w:val="center"/>
                </w:tcPr>
                <w:p w14:paraId="6A0A1B4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水帘捕集</w:t>
                  </w:r>
                </w:p>
              </w:tc>
              <w:tc>
                <w:tcPr>
                  <w:tcW w:w="630" w:type="dxa"/>
                  <w:noWrap w:val="0"/>
                  <w:vAlign w:val="center"/>
                </w:tcPr>
                <w:p w14:paraId="1A8CD01D">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548" w:type="dxa"/>
                  <w:vMerge w:val="restart"/>
                  <w:noWrap w:val="0"/>
                  <w:vAlign w:val="center"/>
                </w:tcPr>
                <w:p w14:paraId="5AD006D8">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是</w:t>
                  </w:r>
                </w:p>
              </w:tc>
              <w:tc>
                <w:tcPr>
                  <w:tcW w:w="740" w:type="dxa"/>
                  <w:shd w:val="clear" w:color="auto" w:fill="auto"/>
                  <w:noWrap w:val="0"/>
                  <w:vAlign w:val="center"/>
                </w:tcPr>
                <w:p w14:paraId="04C0D1CA">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6472CA15">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0.01545</w:t>
                  </w:r>
                </w:p>
              </w:tc>
              <w:tc>
                <w:tcPr>
                  <w:tcW w:w="838" w:type="dxa"/>
                  <w:noWrap w:val="0"/>
                  <w:tcMar>
                    <w:top w:w="0" w:type="dxa"/>
                    <w:left w:w="28" w:type="dxa"/>
                    <w:bottom w:w="0" w:type="dxa"/>
                    <w:right w:w="28" w:type="dxa"/>
                  </w:tcMar>
                  <w:vAlign w:val="center"/>
                </w:tcPr>
                <w:p w14:paraId="46F531E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0.0092</w:t>
                  </w:r>
                </w:p>
              </w:tc>
              <w:tc>
                <w:tcPr>
                  <w:tcW w:w="775" w:type="dxa"/>
                  <w:shd w:val="clear" w:color="auto" w:fill="auto"/>
                  <w:noWrap w:val="0"/>
                  <w:tcMar>
                    <w:top w:w="0" w:type="dxa"/>
                    <w:left w:w="28" w:type="dxa"/>
                    <w:bottom w:w="0" w:type="dxa"/>
                    <w:right w:w="28" w:type="dxa"/>
                  </w:tcMar>
                  <w:vAlign w:val="center"/>
                </w:tcPr>
                <w:p w14:paraId="6001016A">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10000</w:t>
                  </w:r>
                </w:p>
              </w:tc>
              <w:tc>
                <w:tcPr>
                  <w:tcW w:w="747" w:type="dxa"/>
                  <w:noWrap w:val="0"/>
                  <w:tcMar>
                    <w:top w:w="0" w:type="dxa"/>
                    <w:left w:w="28" w:type="dxa"/>
                    <w:bottom w:w="0" w:type="dxa"/>
                    <w:right w:w="28" w:type="dxa"/>
                  </w:tcMar>
                  <w:vAlign w:val="center"/>
                </w:tcPr>
                <w:p w14:paraId="3BAA7E4C">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0.92</w:t>
                  </w:r>
                </w:p>
              </w:tc>
              <w:tc>
                <w:tcPr>
                  <w:tcW w:w="538" w:type="dxa"/>
                  <w:shd w:val="clear" w:color="auto" w:fill="auto"/>
                  <w:noWrap w:val="0"/>
                  <w:tcMar>
                    <w:top w:w="0" w:type="dxa"/>
                    <w:left w:w="28" w:type="dxa"/>
                    <w:bottom w:w="0" w:type="dxa"/>
                    <w:right w:w="28" w:type="dxa"/>
                  </w:tcMar>
                  <w:vAlign w:val="center"/>
                </w:tcPr>
                <w:p w14:paraId="0D978DFB">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1680</w:t>
                  </w:r>
                </w:p>
              </w:tc>
              <w:tc>
                <w:tcPr>
                  <w:tcW w:w="788" w:type="dxa"/>
                  <w:tcBorders>
                    <w:right w:val="nil"/>
                  </w:tcBorders>
                  <w:shd w:val="clear" w:color="auto" w:fill="auto"/>
                  <w:noWrap w:val="0"/>
                  <w:tcMar>
                    <w:top w:w="0" w:type="dxa"/>
                    <w:left w:w="28" w:type="dxa"/>
                    <w:bottom w:w="0" w:type="dxa"/>
                    <w:right w:w="28" w:type="dxa"/>
                  </w:tcMar>
                  <w:vAlign w:val="center"/>
                </w:tcPr>
                <w:p w14:paraId="00CA814D">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480" w:type="dxa"/>
                  <w:tcBorders>
                    <w:right w:val="nil"/>
                  </w:tcBorders>
                  <w:shd w:val="clear" w:color="auto" w:fill="auto"/>
                  <w:noWrap w:val="0"/>
                  <w:tcMar>
                    <w:top w:w="0" w:type="dxa"/>
                    <w:left w:w="28" w:type="dxa"/>
                    <w:bottom w:w="0" w:type="dxa"/>
                    <w:right w:w="28" w:type="dxa"/>
                  </w:tcMar>
                  <w:vAlign w:val="center"/>
                </w:tcPr>
                <w:p w14:paraId="59A55CA0">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1B64A0D9">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733F29DB">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1263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440757D0">
                  <w:pPr>
                    <w:pStyle w:val="40"/>
                    <w:bidi w:val="0"/>
                    <w:rPr>
                      <w:rFonts w:hint="eastAsia"/>
                      <w:color w:val="auto"/>
                      <w:sz w:val="21"/>
                      <w:szCs w:val="21"/>
                      <w:highlight w:val="none"/>
                      <w:lang w:val="en-US" w:eastAsia="zh-CN"/>
                    </w:rPr>
                  </w:pPr>
                </w:p>
              </w:tc>
              <w:tc>
                <w:tcPr>
                  <w:tcW w:w="742" w:type="dxa"/>
                  <w:vMerge w:val="continue"/>
                  <w:noWrap w:val="0"/>
                  <w:vAlign w:val="center"/>
                </w:tcPr>
                <w:p w14:paraId="725306B2">
                  <w:pPr>
                    <w:pStyle w:val="40"/>
                    <w:bidi w:val="0"/>
                    <w:rPr>
                      <w:rFonts w:hint="eastAsia"/>
                      <w:color w:val="auto"/>
                      <w:sz w:val="21"/>
                      <w:szCs w:val="21"/>
                      <w:highlight w:val="none"/>
                      <w:lang w:val="en-US" w:eastAsia="zh-CN"/>
                    </w:rPr>
                  </w:pPr>
                </w:p>
              </w:tc>
              <w:tc>
                <w:tcPr>
                  <w:tcW w:w="840" w:type="dxa"/>
                  <w:vMerge w:val="continue"/>
                  <w:noWrap w:val="0"/>
                  <w:vAlign w:val="center"/>
                </w:tcPr>
                <w:p w14:paraId="0F74CCA4">
                  <w:pPr>
                    <w:pStyle w:val="40"/>
                    <w:bidi w:val="0"/>
                    <w:rPr>
                      <w:rFonts w:hint="eastAsia"/>
                      <w:color w:val="auto"/>
                      <w:sz w:val="21"/>
                      <w:szCs w:val="21"/>
                      <w:highlight w:val="none"/>
                      <w:lang w:val="en-US" w:eastAsia="zh-CN"/>
                    </w:rPr>
                  </w:pPr>
                </w:p>
              </w:tc>
              <w:tc>
                <w:tcPr>
                  <w:tcW w:w="777" w:type="dxa"/>
                  <w:vMerge w:val="continue"/>
                  <w:noWrap w:val="0"/>
                  <w:vAlign w:val="center"/>
                </w:tcPr>
                <w:p w14:paraId="13FFBBE4">
                  <w:pPr>
                    <w:pStyle w:val="40"/>
                    <w:bidi w:val="0"/>
                    <w:rPr>
                      <w:rFonts w:hint="eastAsia"/>
                      <w:color w:val="auto"/>
                      <w:sz w:val="21"/>
                      <w:szCs w:val="21"/>
                      <w:highlight w:val="none"/>
                      <w:lang w:val="en-US" w:eastAsia="zh-CN"/>
                    </w:rPr>
                  </w:pPr>
                </w:p>
              </w:tc>
              <w:tc>
                <w:tcPr>
                  <w:tcW w:w="746" w:type="dxa"/>
                  <w:vMerge w:val="continue"/>
                  <w:noWrap w:val="0"/>
                  <w:vAlign w:val="center"/>
                </w:tcPr>
                <w:p w14:paraId="2AA9C99D">
                  <w:pPr>
                    <w:pStyle w:val="40"/>
                    <w:bidi w:val="0"/>
                    <w:rPr>
                      <w:rFonts w:hint="eastAsia"/>
                      <w:color w:val="auto"/>
                      <w:sz w:val="21"/>
                      <w:szCs w:val="21"/>
                      <w:highlight w:val="none"/>
                      <w:lang w:val="en-US" w:eastAsia="zh-CN"/>
                    </w:rPr>
                  </w:pPr>
                </w:p>
              </w:tc>
              <w:tc>
                <w:tcPr>
                  <w:tcW w:w="412" w:type="dxa"/>
                  <w:vMerge w:val="continue"/>
                  <w:noWrap w:val="0"/>
                  <w:vAlign w:val="center"/>
                </w:tcPr>
                <w:p w14:paraId="4C9481E4">
                  <w:pPr>
                    <w:pStyle w:val="40"/>
                    <w:bidi w:val="0"/>
                    <w:rPr>
                      <w:rFonts w:hint="eastAsia"/>
                      <w:color w:val="auto"/>
                      <w:sz w:val="21"/>
                      <w:szCs w:val="21"/>
                      <w:highlight w:val="none"/>
                      <w:lang w:val="en-US" w:eastAsia="zh-CN"/>
                    </w:rPr>
                  </w:pPr>
                </w:p>
              </w:tc>
              <w:tc>
                <w:tcPr>
                  <w:tcW w:w="885" w:type="dxa"/>
                  <w:noWrap w:val="0"/>
                  <w:vAlign w:val="center"/>
                </w:tcPr>
                <w:p w14:paraId="42DE7DAC">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干式过滤</w:t>
                  </w:r>
                </w:p>
              </w:tc>
              <w:tc>
                <w:tcPr>
                  <w:tcW w:w="630" w:type="dxa"/>
                  <w:noWrap w:val="0"/>
                  <w:vAlign w:val="center"/>
                </w:tcPr>
                <w:p w14:paraId="1F44403C">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70</w:t>
                  </w:r>
                </w:p>
              </w:tc>
              <w:tc>
                <w:tcPr>
                  <w:tcW w:w="548" w:type="dxa"/>
                  <w:vMerge w:val="continue"/>
                  <w:noWrap w:val="0"/>
                  <w:vAlign w:val="center"/>
                </w:tcPr>
                <w:p w14:paraId="0B9C8DE2">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6940A4DD">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2D8ECA0E">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0.00572</w:t>
                  </w:r>
                </w:p>
              </w:tc>
              <w:tc>
                <w:tcPr>
                  <w:tcW w:w="838" w:type="dxa"/>
                  <w:noWrap w:val="0"/>
                  <w:tcMar>
                    <w:top w:w="0" w:type="dxa"/>
                    <w:left w:w="28" w:type="dxa"/>
                    <w:bottom w:w="0" w:type="dxa"/>
                    <w:right w:w="28" w:type="dxa"/>
                  </w:tcMar>
                  <w:vAlign w:val="center"/>
                </w:tcPr>
                <w:p w14:paraId="7961422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0.0034</w:t>
                  </w:r>
                </w:p>
              </w:tc>
              <w:tc>
                <w:tcPr>
                  <w:tcW w:w="775" w:type="dxa"/>
                  <w:shd w:val="clear" w:color="auto" w:fill="auto"/>
                  <w:noWrap w:val="0"/>
                  <w:tcMar>
                    <w:top w:w="0" w:type="dxa"/>
                    <w:left w:w="28" w:type="dxa"/>
                    <w:bottom w:w="0" w:type="dxa"/>
                    <w:right w:w="28" w:type="dxa"/>
                  </w:tcMar>
                  <w:vAlign w:val="center"/>
                </w:tcPr>
                <w:p w14:paraId="6501935A">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32252A4D">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172B75CD">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1680</w:t>
                  </w:r>
                </w:p>
              </w:tc>
              <w:tc>
                <w:tcPr>
                  <w:tcW w:w="2192" w:type="dxa"/>
                  <w:gridSpan w:val="4"/>
                  <w:tcBorders>
                    <w:right w:val="nil"/>
                  </w:tcBorders>
                  <w:noWrap w:val="0"/>
                  <w:tcMar>
                    <w:top w:w="0" w:type="dxa"/>
                    <w:left w:w="28" w:type="dxa"/>
                    <w:bottom w:w="0" w:type="dxa"/>
                    <w:right w:w="28" w:type="dxa"/>
                  </w:tcMar>
                  <w:vAlign w:val="center"/>
                </w:tcPr>
                <w:p w14:paraId="2EA7C6DC">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75F1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5" w:hRule="atLeast"/>
                <w:jc w:val="center"/>
              </w:trPr>
              <w:tc>
                <w:tcPr>
                  <w:tcW w:w="684" w:type="dxa"/>
                  <w:vMerge w:val="restart"/>
                  <w:tcBorders>
                    <w:left w:val="nil"/>
                  </w:tcBorders>
                  <w:shd w:val="clear" w:color="auto" w:fill="auto"/>
                  <w:noWrap w:val="0"/>
                  <w:vAlign w:val="center"/>
                </w:tcPr>
                <w:p w14:paraId="5805655F">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喷漆漆雾（水性漆）</w:t>
                  </w:r>
                </w:p>
              </w:tc>
              <w:tc>
                <w:tcPr>
                  <w:tcW w:w="742" w:type="dxa"/>
                  <w:vMerge w:val="restart"/>
                  <w:shd w:val="clear" w:color="auto" w:fill="auto"/>
                  <w:noWrap w:val="0"/>
                  <w:vAlign w:val="center"/>
                </w:tcPr>
                <w:p w14:paraId="7BF5E08B">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颗粒物</w:t>
                  </w:r>
                </w:p>
              </w:tc>
              <w:tc>
                <w:tcPr>
                  <w:tcW w:w="840" w:type="dxa"/>
                  <w:vMerge w:val="restart"/>
                  <w:shd w:val="clear" w:color="auto" w:fill="auto"/>
                  <w:noWrap w:val="0"/>
                  <w:vAlign w:val="center"/>
                </w:tcPr>
                <w:p w14:paraId="077A1231">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0.108</w:t>
                  </w:r>
                </w:p>
              </w:tc>
              <w:tc>
                <w:tcPr>
                  <w:tcW w:w="777" w:type="dxa"/>
                  <w:vMerge w:val="restart"/>
                  <w:shd w:val="clear" w:color="auto" w:fill="auto"/>
                  <w:noWrap w:val="0"/>
                  <w:vAlign w:val="center"/>
                </w:tcPr>
                <w:p w14:paraId="0CA723AC">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0.19</w:t>
                  </w:r>
                </w:p>
              </w:tc>
              <w:tc>
                <w:tcPr>
                  <w:tcW w:w="746" w:type="dxa"/>
                  <w:vMerge w:val="restart"/>
                  <w:shd w:val="clear" w:color="auto" w:fill="auto"/>
                  <w:noWrap w:val="0"/>
                  <w:vAlign w:val="center"/>
                </w:tcPr>
                <w:p w14:paraId="6B9139DE">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车间密闭，水帘捕集</w:t>
                  </w:r>
                </w:p>
              </w:tc>
              <w:tc>
                <w:tcPr>
                  <w:tcW w:w="412" w:type="dxa"/>
                  <w:vMerge w:val="restart"/>
                  <w:shd w:val="clear" w:color="auto" w:fill="auto"/>
                  <w:noWrap w:val="0"/>
                  <w:vAlign w:val="center"/>
                </w:tcPr>
                <w:p w14:paraId="64B1CD6C">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90</w:t>
                  </w:r>
                </w:p>
              </w:tc>
              <w:tc>
                <w:tcPr>
                  <w:tcW w:w="885" w:type="dxa"/>
                  <w:shd w:val="clear" w:color="auto" w:fill="auto"/>
                  <w:noWrap w:val="0"/>
                  <w:vAlign w:val="center"/>
                </w:tcPr>
                <w:p w14:paraId="5383CB8A">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水帘捕集</w:t>
                  </w:r>
                </w:p>
              </w:tc>
              <w:tc>
                <w:tcPr>
                  <w:tcW w:w="630" w:type="dxa"/>
                  <w:shd w:val="clear" w:color="auto" w:fill="auto"/>
                  <w:noWrap w:val="0"/>
                  <w:vAlign w:val="center"/>
                </w:tcPr>
                <w:p w14:paraId="43B0094D">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80</w:t>
                  </w:r>
                </w:p>
              </w:tc>
              <w:tc>
                <w:tcPr>
                  <w:tcW w:w="548" w:type="dxa"/>
                  <w:vMerge w:val="restart"/>
                  <w:noWrap w:val="0"/>
                  <w:vAlign w:val="center"/>
                </w:tcPr>
                <w:p w14:paraId="1DE027C5">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是</w:t>
                  </w:r>
                </w:p>
              </w:tc>
              <w:tc>
                <w:tcPr>
                  <w:tcW w:w="740" w:type="dxa"/>
                  <w:shd w:val="clear" w:color="auto" w:fill="auto"/>
                  <w:noWrap w:val="0"/>
                  <w:vAlign w:val="center"/>
                </w:tcPr>
                <w:p w14:paraId="7F4654CC">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342DCD47">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0.00583</w:t>
                  </w:r>
                </w:p>
              </w:tc>
              <w:tc>
                <w:tcPr>
                  <w:tcW w:w="838" w:type="dxa"/>
                  <w:noWrap w:val="0"/>
                  <w:tcMar>
                    <w:top w:w="0" w:type="dxa"/>
                    <w:left w:w="28" w:type="dxa"/>
                    <w:bottom w:w="0" w:type="dxa"/>
                    <w:right w:w="28" w:type="dxa"/>
                  </w:tcMar>
                  <w:vAlign w:val="center"/>
                </w:tcPr>
                <w:p w14:paraId="51AD8E4B">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0.0104</w:t>
                  </w:r>
                </w:p>
              </w:tc>
              <w:tc>
                <w:tcPr>
                  <w:tcW w:w="775" w:type="dxa"/>
                  <w:shd w:val="clear" w:color="auto" w:fill="auto"/>
                  <w:noWrap w:val="0"/>
                  <w:tcMar>
                    <w:top w:w="0" w:type="dxa"/>
                    <w:left w:w="28" w:type="dxa"/>
                    <w:bottom w:w="0" w:type="dxa"/>
                    <w:right w:w="28" w:type="dxa"/>
                  </w:tcMar>
                  <w:vAlign w:val="center"/>
                </w:tcPr>
                <w:p w14:paraId="140A56AF">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10000</w:t>
                  </w:r>
                </w:p>
              </w:tc>
              <w:tc>
                <w:tcPr>
                  <w:tcW w:w="747" w:type="dxa"/>
                  <w:shd w:val="clear" w:color="auto" w:fill="auto"/>
                  <w:noWrap w:val="0"/>
                  <w:tcMar>
                    <w:top w:w="0" w:type="dxa"/>
                    <w:left w:w="28" w:type="dxa"/>
                    <w:bottom w:w="0" w:type="dxa"/>
                    <w:right w:w="28" w:type="dxa"/>
                  </w:tcMar>
                  <w:vAlign w:val="center"/>
                </w:tcPr>
                <w:p w14:paraId="4F889377">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1.04</w:t>
                  </w:r>
                </w:p>
              </w:tc>
              <w:tc>
                <w:tcPr>
                  <w:tcW w:w="538" w:type="dxa"/>
                  <w:shd w:val="clear" w:color="auto" w:fill="auto"/>
                  <w:noWrap w:val="0"/>
                  <w:tcMar>
                    <w:top w:w="0" w:type="dxa"/>
                    <w:left w:w="28" w:type="dxa"/>
                    <w:bottom w:w="0" w:type="dxa"/>
                    <w:right w:w="28" w:type="dxa"/>
                  </w:tcMar>
                  <w:vAlign w:val="center"/>
                </w:tcPr>
                <w:p w14:paraId="718C3C45">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560</w:t>
                  </w:r>
                </w:p>
              </w:tc>
              <w:tc>
                <w:tcPr>
                  <w:tcW w:w="788" w:type="dxa"/>
                  <w:tcBorders>
                    <w:right w:val="nil"/>
                  </w:tcBorders>
                  <w:shd w:val="clear" w:color="auto" w:fill="auto"/>
                  <w:noWrap w:val="0"/>
                  <w:tcMar>
                    <w:top w:w="0" w:type="dxa"/>
                    <w:left w:w="28" w:type="dxa"/>
                    <w:bottom w:w="0" w:type="dxa"/>
                    <w:right w:w="28" w:type="dxa"/>
                  </w:tcMar>
                  <w:vAlign w:val="center"/>
                </w:tcPr>
                <w:p w14:paraId="778AD6C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480" w:type="dxa"/>
                  <w:tcBorders>
                    <w:right w:val="nil"/>
                  </w:tcBorders>
                  <w:shd w:val="clear" w:color="auto" w:fill="auto"/>
                  <w:noWrap w:val="0"/>
                  <w:tcMar>
                    <w:top w:w="0" w:type="dxa"/>
                    <w:left w:w="28" w:type="dxa"/>
                    <w:bottom w:w="0" w:type="dxa"/>
                    <w:right w:w="28" w:type="dxa"/>
                  </w:tcMar>
                  <w:vAlign w:val="center"/>
                </w:tcPr>
                <w:p w14:paraId="3973E05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0DF41396">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42D5FC9B">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1953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5" w:hRule="atLeast"/>
                <w:jc w:val="center"/>
              </w:trPr>
              <w:tc>
                <w:tcPr>
                  <w:tcW w:w="684" w:type="dxa"/>
                  <w:vMerge w:val="continue"/>
                  <w:tcBorders>
                    <w:left w:val="nil"/>
                  </w:tcBorders>
                  <w:shd w:val="clear" w:color="auto" w:fill="auto"/>
                  <w:noWrap w:val="0"/>
                  <w:vAlign w:val="center"/>
                </w:tcPr>
                <w:p w14:paraId="217F6BC6">
                  <w:pPr>
                    <w:pStyle w:val="40"/>
                    <w:bidi w:val="0"/>
                    <w:rPr>
                      <w:color w:val="auto"/>
                      <w:sz w:val="21"/>
                      <w:szCs w:val="21"/>
                      <w:highlight w:val="none"/>
                    </w:rPr>
                  </w:pPr>
                </w:p>
              </w:tc>
              <w:tc>
                <w:tcPr>
                  <w:tcW w:w="742" w:type="dxa"/>
                  <w:vMerge w:val="continue"/>
                  <w:shd w:val="clear" w:color="auto" w:fill="auto"/>
                  <w:noWrap w:val="0"/>
                  <w:vAlign w:val="center"/>
                </w:tcPr>
                <w:p w14:paraId="161F3E65">
                  <w:pPr>
                    <w:pStyle w:val="40"/>
                    <w:bidi w:val="0"/>
                    <w:rPr>
                      <w:color w:val="auto"/>
                      <w:sz w:val="21"/>
                      <w:szCs w:val="21"/>
                      <w:highlight w:val="none"/>
                    </w:rPr>
                  </w:pPr>
                </w:p>
              </w:tc>
              <w:tc>
                <w:tcPr>
                  <w:tcW w:w="840" w:type="dxa"/>
                  <w:vMerge w:val="continue"/>
                  <w:shd w:val="clear" w:color="auto" w:fill="auto"/>
                  <w:noWrap w:val="0"/>
                  <w:vAlign w:val="center"/>
                </w:tcPr>
                <w:p w14:paraId="449E59F7">
                  <w:pPr>
                    <w:pStyle w:val="40"/>
                    <w:bidi w:val="0"/>
                    <w:rPr>
                      <w:color w:val="auto"/>
                      <w:sz w:val="21"/>
                      <w:szCs w:val="21"/>
                      <w:highlight w:val="none"/>
                    </w:rPr>
                  </w:pPr>
                </w:p>
              </w:tc>
              <w:tc>
                <w:tcPr>
                  <w:tcW w:w="777" w:type="dxa"/>
                  <w:vMerge w:val="continue"/>
                  <w:shd w:val="clear" w:color="auto" w:fill="auto"/>
                  <w:noWrap w:val="0"/>
                  <w:vAlign w:val="center"/>
                </w:tcPr>
                <w:p w14:paraId="52E04F56">
                  <w:pPr>
                    <w:pStyle w:val="40"/>
                    <w:bidi w:val="0"/>
                    <w:rPr>
                      <w:color w:val="auto"/>
                      <w:sz w:val="21"/>
                      <w:szCs w:val="21"/>
                      <w:highlight w:val="none"/>
                    </w:rPr>
                  </w:pPr>
                </w:p>
              </w:tc>
              <w:tc>
                <w:tcPr>
                  <w:tcW w:w="746" w:type="dxa"/>
                  <w:vMerge w:val="continue"/>
                  <w:shd w:val="clear" w:color="auto" w:fill="auto"/>
                  <w:noWrap w:val="0"/>
                  <w:vAlign w:val="center"/>
                </w:tcPr>
                <w:p w14:paraId="1C30F29C">
                  <w:pPr>
                    <w:pStyle w:val="40"/>
                    <w:bidi w:val="0"/>
                    <w:rPr>
                      <w:color w:val="auto"/>
                      <w:sz w:val="21"/>
                      <w:szCs w:val="21"/>
                      <w:highlight w:val="none"/>
                    </w:rPr>
                  </w:pPr>
                </w:p>
              </w:tc>
              <w:tc>
                <w:tcPr>
                  <w:tcW w:w="412" w:type="dxa"/>
                  <w:vMerge w:val="continue"/>
                  <w:shd w:val="clear" w:color="auto" w:fill="auto"/>
                  <w:noWrap w:val="0"/>
                  <w:vAlign w:val="center"/>
                </w:tcPr>
                <w:p w14:paraId="4E0B3B73">
                  <w:pPr>
                    <w:pStyle w:val="40"/>
                    <w:bidi w:val="0"/>
                    <w:rPr>
                      <w:color w:val="auto"/>
                      <w:sz w:val="21"/>
                      <w:szCs w:val="21"/>
                      <w:highlight w:val="none"/>
                    </w:rPr>
                  </w:pPr>
                </w:p>
              </w:tc>
              <w:tc>
                <w:tcPr>
                  <w:tcW w:w="885" w:type="dxa"/>
                  <w:shd w:val="clear" w:color="auto" w:fill="auto"/>
                  <w:noWrap w:val="0"/>
                  <w:vAlign w:val="center"/>
                </w:tcPr>
                <w:p w14:paraId="1ABB6CDB">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干式过滤</w:t>
                  </w:r>
                </w:p>
              </w:tc>
              <w:tc>
                <w:tcPr>
                  <w:tcW w:w="630" w:type="dxa"/>
                  <w:shd w:val="clear" w:color="auto" w:fill="auto"/>
                  <w:noWrap w:val="0"/>
                  <w:vAlign w:val="center"/>
                </w:tcPr>
                <w:p w14:paraId="5A385C84">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70</w:t>
                  </w:r>
                </w:p>
              </w:tc>
              <w:tc>
                <w:tcPr>
                  <w:tcW w:w="548" w:type="dxa"/>
                  <w:vMerge w:val="continue"/>
                  <w:noWrap w:val="0"/>
                  <w:vAlign w:val="center"/>
                </w:tcPr>
                <w:p w14:paraId="543E440E">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52C3DC6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634D38B7">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0.00216</w:t>
                  </w:r>
                </w:p>
              </w:tc>
              <w:tc>
                <w:tcPr>
                  <w:tcW w:w="838" w:type="dxa"/>
                  <w:noWrap w:val="0"/>
                  <w:tcMar>
                    <w:top w:w="0" w:type="dxa"/>
                    <w:left w:w="28" w:type="dxa"/>
                    <w:bottom w:w="0" w:type="dxa"/>
                    <w:right w:w="28" w:type="dxa"/>
                  </w:tcMar>
                  <w:vAlign w:val="center"/>
                </w:tcPr>
                <w:p w14:paraId="46C7323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0.0039</w:t>
                  </w:r>
                </w:p>
              </w:tc>
              <w:tc>
                <w:tcPr>
                  <w:tcW w:w="775" w:type="dxa"/>
                  <w:shd w:val="clear" w:color="auto" w:fill="auto"/>
                  <w:noWrap w:val="0"/>
                  <w:tcMar>
                    <w:top w:w="0" w:type="dxa"/>
                    <w:left w:w="28" w:type="dxa"/>
                    <w:bottom w:w="0" w:type="dxa"/>
                    <w:right w:w="28" w:type="dxa"/>
                  </w:tcMar>
                  <w:vAlign w:val="center"/>
                </w:tcPr>
                <w:p w14:paraId="0DC5D4ED">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37A2D8B5">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3CC6B957">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560</w:t>
                  </w:r>
                </w:p>
              </w:tc>
              <w:tc>
                <w:tcPr>
                  <w:tcW w:w="2192" w:type="dxa"/>
                  <w:gridSpan w:val="4"/>
                  <w:tcBorders>
                    <w:right w:val="nil"/>
                  </w:tcBorders>
                  <w:shd w:val="clear" w:color="auto" w:fill="auto"/>
                  <w:noWrap w:val="0"/>
                  <w:tcMar>
                    <w:top w:w="0" w:type="dxa"/>
                    <w:left w:w="28" w:type="dxa"/>
                    <w:bottom w:w="0" w:type="dxa"/>
                    <w:right w:w="28" w:type="dxa"/>
                  </w:tcMar>
                  <w:vAlign w:val="center"/>
                </w:tcPr>
                <w:p w14:paraId="7B8E4295">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r>
            <w:tr w14:paraId="1506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tcBorders>
                    <w:left w:val="nil"/>
                  </w:tcBorders>
                  <w:noWrap w:val="0"/>
                  <w:vAlign w:val="center"/>
                </w:tcPr>
                <w:p w14:paraId="6D754C26">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热压</w:t>
                  </w:r>
                </w:p>
              </w:tc>
              <w:tc>
                <w:tcPr>
                  <w:tcW w:w="742" w:type="dxa"/>
                  <w:noWrap w:val="0"/>
                  <w:vAlign w:val="center"/>
                </w:tcPr>
                <w:p w14:paraId="5E4C0C99">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VOCs（非甲烷总烃）</w:t>
                  </w:r>
                </w:p>
              </w:tc>
              <w:tc>
                <w:tcPr>
                  <w:tcW w:w="840" w:type="dxa"/>
                  <w:noWrap w:val="0"/>
                  <w:vAlign w:val="center"/>
                </w:tcPr>
                <w:p w14:paraId="56FC971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0.00175</w:t>
                  </w:r>
                </w:p>
              </w:tc>
              <w:tc>
                <w:tcPr>
                  <w:tcW w:w="777" w:type="dxa"/>
                  <w:noWrap w:val="0"/>
                  <w:vAlign w:val="center"/>
                </w:tcPr>
                <w:p w14:paraId="1D55EFE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0.00078</w:t>
                  </w:r>
                </w:p>
              </w:tc>
              <w:tc>
                <w:tcPr>
                  <w:tcW w:w="746" w:type="dxa"/>
                  <w:shd w:val="clear" w:color="auto" w:fill="auto"/>
                  <w:noWrap w:val="0"/>
                  <w:vAlign w:val="center"/>
                </w:tcPr>
                <w:p w14:paraId="3BB5303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412" w:type="dxa"/>
                  <w:shd w:val="clear" w:color="auto" w:fill="auto"/>
                  <w:noWrap w:val="0"/>
                  <w:vAlign w:val="center"/>
                </w:tcPr>
                <w:p w14:paraId="6FDC0411">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885" w:type="dxa"/>
                  <w:shd w:val="clear" w:color="auto" w:fill="auto"/>
                  <w:noWrap w:val="0"/>
                  <w:vAlign w:val="center"/>
                </w:tcPr>
                <w:p w14:paraId="20C12154">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0" w:type="dxa"/>
                  <w:shd w:val="clear" w:color="auto" w:fill="auto"/>
                  <w:noWrap w:val="0"/>
                  <w:vAlign w:val="center"/>
                </w:tcPr>
                <w:p w14:paraId="60C2B425">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48" w:type="dxa"/>
                  <w:noWrap w:val="0"/>
                  <w:vAlign w:val="center"/>
                </w:tcPr>
                <w:p w14:paraId="78E86544">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是</w:t>
                  </w:r>
                </w:p>
              </w:tc>
              <w:tc>
                <w:tcPr>
                  <w:tcW w:w="740" w:type="dxa"/>
                  <w:shd w:val="clear" w:color="auto" w:fill="auto"/>
                  <w:noWrap w:val="0"/>
                  <w:vAlign w:val="center"/>
                </w:tcPr>
                <w:p w14:paraId="4097CB76">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762" w:type="dxa"/>
                  <w:shd w:val="clear" w:color="auto" w:fill="auto"/>
                  <w:noWrap w:val="0"/>
                  <w:vAlign w:val="center"/>
                </w:tcPr>
                <w:p w14:paraId="5CCFA808">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0.00175</w:t>
                  </w:r>
                </w:p>
              </w:tc>
              <w:tc>
                <w:tcPr>
                  <w:tcW w:w="838" w:type="dxa"/>
                  <w:shd w:val="clear" w:color="auto" w:fill="auto"/>
                  <w:noWrap w:val="0"/>
                  <w:tcMar>
                    <w:top w:w="0" w:type="dxa"/>
                    <w:left w:w="28" w:type="dxa"/>
                    <w:bottom w:w="0" w:type="dxa"/>
                    <w:right w:w="28" w:type="dxa"/>
                  </w:tcMar>
                  <w:vAlign w:val="center"/>
                </w:tcPr>
                <w:p w14:paraId="2BF0436C">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0.00078</w:t>
                  </w:r>
                </w:p>
              </w:tc>
              <w:tc>
                <w:tcPr>
                  <w:tcW w:w="775" w:type="dxa"/>
                  <w:shd w:val="clear" w:color="auto" w:fill="auto"/>
                  <w:noWrap w:val="0"/>
                  <w:tcMar>
                    <w:top w:w="0" w:type="dxa"/>
                    <w:left w:w="28" w:type="dxa"/>
                    <w:bottom w:w="0" w:type="dxa"/>
                    <w:right w:w="28" w:type="dxa"/>
                  </w:tcMar>
                  <w:vAlign w:val="center"/>
                </w:tcPr>
                <w:p w14:paraId="40BDF1D2">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36648B9F">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1BAFC6E1">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2240</w:t>
                  </w:r>
                </w:p>
              </w:tc>
              <w:tc>
                <w:tcPr>
                  <w:tcW w:w="2192" w:type="dxa"/>
                  <w:gridSpan w:val="4"/>
                  <w:tcBorders>
                    <w:right w:val="nil"/>
                  </w:tcBorders>
                  <w:noWrap w:val="0"/>
                  <w:tcMar>
                    <w:top w:w="0" w:type="dxa"/>
                    <w:left w:w="28" w:type="dxa"/>
                    <w:bottom w:w="0" w:type="dxa"/>
                    <w:right w:w="28" w:type="dxa"/>
                  </w:tcMar>
                  <w:vAlign w:val="center"/>
                </w:tcPr>
                <w:p w14:paraId="7FA6E834">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5350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tcBorders>
                    <w:left w:val="nil"/>
                  </w:tcBorders>
                  <w:noWrap w:val="0"/>
                  <w:vAlign w:val="center"/>
                </w:tcPr>
                <w:p w14:paraId="30DE7BB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人工组装</w:t>
                  </w:r>
                </w:p>
              </w:tc>
              <w:tc>
                <w:tcPr>
                  <w:tcW w:w="742" w:type="dxa"/>
                  <w:noWrap w:val="0"/>
                  <w:vAlign w:val="center"/>
                </w:tcPr>
                <w:p w14:paraId="28633782">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VOCs（非甲烷总烃）</w:t>
                  </w:r>
                </w:p>
              </w:tc>
              <w:tc>
                <w:tcPr>
                  <w:tcW w:w="840" w:type="dxa"/>
                  <w:noWrap w:val="0"/>
                  <w:vAlign w:val="center"/>
                </w:tcPr>
                <w:p w14:paraId="0CCC8B59">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0.008</w:t>
                  </w:r>
                </w:p>
              </w:tc>
              <w:tc>
                <w:tcPr>
                  <w:tcW w:w="777" w:type="dxa"/>
                  <w:noWrap w:val="0"/>
                  <w:vAlign w:val="center"/>
                </w:tcPr>
                <w:p w14:paraId="43A321F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0.00143</w:t>
                  </w:r>
                </w:p>
              </w:tc>
              <w:tc>
                <w:tcPr>
                  <w:tcW w:w="746" w:type="dxa"/>
                  <w:shd w:val="clear" w:color="auto" w:fill="auto"/>
                  <w:noWrap w:val="0"/>
                  <w:vAlign w:val="center"/>
                </w:tcPr>
                <w:p w14:paraId="64859FB1">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412" w:type="dxa"/>
                  <w:shd w:val="clear" w:color="auto" w:fill="auto"/>
                  <w:noWrap w:val="0"/>
                  <w:vAlign w:val="center"/>
                </w:tcPr>
                <w:p w14:paraId="45763550">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885" w:type="dxa"/>
                  <w:shd w:val="clear" w:color="auto" w:fill="auto"/>
                  <w:noWrap w:val="0"/>
                  <w:vAlign w:val="center"/>
                </w:tcPr>
                <w:p w14:paraId="0B03CC28">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630" w:type="dxa"/>
                  <w:shd w:val="clear" w:color="auto" w:fill="auto"/>
                  <w:noWrap w:val="0"/>
                  <w:vAlign w:val="center"/>
                </w:tcPr>
                <w:p w14:paraId="76CFD72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48" w:type="dxa"/>
                  <w:shd w:val="clear" w:color="auto" w:fill="auto"/>
                  <w:noWrap w:val="0"/>
                  <w:vAlign w:val="center"/>
                </w:tcPr>
                <w:p w14:paraId="08D2117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740" w:type="dxa"/>
                  <w:shd w:val="clear" w:color="auto" w:fill="auto"/>
                  <w:noWrap w:val="0"/>
                  <w:vAlign w:val="center"/>
                </w:tcPr>
                <w:p w14:paraId="27C475D8">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shd w:val="clear" w:color="auto" w:fill="auto"/>
                  <w:noWrap w:val="0"/>
                  <w:vAlign w:val="center"/>
                </w:tcPr>
                <w:p w14:paraId="4327159C">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0.008</w:t>
                  </w:r>
                </w:p>
              </w:tc>
              <w:tc>
                <w:tcPr>
                  <w:tcW w:w="838" w:type="dxa"/>
                  <w:shd w:val="clear" w:color="auto" w:fill="auto"/>
                  <w:noWrap w:val="0"/>
                  <w:tcMar>
                    <w:top w:w="0" w:type="dxa"/>
                    <w:left w:w="28" w:type="dxa"/>
                    <w:bottom w:w="0" w:type="dxa"/>
                    <w:right w:w="28" w:type="dxa"/>
                  </w:tcMar>
                  <w:vAlign w:val="center"/>
                </w:tcPr>
                <w:p w14:paraId="646DB7BD">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0.00143</w:t>
                  </w:r>
                </w:p>
              </w:tc>
              <w:tc>
                <w:tcPr>
                  <w:tcW w:w="775" w:type="dxa"/>
                  <w:shd w:val="clear" w:color="auto" w:fill="auto"/>
                  <w:noWrap w:val="0"/>
                  <w:tcMar>
                    <w:top w:w="0" w:type="dxa"/>
                    <w:left w:w="28" w:type="dxa"/>
                    <w:bottom w:w="0" w:type="dxa"/>
                    <w:right w:w="28" w:type="dxa"/>
                  </w:tcMar>
                  <w:vAlign w:val="center"/>
                </w:tcPr>
                <w:p w14:paraId="467EE465">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3C4C4B6A">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15116DD6">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2192" w:type="dxa"/>
                  <w:gridSpan w:val="4"/>
                  <w:tcBorders>
                    <w:right w:val="nil"/>
                  </w:tcBorders>
                  <w:noWrap w:val="0"/>
                  <w:tcMar>
                    <w:top w:w="0" w:type="dxa"/>
                    <w:left w:w="28" w:type="dxa"/>
                    <w:bottom w:w="0" w:type="dxa"/>
                    <w:right w:w="28" w:type="dxa"/>
                  </w:tcMar>
                  <w:vAlign w:val="center"/>
                </w:tcPr>
                <w:p w14:paraId="7890C391">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2687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restart"/>
                  <w:tcBorders>
                    <w:left w:val="nil"/>
                  </w:tcBorders>
                  <w:noWrap w:val="0"/>
                  <w:vAlign w:val="center"/>
                </w:tcPr>
                <w:p w14:paraId="189E95F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UV打印及其设备清洁</w:t>
                  </w:r>
                </w:p>
              </w:tc>
              <w:tc>
                <w:tcPr>
                  <w:tcW w:w="742" w:type="dxa"/>
                  <w:vMerge w:val="restart"/>
                  <w:noWrap w:val="0"/>
                  <w:vAlign w:val="center"/>
                </w:tcPr>
                <w:p w14:paraId="5D785F73">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VOCs（非甲烷总烃）</w:t>
                  </w:r>
                </w:p>
              </w:tc>
              <w:tc>
                <w:tcPr>
                  <w:tcW w:w="840" w:type="dxa"/>
                  <w:vMerge w:val="restart"/>
                  <w:noWrap w:val="0"/>
                  <w:vAlign w:val="center"/>
                </w:tcPr>
                <w:p w14:paraId="66DB7A2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0.00933</w:t>
                  </w:r>
                </w:p>
              </w:tc>
              <w:tc>
                <w:tcPr>
                  <w:tcW w:w="777" w:type="dxa"/>
                  <w:vMerge w:val="restart"/>
                  <w:noWrap w:val="0"/>
                  <w:vAlign w:val="center"/>
                </w:tcPr>
                <w:p w14:paraId="24649292">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0.00417</w:t>
                  </w:r>
                </w:p>
              </w:tc>
              <w:tc>
                <w:tcPr>
                  <w:tcW w:w="746" w:type="dxa"/>
                  <w:vMerge w:val="restart"/>
                  <w:noWrap w:val="0"/>
                  <w:vAlign w:val="center"/>
                </w:tcPr>
                <w:p w14:paraId="567F7301">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车间密闭，负压收集</w:t>
                  </w:r>
                </w:p>
              </w:tc>
              <w:tc>
                <w:tcPr>
                  <w:tcW w:w="412" w:type="dxa"/>
                  <w:vMerge w:val="restart"/>
                  <w:noWrap w:val="0"/>
                  <w:vAlign w:val="center"/>
                </w:tcPr>
                <w:p w14:paraId="12643B35">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90</w:t>
                  </w:r>
                </w:p>
              </w:tc>
              <w:tc>
                <w:tcPr>
                  <w:tcW w:w="885" w:type="dxa"/>
                  <w:vMerge w:val="restart"/>
                  <w:shd w:val="clear" w:color="auto" w:fill="auto"/>
                  <w:noWrap w:val="0"/>
                  <w:vAlign w:val="center"/>
                </w:tcPr>
                <w:p w14:paraId="72319990">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二级活性炭吸附装置</w:t>
                  </w:r>
                </w:p>
              </w:tc>
              <w:tc>
                <w:tcPr>
                  <w:tcW w:w="630" w:type="dxa"/>
                  <w:vMerge w:val="restart"/>
                  <w:shd w:val="clear" w:color="auto" w:fill="auto"/>
                  <w:noWrap w:val="0"/>
                  <w:vAlign w:val="center"/>
                </w:tcPr>
                <w:p w14:paraId="29F55BD9">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75</w:t>
                  </w:r>
                </w:p>
              </w:tc>
              <w:tc>
                <w:tcPr>
                  <w:tcW w:w="548" w:type="dxa"/>
                  <w:vMerge w:val="restart"/>
                  <w:shd w:val="clear" w:color="auto" w:fill="auto"/>
                  <w:noWrap w:val="0"/>
                  <w:vAlign w:val="center"/>
                </w:tcPr>
                <w:p w14:paraId="6A7D63E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740" w:type="dxa"/>
                  <w:shd w:val="clear" w:color="auto" w:fill="auto"/>
                  <w:noWrap w:val="0"/>
                  <w:vAlign w:val="center"/>
                </w:tcPr>
                <w:p w14:paraId="74C42B1E">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782C809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0.0021</w:t>
                  </w:r>
                </w:p>
              </w:tc>
              <w:tc>
                <w:tcPr>
                  <w:tcW w:w="838" w:type="dxa"/>
                  <w:noWrap w:val="0"/>
                  <w:tcMar>
                    <w:top w:w="0" w:type="dxa"/>
                    <w:left w:w="28" w:type="dxa"/>
                    <w:bottom w:w="0" w:type="dxa"/>
                    <w:right w:w="28" w:type="dxa"/>
                  </w:tcMar>
                  <w:vAlign w:val="center"/>
                </w:tcPr>
                <w:p w14:paraId="4828A19D">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0.0009</w:t>
                  </w:r>
                </w:p>
              </w:tc>
              <w:tc>
                <w:tcPr>
                  <w:tcW w:w="775" w:type="dxa"/>
                  <w:shd w:val="clear" w:color="auto" w:fill="auto"/>
                  <w:noWrap w:val="0"/>
                  <w:tcMar>
                    <w:top w:w="0" w:type="dxa"/>
                    <w:left w:w="28" w:type="dxa"/>
                    <w:bottom w:w="0" w:type="dxa"/>
                    <w:right w:w="28" w:type="dxa"/>
                  </w:tcMar>
                  <w:vAlign w:val="center"/>
                </w:tcPr>
                <w:p w14:paraId="545C7FCA">
                  <w:pPr>
                    <w:pStyle w:val="40"/>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10000</w:t>
                  </w:r>
                </w:p>
              </w:tc>
              <w:tc>
                <w:tcPr>
                  <w:tcW w:w="747" w:type="dxa"/>
                  <w:shd w:val="clear" w:color="auto" w:fill="auto"/>
                  <w:noWrap w:val="0"/>
                  <w:tcMar>
                    <w:top w:w="0" w:type="dxa"/>
                    <w:left w:w="28" w:type="dxa"/>
                    <w:bottom w:w="0" w:type="dxa"/>
                    <w:right w:w="28" w:type="dxa"/>
                  </w:tcMar>
                  <w:vAlign w:val="center"/>
                </w:tcPr>
                <w:p w14:paraId="60F3E409">
                  <w:pPr>
                    <w:pStyle w:val="40"/>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538" w:type="dxa"/>
                  <w:shd w:val="clear" w:color="auto" w:fill="auto"/>
                  <w:noWrap w:val="0"/>
                  <w:tcMar>
                    <w:top w:w="0" w:type="dxa"/>
                    <w:left w:w="28" w:type="dxa"/>
                    <w:bottom w:w="0" w:type="dxa"/>
                    <w:right w:w="28" w:type="dxa"/>
                  </w:tcMar>
                  <w:vAlign w:val="center"/>
                </w:tcPr>
                <w:p w14:paraId="7974F606">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2240</w:t>
                  </w:r>
                </w:p>
              </w:tc>
              <w:tc>
                <w:tcPr>
                  <w:tcW w:w="788" w:type="dxa"/>
                  <w:tcBorders>
                    <w:right w:val="nil"/>
                  </w:tcBorders>
                  <w:shd w:val="clear" w:color="auto" w:fill="auto"/>
                  <w:noWrap w:val="0"/>
                  <w:tcMar>
                    <w:top w:w="0" w:type="dxa"/>
                    <w:left w:w="28" w:type="dxa"/>
                    <w:bottom w:w="0" w:type="dxa"/>
                    <w:right w:w="28" w:type="dxa"/>
                  </w:tcMar>
                  <w:vAlign w:val="center"/>
                </w:tcPr>
                <w:p w14:paraId="2DD4F64A">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480" w:type="dxa"/>
                  <w:tcBorders>
                    <w:right w:val="nil"/>
                  </w:tcBorders>
                  <w:shd w:val="clear" w:color="auto" w:fill="auto"/>
                  <w:noWrap w:val="0"/>
                  <w:tcMar>
                    <w:top w:w="0" w:type="dxa"/>
                    <w:left w:w="28" w:type="dxa"/>
                    <w:bottom w:w="0" w:type="dxa"/>
                    <w:right w:w="28" w:type="dxa"/>
                  </w:tcMar>
                  <w:vAlign w:val="center"/>
                </w:tcPr>
                <w:p w14:paraId="02BC8F8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774A4A29">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04ECF926">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20B6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74D76D20">
                  <w:pPr>
                    <w:pStyle w:val="40"/>
                    <w:bidi w:val="0"/>
                    <w:rPr>
                      <w:rFonts w:hint="eastAsia"/>
                      <w:color w:val="auto"/>
                      <w:sz w:val="21"/>
                      <w:szCs w:val="21"/>
                      <w:highlight w:val="none"/>
                      <w:lang w:val="en-US" w:eastAsia="zh-CN"/>
                    </w:rPr>
                  </w:pPr>
                </w:p>
              </w:tc>
              <w:tc>
                <w:tcPr>
                  <w:tcW w:w="742" w:type="dxa"/>
                  <w:vMerge w:val="continue"/>
                  <w:noWrap w:val="0"/>
                  <w:vAlign w:val="center"/>
                </w:tcPr>
                <w:p w14:paraId="6564B539">
                  <w:pPr>
                    <w:pStyle w:val="40"/>
                    <w:bidi w:val="0"/>
                    <w:rPr>
                      <w:rFonts w:hint="eastAsia"/>
                      <w:color w:val="auto"/>
                      <w:sz w:val="21"/>
                      <w:szCs w:val="21"/>
                      <w:highlight w:val="none"/>
                      <w:lang w:val="en-US" w:eastAsia="zh-CN"/>
                    </w:rPr>
                  </w:pPr>
                </w:p>
              </w:tc>
              <w:tc>
                <w:tcPr>
                  <w:tcW w:w="840" w:type="dxa"/>
                  <w:vMerge w:val="continue"/>
                  <w:noWrap w:val="0"/>
                  <w:vAlign w:val="center"/>
                </w:tcPr>
                <w:p w14:paraId="3573756F">
                  <w:pPr>
                    <w:pStyle w:val="40"/>
                    <w:bidi w:val="0"/>
                    <w:rPr>
                      <w:rFonts w:hint="eastAsia"/>
                      <w:color w:val="auto"/>
                      <w:sz w:val="21"/>
                      <w:szCs w:val="21"/>
                      <w:highlight w:val="none"/>
                      <w:lang w:val="en-US" w:eastAsia="zh-CN"/>
                    </w:rPr>
                  </w:pPr>
                </w:p>
              </w:tc>
              <w:tc>
                <w:tcPr>
                  <w:tcW w:w="777" w:type="dxa"/>
                  <w:vMerge w:val="continue"/>
                  <w:noWrap w:val="0"/>
                  <w:vAlign w:val="center"/>
                </w:tcPr>
                <w:p w14:paraId="1C0FDBA3">
                  <w:pPr>
                    <w:pStyle w:val="40"/>
                    <w:bidi w:val="0"/>
                    <w:rPr>
                      <w:rFonts w:hint="eastAsia"/>
                      <w:color w:val="auto"/>
                      <w:sz w:val="21"/>
                      <w:szCs w:val="21"/>
                      <w:highlight w:val="none"/>
                      <w:lang w:val="en-US" w:eastAsia="zh-CN"/>
                    </w:rPr>
                  </w:pPr>
                </w:p>
              </w:tc>
              <w:tc>
                <w:tcPr>
                  <w:tcW w:w="746" w:type="dxa"/>
                  <w:vMerge w:val="continue"/>
                  <w:noWrap w:val="0"/>
                  <w:vAlign w:val="center"/>
                </w:tcPr>
                <w:p w14:paraId="1B0A6FF3">
                  <w:pPr>
                    <w:pStyle w:val="40"/>
                    <w:bidi w:val="0"/>
                    <w:rPr>
                      <w:rFonts w:hint="eastAsia"/>
                      <w:color w:val="auto"/>
                      <w:sz w:val="21"/>
                      <w:szCs w:val="21"/>
                      <w:highlight w:val="none"/>
                      <w:lang w:val="en-US" w:eastAsia="zh-CN"/>
                    </w:rPr>
                  </w:pPr>
                </w:p>
              </w:tc>
              <w:tc>
                <w:tcPr>
                  <w:tcW w:w="412" w:type="dxa"/>
                  <w:vMerge w:val="continue"/>
                  <w:noWrap w:val="0"/>
                  <w:vAlign w:val="center"/>
                </w:tcPr>
                <w:p w14:paraId="6B387424">
                  <w:pPr>
                    <w:pStyle w:val="40"/>
                    <w:bidi w:val="0"/>
                    <w:rPr>
                      <w:rFonts w:hint="eastAsia"/>
                      <w:color w:val="auto"/>
                      <w:sz w:val="21"/>
                      <w:szCs w:val="21"/>
                      <w:highlight w:val="none"/>
                      <w:lang w:val="en-US" w:eastAsia="zh-CN"/>
                    </w:rPr>
                  </w:pPr>
                </w:p>
              </w:tc>
              <w:tc>
                <w:tcPr>
                  <w:tcW w:w="885" w:type="dxa"/>
                  <w:vMerge w:val="continue"/>
                  <w:noWrap w:val="0"/>
                  <w:vAlign w:val="center"/>
                </w:tcPr>
                <w:p w14:paraId="7838F928">
                  <w:pPr>
                    <w:pStyle w:val="40"/>
                    <w:bidi w:val="0"/>
                    <w:rPr>
                      <w:rFonts w:hint="eastAsia"/>
                      <w:color w:val="auto"/>
                      <w:sz w:val="21"/>
                      <w:szCs w:val="21"/>
                      <w:highlight w:val="none"/>
                      <w:lang w:val="en-US" w:eastAsia="zh-CN"/>
                    </w:rPr>
                  </w:pPr>
                </w:p>
              </w:tc>
              <w:tc>
                <w:tcPr>
                  <w:tcW w:w="630" w:type="dxa"/>
                  <w:vMerge w:val="continue"/>
                  <w:noWrap w:val="0"/>
                  <w:vAlign w:val="center"/>
                </w:tcPr>
                <w:p w14:paraId="1A432111">
                  <w:pPr>
                    <w:pStyle w:val="40"/>
                    <w:bidi w:val="0"/>
                    <w:rPr>
                      <w:rFonts w:hint="eastAsia"/>
                      <w:color w:val="auto"/>
                      <w:sz w:val="21"/>
                      <w:szCs w:val="21"/>
                      <w:highlight w:val="none"/>
                      <w:lang w:val="en-US" w:eastAsia="zh-CN"/>
                    </w:rPr>
                  </w:pPr>
                </w:p>
              </w:tc>
              <w:tc>
                <w:tcPr>
                  <w:tcW w:w="548" w:type="dxa"/>
                  <w:vMerge w:val="continue"/>
                  <w:noWrap w:val="0"/>
                  <w:vAlign w:val="center"/>
                </w:tcPr>
                <w:p w14:paraId="4DCB4B88">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13023E74">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3DC77A3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0.00093</w:t>
                  </w:r>
                </w:p>
              </w:tc>
              <w:tc>
                <w:tcPr>
                  <w:tcW w:w="838" w:type="dxa"/>
                  <w:noWrap w:val="0"/>
                  <w:tcMar>
                    <w:top w:w="0" w:type="dxa"/>
                    <w:left w:w="28" w:type="dxa"/>
                    <w:bottom w:w="0" w:type="dxa"/>
                    <w:right w:w="28" w:type="dxa"/>
                  </w:tcMar>
                  <w:vAlign w:val="center"/>
                </w:tcPr>
                <w:p w14:paraId="4D4330C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0.0004</w:t>
                  </w:r>
                </w:p>
              </w:tc>
              <w:tc>
                <w:tcPr>
                  <w:tcW w:w="775" w:type="dxa"/>
                  <w:shd w:val="clear" w:color="auto" w:fill="auto"/>
                  <w:noWrap w:val="0"/>
                  <w:tcMar>
                    <w:top w:w="0" w:type="dxa"/>
                    <w:left w:w="28" w:type="dxa"/>
                    <w:bottom w:w="0" w:type="dxa"/>
                    <w:right w:w="28" w:type="dxa"/>
                  </w:tcMar>
                  <w:vAlign w:val="center"/>
                </w:tcPr>
                <w:p w14:paraId="7F897260">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14BDA30E">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50482736">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2240</w:t>
                  </w:r>
                </w:p>
              </w:tc>
              <w:tc>
                <w:tcPr>
                  <w:tcW w:w="2192" w:type="dxa"/>
                  <w:gridSpan w:val="4"/>
                  <w:tcBorders>
                    <w:right w:val="nil"/>
                  </w:tcBorders>
                  <w:noWrap w:val="0"/>
                  <w:tcMar>
                    <w:top w:w="0" w:type="dxa"/>
                    <w:left w:w="28" w:type="dxa"/>
                    <w:bottom w:w="0" w:type="dxa"/>
                    <w:right w:w="28" w:type="dxa"/>
                  </w:tcMar>
                  <w:vAlign w:val="center"/>
                </w:tcPr>
                <w:p w14:paraId="5737472B">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6210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7" w:hRule="atLeast"/>
                <w:jc w:val="center"/>
              </w:trPr>
              <w:tc>
                <w:tcPr>
                  <w:tcW w:w="684" w:type="dxa"/>
                  <w:vMerge w:val="restart"/>
                  <w:tcBorders>
                    <w:left w:val="nil"/>
                  </w:tcBorders>
                  <w:noWrap w:val="0"/>
                  <w:vAlign w:val="center"/>
                </w:tcPr>
                <w:p w14:paraId="3CD596D3">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调漆、喷漆、烤漆、喷枪清洗</w:t>
                  </w:r>
                </w:p>
              </w:tc>
              <w:tc>
                <w:tcPr>
                  <w:tcW w:w="742" w:type="dxa"/>
                  <w:vMerge w:val="restart"/>
                  <w:noWrap w:val="0"/>
                  <w:vAlign w:val="center"/>
                </w:tcPr>
                <w:p w14:paraId="6B45AA5F">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840" w:type="dxa"/>
                  <w:vMerge w:val="restart"/>
                  <w:noWrap w:val="0"/>
                  <w:vAlign w:val="center"/>
                </w:tcPr>
                <w:p w14:paraId="1639F41D">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0.654</w:t>
                  </w:r>
                </w:p>
              </w:tc>
              <w:tc>
                <w:tcPr>
                  <w:tcW w:w="777" w:type="dxa"/>
                  <w:vMerge w:val="restart"/>
                  <w:noWrap w:val="0"/>
                  <w:vAlign w:val="center"/>
                </w:tcPr>
                <w:p w14:paraId="7E5CEAD8">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0.29196</w:t>
                  </w:r>
                </w:p>
              </w:tc>
              <w:tc>
                <w:tcPr>
                  <w:tcW w:w="746" w:type="dxa"/>
                  <w:vMerge w:val="restart"/>
                  <w:noWrap w:val="0"/>
                  <w:vAlign w:val="center"/>
                </w:tcPr>
                <w:p w14:paraId="1DAA0FEC">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车间密闭，负压收集</w:t>
                  </w:r>
                </w:p>
              </w:tc>
              <w:tc>
                <w:tcPr>
                  <w:tcW w:w="412" w:type="dxa"/>
                  <w:vMerge w:val="restart"/>
                  <w:noWrap w:val="0"/>
                  <w:vAlign w:val="center"/>
                </w:tcPr>
                <w:p w14:paraId="12AEFB2A">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90</w:t>
                  </w:r>
                </w:p>
              </w:tc>
              <w:tc>
                <w:tcPr>
                  <w:tcW w:w="885" w:type="dxa"/>
                  <w:vMerge w:val="restart"/>
                  <w:noWrap w:val="0"/>
                  <w:vAlign w:val="center"/>
                </w:tcPr>
                <w:p w14:paraId="55784917">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630" w:type="dxa"/>
                  <w:vMerge w:val="restart"/>
                  <w:shd w:val="clear" w:color="auto" w:fill="auto"/>
                  <w:noWrap w:val="0"/>
                  <w:vAlign w:val="center"/>
                </w:tcPr>
                <w:p w14:paraId="1F53903A">
                  <w:pPr>
                    <w:pStyle w:val="40"/>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75</w:t>
                  </w:r>
                </w:p>
              </w:tc>
              <w:tc>
                <w:tcPr>
                  <w:tcW w:w="548" w:type="dxa"/>
                  <w:vMerge w:val="restart"/>
                  <w:shd w:val="clear" w:color="auto" w:fill="auto"/>
                  <w:noWrap w:val="0"/>
                  <w:vAlign w:val="center"/>
                </w:tcPr>
                <w:p w14:paraId="1C09CB75">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是</w:t>
                  </w:r>
                </w:p>
              </w:tc>
              <w:tc>
                <w:tcPr>
                  <w:tcW w:w="740" w:type="dxa"/>
                  <w:shd w:val="clear" w:color="auto" w:fill="auto"/>
                  <w:noWrap w:val="0"/>
                  <w:vAlign w:val="center"/>
                </w:tcPr>
                <w:p w14:paraId="0A36D2C0">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1749D07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0.14715</w:t>
                  </w:r>
                </w:p>
              </w:tc>
              <w:tc>
                <w:tcPr>
                  <w:tcW w:w="838" w:type="dxa"/>
                  <w:noWrap w:val="0"/>
                  <w:tcMar>
                    <w:top w:w="0" w:type="dxa"/>
                    <w:left w:w="28" w:type="dxa"/>
                    <w:bottom w:w="0" w:type="dxa"/>
                    <w:right w:w="28" w:type="dxa"/>
                  </w:tcMar>
                  <w:vAlign w:val="center"/>
                </w:tcPr>
                <w:p w14:paraId="3CD669EB">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0.06569</w:t>
                  </w:r>
                </w:p>
              </w:tc>
              <w:tc>
                <w:tcPr>
                  <w:tcW w:w="775" w:type="dxa"/>
                  <w:shd w:val="clear" w:color="auto" w:fill="auto"/>
                  <w:noWrap w:val="0"/>
                  <w:tcMar>
                    <w:top w:w="0" w:type="dxa"/>
                    <w:left w:w="28" w:type="dxa"/>
                    <w:bottom w:w="0" w:type="dxa"/>
                    <w:right w:w="28" w:type="dxa"/>
                  </w:tcMar>
                  <w:vAlign w:val="center"/>
                </w:tcPr>
                <w:p w14:paraId="70B0420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10000</w:t>
                  </w:r>
                </w:p>
              </w:tc>
              <w:tc>
                <w:tcPr>
                  <w:tcW w:w="747" w:type="dxa"/>
                  <w:shd w:val="clear" w:color="auto" w:fill="auto"/>
                  <w:noWrap w:val="0"/>
                  <w:tcMar>
                    <w:top w:w="0" w:type="dxa"/>
                    <w:left w:w="28" w:type="dxa"/>
                    <w:bottom w:w="0" w:type="dxa"/>
                    <w:right w:w="28" w:type="dxa"/>
                  </w:tcMar>
                  <w:vAlign w:val="center"/>
                </w:tcPr>
                <w:p w14:paraId="11A6DFE3">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6.57</w:t>
                  </w:r>
                </w:p>
              </w:tc>
              <w:tc>
                <w:tcPr>
                  <w:tcW w:w="538" w:type="dxa"/>
                  <w:shd w:val="clear" w:color="auto" w:fill="auto"/>
                  <w:noWrap w:val="0"/>
                  <w:tcMar>
                    <w:top w:w="0" w:type="dxa"/>
                    <w:left w:w="28" w:type="dxa"/>
                    <w:bottom w:w="0" w:type="dxa"/>
                    <w:right w:w="28" w:type="dxa"/>
                  </w:tcMar>
                  <w:vAlign w:val="center"/>
                </w:tcPr>
                <w:p w14:paraId="03B0425E">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788" w:type="dxa"/>
                  <w:tcBorders>
                    <w:right w:val="nil"/>
                  </w:tcBorders>
                  <w:shd w:val="clear" w:color="auto" w:fill="auto"/>
                  <w:noWrap w:val="0"/>
                  <w:tcMar>
                    <w:top w:w="0" w:type="dxa"/>
                    <w:left w:w="28" w:type="dxa"/>
                    <w:bottom w:w="0" w:type="dxa"/>
                    <w:right w:w="28" w:type="dxa"/>
                  </w:tcMar>
                  <w:vAlign w:val="center"/>
                </w:tcPr>
                <w:p w14:paraId="42E4D6B8">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480" w:type="dxa"/>
                  <w:tcBorders>
                    <w:right w:val="nil"/>
                  </w:tcBorders>
                  <w:shd w:val="clear" w:color="auto" w:fill="auto"/>
                  <w:noWrap w:val="0"/>
                  <w:tcMar>
                    <w:top w:w="0" w:type="dxa"/>
                    <w:left w:w="28" w:type="dxa"/>
                    <w:bottom w:w="0" w:type="dxa"/>
                    <w:right w:w="28" w:type="dxa"/>
                  </w:tcMar>
                  <w:vAlign w:val="center"/>
                </w:tcPr>
                <w:p w14:paraId="38BE9AB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0B7D87ED">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3780AA44">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07FC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2" w:hRule="atLeast"/>
                <w:jc w:val="center"/>
              </w:trPr>
              <w:tc>
                <w:tcPr>
                  <w:tcW w:w="684" w:type="dxa"/>
                  <w:vMerge w:val="continue"/>
                  <w:tcBorders>
                    <w:left w:val="nil"/>
                  </w:tcBorders>
                  <w:noWrap w:val="0"/>
                  <w:vAlign w:val="center"/>
                </w:tcPr>
                <w:p w14:paraId="28E3F5AE">
                  <w:pPr>
                    <w:pStyle w:val="40"/>
                    <w:bidi w:val="0"/>
                    <w:rPr>
                      <w:rFonts w:hint="eastAsia"/>
                      <w:color w:val="auto"/>
                      <w:sz w:val="21"/>
                      <w:szCs w:val="21"/>
                      <w:highlight w:val="none"/>
                      <w:lang w:val="en-US" w:eastAsia="zh-CN"/>
                    </w:rPr>
                  </w:pPr>
                </w:p>
              </w:tc>
              <w:tc>
                <w:tcPr>
                  <w:tcW w:w="742" w:type="dxa"/>
                  <w:vMerge w:val="continue"/>
                  <w:noWrap w:val="0"/>
                  <w:vAlign w:val="center"/>
                </w:tcPr>
                <w:p w14:paraId="17598414">
                  <w:pPr>
                    <w:pStyle w:val="40"/>
                    <w:bidi w:val="0"/>
                    <w:rPr>
                      <w:rFonts w:hint="eastAsia"/>
                      <w:color w:val="auto"/>
                      <w:sz w:val="21"/>
                      <w:szCs w:val="21"/>
                      <w:highlight w:val="none"/>
                      <w:lang w:val="en-US" w:eastAsia="zh-CN"/>
                    </w:rPr>
                  </w:pPr>
                </w:p>
              </w:tc>
              <w:tc>
                <w:tcPr>
                  <w:tcW w:w="840" w:type="dxa"/>
                  <w:vMerge w:val="continue"/>
                  <w:noWrap w:val="0"/>
                  <w:vAlign w:val="center"/>
                </w:tcPr>
                <w:p w14:paraId="1F1ED496">
                  <w:pPr>
                    <w:pStyle w:val="40"/>
                    <w:bidi w:val="0"/>
                    <w:rPr>
                      <w:rFonts w:hint="eastAsia"/>
                      <w:color w:val="auto"/>
                      <w:sz w:val="21"/>
                      <w:szCs w:val="21"/>
                      <w:highlight w:val="none"/>
                      <w:lang w:val="en-US" w:eastAsia="zh-CN"/>
                    </w:rPr>
                  </w:pPr>
                </w:p>
              </w:tc>
              <w:tc>
                <w:tcPr>
                  <w:tcW w:w="777" w:type="dxa"/>
                  <w:vMerge w:val="continue"/>
                  <w:noWrap w:val="0"/>
                  <w:vAlign w:val="center"/>
                </w:tcPr>
                <w:p w14:paraId="76EC2BAD">
                  <w:pPr>
                    <w:pStyle w:val="40"/>
                    <w:bidi w:val="0"/>
                    <w:rPr>
                      <w:rFonts w:hint="eastAsia"/>
                      <w:color w:val="auto"/>
                      <w:sz w:val="21"/>
                      <w:szCs w:val="21"/>
                      <w:highlight w:val="none"/>
                      <w:lang w:val="en-US" w:eastAsia="zh-CN"/>
                    </w:rPr>
                  </w:pPr>
                </w:p>
              </w:tc>
              <w:tc>
                <w:tcPr>
                  <w:tcW w:w="746" w:type="dxa"/>
                  <w:vMerge w:val="continue"/>
                  <w:noWrap w:val="0"/>
                  <w:vAlign w:val="center"/>
                </w:tcPr>
                <w:p w14:paraId="159FC317">
                  <w:pPr>
                    <w:pStyle w:val="40"/>
                    <w:bidi w:val="0"/>
                    <w:rPr>
                      <w:rFonts w:hint="eastAsia"/>
                      <w:color w:val="auto"/>
                      <w:sz w:val="21"/>
                      <w:szCs w:val="21"/>
                      <w:highlight w:val="none"/>
                      <w:lang w:val="en-US" w:eastAsia="zh-CN"/>
                    </w:rPr>
                  </w:pPr>
                </w:p>
              </w:tc>
              <w:tc>
                <w:tcPr>
                  <w:tcW w:w="412" w:type="dxa"/>
                  <w:vMerge w:val="continue"/>
                  <w:noWrap w:val="0"/>
                  <w:vAlign w:val="center"/>
                </w:tcPr>
                <w:p w14:paraId="01AF951E">
                  <w:pPr>
                    <w:pStyle w:val="40"/>
                    <w:bidi w:val="0"/>
                    <w:rPr>
                      <w:rFonts w:hint="eastAsia"/>
                      <w:color w:val="auto"/>
                      <w:sz w:val="21"/>
                      <w:szCs w:val="21"/>
                      <w:highlight w:val="none"/>
                      <w:lang w:val="en-US" w:eastAsia="zh-CN"/>
                    </w:rPr>
                  </w:pPr>
                </w:p>
              </w:tc>
              <w:tc>
                <w:tcPr>
                  <w:tcW w:w="885" w:type="dxa"/>
                  <w:vMerge w:val="continue"/>
                  <w:noWrap w:val="0"/>
                  <w:vAlign w:val="center"/>
                </w:tcPr>
                <w:p w14:paraId="10D60ECC">
                  <w:pPr>
                    <w:pStyle w:val="40"/>
                    <w:bidi w:val="0"/>
                    <w:rPr>
                      <w:rFonts w:hint="eastAsia"/>
                      <w:color w:val="auto"/>
                      <w:sz w:val="21"/>
                      <w:szCs w:val="21"/>
                      <w:highlight w:val="none"/>
                      <w:lang w:val="en-US" w:eastAsia="zh-CN"/>
                    </w:rPr>
                  </w:pPr>
                </w:p>
              </w:tc>
              <w:tc>
                <w:tcPr>
                  <w:tcW w:w="630" w:type="dxa"/>
                  <w:vMerge w:val="continue"/>
                  <w:noWrap w:val="0"/>
                  <w:vAlign w:val="center"/>
                </w:tcPr>
                <w:p w14:paraId="33B6AB06">
                  <w:pPr>
                    <w:pStyle w:val="40"/>
                    <w:bidi w:val="0"/>
                    <w:rPr>
                      <w:rFonts w:hint="eastAsia"/>
                      <w:color w:val="auto"/>
                      <w:sz w:val="21"/>
                      <w:szCs w:val="21"/>
                      <w:highlight w:val="none"/>
                      <w:lang w:val="en-US" w:eastAsia="zh-CN"/>
                    </w:rPr>
                  </w:pPr>
                </w:p>
              </w:tc>
              <w:tc>
                <w:tcPr>
                  <w:tcW w:w="548" w:type="dxa"/>
                  <w:vMerge w:val="continue"/>
                  <w:noWrap w:val="0"/>
                  <w:vAlign w:val="center"/>
                </w:tcPr>
                <w:p w14:paraId="391A641A">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3BB113AD">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6AA1065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0.0654</w:t>
                  </w:r>
                </w:p>
              </w:tc>
              <w:tc>
                <w:tcPr>
                  <w:tcW w:w="838" w:type="dxa"/>
                  <w:noWrap w:val="0"/>
                  <w:tcMar>
                    <w:top w:w="0" w:type="dxa"/>
                    <w:left w:w="28" w:type="dxa"/>
                    <w:bottom w:w="0" w:type="dxa"/>
                    <w:right w:w="28" w:type="dxa"/>
                  </w:tcMar>
                  <w:vAlign w:val="center"/>
                </w:tcPr>
                <w:p w14:paraId="5D1F9BDA">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0.0292</w:t>
                  </w:r>
                </w:p>
              </w:tc>
              <w:tc>
                <w:tcPr>
                  <w:tcW w:w="775" w:type="dxa"/>
                  <w:shd w:val="clear" w:color="auto" w:fill="auto"/>
                  <w:noWrap w:val="0"/>
                  <w:tcMar>
                    <w:top w:w="0" w:type="dxa"/>
                    <w:left w:w="28" w:type="dxa"/>
                    <w:bottom w:w="0" w:type="dxa"/>
                    <w:right w:w="28" w:type="dxa"/>
                  </w:tcMar>
                  <w:vAlign w:val="center"/>
                </w:tcPr>
                <w:p w14:paraId="59EAF3DF">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24764A8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4B50D060">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2192" w:type="dxa"/>
                  <w:gridSpan w:val="4"/>
                  <w:tcBorders>
                    <w:right w:val="nil"/>
                  </w:tcBorders>
                  <w:noWrap w:val="0"/>
                  <w:tcMar>
                    <w:top w:w="0" w:type="dxa"/>
                    <w:left w:w="28" w:type="dxa"/>
                    <w:bottom w:w="0" w:type="dxa"/>
                    <w:right w:w="28" w:type="dxa"/>
                  </w:tcMar>
                  <w:vAlign w:val="center"/>
                </w:tcPr>
                <w:p w14:paraId="41C52733">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3D5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0E109161">
                  <w:pPr>
                    <w:pStyle w:val="40"/>
                    <w:bidi w:val="0"/>
                    <w:rPr>
                      <w:rFonts w:hint="eastAsia"/>
                      <w:color w:val="auto"/>
                      <w:sz w:val="21"/>
                      <w:szCs w:val="21"/>
                      <w:highlight w:val="none"/>
                      <w:lang w:val="en-US" w:eastAsia="zh-CN"/>
                    </w:rPr>
                  </w:pPr>
                </w:p>
              </w:tc>
              <w:tc>
                <w:tcPr>
                  <w:tcW w:w="742" w:type="dxa"/>
                  <w:vMerge w:val="restart"/>
                  <w:noWrap w:val="0"/>
                  <w:vAlign w:val="center"/>
                </w:tcPr>
                <w:p w14:paraId="46C0FBF0">
                  <w:pPr>
                    <w:pStyle w:val="40"/>
                    <w:bidi w:val="0"/>
                    <w:rPr>
                      <w:rFonts w:hint="default"/>
                      <w:color w:val="auto"/>
                      <w:sz w:val="21"/>
                      <w:szCs w:val="21"/>
                      <w:highlight w:val="none"/>
                      <w:lang w:val="en-US" w:eastAsia="zh-CN"/>
                    </w:rPr>
                  </w:pPr>
                  <w:r>
                    <w:rPr>
                      <w:rFonts w:hint="default"/>
                      <w:color w:val="auto"/>
                      <w:sz w:val="21"/>
                      <w:szCs w:val="21"/>
                      <w:highlight w:val="none"/>
                      <w:lang w:val="en-US" w:eastAsia="zh-CN"/>
                    </w:rPr>
                    <w:t>乙酸乙酯与乙酸丁酯合计</w:t>
                  </w:r>
                </w:p>
              </w:tc>
              <w:tc>
                <w:tcPr>
                  <w:tcW w:w="840" w:type="dxa"/>
                  <w:vMerge w:val="restart"/>
                  <w:noWrap w:val="0"/>
                  <w:vAlign w:val="center"/>
                </w:tcPr>
                <w:p w14:paraId="56F67981">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0.054</w:t>
                  </w:r>
                </w:p>
              </w:tc>
              <w:tc>
                <w:tcPr>
                  <w:tcW w:w="777" w:type="dxa"/>
                  <w:vMerge w:val="restart"/>
                  <w:noWrap w:val="0"/>
                  <w:vAlign w:val="center"/>
                </w:tcPr>
                <w:p w14:paraId="2B2DDC7F">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0.02411</w:t>
                  </w:r>
                </w:p>
              </w:tc>
              <w:tc>
                <w:tcPr>
                  <w:tcW w:w="746" w:type="dxa"/>
                  <w:vMerge w:val="continue"/>
                  <w:noWrap w:val="0"/>
                  <w:vAlign w:val="center"/>
                </w:tcPr>
                <w:p w14:paraId="3240DD9A">
                  <w:pPr>
                    <w:pStyle w:val="40"/>
                    <w:bidi w:val="0"/>
                    <w:rPr>
                      <w:rFonts w:hint="eastAsia"/>
                      <w:color w:val="auto"/>
                      <w:sz w:val="21"/>
                      <w:szCs w:val="21"/>
                      <w:highlight w:val="none"/>
                      <w:lang w:val="en-US" w:eastAsia="zh-CN"/>
                    </w:rPr>
                  </w:pPr>
                </w:p>
              </w:tc>
              <w:tc>
                <w:tcPr>
                  <w:tcW w:w="412" w:type="dxa"/>
                  <w:vMerge w:val="continue"/>
                  <w:noWrap w:val="0"/>
                  <w:vAlign w:val="center"/>
                </w:tcPr>
                <w:p w14:paraId="0F246CB5">
                  <w:pPr>
                    <w:pStyle w:val="40"/>
                    <w:bidi w:val="0"/>
                    <w:rPr>
                      <w:rFonts w:hint="eastAsia"/>
                      <w:color w:val="auto"/>
                      <w:sz w:val="21"/>
                      <w:szCs w:val="21"/>
                      <w:highlight w:val="none"/>
                      <w:lang w:val="en-US" w:eastAsia="zh-CN"/>
                    </w:rPr>
                  </w:pPr>
                </w:p>
              </w:tc>
              <w:tc>
                <w:tcPr>
                  <w:tcW w:w="885" w:type="dxa"/>
                  <w:vMerge w:val="continue"/>
                  <w:noWrap w:val="0"/>
                  <w:vAlign w:val="center"/>
                </w:tcPr>
                <w:p w14:paraId="2901A32E">
                  <w:pPr>
                    <w:pStyle w:val="40"/>
                    <w:bidi w:val="0"/>
                    <w:rPr>
                      <w:rFonts w:hint="eastAsia"/>
                      <w:color w:val="auto"/>
                      <w:sz w:val="21"/>
                      <w:szCs w:val="21"/>
                      <w:highlight w:val="none"/>
                      <w:lang w:val="en-US" w:eastAsia="zh-CN"/>
                    </w:rPr>
                  </w:pPr>
                </w:p>
              </w:tc>
              <w:tc>
                <w:tcPr>
                  <w:tcW w:w="630" w:type="dxa"/>
                  <w:vMerge w:val="continue"/>
                  <w:noWrap w:val="0"/>
                  <w:vAlign w:val="center"/>
                </w:tcPr>
                <w:p w14:paraId="153E151B">
                  <w:pPr>
                    <w:pStyle w:val="40"/>
                    <w:bidi w:val="0"/>
                    <w:rPr>
                      <w:rFonts w:hint="eastAsia"/>
                      <w:color w:val="auto"/>
                      <w:sz w:val="21"/>
                      <w:szCs w:val="21"/>
                      <w:highlight w:val="none"/>
                      <w:lang w:val="en-US" w:eastAsia="zh-CN"/>
                    </w:rPr>
                  </w:pPr>
                </w:p>
              </w:tc>
              <w:tc>
                <w:tcPr>
                  <w:tcW w:w="548" w:type="dxa"/>
                  <w:vMerge w:val="continue"/>
                  <w:noWrap w:val="0"/>
                  <w:vAlign w:val="center"/>
                </w:tcPr>
                <w:p w14:paraId="03A30901">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186DA524">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1E9B39FC">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0.01215</w:t>
                  </w:r>
                </w:p>
              </w:tc>
              <w:tc>
                <w:tcPr>
                  <w:tcW w:w="838" w:type="dxa"/>
                  <w:noWrap w:val="0"/>
                  <w:tcMar>
                    <w:top w:w="0" w:type="dxa"/>
                    <w:left w:w="28" w:type="dxa"/>
                    <w:bottom w:w="0" w:type="dxa"/>
                    <w:right w:w="28" w:type="dxa"/>
                  </w:tcMar>
                  <w:vAlign w:val="center"/>
                </w:tcPr>
                <w:p w14:paraId="04BDE4FE">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0.00542</w:t>
                  </w:r>
                </w:p>
              </w:tc>
              <w:tc>
                <w:tcPr>
                  <w:tcW w:w="775" w:type="dxa"/>
                  <w:shd w:val="clear" w:color="auto" w:fill="auto"/>
                  <w:noWrap w:val="0"/>
                  <w:tcMar>
                    <w:top w:w="0" w:type="dxa"/>
                    <w:left w:w="28" w:type="dxa"/>
                    <w:bottom w:w="0" w:type="dxa"/>
                    <w:right w:w="28" w:type="dxa"/>
                  </w:tcMar>
                  <w:vAlign w:val="center"/>
                </w:tcPr>
                <w:p w14:paraId="773651B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10000</w:t>
                  </w:r>
                </w:p>
              </w:tc>
              <w:tc>
                <w:tcPr>
                  <w:tcW w:w="747" w:type="dxa"/>
                  <w:shd w:val="clear" w:color="auto" w:fill="auto"/>
                  <w:noWrap w:val="0"/>
                  <w:tcMar>
                    <w:top w:w="0" w:type="dxa"/>
                    <w:left w:w="28" w:type="dxa"/>
                    <w:bottom w:w="0" w:type="dxa"/>
                    <w:right w:w="28" w:type="dxa"/>
                  </w:tcMar>
                  <w:vAlign w:val="center"/>
                </w:tcPr>
                <w:p w14:paraId="30E4B0A0">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0.542</w:t>
                  </w:r>
                </w:p>
              </w:tc>
              <w:tc>
                <w:tcPr>
                  <w:tcW w:w="538" w:type="dxa"/>
                  <w:shd w:val="clear" w:color="auto" w:fill="auto"/>
                  <w:noWrap w:val="0"/>
                  <w:tcMar>
                    <w:top w:w="0" w:type="dxa"/>
                    <w:left w:w="28" w:type="dxa"/>
                    <w:bottom w:w="0" w:type="dxa"/>
                    <w:right w:w="28" w:type="dxa"/>
                  </w:tcMar>
                  <w:vAlign w:val="center"/>
                </w:tcPr>
                <w:p w14:paraId="05CB4E7C">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788" w:type="dxa"/>
                  <w:tcBorders>
                    <w:right w:val="nil"/>
                  </w:tcBorders>
                  <w:shd w:val="clear" w:color="auto" w:fill="auto"/>
                  <w:noWrap w:val="0"/>
                  <w:tcMar>
                    <w:top w:w="0" w:type="dxa"/>
                    <w:left w:w="28" w:type="dxa"/>
                    <w:bottom w:w="0" w:type="dxa"/>
                    <w:right w:w="28" w:type="dxa"/>
                  </w:tcMar>
                  <w:vAlign w:val="center"/>
                </w:tcPr>
                <w:p w14:paraId="46C310E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DA001</w:t>
                  </w:r>
                </w:p>
              </w:tc>
              <w:tc>
                <w:tcPr>
                  <w:tcW w:w="480" w:type="dxa"/>
                  <w:tcBorders>
                    <w:right w:val="nil"/>
                  </w:tcBorders>
                  <w:shd w:val="clear" w:color="auto" w:fill="auto"/>
                  <w:noWrap w:val="0"/>
                  <w:tcMar>
                    <w:top w:w="0" w:type="dxa"/>
                    <w:left w:w="28" w:type="dxa"/>
                    <w:bottom w:w="0" w:type="dxa"/>
                    <w:right w:w="28" w:type="dxa"/>
                  </w:tcMar>
                  <w:vAlign w:val="center"/>
                </w:tcPr>
                <w:p w14:paraId="2E368BE4">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w:t>
                  </w:r>
                </w:p>
              </w:tc>
              <w:tc>
                <w:tcPr>
                  <w:tcW w:w="480" w:type="dxa"/>
                  <w:tcBorders>
                    <w:right w:val="nil"/>
                  </w:tcBorders>
                  <w:shd w:val="clear" w:color="auto" w:fill="auto"/>
                  <w:noWrap w:val="0"/>
                  <w:tcMar>
                    <w:top w:w="0" w:type="dxa"/>
                    <w:left w:w="28" w:type="dxa"/>
                    <w:bottom w:w="0" w:type="dxa"/>
                    <w:right w:w="28" w:type="dxa"/>
                  </w:tcMar>
                  <w:vAlign w:val="center"/>
                </w:tcPr>
                <w:p w14:paraId="65EC2664">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0.5</w:t>
                  </w:r>
                </w:p>
              </w:tc>
              <w:tc>
                <w:tcPr>
                  <w:tcW w:w="444" w:type="dxa"/>
                  <w:tcBorders>
                    <w:right w:val="nil"/>
                  </w:tcBorders>
                  <w:shd w:val="clear" w:color="auto" w:fill="auto"/>
                  <w:noWrap w:val="0"/>
                  <w:tcMar>
                    <w:top w:w="0" w:type="dxa"/>
                    <w:left w:w="28" w:type="dxa"/>
                    <w:bottom w:w="0" w:type="dxa"/>
                    <w:right w:w="28" w:type="dxa"/>
                  </w:tcMar>
                  <w:vAlign w:val="center"/>
                </w:tcPr>
                <w:p w14:paraId="6CE06BF2">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25</w:t>
                  </w:r>
                </w:p>
              </w:tc>
            </w:tr>
            <w:tr w14:paraId="145A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tcBorders>
                  <w:noWrap w:val="0"/>
                  <w:vAlign w:val="center"/>
                </w:tcPr>
                <w:p w14:paraId="1A5D5769">
                  <w:pPr>
                    <w:pStyle w:val="40"/>
                    <w:bidi w:val="0"/>
                    <w:rPr>
                      <w:rFonts w:hint="eastAsia"/>
                      <w:color w:val="auto"/>
                      <w:sz w:val="21"/>
                      <w:szCs w:val="21"/>
                      <w:highlight w:val="none"/>
                      <w:lang w:val="en-US" w:eastAsia="zh-CN"/>
                    </w:rPr>
                  </w:pPr>
                </w:p>
              </w:tc>
              <w:tc>
                <w:tcPr>
                  <w:tcW w:w="742" w:type="dxa"/>
                  <w:vMerge w:val="continue"/>
                  <w:noWrap w:val="0"/>
                  <w:vAlign w:val="center"/>
                </w:tcPr>
                <w:p w14:paraId="56759E46">
                  <w:pPr>
                    <w:pStyle w:val="40"/>
                    <w:bidi w:val="0"/>
                    <w:rPr>
                      <w:rFonts w:hint="eastAsia"/>
                      <w:color w:val="auto"/>
                      <w:sz w:val="21"/>
                      <w:szCs w:val="21"/>
                      <w:highlight w:val="none"/>
                      <w:lang w:val="en-US" w:eastAsia="zh-CN"/>
                    </w:rPr>
                  </w:pPr>
                </w:p>
              </w:tc>
              <w:tc>
                <w:tcPr>
                  <w:tcW w:w="840" w:type="dxa"/>
                  <w:vMerge w:val="continue"/>
                  <w:noWrap w:val="0"/>
                  <w:vAlign w:val="center"/>
                </w:tcPr>
                <w:p w14:paraId="4DC2DA3D">
                  <w:pPr>
                    <w:pStyle w:val="40"/>
                    <w:bidi w:val="0"/>
                    <w:rPr>
                      <w:rFonts w:hint="eastAsia"/>
                      <w:color w:val="auto"/>
                      <w:sz w:val="21"/>
                      <w:szCs w:val="21"/>
                      <w:highlight w:val="none"/>
                      <w:lang w:val="en-US" w:eastAsia="zh-CN"/>
                    </w:rPr>
                  </w:pPr>
                </w:p>
              </w:tc>
              <w:tc>
                <w:tcPr>
                  <w:tcW w:w="777" w:type="dxa"/>
                  <w:vMerge w:val="continue"/>
                  <w:noWrap w:val="0"/>
                  <w:vAlign w:val="center"/>
                </w:tcPr>
                <w:p w14:paraId="39B0E210">
                  <w:pPr>
                    <w:pStyle w:val="40"/>
                    <w:bidi w:val="0"/>
                    <w:rPr>
                      <w:rFonts w:hint="eastAsia"/>
                      <w:color w:val="auto"/>
                      <w:sz w:val="21"/>
                      <w:szCs w:val="21"/>
                      <w:highlight w:val="none"/>
                      <w:lang w:val="en-US" w:eastAsia="zh-CN"/>
                    </w:rPr>
                  </w:pPr>
                </w:p>
              </w:tc>
              <w:tc>
                <w:tcPr>
                  <w:tcW w:w="746" w:type="dxa"/>
                  <w:vMerge w:val="continue"/>
                  <w:noWrap w:val="0"/>
                  <w:vAlign w:val="center"/>
                </w:tcPr>
                <w:p w14:paraId="250A0A45">
                  <w:pPr>
                    <w:pStyle w:val="40"/>
                    <w:bidi w:val="0"/>
                    <w:rPr>
                      <w:rFonts w:hint="eastAsia"/>
                      <w:color w:val="auto"/>
                      <w:sz w:val="21"/>
                      <w:szCs w:val="21"/>
                      <w:highlight w:val="none"/>
                      <w:lang w:val="en-US" w:eastAsia="zh-CN"/>
                    </w:rPr>
                  </w:pPr>
                </w:p>
              </w:tc>
              <w:tc>
                <w:tcPr>
                  <w:tcW w:w="412" w:type="dxa"/>
                  <w:vMerge w:val="continue"/>
                  <w:noWrap w:val="0"/>
                  <w:vAlign w:val="center"/>
                </w:tcPr>
                <w:p w14:paraId="3CDDACFF">
                  <w:pPr>
                    <w:pStyle w:val="40"/>
                    <w:bidi w:val="0"/>
                    <w:rPr>
                      <w:rFonts w:hint="eastAsia"/>
                      <w:color w:val="auto"/>
                      <w:sz w:val="21"/>
                      <w:szCs w:val="21"/>
                      <w:highlight w:val="none"/>
                      <w:lang w:val="en-US" w:eastAsia="zh-CN"/>
                    </w:rPr>
                  </w:pPr>
                </w:p>
              </w:tc>
              <w:tc>
                <w:tcPr>
                  <w:tcW w:w="885" w:type="dxa"/>
                  <w:vMerge w:val="continue"/>
                  <w:noWrap w:val="0"/>
                  <w:vAlign w:val="center"/>
                </w:tcPr>
                <w:p w14:paraId="7754A7C5">
                  <w:pPr>
                    <w:pStyle w:val="40"/>
                    <w:bidi w:val="0"/>
                    <w:rPr>
                      <w:rFonts w:hint="eastAsia"/>
                      <w:color w:val="auto"/>
                      <w:sz w:val="21"/>
                      <w:szCs w:val="21"/>
                      <w:highlight w:val="none"/>
                      <w:lang w:val="en-US" w:eastAsia="zh-CN"/>
                    </w:rPr>
                  </w:pPr>
                </w:p>
              </w:tc>
              <w:tc>
                <w:tcPr>
                  <w:tcW w:w="630" w:type="dxa"/>
                  <w:vMerge w:val="continue"/>
                  <w:noWrap w:val="0"/>
                  <w:vAlign w:val="center"/>
                </w:tcPr>
                <w:p w14:paraId="3D53F183">
                  <w:pPr>
                    <w:pStyle w:val="40"/>
                    <w:bidi w:val="0"/>
                    <w:rPr>
                      <w:rFonts w:hint="eastAsia"/>
                      <w:color w:val="auto"/>
                      <w:sz w:val="21"/>
                      <w:szCs w:val="21"/>
                      <w:highlight w:val="none"/>
                      <w:lang w:val="en-US" w:eastAsia="zh-CN"/>
                    </w:rPr>
                  </w:pPr>
                </w:p>
              </w:tc>
              <w:tc>
                <w:tcPr>
                  <w:tcW w:w="548" w:type="dxa"/>
                  <w:vMerge w:val="continue"/>
                  <w:noWrap w:val="0"/>
                  <w:vAlign w:val="center"/>
                </w:tcPr>
                <w:p w14:paraId="4F8803DF">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0D4F4833">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noWrap w:val="0"/>
                  <w:vAlign w:val="center"/>
                </w:tcPr>
                <w:p w14:paraId="6441534A">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0.0054</w:t>
                  </w:r>
                </w:p>
              </w:tc>
              <w:tc>
                <w:tcPr>
                  <w:tcW w:w="838" w:type="dxa"/>
                  <w:noWrap w:val="0"/>
                  <w:tcMar>
                    <w:top w:w="0" w:type="dxa"/>
                    <w:left w:w="28" w:type="dxa"/>
                    <w:bottom w:w="0" w:type="dxa"/>
                    <w:right w:w="28" w:type="dxa"/>
                  </w:tcMar>
                  <w:vAlign w:val="center"/>
                </w:tcPr>
                <w:p w14:paraId="20930923">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0.00241</w:t>
                  </w:r>
                </w:p>
              </w:tc>
              <w:tc>
                <w:tcPr>
                  <w:tcW w:w="775" w:type="dxa"/>
                  <w:shd w:val="clear" w:color="auto" w:fill="auto"/>
                  <w:noWrap w:val="0"/>
                  <w:tcMar>
                    <w:top w:w="0" w:type="dxa"/>
                    <w:left w:w="28" w:type="dxa"/>
                    <w:bottom w:w="0" w:type="dxa"/>
                    <w:right w:w="28" w:type="dxa"/>
                  </w:tcMar>
                  <w:vAlign w:val="center"/>
                </w:tcPr>
                <w:p w14:paraId="781C5324">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shd w:val="clear" w:color="auto" w:fill="auto"/>
                  <w:noWrap w:val="0"/>
                  <w:tcMar>
                    <w:top w:w="0" w:type="dxa"/>
                    <w:left w:w="28" w:type="dxa"/>
                    <w:bottom w:w="0" w:type="dxa"/>
                    <w:right w:w="28" w:type="dxa"/>
                  </w:tcMar>
                  <w:vAlign w:val="center"/>
                </w:tcPr>
                <w:p w14:paraId="68D333A5">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shd w:val="clear" w:color="auto" w:fill="auto"/>
                  <w:noWrap w:val="0"/>
                  <w:tcMar>
                    <w:top w:w="0" w:type="dxa"/>
                    <w:left w:w="28" w:type="dxa"/>
                    <w:bottom w:w="0" w:type="dxa"/>
                    <w:right w:w="28" w:type="dxa"/>
                  </w:tcMar>
                  <w:vAlign w:val="center"/>
                </w:tcPr>
                <w:p w14:paraId="57D29E19">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2192" w:type="dxa"/>
                  <w:gridSpan w:val="4"/>
                  <w:tcBorders>
                    <w:right w:val="nil"/>
                  </w:tcBorders>
                  <w:shd w:val="clear" w:color="auto" w:fill="auto"/>
                  <w:noWrap w:val="0"/>
                  <w:tcMar>
                    <w:top w:w="0" w:type="dxa"/>
                    <w:left w:w="28" w:type="dxa"/>
                    <w:bottom w:w="0" w:type="dxa"/>
                    <w:right w:w="28" w:type="dxa"/>
                  </w:tcMar>
                  <w:vAlign w:val="center"/>
                </w:tcPr>
                <w:p w14:paraId="76B61996">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r>
            <w:tr w14:paraId="3B95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5" w:hRule="atLeast"/>
                <w:jc w:val="center"/>
              </w:trPr>
              <w:tc>
                <w:tcPr>
                  <w:tcW w:w="684" w:type="dxa"/>
                  <w:vMerge w:val="continue"/>
                  <w:tcBorders>
                    <w:left w:val="nil"/>
                  </w:tcBorders>
                  <w:noWrap w:val="0"/>
                  <w:vAlign w:val="center"/>
                </w:tcPr>
                <w:p w14:paraId="29CE8319">
                  <w:pPr>
                    <w:pStyle w:val="40"/>
                    <w:bidi w:val="0"/>
                    <w:rPr>
                      <w:rFonts w:hint="eastAsia"/>
                      <w:color w:val="auto"/>
                      <w:sz w:val="21"/>
                      <w:szCs w:val="21"/>
                      <w:highlight w:val="none"/>
                      <w:lang w:val="en-US" w:eastAsia="zh-CN"/>
                    </w:rPr>
                  </w:pPr>
                </w:p>
              </w:tc>
              <w:tc>
                <w:tcPr>
                  <w:tcW w:w="742" w:type="dxa"/>
                  <w:vMerge w:val="restart"/>
                  <w:noWrap w:val="0"/>
                  <w:vAlign w:val="center"/>
                </w:tcPr>
                <w:p w14:paraId="40DFB43A">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二甲苯</w:t>
                  </w:r>
                </w:p>
              </w:tc>
              <w:tc>
                <w:tcPr>
                  <w:tcW w:w="840" w:type="dxa"/>
                  <w:vMerge w:val="restart"/>
                  <w:noWrap w:val="0"/>
                  <w:vAlign w:val="center"/>
                </w:tcPr>
                <w:p w14:paraId="31B5CD20">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0.15</w:t>
                  </w:r>
                </w:p>
              </w:tc>
              <w:tc>
                <w:tcPr>
                  <w:tcW w:w="777" w:type="dxa"/>
                  <w:vMerge w:val="restart"/>
                  <w:noWrap w:val="0"/>
                  <w:vAlign w:val="center"/>
                </w:tcPr>
                <w:p w14:paraId="276B49E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0.06696</w:t>
                  </w:r>
                </w:p>
              </w:tc>
              <w:tc>
                <w:tcPr>
                  <w:tcW w:w="746" w:type="dxa"/>
                  <w:vMerge w:val="continue"/>
                  <w:noWrap w:val="0"/>
                  <w:vAlign w:val="center"/>
                </w:tcPr>
                <w:p w14:paraId="1D6D0FCB">
                  <w:pPr>
                    <w:pStyle w:val="40"/>
                    <w:bidi w:val="0"/>
                    <w:rPr>
                      <w:rFonts w:hint="eastAsia"/>
                      <w:color w:val="auto"/>
                      <w:sz w:val="21"/>
                      <w:szCs w:val="21"/>
                      <w:highlight w:val="none"/>
                      <w:lang w:val="en-US" w:eastAsia="zh-CN"/>
                    </w:rPr>
                  </w:pPr>
                </w:p>
              </w:tc>
              <w:tc>
                <w:tcPr>
                  <w:tcW w:w="412" w:type="dxa"/>
                  <w:vMerge w:val="continue"/>
                  <w:noWrap w:val="0"/>
                  <w:vAlign w:val="center"/>
                </w:tcPr>
                <w:p w14:paraId="156B647A">
                  <w:pPr>
                    <w:pStyle w:val="40"/>
                    <w:bidi w:val="0"/>
                    <w:rPr>
                      <w:rFonts w:hint="eastAsia"/>
                      <w:color w:val="auto"/>
                      <w:sz w:val="21"/>
                      <w:szCs w:val="21"/>
                      <w:highlight w:val="none"/>
                      <w:lang w:val="en-US" w:eastAsia="zh-CN"/>
                    </w:rPr>
                  </w:pPr>
                </w:p>
              </w:tc>
              <w:tc>
                <w:tcPr>
                  <w:tcW w:w="885" w:type="dxa"/>
                  <w:vMerge w:val="continue"/>
                  <w:noWrap w:val="0"/>
                  <w:vAlign w:val="center"/>
                </w:tcPr>
                <w:p w14:paraId="5EC734DE">
                  <w:pPr>
                    <w:pStyle w:val="40"/>
                    <w:bidi w:val="0"/>
                    <w:rPr>
                      <w:rFonts w:hint="eastAsia"/>
                      <w:color w:val="auto"/>
                      <w:sz w:val="21"/>
                      <w:szCs w:val="21"/>
                      <w:highlight w:val="none"/>
                      <w:lang w:val="en-US" w:eastAsia="zh-CN"/>
                    </w:rPr>
                  </w:pPr>
                </w:p>
              </w:tc>
              <w:tc>
                <w:tcPr>
                  <w:tcW w:w="630" w:type="dxa"/>
                  <w:vMerge w:val="continue"/>
                  <w:noWrap w:val="0"/>
                  <w:vAlign w:val="center"/>
                </w:tcPr>
                <w:p w14:paraId="7A36A011">
                  <w:pPr>
                    <w:pStyle w:val="40"/>
                    <w:bidi w:val="0"/>
                    <w:rPr>
                      <w:rFonts w:hint="eastAsia"/>
                      <w:color w:val="auto"/>
                      <w:sz w:val="21"/>
                      <w:szCs w:val="21"/>
                      <w:highlight w:val="none"/>
                      <w:lang w:val="en-US" w:eastAsia="zh-CN"/>
                    </w:rPr>
                  </w:pPr>
                </w:p>
              </w:tc>
              <w:tc>
                <w:tcPr>
                  <w:tcW w:w="548" w:type="dxa"/>
                  <w:vMerge w:val="continue"/>
                  <w:noWrap w:val="0"/>
                  <w:vAlign w:val="center"/>
                </w:tcPr>
                <w:p w14:paraId="539ED256">
                  <w:pPr>
                    <w:pStyle w:val="40"/>
                    <w:bidi w:val="0"/>
                    <w:rPr>
                      <w:rFonts w:hint="eastAsia"/>
                      <w:color w:val="auto"/>
                      <w:sz w:val="21"/>
                      <w:szCs w:val="21"/>
                      <w:highlight w:val="none"/>
                      <w:lang w:val="en-US" w:eastAsia="zh-CN"/>
                    </w:rPr>
                  </w:pPr>
                </w:p>
              </w:tc>
              <w:tc>
                <w:tcPr>
                  <w:tcW w:w="740" w:type="dxa"/>
                  <w:shd w:val="clear" w:color="auto" w:fill="auto"/>
                  <w:noWrap w:val="0"/>
                  <w:vAlign w:val="center"/>
                </w:tcPr>
                <w:p w14:paraId="1B606813">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有组织</w:t>
                  </w:r>
                </w:p>
              </w:tc>
              <w:tc>
                <w:tcPr>
                  <w:tcW w:w="762" w:type="dxa"/>
                  <w:noWrap w:val="0"/>
                  <w:vAlign w:val="center"/>
                </w:tcPr>
                <w:p w14:paraId="4D9E235B">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0.03375</w:t>
                  </w:r>
                </w:p>
              </w:tc>
              <w:tc>
                <w:tcPr>
                  <w:tcW w:w="838" w:type="dxa"/>
                  <w:noWrap w:val="0"/>
                  <w:tcMar>
                    <w:top w:w="0" w:type="dxa"/>
                    <w:left w:w="28" w:type="dxa"/>
                    <w:bottom w:w="0" w:type="dxa"/>
                    <w:right w:w="28" w:type="dxa"/>
                  </w:tcMar>
                  <w:vAlign w:val="center"/>
                </w:tcPr>
                <w:p w14:paraId="796F0484">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0.01507</w:t>
                  </w:r>
                </w:p>
              </w:tc>
              <w:tc>
                <w:tcPr>
                  <w:tcW w:w="775" w:type="dxa"/>
                  <w:shd w:val="clear" w:color="auto" w:fill="auto"/>
                  <w:noWrap w:val="0"/>
                  <w:tcMar>
                    <w:top w:w="0" w:type="dxa"/>
                    <w:left w:w="28" w:type="dxa"/>
                    <w:bottom w:w="0" w:type="dxa"/>
                    <w:right w:w="28" w:type="dxa"/>
                  </w:tcMar>
                  <w:vAlign w:val="center"/>
                </w:tcPr>
                <w:p w14:paraId="38162523">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10000</w:t>
                  </w:r>
                </w:p>
              </w:tc>
              <w:tc>
                <w:tcPr>
                  <w:tcW w:w="747" w:type="dxa"/>
                  <w:shd w:val="clear" w:color="auto" w:fill="auto"/>
                  <w:noWrap w:val="0"/>
                  <w:tcMar>
                    <w:top w:w="0" w:type="dxa"/>
                    <w:left w:w="28" w:type="dxa"/>
                    <w:bottom w:w="0" w:type="dxa"/>
                    <w:right w:w="28" w:type="dxa"/>
                  </w:tcMar>
                  <w:vAlign w:val="center"/>
                </w:tcPr>
                <w:p w14:paraId="45F28CBE">
                  <w:pPr>
                    <w:pStyle w:val="4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1.51</w:t>
                  </w:r>
                </w:p>
              </w:tc>
              <w:tc>
                <w:tcPr>
                  <w:tcW w:w="538" w:type="dxa"/>
                  <w:shd w:val="clear" w:color="auto" w:fill="auto"/>
                  <w:noWrap w:val="0"/>
                  <w:tcMar>
                    <w:top w:w="0" w:type="dxa"/>
                    <w:left w:w="28" w:type="dxa"/>
                    <w:bottom w:w="0" w:type="dxa"/>
                    <w:right w:w="28" w:type="dxa"/>
                  </w:tcMar>
                  <w:vAlign w:val="center"/>
                </w:tcPr>
                <w:p w14:paraId="6B3EA893">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2240</w:t>
                  </w:r>
                </w:p>
              </w:tc>
              <w:tc>
                <w:tcPr>
                  <w:tcW w:w="788" w:type="dxa"/>
                  <w:tcBorders>
                    <w:right w:val="nil"/>
                  </w:tcBorders>
                  <w:noWrap w:val="0"/>
                  <w:tcMar>
                    <w:top w:w="0" w:type="dxa"/>
                    <w:left w:w="28" w:type="dxa"/>
                    <w:bottom w:w="0" w:type="dxa"/>
                    <w:right w:w="28" w:type="dxa"/>
                  </w:tcMar>
                  <w:vAlign w:val="center"/>
                </w:tcPr>
                <w:p w14:paraId="5FDD8C1C">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DA001</w:t>
                  </w:r>
                </w:p>
              </w:tc>
              <w:tc>
                <w:tcPr>
                  <w:tcW w:w="480" w:type="dxa"/>
                  <w:tcBorders>
                    <w:right w:val="nil"/>
                  </w:tcBorders>
                  <w:noWrap w:val="0"/>
                  <w:tcMar>
                    <w:top w:w="0" w:type="dxa"/>
                    <w:left w:w="28" w:type="dxa"/>
                    <w:bottom w:w="0" w:type="dxa"/>
                    <w:right w:w="28" w:type="dxa"/>
                  </w:tcMar>
                  <w:vAlign w:val="center"/>
                </w:tcPr>
                <w:p w14:paraId="326ABB6E">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22</w:t>
                  </w:r>
                </w:p>
              </w:tc>
              <w:tc>
                <w:tcPr>
                  <w:tcW w:w="480" w:type="dxa"/>
                  <w:tcBorders>
                    <w:right w:val="nil"/>
                  </w:tcBorders>
                  <w:noWrap w:val="0"/>
                  <w:tcMar>
                    <w:top w:w="0" w:type="dxa"/>
                    <w:left w:w="28" w:type="dxa"/>
                    <w:bottom w:w="0" w:type="dxa"/>
                    <w:right w:w="28" w:type="dxa"/>
                  </w:tcMar>
                  <w:vAlign w:val="center"/>
                </w:tcPr>
                <w:p w14:paraId="30F7D476">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0.5</w:t>
                  </w:r>
                </w:p>
              </w:tc>
              <w:tc>
                <w:tcPr>
                  <w:tcW w:w="444" w:type="dxa"/>
                  <w:tcBorders>
                    <w:right w:val="nil"/>
                  </w:tcBorders>
                  <w:noWrap w:val="0"/>
                  <w:tcMar>
                    <w:top w:w="0" w:type="dxa"/>
                    <w:left w:w="28" w:type="dxa"/>
                    <w:bottom w:w="0" w:type="dxa"/>
                    <w:right w:w="28" w:type="dxa"/>
                  </w:tcMar>
                  <w:vAlign w:val="center"/>
                </w:tcPr>
                <w:p w14:paraId="4FF0E141">
                  <w:pPr>
                    <w:pStyle w:val="40"/>
                    <w:bidi w:val="0"/>
                    <w:rPr>
                      <w:rFonts w:hint="eastAsia"/>
                      <w:color w:val="auto"/>
                      <w:sz w:val="21"/>
                      <w:szCs w:val="21"/>
                      <w:highlight w:val="none"/>
                      <w:lang w:val="en-US" w:eastAsia="zh-CN"/>
                    </w:rPr>
                  </w:pPr>
                  <w:r>
                    <w:rPr>
                      <w:rFonts w:hint="eastAsia"/>
                      <w:color w:val="auto"/>
                      <w:sz w:val="21"/>
                      <w:szCs w:val="21"/>
                      <w:highlight w:val="none"/>
                      <w:lang w:val="en-US" w:eastAsia="zh-CN"/>
                    </w:rPr>
                    <w:t>25</w:t>
                  </w:r>
                </w:p>
              </w:tc>
            </w:tr>
            <w:tr w14:paraId="7B6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684" w:type="dxa"/>
                  <w:vMerge w:val="continue"/>
                  <w:tcBorders>
                    <w:left w:val="nil"/>
                    <w:bottom w:val="single" w:color="auto" w:sz="12" w:space="0"/>
                  </w:tcBorders>
                  <w:noWrap w:val="0"/>
                  <w:vAlign w:val="center"/>
                </w:tcPr>
                <w:p w14:paraId="6A39E08B">
                  <w:pPr>
                    <w:pStyle w:val="40"/>
                    <w:bidi w:val="0"/>
                    <w:rPr>
                      <w:rFonts w:hint="eastAsia"/>
                      <w:color w:val="auto"/>
                      <w:sz w:val="21"/>
                      <w:szCs w:val="21"/>
                      <w:highlight w:val="none"/>
                      <w:lang w:val="en-US" w:eastAsia="zh-CN"/>
                    </w:rPr>
                  </w:pPr>
                </w:p>
              </w:tc>
              <w:tc>
                <w:tcPr>
                  <w:tcW w:w="742" w:type="dxa"/>
                  <w:vMerge w:val="continue"/>
                  <w:tcBorders>
                    <w:bottom w:val="single" w:color="auto" w:sz="12" w:space="0"/>
                  </w:tcBorders>
                  <w:noWrap w:val="0"/>
                  <w:vAlign w:val="center"/>
                </w:tcPr>
                <w:p w14:paraId="593482B7">
                  <w:pPr>
                    <w:pStyle w:val="40"/>
                    <w:bidi w:val="0"/>
                    <w:rPr>
                      <w:rFonts w:hint="eastAsia"/>
                      <w:color w:val="auto"/>
                      <w:sz w:val="21"/>
                      <w:szCs w:val="21"/>
                      <w:highlight w:val="none"/>
                      <w:lang w:val="en-US" w:eastAsia="zh-CN"/>
                    </w:rPr>
                  </w:pPr>
                </w:p>
              </w:tc>
              <w:tc>
                <w:tcPr>
                  <w:tcW w:w="840" w:type="dxa"/>
                  <w:vMerge w:val="continue"/>
                  <w:tcBorders>
                    <w:bottom w:val="single" w:color="auto" w:sz="12" w:space="0"/>
                  </w:tcBorders>
                  <w:noWrap w:val="0"/>
                  <w:vAlign w:val="center"/>
                </w:tcPr>
                <w:p w14:paraId="5FD734F7">
                  <w:pPr>
                    <w:pStyle w:val="40"/>
                    <w:bidi w:val="0"/>
                    <w:rPr>
                      <w:rFonts w:hint="eastAsia"/>
                      <w:color w:val="auto"/>
                      <w:sz w:val="21"/>
                      <w:szCs w:val="21"/>
                      <w:highlight w:val="none"/>
                      <w:lang w:val="en-US" w:eastAsia="zh-CN"/>
                    </w:rPr>
                  </w:pPr>
                </w:p>
              </w:tc>
              <w:tc>
                <w:tcPr>
                  <w:tcW w:w="777" w:type="dxa"/>
                  <w:vMerge w:val="continue"/>
                  <w:tcBorders>
                    <w:bottom w:val="single" w:color="auto" w:sz="12" w:space="0"/>
                  </w:tcBorders>
                  <w:noWrap w:val="0"/>
                  <w:vAlign w:val="center"/>
                </w:tcPr>
                <w:p w14:paraId="60BEE4D2">
                  <w:pPr>
                    <w:pStyle w:val="40"/>
                    <w:bidi w:val="0"/>
                    <w:rPr>
                      <w:rFonts w:hint="eastAsia"/>
                      <w:color w:val="auto"/>
                      <w:sz w:val="21"/>
                      <w:szCs w:val="21"/>
                      <w:highlight w:val="none"/>
                      <w:lang w:val="en-US" w:eastAsia="zh-CN"/>
                    </w:rPr>
                  </w:pPr>
                </w:p>
              </w:tc>
              <w:tc>
                <w:tcPr>
                  <w:tcW w:w="746" w:type="dxa"/>
                  <w:vMerge w:val="continue"/>
                  <w:tcBorders>
                    <w:bottom w:val="single" w:color="auto" w:sz="12" w:space="0"/>
                  </w:tcBorders>
                  <w:noWrap w:val="0"/>
                  <w:vAlign w:val="center"/>
                </w:tcPr>
                <w:p w14:paraId="110FC0EA">
                  <w:pPr>
                    <w:pStyle w:val="40"/>
                    <w:bidi w:val="0"/>
                    <w:rPr>
                      <w:rFonts w:hint="eastAsia"/>
                      <w:color w:val="auto"/>
                      <w:sz w:val="21"/>
                      <w:szCs w:val="21"/>
                      <w:highlight w:val="none"/>
                      <w:lang w:val="en-US" w:eastAsia="zh-CN"/>
                    </w:rPr>
                  </w:pPr>
                </w:p>
              </w:tc>
              <w:tc>
                <w:tcPr>
                  <w:tcW w:w="412" w:type="dxa"/>
                  <w:vMerge w:val="continue"/>
                  <w:tcBorders>
                    <w:bottom w:val="single" w:color="auto" w:sz="12" w:space="0"/>
                  </w:tcBorders>
                  <w:noWrap w:val="0"/>
                  <w:vAlign w:val="center"/>
                </w:tcPr>
                <w:p w14:paraId="421A943D">
                  <w:pPr>
                    <w:pStyle w:val="40"/>
                    <w:bidi w:val="0"/>
                    <w:rPr>
                      <w:rFonts w:hint="eastAsia"/>
                      <w:color w:val="auto"/>
                      <w:sz w:val="21"/>
                      <w:szCs w:val="21"/>
                      <w:highlight w:val="none"/>
                      <w:lang w:val="en-US" w:eastAsia="zh-CN"/>
                    </w:rPr>
                  </w:pPr>
                </w:p>
              </w:tc>
              <w:tc>
                <w:tcPr>
                  <w:tcW w:w="885" w:type="dxa"/>
                  <w:vMerge w:val="continue"/>
                  <w:tcBorders>
                    <w:bottom w:val="single" w:color="auto" w:sz="12" w:space="0"/>
                  </w:tcBorders>
                  <w:noWrap w:val="0"/>
                  <w:vAlign w:val="center"/>
                </w:tcPr>
                <w:p w14:paraId="6361E2CB">
                  <w:pPr>
                    <w:pStyle w:val="40"/>
                    <w:bidi w:val="0"/>
                    <w:rPr>
                      <w:rFonts w:hint="eastAsia"/>
                      <w:color w:val="auto"/>
                      <w:sz w:val="21"/>
                      <w:szCs w:val="21"/>
                      <w:highlight w:val="none"/>
                      <w:lang w:val="en-US" w:eastAsia="zh-CN"/>
                    </w:rPr>
                  </w:pPr>
                </w:p>
              </w:tc>
              <w:tc>
                <w:tcPr>
                  <w:tcW w:w="630" w:type="dxa"/>
                  <w:vMerge w:val="continue"/>
                  <w:tcBorders>
                    <w:bottom w:val="single" w:color="auto" w:sz="12" w:space="0"/>
                  </w:tcBorders>
                  <w:noWrap w:val="0"/>
                  <w:vAlign w:val="center"/>
                </w:tcPr>
                <w:p w14:paraId="2DB1CAFB">
                  <w:pPr>
                    <w:pStyle w:val="40"/>
                    <w:bidi w:val="0"/>
                    <w:rPr>
                      <w:rFonts w:hint="eastAsia"/>
                      <w:color w:val="auto"/>
                      <w:sz w:val="21"/>
                      <w:szCs w:val="21"/>
                      <w:highlight w:val="none"/>
                      <w:lang w:val="en-US" w:eastAsia="zh-CN"/>
                    </w:rPr>
                  </w:pPr>
                </w:p>
              </w:tc>
              <w:tc>
                <w:tcPr>
                  <w:tcW w:w="548" w:type="dxa"/>
                  <w:vMerge w:val="continue"/>
                  <w:tcBorders>
                    <w:bottom w:val="single" w:color="auto" w:sz="12" w:space="0"/>
                  </w:tcBorders>
                  <w:noWrap w:val="0"/>
                  <w:vAlign w:val="center"/>
                </w:tcPr>
                <w:p w14:paraId="4D562DCE">
                  <w:pPr>
                    <w:pStyle w:val="40"/>
                    <w:bidi w:val="0"/>
                    <w:rPr>
                      <w:rFonts w:hint="eastAsia"/>
                      <w:color w:val="auto"/>
                      <w:sz w:val="21"/>
                      <w:szCs w:val="21"/>
                      <w:highlight w:val="none"/>
                      <w:lang w:val="en-US" w:eastAsia="zh-CN"/>
                    </w:rPr>
                  </w:pPr>
                </w:p>
              </w:tc>
              <w:tc>
                <w:tcPr>
                  <w:tcW w:w="740" w:type="dxa"/>
                  <w:tcBorders>
                    <w:bottom w:val="single" w:color="auto" w:sz="12" w:space="0"/>
                  </w:tcBorders>
                  <w:shd w:val="clear" w:color="auto" w:fill="auto"/>
                  <w:noWrap w:val="0"/>
                  <w:vAlign w:val="center"/>
                </w:tcPr>
                <w:p w14:paraId="48B66267">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无组织</w:t>
                  </w:r>
                </w:p>
              </w:tc>
              <w:tc>
                <w:tcPr>
                  <w:tcW w:w="762" w:type="dxa"/>
                  <w:tcBorders>
                    <w:bottom w:val="single" w:color="auto" w:sz="12" w:space="0"/>
                  </w:tcBorders>
                  <w:noWrap w:val="0"/>
                  <w:vAlign w:val="center"/>
                </w:tcPr>
                <w:p w14:paraId="20EBD658">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0.015</w:t>
                  </w:r>
                </w:p>
              </w:tc>
              <w:tc>
                <w:tcPr>
                  <w:tcW w:w="838" w:type="dxa"/>
                  <w:tcBorders>
                    <w:bottom w:val="single" w:color="auto" w:sz="12" w:space="0"/>
                  </w:tcBorders>
                  <w:noWrap w:val="0"/>
                  <w:tcMar>
                    <w:top w:w="0" w:type="dxa"/>
                    <w:left w:w="28" w:type="dxa"/>
                    <w:bottom w:w="0" w:type="dxa"/>
                    <w:right w:w="28" w:type="dxa"/>
                  </w:tcMar>
                  <w:vAlign w:val="center"/>
                </w:tcPr>
                <w:p w14:paraId="057D52B6">
                  <w:pPr>
                    <w:pStyle w:val="40"/>
                    <w:bidi w:val="0"/>
                    <w:rPr>
                      <w:rFonts w:hint="default"/>
                      <w:color w:val="auto"/>
                      <w:sz w:val="21"/>
                      <w:szCs w:val="21"/>
                      <w:highlight w:val="none"/>
                      <w:lang w:val="en-US" w:eastAsia="zh-CN"/>
                    </w:rPr>
                  </w:pPr>
                  <w:r>
                    <w:rPr>
                      <w:rFonts w:hint="eastAsia"/>
                      <w:color w:val="auto"/>
                      <w:sz w:val="21"/>
                      <w:szCs w:val="21"/>
                      <w:highlight w:val="none"/>
                      <w:lang w:val="en-US" w:eastAsia="zh-CN"/>
                    </w:rPr>
                    <w:t>0.0067</w:t>
                  </w:r>
                </w:p>
              </w:tc>
              <w:tc>
                <w:tcPr>
                  <w:tcW w:w="775" w:type="dxa"/>
                  <w:tcBorders>
                    <w:bottom w:val="single" w:color="auto" w:sz="12" w:space="0"/>
                  </w:tcBorders>
                  <w:shd w:val="clear" w:color="auto" w:fill="auto"/>
                  <w:noWrap w:val="0"/>
                  <w:tcMar>
                    <w:top w:w="0" w:type="dxa"/>
                    <w:left w:w="28" w:type="dxa"/>
                    <w:bottom w:w="0" w:type="dxa"/>
                    <w:right w:w="28" w:type="dxa"/>
                  </w:tcMar>
                  <w:vAlign w:val="center"/>
                </w:tcPr>
                <w:p w14:paraId="7D01F95B">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747" w:type="dxa"/>
                  <w:tcBorders>
                    <w:bottom w:val="single" w:color="auto" w:sz="12" w:space="0"/>
                  </w:tcBorders>
                  <w:shd w:val="clear" w:color="auto" w:fill="auto"/>
                  <w:noWrap w:val="0"/>
                  <w:tcMar>
                    <w:top w:w="0" w:type="dxa"/>
                    <w:left w:w="28" w:type="dxa"/>
                    <w:bottom w:w="0" w:type="dxa"/>
                    <w:right w:w="28" w:type="dxa"/>
                  </w:tcMar>
                  <w:vAlign w:val="center"/>
                </w:tcPr>
                <w:p w14:paraId="10124459">
                  <w:pPr>
                    <w:pStyle w:val="4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c>
                <w:tcPr>
                  <w:tcW w:w="538" w:type="dxa"/>
                  <w:tcBorders>
                    <w:bottom w:val="single" w:color="auto" w:sz="12" w:space="0"/>
                  </w:tcBorders>
                  <w:shd w:val="clear" w:color="auto" w:fill="auto"/>
                  <w:noWrap w:val="0"/>
                  <w:tcMar>
                    <w:top w:w="0" w:type="dxa"/>
                    <w:left w:w="28" w:type="dxa"/>
                    <w:bottom w:w="0" w:type="dxa"/>
                    <w:right w:w="28" w:type="dxa"/>
                  </w:tcMar>
                  <w:vAlign w:val="center"/>
                </w:tcPr>
                <w:p w14:paraId="74264F56">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2240</w:t>
                  </w:r>
                </w:p>
              </w:tc>
              <w:tc>
                <w:tcPr>
                  <w:tcW w:w="2192" w:type="dxa"/>
                  <w:gridSpan w:val="4"/>
                  <w:tcBorders>
                    <w:bottom w:val="single" w:color="auto" w:sz="12" w:space="0"/>
                    <w:right w:val="nil"/>
                  </w:tcBorders>
                  <w:shd w:val="clear" w:color="auto" w:fill="auto"/>
                  <w:noWrap w:val="0"/>
                  <w:tcMar>
                    <w:top w:w="0" w:type="dxa"/>
                    <w:left w:w="28" w:type="dxa"/>
                    <w:bottom w:w="0" w:type="dxa"/>
                    <w:right w:w="28" w:type="dxa"/>
                  </w:tcMar>
                  <w:vAlign w:val="center"/>
                </w:tcPr>
                <w:p w14:paraId="5C69BDF1">
                  <w:pPr>
                    <w:pStyle w:val="40"/>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w:t>
                  </w:r>
                </w:p>
              </w:tc>
            </w:tr>
          </w:tbl>
          <w:p w14:paraId="312A751B">
            <w:pPr>
              <w:rPr>
                <w:color w:val="auto"/>
              </w:rPr>
            </w:pPr>
          </w:p>
        </w:tc>
      </w:tr>
    </w:tbl>
    <w:p w14:paraId="0D543EA9">
      <w:pPr>
        <w:pStyle w:val="6"/>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18BA5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1" w:hRule="atLeast"/>
          <w:jc w:val="center"/>
        </w:trPr>
        <w:tc>
          <w:tcPr>
            <w:tcW w:w="746" w:type="dxa"/>
            <w:tcMar>
              <w:left w:w="28" w:type="dxa"/>
              <w:right w:w="28" w:type="dxa"/>
            </w:tcMar>
            <w:vAlign w:val="center"/>
          </w:tcPr>
          <w:p w14:paraId="73F48932">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运营期环境影响和保护措施</w:t>
            </w:r>
          </w:p>
        </w:tc>
        <w:tc>
          <w:tcPr>
            <w:tcW w:w="8162" w:type="dxa"/>
            <w:vAlign w:val="center"/>
          </w:tcPr>
          <w:p w14:paraId="07403F06">
            <w:pPr>
              <w:pStyle w:val="4"/>
              <w:ind w:firstLine="0" w:firstLineChars="0"/>
              <w:rPr>
                <w:color w:val="auto"/>
              </w:rPr>
            </w:pPr>
            <w:r>
              <w:rPr>
                <w:rFonts w:hint="eastAsia"/>
                <w:color w:val="auto"/>
              </w:rPr>
              <w:t>4.2.2运营期废气治理措施及达标分析</w:t>
            </w:r>
          </w:p>
          <w:p w14:paraId="46BE8665">
            <w:pPr>
              <w:ind w:firstLine="480" w:firstLineChars="200"/>
              <w:rPr>
                <w:color w:val="auto"/>
              </w:rPr>
            </w:pPr>
            <w:r>
              <w:rPr>
                <w:rFonts w:hint="eastAsia"/>
                <w:color w:val="auto"/>
              </w:rPr>
              <w:t>（1）有组织废气治理措施可行性分析</w:t>
            </w:r>
          </w:p>
          <w:p w14:paraId="1636B9E5">
            <w:pPr>
              <w:ind w:firstLine="480" w:firstLineChars="200"/>
              <w:rPr>
                <w:color w:val="auto"/>
              </w:rPr>
            </w:pPr>
            <w:r>
              <w:rPr>
                <w:color w:val="auto"/>
              </w:rPr>
              <w:t>①布</w:t>
            </w:r>
            <w:r>
              <w:rPr>
                <w:rFonts w:hint="eastAsia"/>
                <w:color w:val="auto"/>
              </w:rPr>
              <w:t>袋除尘器</w:t>
            </w:r>
            <w:r>
              <w:rPr>
                <w:rFonts w:hint="eastAsia" w:cs="宋体"/>
                <w:color w:val="auto"/>
              </w:rPr>
              <w:t>治理措施可行性分析</w:t>
            </w:r>
          </w:p>
          <w:p w14:paraId="4C863A91">
            <w:pPr>
              <w:pStyle w:val="6"/>
              <w:keepNext w:val="0"/>
              <w:keepLines w:val="0"/>
              <w:tabs>
                <w:tab w:val="left" w:pos="5400"/>
              </w:tabs>
              <w:spacing w:before="0" w:after="0" w:line="360" w:lineRule="auto"/>
              <w:ind w:firstLine="480" w:firstLineChars="200"/>
              <w:jc w:val="both"/>
              <w:rPr>
                <w:rFonts w:hint="eastAsia" w:eastAsia="宋体"/>
                <w:color w:val="auto"/>
                <w:sz w:val="24"/>
                <w:szCs w:val="22"/>
                <w:lang w:eastAsia="zh-CN"/>
              </w:rPr>
            </w:pPr>
            <w:r>
              <w:rPr>
                <w:rFonts w:hint="eastAsia" w:eastAsia="宋体"/>
                <w:color w:val="auto"/>
                <w:sz w:val="24"/>
                <w:szCs w:val="22"/>
              </w:rPr>
              <w:t>袋式除尘器是含尘气体通过滤袋滤去粉尘粒子的分离捕集装置，是过滤式除尘器的一种，待净化的气体通过袋式除尘器时，粉尘颗粒被滤层捕集留在滤料层中，得到净化的气体。捕尘后的滤料经清灰、再生后可重复使用。袋式除尘器净化效率高，对含微米或亚微米数量级的粉尘效率可达90~99%</w:t>
            </w:r>
            <w:r>
              <w:rPr>
                <w:rFonts w:hint="eastAsia" w:eastAsia="宋体"/>
                <w:color w:val="auto"/>
                <w:sz w:val="24"/>
                <w:szCs w:val="22"/>
                <w:lang w:eastAsia="zh-CN"/>
              </w:rPr>
              <w:t>；</w:t>
            </w:r>
            <w:r>
              <w:rPr>
                <w:rFonts w:hint="eastAsia" w:eastAsia="宋体"/>
                <w:color w:val="auto"/>
                <w:sz w:val="24"/>
                <w:szCs w:val="22"/>
              </w:rPr>
              <w:t>袋式除尘器可捕集多种干性粉尘，特别是高比电阻粉尘采用袋式除尘器净化要比用电除尘器净化效率高很多</w:t>
            </w:r>
            <w:r>
              <w:rPr>
                <w:rFonts w:hint="eastAsia" w:eastAsia="宋体"/>
                <w:color w:val="auto"/>
                <w:sz w:val="24"/>
                <w:szCs w:val="22"/>
                <w:lang w:eastAsia="zh-CN"/>
              </w:rPr>
              <w:t>；</w:t>
            </w:r>
            <w:r>
              <w:rPr>
                <w:rFonts w:hint="eastAsia" w:eastAsia="宋体"/>
                <w:color w:val="auto"/>
                <w:sz w:val="24"/>
                <w:szCs w:val="22"/>
              </w:rPr>
              <w:t>含尘气体浓度在相当大的范围内变化对袋式除尘器的除尘效率和阻力影响不大</w:t>
            </w:r>
            <w:r>
              <w:rPr>
                <w:rFonts w:hint="eastAsia" w:eastAsia="宋体"/>
                <w:color w:val="auto"/>
                <w:sz w:val="24"/>
                <w:szCs w:val="22"/>
                <w:lang w:eastAsia="zh-CN"/>
              </w:rPr>
              <w:t>；</w:t>
            </w:r>
            <w:r>
              <w:rPr>
                <w:rFonts w:hint="eastAsia" w:eastAsia="宋体"/>
                <w:color w:val="auto"/>
                <w:sz w:val="24"/>
                <w:szCs w:val="22"/>
              </w:rPr>
              <w:t>袋式除尘器可设计制造出适应不同气量的含尘气体的要求，除尘器的处理烟气量适用范围广</w:t>
            </w:r>
            <w:r>
              <w:rPr>
                <w:rFonts w:hint="eastAsia" w:eastAsia="宋体"/>
                <w:color w:val="auto"/>
                <w:sz w:val="24"/>
                <w:szCs w:val="22"/>
                <w:lang w:eastAsia="zh-CN"/>
              </w:rPr>
              <w:t>；</w:t>
            </w:r>
            <w:r>
              <w:rPr>
                <w:rFonts w:hint="eastAsia" w:eastAsia="宋体"/>
                <w:color w:val="auto"/>
                <w:sz w:val="24"/>
                <w:szCs w:val="22"/>
              </w:rPr>
              <w:t>袋式除尘器可做成小型的，安装在散尘其器上。袋式除尘器运行稳定可靠，操作维护简单。根据对国内同类型企业的调查、统计，袋式除尘器废气处理效率高，运行稳定，可确保颗粒物达标排放</w:t>
            </w:r>
            <w:r>
              <w:rPr>
                <w:rFonts w:hint="eastAsia" w:eastAsia="宋体"/>
                <w:color w:val="auto"/>
                <w:sz w:val="24"/>
                <w:szCs w:val="22"/>
                <w:lang w:eastAsia="zh-CN"/>
              </w:rPr>
              <w:t>。</w:t>
            </w:r>
          </w:p>
          <w:p w14:paraId="0BA96950">
            <w:pPr>
              <w:ind w:firstLine="480" w:firstLineChars="200"/>
              <w:rPr>
                <w:rFonts w:hint="eastAsia"/>
                <w:color w:val="auto"/>
                <w:lang w:val="en-US" w:eastAsia="zh-CN"/>
              </w:rPr>
            </w:pPr>
            <w:r>
              <w:rPr>
                <w:color w:val="auto"/>
              </w:rPr>
              <w:t>②</w:t>
            </w:r>
            <w:r>
              <w:rPr>
                <w:rFonts w:hint="eastAsia"/>
                <w:color w:val="auto"/>
                <w:lang w:val="en-US" w:eastAsia="zh-CN"/>
              </w:rPr>
              <w:t>集气效率要求及可靠性分析</w:t>
            </w:r>
          </w:p>
          <w:p w14:paraId="2E503E24">
            <w:pPr>
              <w:ind w:firstLine="480" w:firstLineChars="200"/>
              <w:rPr>
                <w:rFonts w:hint="eastAsia"/>
                <w:color w:val="auto"/>
                <w:lang w:val="en-US" w:eastAsia="zh-CN"/>
              </w:rPr>
            </w:pPr>
            <w:r>
              <w:rPr>
                <w:rFonts w:hint="eastAsia"/>
                <w:color w:val="auto"/>
                <w:lang w:val="en-US" w:eastAsia="zh-CN"/>
              </w:rPr>
              <w:t>集气罩的配套风机风量设计按《环境工程设计手册》中有关经验公式计算：</w:t>
            </w:r>
          </w:p>
          <w:p w14:paraId="2204FF79">
            <w:pPr>
              <w:ind w:firstLine="480" w:firstLineChars="200"/>
              <w:rPr>
                <w:rFonts w:hint="default" w:hAnsi="Cambria Math" w:cs="Cambria Math"/>
                <w:i w:val="0"/>
                <w:color w:val="auto"/>
                <w:kern w:val="2"/>
                <w:sz w:val="24"/>
                <w:szCs w:val="24"/>
                <w:lang w:val="en-US" w:eastAsia="zh-CN" w:bidi="ar-SA"/>
              </w:rPr>
            </w:pPr>
            <m:oMathPara>
              <m:oMath>
                <m:r>
                  <m:rPr>
                    <m:sty m:val="p"/>
                  </m:rPr>
                  <w:rPr>
                    <w:rFonts w:hint="default" w:ascii="Cambria Math" w:hAnsi="Cambria Math" w:cs="Times New Roman"/>
                    <w:color w:val="auto"/>
                    <w:kern w:val="2"/>
                    <w:sz w:val="24"/>
                    <w:szCs w:val="24"/>
                    <w:lang w:val="en-US" w:eastAsia="zh-CN" w:bidi="ar-SA"/>
                  </w:rPr>
                  <m:t>Q=3600</m:t>
                </m:r>
                <m:r>
                  <m:rPr>
                    <m:sty m:val="p"/>
                  </m:rPr>
                  <w:rPr>
                    <w:rFonts w:hint="eastAsia" w:ascii="Cambria Math" w:hAnsi="Cambria Math" w:cs="Times New Roman"/>
                    <w:color w:val="auto"/>
                    <w:kern w:val="2"/>
                    <w:sz w:val="24"/>
                    <w:szCs w:val="24"/>
                    <w:lang w:val="en-US" w:eastAsia="zh-CN" w:bidi="ar-SA"/>
                  </w:rPr>
                  <m:t>（</m:t>
                </m:r>
                <m:r>
                  <m:rPr>
                    <m:sty m:val="p"/>
                  </m:rPr>
                  <w:rPr>
                    <w:rFonts w:hint="default" w:ascii="Cambria Math" w:hAnsi="Cambria Math" w:cs="Times New Roman"/>
                    <w:color w:val="auto"/>
                    <w:kern w:val="2"/>
                    <w:sz w:val="24"/>
                    <w:szCs w:val="24"/>
                    <w:lang w:val="en-US" w:eastAsia="zh-CN" w:bidi="ar-SA"/>
                  </w:rPr>
                  <m:t>5</m:t>
                </m:r>
                <m:sSup>
                  <m:sSupPr>
                    <m:ctrlPr>
                      <w:rPr>
                        <w:rFonts w:hint="default" w:ascii="Cambria Math" w:hAnsi="Cambria Math" w:cs="Times New Roman"/>
                        <w:color w:val="auto"/>
                        <w:kern w:val="2"/>
                        <w:sz w:val="24"/>
                        <w:szCs w:val="24"/>
                        <w:lang w:val="en-US" w:eastAsia="zh-CN" w:bidi="ar-SA"/>
                      </w:rPr>
                    </m:ctrlPr>
                  </m:sSupPr>
                  <m:e>
                    <m:r>
                      <m:rPr>
                        <m:sty m:val="p"/>
                      </m:rPr>
                      <w:rPr>
                        <w:rFonts w:hint="default" w:ascii="Cambria Math" w:hAnsi="Cambria Math" w:cs="Times New Roman"/>
                        <w:color w:val="auto"/>
                        <w:kern w:val="2"/>
                        <w:sz w:val="24"/>
                        <w:szCs w:val="24"/>
                        <w:lang w:val="en-US" w:eastAsia="zh-CN" w:bidi="ar-SA"/>
                      </w:rPr>
                      <m:t>X</m:t>
                    </m:r>
                    <m:ctrlPr>
                      <w:rPr>
                        <w:rFonts w:hint="default" w:ascii="Cambria Math" w:hAnsi="Cambria Math" w:cs="Times New Roman"/>
                        <w:color w:val="auto"/>
                        <w:kern w:val="2"/>
                        <w:sz w:val="24"/>
                        <w:szCs w:val="24"/>
                        <w:lang w:val="en-US" w:eastAsia="zh-CN" w:bidi="ar-SA"/>
                      </w:rPr>
                    </m:ctrlPr>
                  </m:e>
                  <m:sup>
                    <m:r>
                      <m:rPr>
                        <m:sty m:val="p"/>
                      </m:rPr>
                      <w:rPr>
                        <w:rFonts w:hint="default" w:ascii="Cambria Math" w:hAnsi="Cambria Math" w:cs="Times New Roman"/>
                        <w:color w:val="auto"/>
                        <w:kern w:val="2"/>
                        <w:sz w:val="24"/>
                        <w:szCs w:val="24"/>
                        <w:lang w:val="en-US" w:eastAsia="zh-CN" w:bidi="ar-SA"/>
                      </w:rPr>
                      <m:t>2</m:t>
                    </m:r>
                    <m:ctrlPr>
                      <w:rPr>
                        <w:rFonts w:hint="default" w:ascii="Cambria Math" w:hAnsi="Cambria Math" w:cs="Times New Roman"/>
                        <w:color w:val="auto"/>
                        <w:kern w:val="2"/>
                        <w:sz w:val="24"/>
                        <w:szCs w:val="24"/>
                        <w:lang w:val="en-US" w:eastAsia="zh-CN" w:bidi="ar-SA"/>
                      </w:rPr>
                    </m:ctrlPr>
                  </m:sup>
                </m:sSup>
                <m:r>
                  <m:rPr>
                    <m:sty m:val="p"/>
                  </m:rPr>
                  <w:rPr>
                    <w:rFonts w:hint="default" w:ascii="Cambria Math" w:hAnsi="Cambria Math" w:cs="Times New Roman"/>
                    <w:color w:val="auto"/>
                    <w:kern w:val="2"/>
                    <w:sz w:val="24"/>
                    <w:szCs w:val="24"/>
                    <w:lang w:val="en-US" w:eastAsia="zh-CN" w:bidi="ar-SA"/>
                  </w:rPr>
                  <m:t>+A</m:t>
                </m:r>
                <m:r>
                  <m:rPr>
                    <m:sty m:val="p"/>
                  </m:rPr>
                  <w:rPr>
                    <w:rFonts w:hint="eastAsia" w:ascii="Cambria Math" w:hAnsi="Cambria Math" w:cs="Times New Roman"/>
                    <w:color w:val="auto"/>
                    <w:kern w:val="2"/>
                    <w:sz w:val="24"/>
                    <w:szCs w:val="24"/>
                    <w:lang w:val="en-US" w:eastAsia="zh-CN" w:bidi="ar-SA"/>
                  </w:rPr>
                  <m:t>）</m:t>
                </m:r>
                <m:r>
                  <m:rPr>
                    <m:sty m:val="p"/>
                  </m:rPr>
                  <w:rPr>
                    <w:rFonts w:hint="default" w:ascii="Cambria Math" w:hAnsi="Cambria Math" w:cs="Cambria Math"/>
                    <w:color w:val="auto"/>
                    <w:kern w:val="2"/>
                    <w:sz w:val="24"/>
                    <w:szCs w:val="24"/>
                    <w:lang w:val="en-US" w:eastAsia="zh-CN" w:bidi="ar-SA"/>
                  </w:rPr>
                  <m:t>×</m:t>
                </m:r>
                <m:sSub>
                  <m:sSubPr>
                    <m:ctrlPr>
                      <w:rPr>
                        <w:rFonts w:hint="default" w:ascii="Cambria Math" w:hAnsi="Cambria Math" w:cs="Cambria Math"/>
                        <w:color w:val="auto"/>
                        <w:kern w:val="2"/>
                        <w:sz w:val="24"/>
                        <w:szCs w:val="24"/>
                        <w:lang w:val="en-US" w:eastAsia="zh-CN" w:bidi="ar-SA"/>
                      </w:rPr>
                    </m:ctrlPr>
                  </m:sSubPr>
                  <m:e>
                    <m:r>
                      <m:rPr>
                        <m:sty m:val="p"/>
                      </m:rPr>
                      <w:rPr>
                        <w:rFonts w:hint="default" w:ascii="Cambria Math" w:hAnsi="Cambria Math" w:cs="Cambria Math"/>
                        <w:color w:val="auto"/>
                        <w:kern w:val="2"/>
                        <w:sz w:val="24"/>
                        <w:szCs w:val="24"/>
                        <w:lang w:val="en-US" w:eastAsia="zh-CN" w:bidi="ar-SA"/>
                      </w:rPr>
                      <m:t>V</m:t>
                    </m:r>
                    <m:ctrlPr>
                      <w:rPr>
                        <w:rFonts w:hint="default" w:ascii="Cambria Math" w:hAnsi="Cambria Math" w:cs="Cambria Math"/>
                        <w:color w:val="auto"/>
                        <w:kern w:val="2"/>
                        <w:sz w:val="24"/>
                        <w:szCs w:val="24"/>
                        <w:lang w:val="en-US" w:eastAsia="zh-CN" w:bidi="ar-SA"/>
                      </w:rPr>
                    </m:ctrlPr>
                  </m:e>
                  <m:sub>
                    <m:r>
                      <m:rPr>
                        <m:sty m:val="p"/>
                      </m:rPr>
                      <w:rPr>
                        <w:rFonts w:hint="default" w:ascii="Cambria Math" w:hAnsi="Cambria Math" w:cs="Cambria Math"/>
                        <w:color w:val="auto"/>
                        <w:kern w:val="2"/>
                        <w:sz w:val="24"/>
                        <w:szCs w:val="24"/>
                        <w:lang w:val="en-US" w:eastAsia="zh-CN" w:bidi="ar-SA"/>
                      </w:rPr>
                      <m:t>X</m:t>
                    </m:r>
                    <m:ctrlPr>
                      <w:rPr>
                        <w:rFonts w:hint="default" w:ascii="Cambria Math" w:hAnsi="Cambria Math" w:cs="Cambria Math"/>
                        <w:color w:val="auto"/>
                        <w:kern w:val="2"/>
                        <w:sz w:val="24"/>
                        <w:szCs w:val="24"/>
                        <w:lang w:val="en-US" w:eastAsia="zh-CN" w:bidi="ar-SA"/>
                      </w:rPr>
                    </m:ctrlPr>
                  </m:sub>
                </m:sSub>
              </m:oMath>
            </m:oMathPara>
          </w:p>
          <w:p w14:paraId="187A9088">
            <w:pPr>
              <w:ind w:firstLine="480" w:firstLineChars="200"/>
              <w:rPr>
                <w:rFonts w:hint="eastAsia" w:hAnsi="Cambria Math" w:cs="Cambria Math"/>
                <w:i w:val="0"/>
                <w:color w:val="auto"/>
                <w:kern w:val="2"/>
                <w:sz w:val="24"/>
                <w:szCs w:val="24"/>
                <w:lang w:val="en-US" w:eastAsia="zh-CN" w:bidi="ar-SA"/>
              </w:rPr>
            </w:pPr>
            <w:r>
              <w:rPr>
                <w:rFonts w:hint="eastAsia" w:hAnsi="Cambria Math" w:cs="Cambria Math"/>
                <w:i w:val="0"/>
                <w:color w:val="auto"/>
                <w:kern w:val="2"/>
                <w:sz w:val="24"/>
                <w:szCs w:val="24"/>
                <w:lang w:val="en-US" w:eastAsia="zh-CN" w:bidi="ar-SA"/>
              </w:rPr>
              <w:t>式中：Q——集气罩排风量，m</w:t>
            </w:r>
            <w:r>
              <w:rPr>
                <w:rFonts w:hint="eastAsia" w:hAnsi="Cambria Math" w:cs="Cambria Math"/>
                <w:i w:val="0"/>
                <w:color w:val="auto"/>
                <w:kern w:val="2"/>
                <w:sz w:val="24"/>
                <w:szCs w:val="24"/>
                <w:vertAlign w:val="superscript"/>
                <w:lang w:val="en-US" w:eastAsia="zh-CN" w:bidi="ar-SA"/>
              </w:rPr>
              <w:t>3</w:t>
            </w:r>
            <w:r>
              <w:rPr>
                <w:rFonts w:hint="eastAsia" w:hAnsi="Cambria Math" w:cs="Cambria Math"/>
                <w:i w:val="0"/>
                <w:color w:val="auto"/>
                <w:kern w:val="2"/>
                <w:sz w:val="24"/>
                <w:szCs w:val="24"/>
                <w:lang w:val="en-US" w:eastAsia="zh-CN" w:bidi="ar-SA"/>
              </w:rPr>
              <w:t>/s；</w:t>
            </w:r>
          </w:p>
          <w:p w14:paraId="2D76AC91">
            <w:pPr>
              <w:ind w:firstLine="1200" w:firstLineChars="500"/>
              <w:rPr>
                <w:rFonts w:hint="eastAsia" w:hAnsi="Cambria Math" w:cs="Cambria Math"/>
                <w:i w:val="0"/>
                <w:color w:val="auto"/>
                <w:kern w:val="2"/>
                <w:sz w:val="24"/>
                <w:szCs w:val="24"/>
                <w:lang w:val="en-US" w:eastAsia="zh-CN" w:bidi="ar-SA"/>
              </w:rPr>
            </w:pPr>
            <w:r>
              <w:rPr>
                <w:rFonts w:hint="eastAsia" w:hAnsi="Cambria Math" w:cs="Cambria Math"/>
                <w:i w:val="0"/>
                <w:color w:val="auto"/>
                <w:kern w:val="2"/>
                <w:sz w:val="24"/>
                <w:szCs w:val="24"/>
                <w:lang w:val="en-US" w:eastAsia="zh-CN" w:bidi="ar-SA"/>
              </w:rPr>
              <w:t>x——污染物产生点至罩口的距离，m，本项目取0.3m；</w:t>
            </w:r>
          </w:p>
          <w:p w14:paraId="00BF91CD">
            <w:pPr>
              <w:ind w:firstLine="1200" w:firstLineChars="500"/>
              <w:rPr>
                <w:rFonts w:hint="eastAsia" w:hAnsi="Cambria Math" w:cs="Cambria Math"/>
                <w:i w:val="0"/>
                <w:color w:val="auto"/>
                <w:kern w:val="2"/>
                <w:sz w:val="24"/>
                <w:szCs w:val="24"/>
                <w:lang w:val="en-US" w:eastAsia="zh-CN" w:bidi="ar-SA"/>
              </w:rPr>
            </w:pPr>
            <w:r>
              <w:rPr>
                <w:rFonts w:hint="eastAsia" w:hAnsi="Cambria Math" w:cs="Cambria Math"/>
                <w:i w:val="0"/>
                <w:color w:val="auto"/>
                <w:kern w:val="2"/>
                <w:sz w:val="24"/>
                <w:szCs w:val="24"/>
                <w:lang w:val="en-US" w:eastAsia="zh-CN" w:bidi="ar-SA"/>
              </w:rPr>
              <w:t>A——罩口面积，m</w:t>
            </w:r>
            <w:r>
              <w:rPr>
                <w:rFonts w:hint="eastAsia" w:hAnsi="Cambria Math" w:cs="Cambria Math"/>
                <w:i w:val="0"/>
                <w:color w:val="auto"/>
                <w:kern w:val="2"/>
                <w:sz w:val="24"/>
                <w:szCs w:val="24"/>
                <w:vertAlign w:val="superscript"/>
                <w:lang w:val="en-US" w:eastAsia="zh-CN" w:bidi="ar-SA"/>
              </w:rPr>
              <w:t>2</w:t>
            </w:r>
            <w:r>
              <w:rPr>
                <w:rFonts w:hint="eastAsia" w:hAnsi="Cambria Math" w:cs="Cambria Math"/>
                <w:i w:val="0"/>
                <w:color w:val="auto"/>
                <w:kern w:val="2"/>
                <w:sz w:val="24"/>
                <w:szCs w:val="24"/>
                <w:lang w:val="en-US" w:eastAsia="zh-CN" w:bidi="ar-SA"/>
              </w:rPr>
              <w:t>，激光切割、雕刻设备上方拟设废气集气罩尺寸约0.6m×0.4m，即单个集气罩F为0.24m</w:t>
            </w:r>
            <w:r>
              <w:rPr>
                <w:rFonts w:hint="eastAsia" w:hAnsi="Cambria Math" w:cs="Cambria Math"/>
                <w:i w:val="0"/>
                <w:color w:val="auto"/>
                <w:kern w:val="2"/>
                <w:sz w:val="24"/>
                <w:szCs w:val="24"/>
                <w:vertAlign w:val="superscript"/>
                <w:lang w:val="en-US" w:eastAsia="zh-CN" w:bidi="ar-SA"/>
              </w:rPr>
              <w:t>2</w:t>
            </w:r>
            <w:r>
              <w:rPr>
                <w:rFonts w:hint="eastAsia" w:hAnsi="Cambria Math" w:cs="Cambria Math"/>
                <w:i w:val="0"/>
                <w:color w:val="auto"/>
                <w:kern w:val="2"/>
                <w:sz w:val="24"/>
                <w:szCs w:val="24"/>
                <w:lang w:val="en-US" w:eastAsia="zh-CN" w:bidi="ar-SA"/>
              </w:rPr>
              <w:t>，总A为3.84m</w:t>
            </w:r>
            <w:r>
              <w:rPr>
                <w:rFonts w:hint="eastAsia" w:hAnsi="Cambria Math" w:cs="Cambria Math"/>
                <w:i w:val="0"/>
                <w:color w:val="auto"/>
                <w:kern w:val="2"/>
                <w:sz w:val="24"/>
                <w:szCs w:val="24"/>
                <w:vertAlign w:val="superscript"/>
                <w:lang w:val="en-US" w:eastAsia="zh-CN" w:bidi="ar-SA"/>
              </w:rPr>
              <w:t>2</w:t>
            </w:r>
            <w:r>
              <w:rPr>
                <w:rFonts w:hint="eastAsia" w:hAnsi="Cambria Math" w:cs="Cambria Math"/>
                <w:i w:val="0"/>
                <w:color w:val="auto"/>
                <w:kern w:val="2"/>
                <w:sz w:val="24"/>
                <w:szCs w:val="24"/>
                <w:lang w:val="en-US" w:eastAsia="zh-CN" w:bidi="ar-SA"/>
              </w:rPr>
              <w:t>；</w:t>
            </w:r>
          </w:p>
          <w:p w14:paraId="13E1E478">
            <w:pPr>
              <w:ind w:firstLine="1200" w:firstLineChars="500"/>
              <w:rPr>
                <w:rFonts w:hint="eastAsia" w:hAnsi="Cambria Math" w:cs="Cambria Math"/>
                <w:i w:val="0"/>
                <w:color w:val="auto"/>
                <w:kern w:val="2"/>
                <w:sz w:val="24"/>
                <w:szCs w:val="24"/>
                <w:lang w:val="en-US" w:eastAsia="zh-CN" w:bidi="ar-SA"/>
              </w:rPr>
            </w:pPr>
            <w:r>
              <w:rPr>
                <w:rFonts w:hint="eastAsia" w:hAnsi="Cambria Math" w:cs="Cambria Math"/>
                <w:i w:val="0"/>
                <w:color w:val="auto"/>
                <w:kern w:val="2"/>
                <w:sz w:val="24"/>
                <w:szCs w:val="24"/>
                <w:lang w:val="en-US" w:eastAsia="zh-CN" w:bidi="ar-SA"/>
              </w:rPr>
              <w:t>Vx——最小控制风速，m/s，本项目污染物放散情况为以很缓慢的速度放散到相当平静的空气中，一般取0.25~0.5m/s，本项目取0.5m/s。</w:t>
            </w:r>
          </w:p>
          <w:p w14:paraId="2F1BD2C2">
            <w:pPr>
              <w:ind w:firstLine="480" w:firstLineChars="200"/>
              <w:rPr>
                <w:rFonts w:hint="default" w:hAnsi="Cambria Math" w:cs="Cambria Math"/>
                <w:i w:val="0"/>
                <w:color w:val="auto"/>
                <w:kern w:val="2"/>
                <w:sz w:val="24"/>
                <w:szCs w:val="24"/>
                <w:lang w:val="en-US" w:eastAsia="zh-CN" w:bidi="ar-SA"/>
              </w:rPr>
            </w:pPr>
            <w:r>
              <w:rPr>
                <w:rFonts w:hint="eastAsia" w:hAnsi="Cambria Math" w:cs="Cambria Math"/>
                <w:i w:val="0"/>
                <w:color w:val="auto"/>
                <w:kern w:val="2"/>
                <w:sz w:val="24"/>
                <w:szCs w:val="24"/>
                <w:lang w:val="en-US" w:eastAsia="zh-CN" w:bidi="ar-SA"/>
              </w:rPr>
              <w:t>则所需收集风量为3600×（5×0.3</w:t>
            </w:r>
            <w:r>
              <w:rPr>
                <w:rFonts w:hint="eastAsia" w:hAnsi="Cambria Math" w:cs="Cambria Math"/>
                <w:i w:val="0"/>
                <w:color w:val="auto"/>
                <w:kern w:val="2"/>
                <w:sz w:val="24"/>
                <w:szCs w:val="24"/>
                <w:vertAlign w:val="superscript"/>
                <w:lang w:val="en-US" w:eastAsia="zh-CN" w:bidi="ar-SA"/>
              </w:rPr>
              <w:t>2</w:t>
            </w:r>
            <w:r>
              <w:rPr>
                <w:rFonts w:hint="eastAsia" w:hAnsi="Cambria Math" w:cs="Cambria Math"/>
                <w:i w:val="0"/>
                <w:color w:val="auto"/>
                <w:kern w:val="2"/>
                <w:sz w:val="24"/>
                <w:szCs w:val="24"/>
                <w:vertAlign w:val="baseline"/>
                <w:lang w:val="en-US" w:eastAsia="zh-CN" w:bidi="ar-SA"/>
              </w:rPr>
              <w:t>+3.84</w:t>
            </w:r>
            <w:r>
              <w:rPr>
                <w:rFonts w:hint="eastAsia" w:hAnsi="Cambria Math" w:cs="Cambria Math"/>
                <w:i w:val="0"/>
                <w:color w:val="auto"/>
                <w:kern w:val="2"/>
                <w:sz w:val="24"/>
                <w:szCs w:val="24"/>
                <w:lang w:val="en-US" w:eastAsia="zh-CN" w:bidi="ar-SA"/>
              </w:rPr>
              <w:t>）×0.5=7722m</w:t>
            </w:r>
            <w:r>
              <w:rPr>
                <w:rFonts w:hint="eastAsia" w:hAnsi="Cambria Math" w:cs="Cambria Math"/>
                <w:i w:val="0"/>
                <w:color w:val="auto"/>
                <w:kern w:val="2"/>
                <w:sz w:val="24"/>
                <w:szCs w:val="24"/>
                <w:vertAlign w:val="superscript"/>
                <w:lang w:val="en-US" w:eastAsia="zh-CN" w:bidi="ar-SA"/>
              </w:rPr>
              <w:t>3</w:t>
            </w:r>
            <w:r>
              <w:rPr>
                <w:rFonts w:hint="eastAsia" w:hAnsi="Cambria Math" w:cs="Cambria Math"/>
                <w:i w:val="0"/>
                <w:color w:val="auto"/>
                <w:kern w:val="2"/>
                <w:sz w:val="24"/>
                <w:szCs w:val="24"/>
                <w:lang w:val="en-US" w:eastAsia="zh-CN" w:bidi="ar-SA"/>
              </w:rPr>
              <w:t>/h。实际风机风量建议增加10~20%安全系数，本项目建议采用风机风量为10000m</w:t>
            </w:r>
            <w:r>
              <w:rPr>
                <w:rFonts w:hint="eastAsia" w:hAnsi="Cambria Math" w:cs="Cambria Math"/>
                <w:i w:val="0"/>
                <w:color w:val="auto"/>
                <w:kern w:val="2"/>
                <w:sz w:val="24"/>
                <w:szCs w:val="24"/>
                <w:vertAlign w:val="superscript"/>
                <w:lang w:val="en-US" w:eastAsia="zh-CN" w:bidi="ar-SA"/>
              </w:rPr>
              <w:t>3</w:t>
            </w:r>
            <w:r>
              <w:rPr>
                <w:rFonts w:hint="eastAsia" w:hAnsi="Cambria Math" w:cs="Cambria Math"/>
                <w:i w:val="0"/>
                <w:color w:val="auto"/>
                <w:kern w:val="2"/>
                <w:sz w:val="24"/>
                <w:szCs w:val="24"/>
                <w:lang w:val="en-US" w:eastAsia="zh-CN" w:bidi="ar-SA"/>
              </w:rPr>
              <w:t>/h。</w:t>
            </w:r>
          </w:p>
          <w:p w14:paraId="5481A53D">
            <w:pPr>
              <w:ind w:firstLine="480" w:firstLineChars="200"/>
              <w:rPr>
                <w:rFonts w:cs="宋体"/>
                <w:color w:val="auto"/>
              </w:rPr>
            </w:pPr>
            <w:r>
              <w:rPr>
                <w:rFonts w:hint="default" w:ascii="Times New Roman" w:hAnsi="Times New Roman" w:cs="Times New Roman"/>
                <w:color w:val="auto"/>
              </w:rPr>
              <w:t>③</w:t>
            </w:r>
            <w:r>
              <w:rPr>
                <w:color w:val="auto"/>
              </w:rPr>
              <w:t>干</w:t>
            </w:r>
            <w:r>
              <w:rPr>
                <w:rFonts w:hint="eastAsia" w:cs="宋体"/>
                <w:color w:val="auto"/>
              </w:rPr>
              <w:t>式过滤+二级活性炭吸附治理措施可行性分析</w:t>
            </w:r>
          </w:p>
          <w:p w14:paraId="0CAD09D4">
            <w:pPr>
              <w:ind w:firstLine="480" w:firstLineChars="200"/>
              <w:rPr>
                <w:rFonts w:cs="宋体"/>
                <w:color w:val="auto"/>
              </w:rPr>
            </w:pPr>
            <w:r>
              <w:rPr>
                <w:rFonts w:hint="eastAsia" w:cs="宋体"/>
                <w:color w:val="auto"/>
              </w:rPr>
              <w:t>本项目采用车间密闭负压收集+干式过滤+二级活性炭吸附处理漆雾（颗粒物），非甲烷总烃、乙酸乙酯与乙酸丁酯合计和二甲苯（有机废气）。</w:t>
            </w:r>
          </w:p>
          <w:p w14:paraId="67931F52">
            <w:pPr>
              <w:ind w:firstLine="480" w:firstLineChars="200"/>
              <w:rPr>
                <w:rFonts w:hint="eastAsia" w:cs="宋体"/>
                <w:color w:val="auto"/>
              </w:rPr>
            </w:pPr>
            <w:r>
              <w:rPr>
                <w:rFonts w:hint="eastAsia" w:cs="宋体"/>
                <w:color w:val="auto"/>
              </w:rPr>
              <w:t>活性炭吸附装置工作原理</w:t>
            </w:r>
            <w:r>
              <w:rPr>
                <w:rFonts w:hint="eastAsia" w:cs="宋体"/>
                <w:color w:val="auto"/>
                <w:lang w:eastAsia="zh-CN"/>
              </w:rPr>
              <w:t>：</w:t>
            </w:r>
            <w:r>
              <w:rPr>
                <w:rFonts w:hint="eastAsia" w:cs="宋体"/>
                <w:color w:val="auto"/>
              </w:rPr>
              <w:t>活性炭吸附法是以活性炭作为吸附剂，把废气中有机废气吸附到固相表面进行吸附浓缩，从而达到净化废气的方法。活性炭是一种具有非极性表面、疏水性、亲有机物的吸附剂。所以活性炭常常被用来吸附回收空气中的有机溶剂和恶臭物质，它可以根据需要制成不同性状和粒度，如粉末活性炭、颗粒活性炭及柱状活性炭。活性炭是由各种含碳物质(如木材、泥煤、果核、椰壳等原料)在高温下炭化后，再用水蒸气或化学药品(如氯化锌、氯化锰、氯化钙和磷酸等)进行活化处理，然后制成的孔隙十分丰富的吸附剂，其孔径平均为</w:t>
            </w:r>
            <w:r>
              <w:rPr>
                <w:rFonts w:hint="eastAsia" w:cs="宋体"/>
                <w:color w:val="auto"/>
                <w:lang w:eastAsia="zh-CN"/>
              </w:rPr>
              <w:t>（</w:t>
            </w:r>
            <w:r>
              <w:rPr>
                <w:rFonts w:hint="eastAsia" w:cs="宋体"/>
                <w:color w:val="auto"/>
              </w:rPr>
              <w:t>10</w:t>
            </w:r>
            <w:r>
              <w:rPr>
                <w:rFonts w:hint="eastAsia" w:cs="宋体"/>
                <w:color w:val="auto"/>
                <w:lang w:val="en-US" w:eastAsia="zh-CN"/>
              </w:rPr>
              <w:t>~</w:t>
            </w:r>
            <w:r>
              <w:rPr>
                <w:rFonts w:hint="eastAsia" w:cs="宋体"/>
                <w:color w:val="auto"/>
              </w:rPr>
              <w:t>40</w:t>
            </w:r>
            <w:r>
              <w:rPr>
                <w:rFonts w:hint="eastAsia" w:cs="宋体"/>
                <w:color w:val="auto"/>
                <w:lang w:eastAsia="zh-CN"/>
              </w:rPr>
              <w:t>）</w:t>
            </w:r>
            <w:r>
              <w:rPr>
                <w:rFonts w:hint="eastAsia" w:cs="宋体"/>
                <w:color w:val="auto"/>
                <w:lang w:val="en-US" w:eastAsia="zh-CN"/>
              </w:rPr>
              <w:t>×</w:t>
            </w:r>
            <w:r>
              <w:rPr>
                <w:rFonts w:hint="eastAsia" w:cs="宋体"/>
                <w:color w:val="auto"/>
              </w:rPr>
              <w:t>10</w:t>
            </w:r>
            <w:r>
              <w:rPr>
                <w:rFonts w:hint="eastAsia" w:cs="宋体"/>
                <w:color w:val="auto"/>
                <w:vertAlign w:val="superscript"/>
              </w:rPr>
              <w:t>-</w:t>
            </w:r>
            <w:r>
              <w:rPr>
                <w:rFonts w:hint="eastAsia" w:cs="宋体"/>
                <w:color w:val="auto"/>
                <w:vertAlign w:val="superscript"/>
                <w:lang w:val="en-US" w:eastAsia="zh-CN"/>
              </w:rPr>
              <w:t>8</w:t>
            </w:r>
            <w:r>
              <w:rPr>
                <w:rFonts w:hint="eastAsia" w:cs="宋体"/>
                <w:color w:val="auto"/>
              </w:rPr>
              <w:t>cm，比表面积一般在600~1500m</w:t>
            </w:r>
            <w:r>
              <w:rPr>
                <w:rFonts w:hint="eastAsia" w:cs="宋体"/>
                <w:color w:val="auto"/>
                <w:vertAlign w:val="superscript"/>
                <w:lang w:val="en-US" w:eastAsia="zh-CN"/>
              </w:rPr>
              <w:t>2</w:t>
            </w:r>
            <w:r>
              <w:rPr>
                <w:rFonts w:hint="eastAsia" w:cs="宋体"/>
                <w:color w:val="auto"/>
              </w:rPr>
              <w:t>/g范围内，具有优良的吸附能力。</w:t>
            </w:r>
          </w:p>
          <w:p w14:paraId="3C9ABF9D">
            <w:pPr>
              <w:ind w:firstLine="480" w:firstLineChars="200"/>
              <w:rPr>
                <w:rFonts w:hint="eastAsia" w:cs="宋体"/>
                <w:color w:val="auto"/>
              </w:rPr>
            </w:pPr>
            <w:r>
              <w:rPr>
                <w:rFonts w:hint="eastAsia" w:cs="宋体"/>
                <w:color w:val="auto"/>
              </w:rPr>
              <w:t>项目有机废气拟采取两级活性炭装置处理，为吸附污染治理技术，参考《排污许可证申请与核发技术规范 涂料、油墨、颜料及类似产品制造业》</w:t>
            </w:r>
            <w:r>
              <w:rPr>
                <w:rFonts w:hint="eastAsia" w:cs="宋体"/>
                <w:color w:val="auto"/>
                <w:lang w:eastAsia="zh-CN"/>
              </w:rPr>
              <w:t>（</w:t>
            </w:r>
            <w:r>
              <w:rPr>
                <w:rFonts w:hint="eastAsia" w:cs="宋体"/>
                <w:color w:val="auto"/>
              </w:rPr>
              <w:t>HJ1116-2020</w:t>
            </w:r>
            <w:r>
              <w:rPr>
                <w:rFonts w:hint="eastAsia" w:cs="宋体"/>
                <w:color w:val="auto"/>
                <w:lang w:eastAsia="zh-CN"/>
              </w:rPr>
              <w:t>）</w:t>
            </w:r>
            <w:r>
              <w:rPr>
                <w:rFonts w:hint="eastAsia" w:cs="宋体"/>
                <w:color w:val="auto"/>
              </w:rPr>
              <w:t>，吸附技术为治理非甲烷总烃可行性技术</w:t>
            </w:r>
            <w:r>
              <w:rPr>
                <w:rFonts w:hint="eastAsia" w:cs="宋体"/>
                <w:color w:val="auto"/>
                <w:lang w:eastAsia="zh-CN"/>
              </w:rPr>
              <w:t>；</w:t>
            </w:r>
            <w:r>
              <w:rPr>
                <w:rFonts w:hint="eastAsia" w:cs="宋体"/>
                <w:color w:val="auto"/>
              </w:rPr>
              <w:t>结合工程分析，项目有机废气经两级活性炭装置处理后可达标排放，因此项目有机废气治理措施是有效、可行的。</w:t>
            </w:r>
          </w:p>
          <w:p w14:paraId="32999BF3">
            <w:pPr>
              <w:ind w:firstLine="480" w:firstLineChars="200"/>
              <w:rPr>
                <w:color w:val="auto"/>
              </w:rPr>
            </w:pPr>
            <w:r>
              <w:rPr>
                <w:rFonts w:hint="default" w:ascii="Times New Roman" w:hAnsi="Times New Roman" w:cs="Times New Roman"/>
                <w:color w:val="auto"/>
              </w:rPr>
              <w:t>④</w:t>
            </w:r>
            <w:r>
              <w:rPr>
                <w:color w:val="auto"/>
              </w:rPr>
              <w:t>水帘装置</w:t>
            </w:r>
          </w:p>
          <w:p w14:paraId="4A008840">
            <w:pPr>
              <w:ind w:firstLine="480" w:firstLineChars="200"/>
              <w:rPr>
                <w:rFonts w:cs="宋体"/>
                <w:color w:val="auto"/>
              </w:rPr>
            </w:pPr>
            <w:r>
              <w:rPr>
                <w:rFonts w:hint="eastAsia" w:cs="宋体"/>
                <w:color w:val="auto"/>
              </w:rPr>
              <w:t>水帘喷漆房是利用水来捕捉漆雾的一种设备。它一般由排风装置、供水装置、捕集漆雾水帘和喷淋装置、汽水分离装置、风道等构成。在排风机引力的作用下，含有漆雾的空气向水帘喷漆房的内壁水帘板方向流动，一部分漆雾直接接触到水帘板上的水膜而被吸附，一部分漆雾在经过水帘板上淌下的水帘时被水帘冲刷掉，其余未被水膜和水帘捕捉到的残余漆雾在通过水洗区和清洗区时被清洗掉。</w:t>
            </w:r>
          </w:p>
          <w:p w14:paraId="1177EA53">
            <w:pPr>
              <w:ind w:firstLine="480" w:firstLineChars="200"/>
              <w:rPr>
                <w:rFonts w:cs="宋体"/>
                <w:color w:val="auto"/>
              </w:rPr>
            </w:pPr>
            <w:r>
              <w:rPr>
                <w:rFonts w:hint="eastAsia" w:cs="宋体"/>
                <w:color w:val="auto"/>
              </w:rPr>
              <w:t>（3）无组织废气防治措施分析</w:t>
            </w:r>
          </w:p>
          <w:p w14:paraId="40653B48">
            <w:pPr>
              <w:ind w:firstLine="480" w:firstLineChars="200"/>
              <w:rPr>
                <w:rFonts w:cs="宋体"/>
                <w:color w:val="auto"/>
              </w:rPr>
            </w:pPr>
            <w:r>
              <w:rPr>
                <w:rFonts w:hint="eastAsia" w:cs="宋体"/>
                <w:color w:val="auto"/>
              </w:rPr>
              <w:t>项目采取的防止无组织气体排放的主要措施有：</w:t>
            </w:r>
          </w:p>
          <w:p w14:paraId="06A01DCA">
            <w:pPr>
              <w:ind w:firstLine="480" w:firstLineChars="200"/>
              <w:rPr>
                <w:rFonts w:cs="宋体"/>
                <w:color w:val="auto"/>
              </w:rPr>
            </w:pPr>
            <w:r>
              <w:rPr>
                <w:color w:val="auto"/>
              </w:rPr>
              <w:t>①</w:t>
            </w:r>
            <w:r>
              <w:rPr>
                <w:rFonts w:hint="eastAsia" w:cs="宋体"/>
                <w:color w:val="auto"/>
              </w:rPr>
              <w:t>加强废气集中收集和处理，确保密闭负压车间的废气收集系统的密闭性，减少废气的无组织排放。</w:t>
            </w:r>
          </w:p>
          <w:p w14:paraId="47A37FAF">
            <w:pPr>
              <w:ind w:firstLine="480" w:firstLineChars="200"/>
              <w:rPr>
                <w:rFonts w:cs="宋体"/>
                <w:color w:val="auto"/>
              </w:rPr>
            </w:pPr>
            <w:r>
              <w:rPr>
                <w:color w:val="auto"/>
              </w:rPr>
              <w:t>②</w:t>
            </w:r>
            <w:r>
              <w:rPr>
                <w:rFonts w:hint="eastAsia" w:cs="宋体"/>
                <w:color w:val="auto"/>
              </w:rPr>
              <w:t>定期检查密闭负压车间的密闭情况、负压情况，确保废气能被连续、稳定地收集。</w:t>
            </w:r>
          </w:p>
          <w:p w14:paraId="66664A58">
            <w:pPr>
              <w:ind w:firstLine="480" w:firstLineChars="200"/>
              <w:rPr>
                <w:rFonts w:cs="宋体"/>
                <w:color w:val="auto"/>
              </w:rPr>
            </w:pPr>
            <w:r>
              <w:rPr>
                <w:rFonts w:hint="default" w:ascii="Times New Roman" w:hAnsi="Times New Roman" w:cs="Times New Roman"/>
                <w:color w:val="auto"/>
              </w:rPr>
              <w:t>③</w:t>
            </w:r>
            <w:r>
              <w:rPr>
                <w:rFonts w:hint="eastAsia" w:cs="宋体"/>
                <w:color w:val="auto"/>
              </w:rPr>
              <w:t>加强运行管理和环境管理，提高工人操作水平，通过宣传增强职工环保意识，积极推行清洁生产，节能降耗，多种措施并举，减少污染物排放。</w:t>
            </w:r>
          </w:p>
          <w:p w14:paraId="7D3EEFC7">
            <w:pPr>
              <w:wordWrap w:val="0"/>
              <w:ind w:firstLine="480" w:firstLineChars="200"/>
              <w:rPr>
                <w:rFonts w:cs="宋体"/>
                <w:color w:val="auto"/>
              </w:rPr>
            </w:pPr>
            <w:r>
              <w:rPr>
                <w:rFonts w:hint="eastAsia" w:cs="宋体"/>
                <w:color w:val="auto"/>
              </w:rPr>
              <w:t>综上，通过采取以上废气治理措施后，综上所述，本项目投产后全厂各项污染物经废气处理设施处理后，均能满足《大气污染物综合排放标准》（GB16297-1996）、《工业涂装工序挥发性有机物排放标准》（DB35/1783-2018）和《挥发性有机物无组织排放控制标准》（GB 37822-2019）规定的限值标准。</w:t>
            </w:r>
          </w:p>
          <w:p w14:paraId="72818F04">
            <w:pPr>
              <w:pStyle w:val="4"/>
              <w:ind w:firstLine="0" w:firstLineChars="0"/>
              <w:rPr>
                <w:color w:val="auto"/>
              </w:rPr>
            </w:pPr>
            <w:r>
              <w:rPr>
                <w:color w:val="auto"/>
              </w:rPr>
              <w:t>4.2.3非正常工况排放量核算</w:t>
            </w:r>
          </w:p>
          <w:p w14:paraId="6F5871AE">
            <w:pPr>
              <w:ind w:firstLine="480" w:firstLineChars="200"/>
              <w:rPr>
                <w:rFonts w:cs="宋体"/>
                <w:color w:val="auto"/>
              </w:rPr>
            </w:pPr>
            <w:r>
              <w:rPr>
                <w:rFonts w:cs="宋体"/>
                <w:color w:val="auto"/>
              </w:rPr>
              <w:t>（1）非正常排放情形及排放源强</w:t>
            </w:r>
          </w:p>
          <w:p w14:paraId="2F0E0956">
            <w:pPr>
              <w:ind w:firstLine="480" w:firstLineChars="200"/>
              <w:rPr>
                <w:rFonts w:cs="宋体"/>
                <w:color w:val="auto"/>
              </w:rPr>
            </w:pPr>
            <w:r>
              <w:rPr>
                <w:rFonts w:cs="宋体"/>
                <w:color w:val="auto"/>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w:t>
            </w:r>
            <w:r>
              <w:rPr>
                <w:rFonts w:hint="eastAsia" w:cs="宋体"/>
                <w:color w:val="auto"/>
              </w:rPr>
              <w:t>。本项目废气非正常情况具体见表</w:t>
            </w:r>
            <w:r>
              <w:rPr>
                <w:rFonts w:cs="宋体"/>
                <w:color w:val="auto"/>
              </w:rPr>
              <w:t>4.2-</w:t>
            </w:r>
            <w:r>
              <w:rPr>
                <w:rFonts w:hint="eastAsia" w:cs="宋体"/>
                <w:color w:val="auto"/>
              </w:rPr>
              <w:t>4</w:t>
            </w:r>
            <w:r>
              <w:rPr>
                <w:rFonts w:cs="宋体"/>
                <w:color w:val="auto"/>
              </w:rPr>
              <w:t>。</w:t>
            </w:r>
          </w:p>
          <w:p w14:paraId="4888FC16">
            <w:pPr>
              <w:adjustRightInd w:val="0"/>
              <w:snapToGrid w:val="0"/>
              <w:spacing w:line="240" w:lineRule="auto"/>
              <w:jc w:val="center"/>
              <w:rPr>
                <w:b/>
                <w:color w:val="auto"/>
                <w:kern w:val="0"/>
                <w:szCs w:val="20"/>
              </w:rPr>
            </w:pPr>
            <w:r>
              <w:rPr>
                <w:b/>
                <w:color w:val="auto"/>
                <w:kern w:val="0"/>
                <w:szCs w:val="20"/>
              </w:rPr>
              <w:t>表4.2-</w:t>
            </w:r>
            <w:r>
              <w:rPr>
                <w:rFonts w:hint="eastAsia"/>
                <w:b/>
                <w:color w:val="auto"/>
                <w:kern w:val="0"/>
                <w:szCs w:val="20"/>
              </w:rPr>
              <w:t xml:space="preserve">4  </w:t>
            </w:r>
            <w:r>
              <w:rPr>
                <w:b/>
                <w:color w:val="auto"/>
                <w:kern w:val="0"/>
                <w:szCs w:val="20"/>
              </w:rPr>
              <w:t>污染源非正常排放量核算</w:t>
            </w:r>
          </w:p>
          <w:tbl>
            <w:tblPr>
              <w:tblStyle w:val="31"/>
              <w:tblW w:w="7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779"/>
              <w:gridCol w:w="1372"/>
              <w:gridCol w:w="829"/>
              <w:gridCol w:w="1288"/>
              <w:gridCol w:w="891"/>
              <w:gridCol w:w="705"/>
              <w:gridCol w:w="675"/>
              <w:gridCol w:w="825"/>
            </w:tblGrid>
            <w:tr w14:paraId="5FEA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tcBorders>
                    <w:top w:val="single" w:color="auto" w:sz="12" w:space="0"/>
                    <w:left w:val="nil"/>
                    <w:bottom w:val="single" w:color="auto" w:sz="4" w:space="0"/>
                  </w:tcBorders>
                  <w:vAlign w:val="center"/>
                </w:tcPr>
                <w:p w14:paraId="4A3BBBA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序号</w:t>
                  </w:r>
                </w:p>
              </w:tc>
              <w:tc>
                <w:tcPr>
                  <w:tcW w:w="779" w:type="dxa"/>
                  <w:tcBorders>
                    <w:top w:val="single" w:color="auto" w:sz="12" w:space="0"/>
                    <w:bottom w:val="single" w:color="auto" w:sz="4" w:space="0"/>
                  </w:tcBorders>
                  <w:vAlign w:val="center"/>
                </w:tcPr>
                <w:p w14:paraId="709A991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排放源</w:t>
                  </w:r>
                </w:p>
              </w:tc>
              <w:tc>
                <w:tcPr>
                  <w:tcW w:w="1372" w:type="dxa"/>
                  <w:tcBorders>
                    <w:top w:val="single" w:color="auto" w:sz="12" w:space="0"/>
                    <w:bottom w:val="single" w:color="auto" w:sz="4" w:space="0"/>
                  </w:tcBorders>
                  <w:vAlign w:val="center"/>
                </w:tcPr>
                <w:p w14:paraId="75F09DC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非正常排放原因</w:t>
                  </w:r>
                </w:p>
              </w:tc>
              <w:tc>
                <w:tcPr>
                  <w:tcW w:w="829" w:type="dxa"/>
                  <w:tcBorders>
                    <w:top w:val="single" w:color="auto" w:sz="12" w:space="0"/>
                    <w:bottom w:val="single" w:color="auto" w:sz="4" w:space="0"/>
                  </w:tcBorders>
                  <w:vAlign w:val="center"/>
                </w:tcPr>
                <w:p w14:paraId="2AE2275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污染源</w:t>
                  </w:r>
                </w:p>
              </w:tc>
              <w:tc>
                <w:tcPr>
                  <w:tcW w:w="1288" w:type="dxa"/>
                  <w:tcBorders>
                    <w:top w:val="single" w:color="auto" w:sz="12" w:space="0"/>
                    <w:bottom w:val="single" w:color="auto" w:sz="4" w:space="0"/>
                  </w:tcBorders>
                  <w:vAlign w:val="center"/>
                </w:tcPr>
                <w:p w14:paraId="410B6602">
                  <w:pPr>
                    <w:adjustRightInd w:val="0"/>
                    <w:snapToGrid w:val="0"/>
                    <w:spacing w:before="24" w:beforeLines="10" w:after="24" w:afterLines="10" w:line="240" w:lineRule="auto"/>
                    <w:jc w:val="center"/>
                    <w:rPr>
                      <w:color w:val="auto"/>
                      <w:kern w:val="0"/>
                      <w:sz w:val="21"/>
                      <w:szCs w:val="20"/>
                    </w:rPr>
                  </w:pPr>
                  <w:r>
                    <w:rPr>
                      <w:color w:val="auto"/>
                      <w:kern w:val="0"/>
                      <w:sz w:val="21"/>
                      <w:szCs w:val="20"/>
                    </w:rPr>
                    <w:t>非正常排放浓 度</w:t>
                  </w:r>
                  <w:r>
                    <w:rPr>
                      <w:rFonts w:hint="eastAsia"/>
                      <w:color w:val="auto"/>
                      <w:kern w:val="0"/>
                      <w:sz w:val="21"/>
                      <w:szCs w:val="20"/>
                    </w:rPr>
                    <w:t>（mg/m</w:t>
                  </w:r>
                  <w:r>
                    <w:rPr>
                      <w:rFonts w:hint="eastAsia"/>
                      <w:color w:val="auto"/>
                      <w:kern w:val="0"/>
                      <w:sz w:val="21"/>
                      <w:szCs w:val="20"/>
                      <w:vertAlign w:val="superscript"/>
                    </w:rPr>
                    <w:t>3</w:t>
                  </w:r>
                  <w:r>
                    <w:rPr>
                      <w:rFonts w:hint="eastAsia"/>
                      <w:color w:val="auto"/>
                      <w:kern w:val="0"/>
                      <w:sz w:val="21"/>
                      <w:szCs w:val="20"/>
                    </w:rPr>
                    <w:t>）</w:t>
                  </w:r>
                </w:p>
              </w:tc>
              <w:tc>
                <w:tcPr>
                  <w:tcW w:w="891" w:type="dxa"/>
                  <w:tcBorders>
                    <w:top w:val="single" w:color="auto" w:sz="12" w:space="0"/>
                    <w:bottom w:val="single" w:color="auto" w:sz="4" w:space="0"/>
                  </w:tcBorders>
                  <w:vAlign w:val="center"/>
                </w:tcPr>
                <w:p w14:paraId="6D551FCF">
                  <w:pPr>
                    <w:adjustRightInd w:val="0"/>
                    <w:snapToGrid w:val="0"/>
                    <w:spacing w:before="24" w:beforeLines="10" w:after="24" w:afterLines="10" w:line="240" w:lineRule="auto"/>
                    <w:jc w:val="center"/>
                    <w:rPr>
                      <w:color w:val="auto"/>
                      <w:kern w:val="0"/>
                      <w:sz w:val="21"/>
                      <w:szCs w:val="20"/>
                    </w:rPr>
                  </w:pPr>
                  <w:r>
                    <w:rPr>
                      <w:color w:val="auto"/>
                      <w:kern w:val="0"/>
                      <w:sz w:val="21"/>
                      <w:szCs w:val="20"/>
                    </w:rPr>
                    <w:t>非正常排放速率</w:t>
                  </w:r>
                  <w:r>
                    <w:rPr>
                      <w:rFonts w:hint="eastAsia"/>
                      <w:color w:val="auto"/>
                      <w:kern w:val="0"/>
                      <w:sz w:val="21"/>
                      <w:szCs w:val="20"/>
                    </w:rPr>
                    <w:t>（kg/h）</w:t>
                  </w:r>
                </w:p>
              </w:tc>
              <w:tc>
                <w:tcPr>
                  <w:tcW w:w="705" w:type="dxa"/>
                  <w:tcBorders>
                    <w:top w:val="single" w:color="auto" w:sz="12" w:space="0"/>
                    <w:bottom w:val="single" w:color="auto" w:sz="4" w:space="0"/>
                  </w:tcBorders>
                  <w:vAlign w:val="center"/>
                </w:tcPr>
                <w:p w14:paraId="75B2342B">
                  <w:pPr>
                    <w:adjustRightInd w:val="0"/>
                    <w:snapToGrid w:val="0"/>
                    <w:spacing w:before="24" w:beforeLines="10" w:after="24" w:afterLines="10" w:line="240" w:lineRule="auto"/>
                    <w:jc w:val="center"/>
                    <w:rPr>
                      <w:color w:val="auto"/>
                      <w:kern w:val="0"/>
                      <w:sz w:val="21"/>
                      <w:szCs w:val="20"/>
                    </w:rPr>
                  </w:pPr>
                  <w:r>
                    <w:rPr>
                      <w:color w:val="auto"/>
                      <w:kern w:val="0"/>
                      <w:sz w:val="21"/>
                      <w:szCs w:val="20"/>
                    </w:rPr>
                    <w:t>单次维持时间</w:t>
                  </w:r>
                </w:p>
              </w:tc>
              <w:tc>
                <w:tcPr>
                  <w:tcW w:w="675" w:type="dxa"/>
                  <w:tcBorders>
                    <w:top w:val="single" w:color="auto" w:sz="12" w:space="0"/>
                    <w:bottom w:val="single" w:color="auto" w:sz="4" w:space="0"/>
                  </w:tcBorders>
                  <w:vAlign w:val="center"/>
                </w:tcPr>
                <w:p w14:paraId="50884C15">
                  <w:pPr>
                    <w:adjustRightInd w:val="0"/>
                    <w:snapToGrid w:val="0"/>
                    <w:spacing w:before="24" w:beforeLines="10" w:after="24" w:afterLines="10" w:line="240" w:lineRule="auto"/>
                    <w:jc w:val="center"/>
                    <w:rPr>
                      <w:color w:val="auto"/>
                      <w:kern w:val="0"/>
                      <w:sz w:val="21"/>
                      <w:szCs w:val="20"/>
                    </w:rPr>
                  </w:pPr>
                  <w:r>
                    <w:rPr>
                      <w:color w:val="auto"/>
                      <w:kern w:val="0"/>
                      <w:sz w:val="21"/>
                      <w:szCs w:val="20"/>
                    </w:rPr>
                    <w:t>年发生次数</w:t>
                  </w:r>
                </w:p>
              </w:tc>
              <w:tc>
                <w:tcPr>
                  <w:tcW w:w="825" w:type="dxa"/>
                  <w:tcBorders>
                    <w:top w:val="single" w:color="auto" w:sz="12" w:space="0"/>
                    <w:bottom w:val="single" w:color="auto" w:sz="4" w:space="0"/>
                    <w:right w:val="nil"/>
                  </w:tcBorders>
                  <w:vAlign w:val="center"/>
                </w:tcPr>
                <w:p w14:paraId="17DBA237">
                  <w:pPr>
                    <w:adjustRightInd w:val="0"/>
                    <w:snapToGrid w:val="0"/>
                    <w:spacing w:before="24" w:beforeLines="10" w:after="24" w:afterLines="10" w:line="240" w:lineRule="auto"/>
                    <w:jc w:val="center"/>
                    <w:rPr>
                      <w:color w:val="auto"/>
                      <w:kern w:val="0"/>
                      <w:sz w:val="21"/>
                      <w:szCs w:val="20"/>
                    </w:rPr>
                  </w:pPr>
                  <w:r>
                    <w:rPr>
                      <w:color w:val="auto"/>
                      <w:kern w:val="0"/>
                      <w:sz w:val="21"/>
                      <w:szCs w:val="20"/>
                    </w:rPr>
                    <w:t>应对措施</w:t>
                  </w:r>
                </w:p>
              </w:tc>
            </w:tr>
            <w:tr w14:paraId="02A6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vMerge w:val="restart"/>
                  <w:tcBorders>
                    <w:top w:val="single" w:color="auto" w:sz="4" w:space="0"/>
                    <w:left w:val="nil"/>
                  </w:tcBorders>
                  <w:vAlign w:val="center"/>
                </w:tcPr>
                <w:p w14:paraId="4E52704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w:t>
                  </w:r>
                </w:p>
              </w:tc>
              <w:tc>
                <w:tcPr>
                  <w:tcW w:w="779" w:type="dxa"/>
                  <w:vMerge w:val="restart"/>
                  <w:tcBorders>
                    <w:top w:val="single" w:color="auto" w:sz="4" w:space="0"/>
                  </w:tcBorders>
                  <w:vAlign w:val="center"/>
                </w:tcPr>
                <w:p w14:paraId="4BA9373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DA001</w:t>
                  </w:r>
                </w:p>
              </w:tc>
              <w:tc>
                <w:tcPr>
                  <w:tcW w:w="1372" w:type="dxa"/>
                  <w:vMerge w:val="restart"/>
                  <w:tcBorders>
                    <w:top w:val="single" w:color="auto" w:sz="4" w:space="0"/>
                  </w:tcBorders>
                  <w:vAlign w:val="center"/>
                </w:tcPr>
                <w:p w14:paraId="35B73AE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废气治理设施故障（处理效率为0）</w:t>
                  </w:r>
                </w:p>
              </w:tc>
              <w:tc>
                <w:tcPr>
                  <w:tcW w:w="829" w:type="dxa"/>
                  <w:tcBorders>
                    <w:top w:val="single" w:color="auto" w:sz="4" w:space="0"/>
                    <w:bottom w:val="single" w:color="auto" w:sz="4" w:space="0"/>
                  </w:tcBorders>
                  <w:vAlign w:val="center"/>
                </w:tcPr>
                <w:p w14:paraId="515A88A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非甲烷总烃</w:t>
                  </w:r>
                </w:p>
              </w:tc>
              <w:tc>
                <w:tcPr>
                  <w:tcW w:w="1288" w:type="dxa"/>
                  <w:tcBorders>
                    <w:top w:val="single" w:color="auto" w:sz="4" w:space="0"/>
                    <w:bottom w:val="single" w:color="auto" w:sz="4" w:space="0"/>
                  </w:tcBorders>
                  <w:vAlign w:val="center"/>
                </w:tcPr>
                <w:p w14:paraId="193A44DE">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266.5</w:t>
                  </w:r>
                </w:p>
              </w:tc>
              <w:tc>
                <w:tcPr>
                  <w:tcW w:w="891" w:type="dxa"/>
                  <w:tcBorders>
                    <w:top w:val="single" w:color="auto" w:sz="4" w:space="0"/>
                    <w:bottom w:val="single" w:color="auto" w:sz="4" w:space="0"/>
                  </w:tcBorders>
                  <w:vAlign w:val="center"/>
                </w:tcPr>
                <w:p w14:paraId="6B70C15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0.26652</w:t>
                  </w:r>
                </w:p>
              </w:tc>
              <w:tc>
                <w:tcPr>
                  <w:tcW w:w="705" w:type="dxa"/>
                  <w:vMerge w:val="restart"/>
                  <w:tcBorders>
                    <w:top w:val="single" w:color="auto" w:sz="4" w:space="0"/>
                  </w:tcBorders>
                  <w:vAlign w:val="center"/>
                </w:tcPr>
                <w:p w14:paraId="5FB594B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1h</w:t>
                  </w:r>
                </w:p>
              </w:tc>
              <w:tc>
                <w:tcPr>
                  <w:tcW w:w="675" w:type="dxa"/>
                  <w:vMerge w:val="restart"/>
                  <w:tcBorders>
                    <w:top w:val="single" w:color="auto" w:sz="4" w:space="0"/>
                  </w:tcBorders>
                  <w:vAlign w:val="center"/>
                </w:tcPr>
                <w:p w14:paraId="5416612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1次</w:t>
                  </w:r>
                </w:p>
              </w:tc>
              <w:tc>
                <w:tcPr>
                  <w:tcW w:w="825" w:type="dxa"/>
                  <w:vMerge w:val="restart"/>
                  <w:tcBorders>
                    <w:top w:val="single" w:color="auto" w:sz="4" w:space="0"/>
                    <w:right w:val="nil"/>
                  </w:tcBorders>
                  <w:vAlign w:val="center"/>
                </w:tcPr>
                <w:p w14:paraId="7999217A">
                  <w:pPr>
                    <w:adjustRightInd w:val="0"/>
                    <w:snapToGrid w:val="0"/>
                    <w:spacing w:before="24" w:beforeLines="10" w:after="24" w:afterLines="10" w:line="240" w:lineRule="auto"/>
                    <w:jc w:val="center"/>
                    <w:rPr>
                      <w:color w:val="auto"/>
                      <w:kern w:val="0"/>
                      <w:sz w:val="21"/>
                      <w:szCs w:val="20"/>
                    </w:rPr>
                  </w:pPr>
                  <w:r>
                    <w:rPr>
                      <w:color w:val="auto"/>
                      <w:kern w:val="0"/>
                      <w:sz w:val="21"/>
                      <w:szCs w:val="20"/>
                    </w:rPr>
                    <w:t>立即停产，修复后生产</w:t>
                  </w:r>
                </w:p>
              </w:tc>
            </w:tr>
            <w:tr w14:paraId="7983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vMerge w:val="continue"/>
                  <w:tcBorders>
                    <w:left w:val="nil"/>
                  </w:tcBorders>
                  <w:vAlign w:val="center"/>
                </w:tcPr>
                <w:p w14:paraId="3D2B156E">
                  <w:pPr>
                    <w:adjustRightInd w:val="0"/>
                    <w:snapToGrid w:val="0"/>
                    <w:spacing w:before="24" w:beforeLines="10" w:after="24" w:afterLines="10" w:line="240" w:lineRule="auto"/>
                    <w:jc w:val="center"/>
                    <w:rPr>
                      <w:color w:val="auto"/>
                      <w:kern w:val="0"/>
                      <w:sz w:val="21"/>
                      <w:szCs w:val="20"/>
                    </w:rPr>
                  </w:pPr>
                </w:p>
              </w:tc>
              <w:tc>
                <w:tcPr>
                  <w:tcW w:w="779" w:type="dxa"/>
                  <w:vMerge w:val="continue"/>
                  <w:vAlign w:val="center"/>
                </w:tcPr>
                <w:p w14:paraId="38E1FA53">
                  <w:pPr>
                    <w:adjustRightInd w:val="0"/>
                    <w:snapToGrid w:val="0"/>
                    <w:spacing w:before="24" w:beforeLines="10" w:after="24" w:afterLines="10" w:line="240" w:lineRule="auto"/>
                    <w:jc w:val="center"/>
                    <w:rPr>
                      <w:color w:val="auto"/>
                      <w:kern w:val="0"/>
                      <w:sz w:val="21"/>
                      <w:szCs w:val="20"/>
                    </w:rPr>
                  </w:pPr>
                </w:p>
              </w:tc>
              <w:tc>
                <w:tcPr>
                  <w:tcW w:w="1372" w:type="dxa"/>
                  <w:vMerge w:val="continue"/>
                  <w:vAlign w:val="center"/>
                </w:tcPr>
                <w:p w14:paraId="504D1912">
                  <w:pPr>
                    <w:adjustRightInd w:val="0"/>
                    <w:snapToGrid w:val="0"/>
                    <w:spacing w:before="24" w:beforeLines="10" w:after="24" w:afterLines="10" w:line="240" w:lineRule="auto"/>
                    <w:jc w:val="center"/>
                    <w:rPr>
                      <w:color w:val="auto"/>
                      <w:kern w:val="0"/>
                      <w:sz w:val="21"/>
                      <w:szCs w:val="20"/>
                    </w:rPr>
                  </w:pPr>
                </w:p>
              </w:tc>
              <w:tc>
                <w:tcPr>
                  <w:tcW w:w="829" w:type="dxa"/>
                  <w:tcBorders>
                    <w:top w:val="single" w:color="auto" w:sz="4" w:space="0"/>
                    <w:bottom w:val="single" w:color="auto" w:sz="4" w:space="0"/>
                  </w:tcBorders>
                  <w:vAlign w:val="center"/>
                </w:tcPr>
                <w:p w14:paraId="38C795FD">
                  <w:pPr>
                    <w:adjustRightInd w:val="0"/>
                    <w:snapToGrid w:val="0"/>
                    <w:spacing w:before="24" w:beforeLines="10" w:after="24" w:afterLines="10" w:line="240" w:lineRule="auto"/>
                    <w:jc w:val="center"/>
                    <w:rPr>
                      <w:color w:val="auto"/>
                      <w:kern w:val="0"/>
                      <w:sz w:val="21"/>
                      <w:szCs w:val="20"/>
                    </w:rPr>
                  </w:pPr>
                  <w:r>
                    <w:rPr>
                      <w:color w:val="auto"/>
                      <w:kern w:val="0"/>
                      <w:sz w:val="21"/>
                      <w:szCs w:val="20"/>
                    </w:rPr>
                    <w:t>乙酸乙酯与乙酸丁酯合计</w:t>
                  </w:r>
                </w:p>
              </w:tc>
              <w:tc>
                <w:tcPr>
                  <w:tcW w:w="1288" w:type="dxa"/>
                  <w:tcBorders>
                    <w:top w:val="single" w:color="auto" w:sz="4" w:space="0"/>
                    <w:bottom w:val="single" w:color="auto" w:sz="4" w:space="0"/>
                  </w:tcBorders>
                  <w:vAlign w:val="center"/>
                </w:tcPr>
                <w:p w14:paraId="5BD1EB91">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21.7</w:t>
                  </w:r>
                </w:p>
              </w:tc>
              <w:tc>
                <w:tcPr>
                  <w:tcW w:w="891" w:type="dxa"/>
                  <w:tcBorders>
                    <w:top w:val="single" w:color="auto" w:sz="4" w:space="0"/>
                    <w:bottom w:val="single" w:color="auto" w:sz="4" w:space="0"/>
                  </w:tcBorders>
                  <w:vAlign w:val="center"/>
                </w:tcPr>
                <w:p w14:paraId="1F46FFA8">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0.02170</w:t>
                  </w:r>
                </w:p>
              </w:tc>
              <w:tc>
                <w:tcPr>
                  <w:tcW w:w="705" w:type="dxa"/>
                  <w:vMerge w:val="continue"/>
                  <w:vAlign w:val="center"/>
                </w:tcPr>
                <w:p w14:paraId="01CA8BAE">
                  <w:pPr>
                    <w:adjustRightInd w:val="0"/>
                    <w:snapToGrid w:val="0"/>
                    <w:spacing w:before="24" w:beforeLines="10" w:after="24" w:afterLines="10" w:line="240" w:lineRule="auto"/>
                    <w:jc w:val="center"/>
                    <w:rPr>
                      <w:color w:val="auto"/>
                      <w:kern w:val="0"/>
                      <w:sz w:val="21"/>
                      <w:szCs w:val="20"/>
                    </w:rPr>
                  </w:pPr>
                </w:p>
              </w:tc>
              <w:tc>
                <w:tcPr>
                  <w:tcW w:w="675" w:type="dxa"/>
                  <w:vMerge w:val="continue"/>
                  <w:vAlign w:val="center"/>
                </w:tcPr>
                <w:p w14:paraId="525D35CD">
                  <w:pPr>
                    <w:adjustRightInd w:val="0"/>
                    <w:snapToGrid w:val="0"/>
                    <w:spacing w:before="24" w:beforeLines="10" w:after="24" w:afterLines="10" w:line="240" w:lineRule="auto"/>
                    <w:jc w:val="center"/>
                    <w:rPr>
                      <w:color w:val="auto"/>
                      <w:kern w:val="0"/>
                      <w:sz w:val="21"/>
                      <w:szCs w:val="20"/>
                    </w:rPr>
                  </w:pPr>
                </w:p>
              </w:tc>
              <w:tc>
                <w:tcPr>
                  <w:tcW w:w="825" w:type="dxa"/>
                  <w:vMerge w:val="continue"/>
                  <w:tcBorders>
                    <w:right w:val="nil"/>
                  </w:tcBorders>
                  <w:vAlign w:val="center"/>
                </w:tcPr>
                <w:p w14:paraId="5CE5DE07">
                  <w:pPr>
                    <w:adjustRightInd w:val="0"/>
                    <w:snapToGrid w:val="0"/>
                    <w:spacing w:before="24" w:beforeLines="10" w:after="24" w:afterLines="10" w:line="240" w:lineRule="auto"/>
                    <w:jc w:val="center"/>
                    <w:rPr>
                      <w:color w:val="auto"/>
                      <w:kern w:val="0"/>
                      <w:sz w:val="21"/>
                      <w:szCs w:val="20"/>
                    </w:rPr>
                  </w:pPr>
                </w:p>
              </w:tc>
            </w:tr>
            <w:tr w14:paraId="430D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vMerge w:val="continue"/>
                  <w:tcBorders>
                    <w:left w:val="nil"/>
                  </w:tcBorders>
                  <w:vAlign w:val="center"/>
                </w:tcPr>
                <w:p w14:paraId="48C12559">
                  <w:pPr>
                    <w:adjustRightInd w:val="0"/>
                    <w:snapToGrid w:val="0"/>
                    <w:spacing w:before="24" w:beforeLines="10" w:after="24" w:afterLines="10" w:line="240" w:lineRule="auto"/>
                    <w:jc w:val="center"/>
                    <w:rPr>
                      <w:color w:val="auto"/>
                      <w:kern w:val="0"/>
                      <w:sz w:val="21"/>
                      <w:szCs w:val="20"/>
                    </w:rPr>
                  </w:pPr>
                </w:p>
              </w:tc>
              <w:tc>
                <w:tcPr>
                  <w:tcW w:w="779" w:type="dxa"/>
                  <w:vMerge w:val="continue"/>
                  <w:vAlign w:val="center"/>
                </w:tcPr>
                <w:p w14:paraId="34C2A5AB">
                  <w:pPr>
                    <w:adjustRightInd w:val="0"/>
                    <w:snapToGrid w:val="0"/>
                    <w:spacing w:before="24" w:beforeLines="10" w:after="24" w:afterLines="10" w:line="240" w:lineRule="auto"/>
                    <w:jc w:val="center"/>
                    <w:rPr>
                      <w:color w:val="auto"/>
                      <w:kern w:val="0"/>
                      <w:sz w:val="21"/>
                      <w:szCs w:val="20"/>
                    </w:rPr>
                  </w:pPr>
                </w:p>
              </w:tc>
              <w:tc>
                <w:tcPr>
                  <w:tcW w:w="1372" w:type="dxa"/>
                  <w:vMerge w:val="continue"/>
                  <w:vAlign w:val="center"/>
                </w:tcPr>
                <w:p w14:paraId="2A5A5EE6">
                  <w:pPr>
                    <w:adjustRightInd w:val="0"/>
                    <w:snapToGrid w:val="0"/>
                    <w:spacing w:before="24" w:beforeLines="10" w:after="24" w:afterLines="10" w:line="240" w:lineRule="auto"/>
                    <w:jc w:val="center"/>
                    <w:rPr>
                      <w:color w:val="auto"/>
                      <w:kern w:val="0"/>
                      <w:sz w:val="21"/>
                      <w:szCs w:val="20"/>
                    </w:rPr>
                  </w:pPr>
                </w:p>
              </w:tc>
              <w:tc>
                <w:tcPr>
                  <w:tcW w:w="829" w:type="dxa"/>
                  <w:tcBorders>
                    <w:top w:val="single" w:color="auto" w:sz="4" w:space="0"/>
                    <w:bottom w:val="single" w:color="auto" w:sz="4" w:space="0"/>
                  </w:tcBorders>
                  <w:vAlign w:val="center"/>
                </w:tcPr>
                <w:p w14:paraId="67F765D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二甲苯</w:t>
                  </w:r>
                </w:p>
              </w:tc>
              <w:tc>
                <w:tcPr>
                  <w:tcW w:w="1288" w:type="dxa"/>
                  <w:tcBorders>
                    <w:top w:val="single" w:color="auto" w:sz="4" w:space="0"/>
                    <w:bottom w:val="single" w:color="auto" w:sz="4" w:space="0"/>
                  </w:tcBorders>
                  <w:vAlign w:val="center"/>
                </w:tcPr>
                <w:p w14:paraId="190B8DA1">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60.3</w:t>
                  </w:r>
                </w:p>
              </w:tc>
              <w:tc>
                <w:tcPr>
                  <w:tcW w:w="891" w:type="dxa"/>
                  <w:tcBorders>
                    <w:top w:val="single" w:color="auto" w:sz="4" w:space="0"/>
                    <w:bottom w:val="single" w:color="auto" w:sz="4" w:space="0"/>
                  </w:tcBorders>
                  <w:vAlign w:val="center"/>
                </w:tcPr>
                <w:p w14:paraId="6B4511C2">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0.06027</w:t>
                  </w:r>
                </w:p>
              </w:tc>
              <w:tc>
                <w:tcPr>
                  <w:tcW w:w="705" w:type="dxa"/>
                  <w:vMerge w:val="continue"/>
                  <w:vAlign w:val="center"/>
                </w:tcPr>
                <w:p w14:paraId="53C72920">
                  <w:pPr>
                    <w:adjustRightInd w:val="0"/>
                    <w:snapToGrid w:val="0"/>
                    <w:spacing w:before="24" w:beforeLines="10" w:after="24" w:afterLines="10" w:line="240" w:lineRule="auto"/>
                    <w:jc w:val="center"/>
                    <w:rPr>
                      <w:color w:val="auto"/>
                      <w:kern w:val="0"/>
                      <w:sz w:val="21"/>
                      <w:szCs w:val="20"/>
                    </w:rPr>
                  </w:pPr>
                </w:p>
              </w:tc>
              <w:tc>
                <w:tcPr>
                  <w:tcW w:w="675" w:type="dxa"/>
                  <w:vMerge w:val="continue"/>
                  <w:vAlign w:val="center"/>
                </w:tcPr>
                <w:p w14:paraId="1A818EF6">
                  <w:pPr>
                    <w:adjustRightInd w:val="0"/>
                    <w:snapToGrid w:val="0"/>
                    <w:spacing w:before="24" w:beforeLines="10" w:after="24" w:afterLines="10" w:line="240" w:lineRule="auto"/>
                    <w:jc w:val="center"/>
                    <w:rPr>
                      <w:color w:val="auto"/>
                      <w:kern w:val="0"/>
                      <w:sz w:val="21"/>
                      <w:szCs w:val="20"/>
                    </w:rPr>
                  </w:pPr>
                </w:p>
              </w:tc>
              <w:tc>
                <w:tcPr>
                  <w:tcW w:w="825" w:type="dxa"/>
                  <w:vMerge w:val="continue"/>
                  <w:tcBorders>
                    <w:right w:val="nil"/>
                  </w:tcBorders>
                  <w:vAlign w:val="center"/>
                </w:tcPr>
                <w:p w14:paraId="77564124">
                  <w:pPr>
                    <w:adjustRightInd w:val="0"/>
                    <w:snapToGrid w:val="0"/>
                    <w:spacing w:before="24" w:beforeLines="10" w:after="24" w:afterLines="10" w:line="240" w:lineRule="auto"/>
                    <w:jc w:val="center"/>
                    <w:rPr>
                      <w:color w:val="auto"/>
                      <w:kern w:val="0"/>
                      <w:sz w:val="21"/>
                      <w:szCs w:val="20"/>
                    </w:rPr>
                  </w:pPr>
                </w:p>
              </w:tc>
            </w:tr>
            <w:tr w14:paraId="397F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7" w:type="dxa"/>
                  <w:tcBorders>
                    <w:left w:val="nil"/>
                    <w:bottom w:val="single" w:color="auto" w:sz="12" w:space="0"/>
                  </w:tcBorders>
                  <w:vAlign w:val="center"/>
                </w:tcPr>
                <w:p w14:paraId="08D9B42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2</w:t>
                  </w:r>
                </w:p>
              </w:tc>
              <w:tc>
                <w:tcPr>
                  <w:tcW w:w="779" w:type="dxa"/>
                  <w:tcBorders>
                    <w:bottom w:val="single" w:color="auto" w:sz="12" w:space="0"/>
                  </w:tcBorders>
                  <w:vAlign w:val="center"/>
                </w:tcPr>
                <w:p w14:paraId="22E194D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DA002</w:t>
                  </w:r>
                </w:p>
              </w:tc>
              <w:tc>
                <w:tcPr>
                  <w:tcW w:w="1372" w:type="dxa"/>
                  <w:tcBorders>
                    <w:bottom w:val="single" w:color="auto" w:sz="12" w:space="0"/>
                  </w:tcBorders>
                  <w:vAlign w:val="center"/>
                </w:tcPr>
                <w:p w14:paraId="4318A17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废气治理设施故障（处理效率为0）</w:t>
                  </w:r>
                </w:p>
              </w:tc>
              <w:tc>
                <w:tcPr>
                  <w:tcW w:w="829" w:type="dxa"/>
                  <w:tcBorders>
                    <w:top w:val="single" w:color="auto" w:sz="4" w:space="0"/>
                    <w:bottom w:val="single" w:color="auto" w:sz="12" w:space="0"/>
                  </w:tcBorders>
                  <w:vAlign w:val="center"/>
                </w:tcPr>
                <w:p w14:paraId="22F6975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颗粒物</w:t>
                  </w:r>
                </w:p>
              </w:tc>
              <w:tc>
                <w:tcPr>
                  <w:tcW w:w="1288" w:type="dxa"/>
                  <w:tcBorders>
                    <w:top w:val="single" w:color="auto" w:sz="4" w:space="0"/>
                    <w:bottom w:val="single" w:color="auto" w:sz="12" w:space="0"/>
                  </w:tcBorders>
                  <w:vAlign w:val="center"/>
                </w:tcPr>
                <w:p w14:paraId="6918A0EC">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277</w:t>
                  </w:r>
                </w:p>
              </w:tc>
              <w:tc>
                <w:tcPr>
                  <w:tcW w:w="891" w:type="dxa"/>
                  <w:tcBorders>
                    <w:top w:val="single" w:color="auto" w:sz="4" w:space="0"/>
                    <w:bottom w:val="single" w:color="auto" w:sz="12" w:space="0"/>
                  </w:tcBorders>
                  <w:vAlign w:val="center"/>
                </w:tcPr>
                <w:p w14:paraId="70E2600A">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705" w:type="dxa"/>
                  <w:vMerge w:val="continue"/>
                  <w:tcBorders>
                    <w:bottom w:val="single" w:color="auto" w:sz="12" w:space="0"/>
                  </w:tcBorders>
                  <w:vAlign w:val="center"/>
                </w:tcPr>
                <w:p w14:paraId="378B4576">
                  <w:pPr>
                    <w:adjustRightInd w:val="0"/>
                    <w:snapToGrid w:val="0"/>
                    <w:spacing w:before="24" w:beforeLines="10" w:after="24" w:afterLines="10" w:line="240" w:lineRule="auto"/>
                    <w:jc w:val="center"/>
                    <w:rPr>
                      <w:color w:val="auto"/>
                      <w:kern w:val="0"/>
                      <w:sz w:val="21"/>
                      <w:szCs w:val="20"/>
                    </w:rPr>
                  </w:pPr>
                </w:p>
              </w:tc>
              <w:tc>
                <w:tcPr>
                  <w:tcW w:w="675" w:type="dxa"/>
                  <w:vMerge w:val="continue"/>
                  <w:tcBorders>
                    <w:bottom w:val="single" w:color="auto" w:sz="12" w:space="0"/>
                  </w:tcBorders>
                  <w:vAlign w:val="center"/>
                </w:tcPr>
                <w:p w14:paraId="74F49402">
                  <w:pPr>
                    <w:adjustRightInd w:val="0"/>
                    <w:snapToGrid w:val="0"/>
                    <w:spacing w:before="24" w:beforeLines="10" w:after="24" w:afterLines="10" w:line="240" w:lineRule="auto"/>
                    <w:jc w:val="center"/>
                    <w:rPr>
                      <w:color w:val="auto"/>
                      <w:kern w:val="0"/>
                      <w:sz w:val="21"/>
                      <w:szCs w:val="20"/>
                    </w:rPr>
                  </w:pPr>
                </w:p>
              </w:tc>
              <w:tc>
                <w:tcPr>
                  <w:tcW w:w="825" w:type="dxa"/>
                  <w:vMerge w:val="continue"/>
                  <w:tcBorders>
                    <w:bottom w:val="single" w:color="auto" w:sz="12" w:space="0"/>
                    <w:right w:val="nil"/>
                  </w:tcBorders>
                  <w:vAlign w:val="center"/>
                </w:tcPr>
                <w:p w14:paraId="65DF1041">
                  <w:pPr>
                    <w:adjustRightInd w:val="0"/>
                    <w:snapToGrid w:val="0"/>
                    <w:spacing w:before="24" w:beforeLines="10" w:after="24" w:afterLines="10" w:line="240" w:lineRule="auto"/>
                    <w:jc w:val="center"/>
                    <w:rPr>
                      <w:color w:val="auto"/>
                      <w:kern w:val="0"/>
                      <w:sz w:val="21"/>
                      <w:szCs w:val="20"/>
                    </w:rPr>
                  </w:pPr>
                </w:p>
              </w:tc>
            </w:tr>
          </w:tbl>
          <w:p w14:paraId="68969477">
            <w:pPr>
              <w:ind w:firstLine="480" w:firstLineChars="200"/>
              <w:rPr>
                <w:rFonts w:cs="宋体"/>
                <w:color w:val="auto"/>
              </w:rPr>
            </w:pPr>
            <w:r>
              <w:rPr>
                <w:rFonts w:cs="宋体"/>
                <w:color w:val="auto"/>
              </w:rPr>
              <w:t>（2）非正常排放防治措施</w:t>
            </w:r>
          </w:p>
          <w:p w14:paraId="73CA8234">
            <w:pPr>
              <w:ind w:firstLine="480" w:firstLineChars="200"/>
              <w:rPr>
                <w:rFonts w:cs="宋体"/>
                <w:color w:val="auto"/>
              </w:rPr>
            </w:pPr>
            <w:r>
              <w:rPr>
                <w:rFonts w:cs="宋体"/>
                <w:color w:val="auto"/>
              </w:rPr>
              <w:t>针对以上非正常排放情形，本评价建议建设单位在生产运营期间采取以下控制措施以避免或减少废气非正常排放。</w:t>
            </w:r>
          </w:p>
          <w:p w14:paraId="3AF1F116">
            <w:pPr>
              <w:ind w:firstLine="480" w:firstLineChars="200"/>
              <w:rPr>
                <w:rFonts w:cs="宋体"/>
                <w:color w:val="auto"/>
              </w:rPr>
            </w:pPr>
            <w:r>
              <w:rPr>
                <w:rFonts w:cs="宋体"/>
                <w:color w:val="auto"/>
              </w:rPr>
              <w:t>①规范车间生产操作，避免因员工操作不当导致工艺设备、环保设施故障引发废气事故排放。</w:t>
            </w:r>
          </w:p>
          <w:p w14:paraId="6EBABDEB">
            <w:pPr>
              <w:ind w:firstLine="480" w:firstLineChars="200"/>
              <w:rPr>
                <w:rFonts w:cs="宋体"/>
                <w:color w:val="auto"/>
              </w:rPr>
            </w:pPr>
            <w:r>
              <w:rPr>
                <w:rFonts w:cs="宋体"/>
                <w:color w:val="auto"/>
              </w:rPr>
              <w:t>②定期对生产设施及废气处理设施进行检查维护，杜绝非正常工况发生，避免非正常排放出现后才采取维护措施。</w:t>
            </w:r>
          </w:p>
          <w:p w14:paraId="0D14D3EA">
            <w:pPr>
              <w:ind w:firstLine="480" w:firstLineChars="200"/>
              <w:rPr>
                <w:rFonts w:cs="宋体"/>
                <w:color w:val="auto"/>
              </w:rPr>
            </w:pPr>
            <w:r>
              <w:rPr>
                <w:rFonts w:cs="宋体"/>
                <w:color w:val="auto"/>
              </w:rPr>
              <w:t>综上，项目在采取上述非正常排放防范措施后，非正常排放发生频率较低，非正常排放下污染物排放量较少，非正常工况可及时得到处理，因此本项目废气非正常排放对周边大气环境影响较小。</w:t>
            </w:r>
          </w:p>
          <w:p w14:paraId="73126F14">
            <w:pPr>
              <w:pStyle w:val="4"/>
              <w:ind w:firstLine="0" w:firstLineChars="0"/>
              <w:rPr>
                <w:color w:val="auto"/>
              </w:rPr>
            </w:pPr>
            <w:r>
              <w:rPr>
                <w:rFonts w:hint="eastAsia"/>
                <w:color w:val="auto"/>
              </w:rPr>
              <w:t>4.2.4运营期废气自行监测计划</w:t>
            </w:r>
          </w:p>
          <w:p w14:paraId="253C3F83">
            <w:pPr>
              <w:ind w:firstLine="480" w:firstLineChars="200"/>
              <w:rPr>
                <w:rFonts w:cs="宋体"/>
                <w:color w:val="auto"/>
              </w:rPr>
            </w:pPr>
            <w:r>
              <w:rPr>
                <w:rFonts w:hint="eastAsia" w:cs="宋体"/>
                <w:color w:val="auto"/>
              </w:rPr>
              <w:t>根据《固定污染源排污许可分类管理名录（2019年版）》（生态环境部第11号）可知，本项目属于</w:t>
            </w:r>
            <w:r>
              <w:rPr>
                <w:rFonts w:hint="eastAsia" w:cs="宋体"/>
                <w:color w:val="auto"/>
                <w:lang w:eastAsia="zh-CN"/>
              </w:rPr>
              <w:t>“</w:t>
            </w:r>
            <w:r>
              <w:rPr>
                <w:rFonts w:hint="eastAsia" w:cs="宋体"/>
                <w:color w:val="auto"/>
              </w:rPr>
              <w:t>二十四、橡胶和塑料制品业29其他</w:t>
            </w:r>
            <w:r>
              <w:rPr>
                <w:rFonts w:hint="eastAsia" w:cs="宋体"/>
                <w:color w:val="auto"/>
                <w:lang w:eastAsia="zh-CN"/>
              </w:rPr>
              <w:t>”</w:t>
            </w:r>
            <w:r>
              <w:rPr>
                <w:rFonts w:hint="eastAsia" w:cs="宋体"/>
                <w:color w:val="auto"/>
              </w:rPr>
              <w:t>，</w:t>
            </w:r>
            <w:r>
              <w:rPr>
                <w:rFonts w:hint="eastAsia" w:cs="宋体"/>
                <w:color w:val="auto"/>
                <w:lang w:eastAsia="zh-CN"/>
              </w:rPr>
              <w:t>“</w:t>
            </w:r>
            <w:r>
              <w:rPr>
                <w:rFonts w:hint="eastAsia" w:cs="宋体"/>
                <w:color w:val="auto"/>
              </w:rPr>
              <w:t>三十、金属制品业其他</w:t>
            </w:r>
            <w:r>
              <w:rPr>
                <w:rFonts w:hint="eastAsia" w:cs="宋体"/>
                <w:color w:val="auto"/>
                <w:lang w:eastAsia="zh-CN"/>
              </w:rPr>
              <w:t>”</w:t>
            </w:r>
            <w:r>
              <w:rPr>
                <w:rFonts w:hint="eastAsia" w:cs="宋体"/>
                <w:color w:val="auto"/>
              </w:rPr>
              <w:t>本项目应当进行登记管理，登记管理无自行监测要求。</w:t>
            </w:r>
          </w:p>
          <w:p w14:paraId="135D5823">
            <w:pPr>
              <w:pStyle w:val="3"/>
              <w:spacing w:before="0" w:after="0"/>
              <w:rPr>
                <w:color w:val="auto"/>
              </w:rPr>
            </w:pPr>
            <w:r>
              <w:rPr>
                <w:rFonts w:hint="eastAsia"/>
                <w:color w:val="auto"/>
              </w:rPr>
              <w:t>4.3运营期声环境影响分析和污染防控措施</w:t>
            </w:r>
          </w:p>
          <w:p w14:paraId="7F0AFE7E">
            <w:pPr>
              <w:pStyle w:val="4"/>
              <w:ind w:firstLine="0" w:firstLineChars="0"/>
              <w:rPr>
                <w:color w:val="auto"/>
              </w:rPr>
            </w:pPr>
            <w:r>
              <w:rPr>
                <w:rFonts w:hint="eastAsia"/>
                <w:color w:val="auto"/>
              </w:rPr>
              <w:t>4.3.1声环境污染源分析</w:t>
            </w:r>
          </w:p>
          <w:p w14:paraId="63D2286C">
            <w:pPr>
              <w:pStyle w:val="5"/>
              <w:ind w:firstLine="480"/>
              <w:rPr>
                <w:color w:val="auto"/>
              </w:rPr>
            </w:pPr>
            <w:r>
              <w:rPr>
                <w:rFonts w:hint="eastAsia"/>
                <w:color w:val="auto"/>
              </w:rPr>
              <w:t>本</w:t>
            </w:r>
            <w:r>
              <w:rPr>
                <w:color w:val="auto"/>
                <w:spacing w:val="-1"/>
              </w:rPr>
              <w:t>项目噪声来源于各生产设备运作时产生的机械噪声，</w:t>
            </w:r>
            <w:r>
              <w:rPr>
                <w:rFonts w:hint="eastAsia"/>
                <w:color w:val="auto"/>
              </w:rPr>
              <w:t>主要设备噪声见表4.3-1，表4.3-2。</w:t>
            </w:r>
          </w:p>
          <w:p w14:paraId="1065B2CB">
            <w:pPr>
              <w:pStyle w:val="39"/>
              <w:spacing w:before="0" w:beforeLines="0" w:after="0" w:afterLines="0" w:line="240" w:lineRule="auto"/>
              <w:rPr>
                <w:color w:val="auto"/>
              </w:rPr>
            </w:pPr>
            <w:r>
              <w:rPr>
                <w:rFonts w:hint="eastAsia"/>
                <w:color w:val="auto"/>
              </w:rPr>
              <w:t>表4.3-1  项目设备噪声一览表（室内声源）</w:t>
            </w:r>
          </w:p>
          <w:tbl>
            <w:tblPr>
              <w:tblStyle w:val="31"/>
              <w:tblW w:w="801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
              <w:gridCol w:w="1855"/>
              <w:gridCol w:w="625"/>
              <w:gridCol w:w="887"/>
              <w:gridCol w:w="725"/>
              <w:gridCol w:w="713"/>
              <w:gridCol w:w="712"/>
              <w:gridCol w:w="1025"/>
              <w:gridCol w:w="1050"/>
            </w:tblGrid>
            <w:tr w14:paraId="0039FA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restart"/>
                  <w:tcBorders>
                    <w:tl2br w:val="nil"/>
                    <w:tr2bl w:val="nil"/>
                  </w:tcBorders>
                  <w:vAlign w:val="center"/>
                </w:tcPr>
                <w:p w14:paraId="2888DD61">
                  <w:pPr>
                    <w:spacing w:line="240" w:lineRule="auto"/>
                    <w:jc w:val="center"/>
                    <w:rPr>
                      <w:color w:val="auto"/>
                      <w:sz w:val="21"/>
                      <w:szCs w:val="21"/>
                    </w:rPr>
                  </w:pPr>
                  <w:r>
                    <w:rPr>
                      <w:rFonts w:hint="eastAsia" w:cs="宋体"/>
                      <w:color w:val="auto"/>
                      <w:sz w:val="21"/>
                      <w:szCs w:val="21"/>
                    </w:rPr>
                    <w:t>序</w:t>
                  </w:r>
                  <w:r>
                    <w:rPr>
                      <w:rFonts w:cs="宋体"/>
                      <w:color w:val="auto"/>
                      <w:sz w:val="21"/>
                      <w:szCs w:val="21"/>
                    </w:rPr>
                    <w:t>号</w:t>
                  </w:r>
                </w:p>
              </w:tc>
              <w:tc>
                <w:tcPr>
                  <w:tcW w:w="1855" w:type="dxa"/>
                  <w:vMerge w:val="restart"/>
                  <w:tcBorders>
                    <w:tl2br w:val="nil"/>
                    <w:tr2bl w:val="nil"/>
                  </w:tcBorders>
                  <w:vAlign w:val="center"/>
                </w:tcPr>
                <w:p w14:paraId="25A19E98">
                  <w:pPr>
                    <w:spacing w:line="240" w:lineRule="auto"/>
                    <w:jc w:val="center"/>
                    <w:rPr>
                      <w:color w:val="auto"/>
                      <w:sz w:val="21"/>
                      <w:szCs w:val="21"/>
                    </w:rPr>
                  </w:pPr>
                  <w:r>
                    <w:rPr>
                      <w:rFonts w:cs="宋体"/>
                      <w:color w:val="auto"/>
                      <w:sz w:val="21"/>
                      <w:szCs w:val="21"/>
                    </w:rPr>
                    <w:t>设备名称</w:t>
                  </w:r>
                </w:p>
              </w:tc>
              <w:tc>
                <w:tcPr>
                  <w:tcW w:w="625" w:type="dxa"/>
                  <w:vMerge w:val="restart"/>
                  <w:tcBorders>
                    <w:tl2br w:val="nil"/>
                    <w:tr2bl w:val="nil"/>
                  </w:tcBorders>
                  <w:vAlign w:val="center"/>
                </w:tcPr>
                <w:p w14:paraId="444DE437">
                  <w:pPr>
                    <w:spacing w:line="240" w:lineRule="auto"/>
                    <w:jc w:val="center"/>
                    <w:rPr>
                      <w:color w:val="auto"/>
                      <w:sz w:val="21"/>
                      <w:szCs w:val="21"/>
                    </w:rPr>
                  </w:pPr>
                  <w:r>
                    <w:rPr>
                      <w:rFonts w:cs="宋体"/>
                      <w:color w:val="auto"/>
                      <w:sz w:val="21"/>
                      <w:szCs w:val="21"/>
                    </w:rPr>
                    <w:t>数量</w:t>
                  </w:r>
                </w:p>
              </w:tc>
              <w:tc>
                <w:tcPr>
                  <w:tcW w:w="887" w:type="dxa"/>
                  <w:vMerge w:val="restart"/>
                  <w:tcBorders>
                    <w:tl2br w:val="nil"/>
                    <w:tr2bl w:val="nil"/>
                  </w:tcBorders>
                  <w:vAlign w:val="center"/>
                </w:tcPr>
                <w:p w14:paraId="7B38F841">
                  <w:pPr>
                    <w:spacing w:line="240" w:lineRule="auto"/>
                    <w:jc w:val="center"/>
                    <w:rPr>
                      <w:color w:val="auto"/>
                      <w:sz w:val="21"/>
                      <w:szCs w:val="21"/>
                    </w:rPr>
                  </w:pPr>
                  <w:r>
                    <w:rPr>
                      <w:rFonts w:cs="宋体"/>
                      <w:color w:val="auto"/>
                      <w:sz w:val="21"/>
                      <w:szCs w:val="21"/>
                    </w:rPr>
                    <w:t>治理前声级</w:t>
                  </w:r>
                  <w:r>
                    <w:rPr>
                      <w:rFonts w:hint="eastAsia" w:cs="宋体"/>
                      <w:color w:val="auto"/>
                      <w:sz w:val="21"/>
                      <w:szCs w:val="21"/>
                    </w:rPr>
                    <w:t>/dB（A）</w:t>
                  </w:r>
                </w:p>
              </w:tc>
              <w:tc>
                <w:tcPr>
                  <w:tcW w:w="2150" w:type="dxa"/>
                  <w:gridSpan w:val="3"/>
                  <w:tcBorders>
                    <w:tl2br w:val="nil"/>
                    <w:tr2bl w:val="nil"/>
                  </w:tcBorders>
                  <w:vAlign w:val="center"/>
                </w:tcPr>
                <w:p w14:paraId="5398D37E">
                  <w:pPr>
                    <w:spacing w:line="240" w:lineRule="auto"/>
                    <w:jc w:val="center"/>
                    <w:rPr>
                      <w:rFonts w:cs="宋体"/>
                      <w:color w:val="auto"/>
                      <w:sz w:val="21"/>
                      <w:szCs w:val="21"/>
                    </w:rPr>
                  </w:pPr>
                  <w:r>
                    <w:rPr>
                      <w:rFonts w:hint="eastAsia" w:cs="宋体"/>
                      <w:color w:val="auto"/>
                      <w:sz w:val="21"/>
                      <w:szCs w:val="21"/>
                    </w:rPr>
                    <w:t>空间相对位置/m</w:t>
                  </w:r>
                </w:p>
              </w:tc>
              <w:tc>
                <w:tcPr>
                  <w:tcW w:w="1025" w:type="dxa"/>
                  <w:vMerge w:val="restart"/>
                  <w:tcBorders>
                    <w:tl2br w:val="nil"/>
                    <w:tr2bl w:val="nil"/>
                  </w:tcBorders>
                  <w:vAlign w:val="center"/>
                </w:tcPr>
                <w:p w14:paraId="28F6689C">
                  <w:pPr>
                    <w:spacing w:line="240" w:lineRule="auto"/>
                    <w:jc w:val="center"/>
                    <w:rPr>
                      <w:color w:val="auto"/>
                      <w:sz w:val="21"/>
                      <w:szCs w:val="21"/>
                    </w:rPr>
                  </w:pPr>
                  <w:r>
                    <w:rPr>
                      <w:rFonts w:cs="宋体"/>
                      <w:color w:val="auto"/>
                      <w:sz w:val="21"/>
                      <w:szCs w:val="21"/>
                    </w:rPr>
                    <w:t>治理措施</w:t>
                  </w:r>
                </w:p>
              </w:tc>
              <w:tc>
                <w:tcPr>
                  <w:tcW w:w="1050" w:type="dxa"/>
                  <w:vMerge w:val="restart"/>
                  <w:tcBorders>
                    <w:tl2br w:val="nil"/>
                    <w:tr2bl w:val="nil"/>
                  </w:tcBorders>
                  <w:vAlign w:val="center"/>
                </w:tcPr>
                <w:p w14:paraId="1017E85D">
                  <w:pPr>
                    <w:spacing w:line="240" w:lineRule="auto"/>
                    <w:jc w:val="center"/>
                    <w:rPr>
                      <w:color w:val="auto"/>
                      <w:sz w:val="21"/>
                      <w:szCs w:val="21"/>
                    </w:rPr>
                  </w:pPr>
                  <w:r>
                    <w:rPr>
                      <w:rFonts w:cs="宋体"/>
                      <w:color w:val="auto"/>
                      <w:sz w:val="21"/>
                      <w:szCs w:val="21"/>
                    </w:rPr>
                    <w:t>治理后升级</w:t>
                  </w:r>
                  <w:r>
                    <w:rPr>
                      <w:rFonts w:hint="eastAsia" w:cs="宋体"/>
                      <w:color w:val="auto"/>
                      <w:sz w:val="21"/>
                      <w:szCs w:val="21"/>
                    </w:rPr>
                    <w:t>/dB（A）</w:t>
                  </w:r>
                </w:p>
              </w:tc>
            </w:tr>
            <w:tr w14:paraId="1A5022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426" w:type="dxa"/>
                  <w:vMerge w:val="continue"/>
                  <w:tcBorders>
                    <w:tl2br w:val="nil"/>
                    <w:tr2bl w:val="nil"/>
                  </w:tcBorders>
                  <w:vAlign w:val="center"/>
                </w:tcPr>
                <w:p w14:paraId="4B47E0E3">
                  <w:pPr>
                    <w:spacing w:line="240" w:lineRule="auto"/>
                    <w:jc w:val="center"/>
                    <w:rPr>
                      <w:color w:val="auto"/>
                      <w:sz w:val="21"/>
                      <w:szCs w:val="21"/>
                    </w:rPr>
                  </w:pPr>
                </w:p>
              </w:tc>
              <w:tc>
                <w:tcPr>
                  <w:tcW w:w="1855" w:type="dxa"/>
                  <w:vMerge w:val="continue"/>
                  <w:tcBorders>
                    <w:tl2br w:val="nil"/>
                    <w:tr2bl w:val="nil"/>
                  </w:tcBorders>
                  <w:vAlign w:val="center"/>
                </w:tcPr>
                <w:p w14:paraId="1F8B4966">
                  <w:pPr>
                    <w:spacing w:line="240" w:lineRule="auto"/>
                    <w:jc w:val="center"/>
                    <w:rPr>
                      <w:color w:val="auto"/>
                      <w:sz w:val="21"/>
                      <w:szCs w:val="21"/>
                    </w:rPr>
                  </w:pPr>
                </w:p>
              </w:tc>
              <w:tc>
                <w:tcPr>
                  <w:tcW w:w="625" w:type="dxa"/>
                  <w:vMerge w:val="continue"/>
                  <w:tcBorders>
                    <w:tl2br w:val="nil"/>
                    <w:tr2bl w:val="nil"/>
                  </w:tcBorders>
                  <w:vAlign w:val="center"/>
                </w:tcPr>
                <w:p w14:paraId="3D8B8341">
                  <w:pPr>
                    <w:spacing w:line="240" w:lineRule="auto"/>
                    <w:jc w:val="center"/>
                    <w:rPr>
                      <w:color w:val="auto"/>
                      <w:sz w:val="21"/>
                      <w:szCs w:val="21"/>
                    </w:rPr>
                  </w:pPr>
                </w:p>
              </w:tc>
              <w:tc>
                <w:tcPr>
                  <w:tcW w:w="887" w:type="dxa"/>
                  <w:vMerge w:val="continue"/>
                  <w:tcBorders>
                    <w:tl2br w:val="nil"/>
                    <w:tr2bl w:val="nil"/>
                  </w:tcBorders>
                  <w:vAlign w:val="center"/>
                </w:tcPr>
                <w:p w14:paraId="2C372D1B">
                  <w:pPr>
                    <w:spacing w:line="240" w:lineRule="auto"/>
                    <w:jc w:val="center"/>
                    <w:rPr>
                      <w:color w:val="auto"/>
                      <w:sz w:val="21"/>
                      <w:szCs w:val="21"/>
                    </w:rPr>
                  </w:pPr>
                </w:p>
              </w:tc>
              <w:tc>
                <w:tcPr>
                  <w:tcW w:w="725" w:type="dxa"/>
                  <w:tcBorders>
                    <w:tl2br w:val="nil"/>
                    <w:tr2bl w:val="nil"/>
                  </w:tcBorders>
                  <w:vAlign w:val="center"/>
                </w:tcPr>
                <w:p w14:paraId="5BCA2C24">
                  <w:pPr>
                    <w:spacing w:line="240" w:lineRule="auto"/>
                    <w:jc w:val="center"/>
                    <w:rPr>
                      <w:rFonts w:cs="宋体"/>
                      <w:color w:val="auto"/>
                      <w:sz w:val="21"/>
                      <w:szCs w:val="21"/>
                    </w:rPr>
                  </w:pPr>
                  <w:r>
                    <w:rPr>
                      <w:rFonts w:hint="eastAsia" w:cs="宋体"/>
                      <w:color w:val="auto"/>
                      <w:sz w:val="21"/>
                      <w:szCs w:val="21"/>
                    </w:rPr>
                    <w:t>x</w:t>
                  </w:r>
                </w:p>
              </w:tc>
              <w:tc>
                <w:tcPr>
                  <w:tcW w:w="713" w:type="dxa"/>
                  <w:tcBorders>
                    <w:tl2br w:val="nil"/>
                    <w:tr2bl w:val="nil"/>
                  </w:tcBorders>
                  <w:vAlign w:val="center"/>
                </w:tcPr>
                <w:p w14:paraId="760C37EB">
                  <w:pPr>
                    <w:spacing w:line="240" w:lineRule="auto"/>
                    <w:jc w:val="center"/>
                    <w:rPr>
                      <w:rFonts w:cs="宋体"/>
                      <w:color w:val="auto"/>
                      <w:sz w:val="21"/>
                      <w:szCs w:val="21"/>
                    </w:rPr>
                  </w:pPr>
                  <w:r>
                    <w:rPr>
                      <w:rFonts w:hint="eastAsia" w:cs="宋体"/>
                      <w:color w:val="auto"/>
                      <w:sz w:val="21"/>
                      <w:szCs w:val="21"/>
                    </w:rPr>
                    <w:t>y</w:t>
                  </w:r>
                </w:p>
              </w:tc>
              <w:tc>
                <w:tcPr>
                  <w:tcW w:w="712" w:type="dxa"/>
                  <w:tcBorders>
                    <w:tl2br w:val="nil"/>
                    <w:tr2bl w:val="nil"/>
                  </w:tcBorders>
                  <w:vAlign w:val="center"/>
                </w:tcPr>
                <w:p w14:paraId="4DCA2037">
                  <w:pPr>
                    <w:spacing w:line="240" w:lineRule="auto"/>
                    <w:jc w:val="center"/>
                    <w:rPr>
                      <w:rFonts w:cs="宋体"/>
                      <w:color w:val="auto"/>
                      <w:sz w:val="21"/>
                      <w:szCs w:val="21"/>
                    </w:rPr>
                  </w:pPr>
                  <w:r>
                    <w:rPr>
                      <w:rFonts w:hint="eastAsia" w:cs="宋体"/>
                      <w:color w:val="auto"/>
                      <w:sz w:val="21"/>
                      <w:szCs w:val="21"/>
                    </w:rPr>
                    <w:t>z</w:t>
                  </w:r>
                </w:p>
              </w:tc>
              <w:tc>
                <w:tcPr>
                  <w:tcW w:w="1025" w:type="dxa"/>
                  <w:vMerge w:val="continue"/>
                  <w:tcBorders>
                    <w:tl2br w:val="nil"/>
                    <w:tr2bl w:val="nil"/>
                  </w:tcBorders>
                  <w:vAlign w:val="center"/>
                </w:tcPr>
                <w:p w14:paraId="5E42C2E8">
                  <w:pPr>
                    <w:spacing w:line="240" w:lineRule="auto"/>
                    <w:jc w:val="center"/>
                    <w:rPr>
                      <w:rFonts w:cs="宋体"/>
                      <w:color w:val="auto"/>
                      <w:sz w:val="21"/>
                      <w:szCs w:val="21"/>
                    </w:rPr>
                  </w:pPr>
                </w:p>
              </w:tc>
              <w:tc>
                <w:tcPr>
                  <w:tcW w:w="1050" w:type="dxa"/>
                  <w:vMerge w:val="continue"/>
                  <w:tcBorders>
                    <w:tl2br w:val="nil"/>
                    <w:tr2bl w:val="nil"/>
                  </w:tcBorders>
                  <w:vAlign w:val="center"/>
                </w:tcPr>
                <w:p w14:paraId="423C31D2">
                  <w:pPr>
                    <w:spacing w:line="240" w:lineRule="auto"/>
                    <w:jc w:val="center"/>
                    <w:rPr>
                      <w:rFonts w:cs="宋体"/>
                      <w:color w:val="auto"/>
                      <w:sz w:val="21"/>
                      <w:szCs w:val="21"/>
                    </w:rPr>
                  </w:pPr>
                </w:p>
              </w:tc>
            </w:tr>
            <w:tr w14:paraId="2F6B3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426" w:type="dxa"/>
                  <w:tcBorders>
                    <w:tl2br w:val="nil"/>
                    <w:tr2bl w:val="nil"/>
                  </w:tcBorders>
                  <w:vAlign w:val="center"/>
                </w:tcPr>
                <w:p w14:paraId="0F4B40B7">
                  <w:pPr>
                    <w:spacing w:line="240" w:lineRule="auto"/>
                    <w:jc w:val="center"/>
                    <w:rPr>
                      <w:color w:val="auto"/>
                      <w:sz w:val="21"/>
                      <w:szCs w:val="21"/>
                    </w:rPr>
                  </w:pPr>
                  <w:r>
                    <w:rPr>
                      <w:rFonts w:hint="eastAsia"/>
                      <w:bCs/>
                      <w:color w:val="auto"/>
                      <w:sz w:val="21"/>
                      <w:szCs w:val="21"/>
                    </w:rPr>
                    <w:t>1</w:t>
                  </w:r>
                </w:p>
              </w:tc>
              <w:tc>
                <w:tcPr>
                  <w:tcW w:w="1855" w:type="dxa"/>
                  <w:tcBorders>
                    <w:tl2br w:val="nil"/>
                    <w:tr2bl w:val="nil"/>
                  </w:tcBorders>
                  <w:vAlign w:val="center"/>
                </w:tcPr>
                <w:p w14:paraId="54FE61C1">
                  <w:pPr>
                    <w:spacing w:line="240" w:lineRule="auto"/>
                    <w:jc w:val="center"/>
                    <w:rPr>
                      <w:color w:val="auto"/>
                      <w:sz w:val="21"/>
                      <w:szCs w:val="21"/>
                      <w:lang w:eastAsia="en-US"/>
                    </w:rPr>
                  </w:pPr>
                  <w:r>
                    <w:rPr>
                      <w:rFonts w:hint="eastAsia"/>
                      <w:color w:val="auto"/>
                      <w:sz w:val="21"/>
                      <w:szCs w:val="21"/>
                    </w:rPr>
                    <w:t>智能数控雕刻机</w:t>
                  </w:r>
                </w:p>
              </w:tc>
              <w:tc>
                <w:tcPr>
                  <w:tcW w:w="625" w:type="dxa"/>
                  <w:tcBorders>
                    <w:tl2br w:val="nil"/>
                    <w:tr2bl w:val="nil"/>
                  </w:tcBorders>
                  <w:vAlign w:val="center"/>
                </w:tcPr>
                <w:p w14:paraId="3DF90893">
                  <w:pPr>
                    <w:spacing w:line="240" w:lineRule="auto"/>
                    <w:jc w:val="center"/>
                    <w:rPr>
                      <w:color w:val="auto"/>
                      <w:sz w:val="21"/>
                      <w:szCs w:val="21"/>
                    </w:rPr>
                  </w:pPr>
                  <w:r>
                    <w:rPr>
                      <w:rFonts w:hint="eastAsia"/>
                      <w:color w:val="auto"/>
                      <w:sz w:val="21"/>
                      <w:szCs w:val="21"/>
                    </w:rPr>
                    <w:t>8</w:t>
                  </w:r>
                </w:p>
              </w:tc>
              <w:tc>
                <w:tcPr>
                  <w:tcW w:w="887" w:type="dxa"/>
                  <w:tcBorders>
                    <w:tl2br w:val="nil"/>
                    <w:tr2bl w:val="nil"/>
                  </w:tcBorders>
                  <w:vAlign w:val="center"/>
                </w:tcPr>
                <w:p w14:paraId="15CAB29E">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1C330841">
                  <w:pPr>
                    <w:widowControl/>
                    <w:spacing w:line="240" w:lineRule="auto"/>
                    <w:jc w:val="center"/>
                    <w:rPr>
                      <w:color w:val="auto"/>
                      <w:sz w:val="21"/>
                      <w:szCs w:val="21"/>
                    </w:rPr>
                  </w:pPr>
                  <w:r>
                    <w:rPr>
                      <w:rFonts w:hint="eastAsia" w:cs="宋体"/>
                      <w:color w:val="auto"/>
                      <w:sz w:val="21"/>
                      <w:szCs w:val="21"/>
                    </w:rPr>
                    <w:t>8.0</w:t>
                  </w:r>
                </w:p>
              </w:tc>
              <w:tc>
                <w:tcPr>
                  <w:tcW w:w="713" w:type="dxa"/>
                  <w:tcBorders>
                    <w:tl2br w:val="nil"/>
                    <w:tr2bl w:val="nil"/>
                  </w:tcBorders>
                  <w:vAlign w:val="center"/>
                </w:tcPr>
                <w:p w14:paraId="6CD06992">
                  <w:pPr>
                    <w:widowControl/>
                    <w:spacing w:line="240" w:lineRule="auto"/>
                    <w:jc w:val="center"/>
                    <w:rPr>
                      <w:color w:val="auto"/>
                      <w:sz w:val="21"/>
                      <w:szCs w:val="21"/>
                    </w:rPr>
                  </w:pPr>
                  <w:r>
                    <w:rPr>
                      <w:rFonts w:hint="eastAsia" w:cs="宋体"/>
                      <w:color w:val="auto"/>
                      <w:sz w:val="21"/>
                      <w:szCs w:val="21"/>
                    </w:rPr>
                    <w:t>22</w:t>
                  </w:r>
                  <w:r>
                    <w:rPr>
                      <w:rFonts w:cs="宋体"/>
                      <w:color w:val="auto"/>
                      <w:sz w:val="21"/>
                      <w:szCs w:val="21"/>
                    </w:rPr>
                    <w:t>.0</w:t>
                  </w:r>
                </w:p>
              </w:tc>
              <w:tc>
                <w:tcPr>
                  <w:tcW w:w="712" w:type="dxa"/>
                  <w:tcBorders>
                    <w:tl2br w:val="nil"/>
                    <w:tr2bl w:val="nil"/>
                  </w:tcBorders>
                  <w:vAlign w:val="center"/>
                </w:tcPr>
                <w:p w14:paraId="126EFC94">
                  <w:pPr>
                    <w:widowControl/>
                    <w:spacing w:line="240" w:lineRule="auto"/>
                    <w:jc w:val="center"/>
                    <w:rPr>
                      <w:color w:val="auto"/>
                      <w:sz w:val="21"/>
                      <w:szCs w:val="21"/>
                    </w:rPr>
                  </w:pPr>
                  <w:r>
                    <w:rPr>
                      <w:rFonts w:hint="eastAsia" w:cs="宋体"/>
                      <w:color w:val="auto"/>
                      <w:sz w:val="21"/>
                      <w:szCs w:val="21"/>
                    </w:rPr>
                    <w:t>7.0</w:t>
                  </w:r>
                </w:p>
              </w:tc>
              <w:tc>
                <w:tcPr>
                  <w:tcW w:w="1025" w:type="dxa"/>
                  <w:vMerge w:val="restart"/>
                  <w:tcBorders>
                    <w:tl2br w:val="nil"/>
                    <w:tr2bl w:val="nil"/>
                  </w:tcBorders>
                  <w:vAlign w:val="center"/>
                </w:tcPr>
                <w:p w14:paraId="46DC7B07">
                  <w:pPr>
                    <w:pStyle w:val="47"/>
                    <w:widowControl w:val="0"/>
                    <w:spacing w:line="240" w:lineRule="auto"/>
                    <w:rPr>
                      <w:color w:val="auto"/>
                      <w:szCs w:val="21"/>
                    </w:rPr>
                  </w:pPr>
                  <w:r>
                    <w:rPr>
                      <w:rFonts w:hint="eastAsia"/>
                      <w:color w:val="auto"/>
                      <w:szCs w:val="21"/>
                    </w:rPr>
                    <w:t>选用低噪声设备、基础减振、动力设备定期维护和维修设备，更换磨损和松动的部件，厂房隔声</w:t>
                  </w:r>
                </w:p>
              </w:tc>
              <w:tc>
                <w:tcPr>
                  <w:tcW w:w="1050" w:type="dxa"/>
                  <w:tcBorders>
                    <w:tl2br w:val="nil"/>
                    <w:tr2bl w:val="nil"/>
                  </w:tcBorders>
                </w:tcPr>
                <w:p w14:paraId="13689D67">
                  <w:pPr>
                    <w:widowControl/>
                    <w:spacing w:line="240" w:lineRule="auto"/>
                    <w:jc w:val="center"/>
                    <w:textAlignment w:val="top"/>
                    <w:rPr>
                      <w:color w:val="auto"/>
                      <w:sz w:val="21"/>
                      <w:szCs w:val="21"/>
                    </w:rPr>
                  </w:pPr>
                  <w:r>
                    <w:rPr>
                      <w:color w:val="auto"/>
                      <w:kern w:val="0"/>
                      <w:sz w:val="21"/>
                      <w:szCs w:val="21"/>
                      <w:lang w:bidi="ar"/>
                    </w:rPr>
                    <w:t>70</w:t>
                  </w:r>
                </w:p>
              </w:tc>
            </w:tr>
            <w:tr w14:paraId="1EA521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3EC7731F">
                  <w:pPr>
                    <w:spacing w:line="240" w:lineRule="auto"/>
                    <w:jc w:val="center"/>
                    <w:rPr>
                      <w:color w:val="auto"/>
                      <w:sz w:val="21"/>
                      <w:szCs w:val="21"/>
                    </w:rPr>
                  </w:pPr>
                  <w:r>
                    <w:rPr>
                      <w:rFonts w:hint="eastAsia"/>
                      <w:bCs/>
                      <w:color w:val="auto"/>
                      <w:sz w:val="21"/>
                      <w:szCs w:val="21"/>
                    </w:rPr>
                    <w:t>2</w:t>
                  </w:r>
                </w:p>
              </w:tc>
              <w:tc>
                <w:tcPr>
                  <w:tcW w:w="1855" w:type="dxa"/>
                  <w:tcBorders>
                    <w:tl2br w:val="nil"/>
                    <w:tr2bl w:val="nil"/>
                  </w:tcBorders>
                  <w:vAlign w:val="center"/>
                </w:tcPr>
                <w:p w14:paraId="04983C37">
                  <w:pPr>
                    <w:spacing w:line="240" w:lineRule="auto"/>
                    <w:jc w:val="center"/>
                    <w:rPr>
                      <w:color w:val="auto"/>
                      <w:sz w:val="21"/>
                      <w:szCs w:val="21"/>
                    </w:rPr>
                  </w:pPr>
                  <w:r>
                    <w:rPr>
                      <w:rFonts w:hint="eastAsia"/>
                      <w:color w:val="auto"/>
                      <w:sz w:val="21"/>
                      <w:szCs w:val="21"/>
                    </w:rPr>
                    <w:t>智能数控光纤激光切割机</w:t>
                  </w:r>
                </w:p>
              </w:tc>
              <w:tc>
                <w:tcPr>
                  <w:tcW w:w="625" w:type="dxa"/>
                  <w:tcBorders>
                    <w:tl2br w:val="nil"/>
                    <w:tr2bl w:val="nil"/>
                  </w:tcBorders>
                  <w:vAlign w:val="center"/>
                </w:tcPr>
                <w:p w14:paraId="5F4AB630">
                  <w:pPr>
                    <w:spacing w:line="240" w:lineRule="auto"/>
                    <w:jc w:val="center"/>
                    <w:rPr>
                      <w:color w:val="auto"/>
                      <w:sz w:val="21"/>
                      <w:szCs w:val="21"/>
                    </w:rPr>
                  </w:pPr>
                  <w:r>
                    <w:rPr>
                      <w:rFonts w:hint="eastAsia"/>
                      <w:color w:val="auto"/>
                      <w:sz w:val="21"/>
                      <w:szCs w:val="21"/>
                    </w:rPr>
                    <w:t>2</w:t>
                  </w:r>
                </w:p>
              </w:tc>
              <w:tc>
                <w:tcPr>
                  <w:tcW w:w="887" w:type="dxa"/>
                  <w:tcBorders>
                    <w:tl2br w:val="nil"/>
                    <w:tr2bl w:val="nil"/>
                  </w:tcBorders>
                  <w:vAlign w:val="center"/>
                </w:tcPr>
                <w:p w14:paraId="503C2FB8">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2FFF8F58">
                  <w:pPr>
                    <w:widowControl/>
                    <w:spacing w:line="240" w:lineRule="auto"/>
                    <w:jc w:val="center"/>
                    <w:rPr>
                      <w:color w:val="auto"/>
                      <w:sz w:val="21"/>
                      <w:szCs w:val="21"/>
                    </w:rPr>
                  </w:pPr>
                  <w:r>
                    <w:rPr>
                      <w:rFonts w:hint="eastAsia" w:cs="宋体"/>
                      <w:color w:val="auto"/>
                      <w:sz w:val="21"/>
                      <w:szCs w:val="21"/>
                    </w:rPr>
                    <w:t>2</w:t>
                  </w:r>
                  <w:r>
                    <w:rPr>
                      <w:rFonts w:cs="宋体"/>
                      <w:color w:val="auto"/>
                      <w:sz w:val="21"/>
                      <w:szCs w:val="21"/>
                    </w:rPr>
                    <w:t>.0</w:t>
                  </w:r>
                </w:p>
              </w:tc>
              <w:tc>
                <w:tcPr>
                  <w:tcW w:w="713" w:type="dxa"/>
                  <w:tcBorders>
                    <w:tl2br w:val="nil"/>
                    <w:tr2bl w:val="nil"/>
                  </w:tcBorders>
                  <w:vAlign w:val="center"/>
                </w:tcPr>
                <w:p w14:paraId="7A2AF337">
                  <w:pPr>
                    <w:widowControl/>
                    <w:spacing w:line="240" w:lineRule="auto"/>
                    <w:jc w:val="center"/>
                    <w:rPr>
                      <w:color w:val="auto"/>
                      <w:sz w:val="21"/>
                      <w:szCs w:val="21"/>
                    </w:rPr>
                  </w:pPr>
                  <w:r>
                    <w:rPr>
                      <w:rFonts w:hint="eastAsia" w:cs="宋体"/>
                      <w:color w:val="auto"/>
                      <w:sz w:val="21"/>
                      <w:szCs w:val="21"/>
                    </w:rPr>
                    <w:t>22</w:t>
                  </w:r>
                  <w:r>
                    <w:rPr>
                      <w:rFonts w:cs="宋体"/>
                      <w:color w:val="auto"/>
                      <w:sz w:val="21"/>
                      <w:szCs w:val="21"/>
                    </w:rPr>
                    <w:t>.0</w:t>
                  </w:r>
                </w:p>
              </w:tc>
              <w:tc>
                <w:tcPr>
                  <w:tcW w:w="712" w:type="dxa"/>
                  <w:tcBorders>
                    <w:tl2br w:val="nil"/>
                    <w:tr2bl w:val="nil"/>
                  </w:tcBorders>
                  <w:vAlign w:val="center"/>
                </w:tcPr>
                <w:p w14:paraId="5CC1736C">
                  <w:pPr>
                    <w:widowControl/>
                    <w:spacing w:line="240" w:lineRule="auto"/>
                    <w:jc w:val="center"/>
                    <w:rPr>
                      <w:color w:val="auto"/>
                      <w:sz w:val="21"/>
                      <w:szCs w:val="21"/>
                    </w:rPr>
                  </w:pPr>
                  <w:r>
                    <w:rPr>
                      <w:rFonts w:hint="eastAsia" w:cs="宋体"/>
                      <w:color w:val="auto"/>
                      <w:sz w:val="21"/>
                      <w:szCs w:val="21"/>
                    </w:rPr>
                    <w:t>0.7</w:t>
                  </w:r>
                </w:p>
              </w:tc>
              <w:tc>
                <w:tcPr>
                  <w:tcW w:w="1025" w:type="dxa"/>
                  <w:vMerge w:val="continue"/>
                  <w:tcBorders>
                    <w:tl2br w:val="nil"/>
                    <w:tr2bl w:val="nil"/>
                  </w:tcBorders>
                  <w:vAlign w:val="center"/>
                </w:tcPr>
                <w:p w14:paraId="0475EC8D">
                  <w:pPr>
                    <w:pStyle w:val="47"/>
                    <w:widowControl w:val="0"/>
                    <w:spacing w:line="240" w:lineRule="auto"/>
                    <w:rPr>
                      <w:color w:val="auto"/>
                      <w:szCs w:val="21"/>
                    </w:rPr>
                  </w:pPr>
                </w:p>
              </w:tc>
              <w:tc>
                <w:tcPr>
                  <w:tcW w:w="1050" w:type="dxa"/>
                  <w:tcBorders>
                    <w:tl2br w:val="nil"/>
                    <w:tr2bl w:val="nil"/>
                  </w:tcBorders>
                </w:tcPr>
                <w:p w14:paraId="3B00896E">
                  <w:pPr>
                    <w:widowControl/>
                    <w:spacing w:line="240" w:lineRule="auto"/>
                    <w:jc w:val="center"/>
                    <w:textAlignment w:val="top"/>
                    <w:rPr>
                      <w:color w:val="auto"/>
                      <w:sz w:val="21"/>
                      <w:szCs w:val="21"/>
                    </w:rPr>
                  </w:pPr>
                  <w:r>
                    <w:rPr>
                      <w:color w:val="auto"/>
                      <w:kern w:val="0"/>
                      <w:sz w:val="21"/>
                      <w:szCs w:val="21"/>
                      <w:lang w:bidi="ar"/>
                    </w:rPr>
                    <w:t>71</w:t>
                  </w:r>
                </w:p>
              </w:tc>
            </w:tr>
            <w:tr w14:paraId="23509A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3FF93106">
                  <w:pPr>
                    <w:spacing w:line="240" w:lineRule="auto"/>
                    <w:jc w:val="center"/>
                    <w:rPr>
                      <w:color w:val="auto"/>
                      <w:sz w:val="21"/>
                      <w:szCs w:val="21"/>
                    </w:rPr>
                  </w:pPr>
                  <w:r>
                    <w:rPr>
                      <w:rFonts w:hint="eastAsia"/>
                      <w:bCs/>
                      <w:color w:val="auto"/>
                      <w:sz w:val="21"/>
                      <w:szCs w:val="21"/>
                    </w:rPr>
                    <w:t>3</w:t>
                  </w:r>
                </w:p>
              </w:tc>
              <w:tc>
                <w:tcPr>
                  <w:tcW w:w="1855" w:type="dxa"/>
                  <w:tcBorders>
                    <w:tl2br w:val="nil"/>
                    <w:tr2bl w:val="nil"/>
                  </w:tcBorders>
                  <w:vAlign w:val="center"/>
                </w:tcPr>
                <w:p w14:paraId="55DA836D">
                  <w:pPr>
                    <w:spacing w:line="240" w:lineRule="auto"/>
                    <w:jc w:val="center"/>
                    <w:rPr>
                      <w:color w:val="auto"/>
                      <w:sz w:val="21"/>
                      <w:szCs w:val="21"/>
                      <w:lang w:eastAsia="en-US"/>
                    </w:rPr>
                  </w:pPr>
                  <w:r>
                    <w:rPr>
                      <w:rFonts w:hint="eastAsia"/>
                      <w:color w:val="auto"/>
                      <w:sz w:val="21"/>
                      <w:szCs w:val="21"/>
                    </w:rPr>
                    <w:t>智能数控开槽折弯机</w:t>
                  </w:r>
                </w:p>
              </w:tc>
              <w:tc>
                <w:tcPr>
                  <w:tcW w:w="625" w:type="dxa"/>
                  <w:tcBorders>
                    <w:tl2br w:val="nil"/>
                    <w:tr2bl w:val="nil"/>
                  </w:tcBorders>
                  <w:vAlign w:val="center"/>
                </w:tcPr>
                <w:p w14:paraId="3AF0DB0B">
                  <w:pPr>
                    <w:spacing w:line="240" w:lineRule="auto"/>
                    <w:jc w:val="center"/>
                    <w:rPr>
                      <w:color w:val="auto"/>
                      <w:sz w:val="21"/>
                      <w:szCs w:val="21"/>
                    </w:rPr>
                  </w:pPr>
                  <w:r>
                    <w:rPr>
                      <w:rFonts w:hint="eastAsia"/>
                      <w:color w:val="auto"/>
                      <w:sz w:val="21"/>
                      <w:szCs w:val="21"/>
                    </w:rPr>
                    <w:t>4</w:t>
                  </w:r>
                </w:p>
              </w:tc>
              <w:tc>
                <w:tcPr>
                  <w:tcW w:w="887" w:type="dxa"/>
                  <w:tcBorders>
                    <w:tl2br w:val="nil"/>
                    <w:tr2bl w:val="nil"/>
                  </w:tcBorders>
                  <w:vAlign w:val="center"/>
                </w:tcPr>
                <w:p w14:paraId="451004CB">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1294CABF">
                  <w:pPr>
                    <w:widowControl/>
                    <w:spacing w:line="240" w:lineRule="auto"/>
                    <w:jc w:val="center"/>
                    <w:rPr>
                      <w:color w:val="auto"/>
                      <w:sz w:val="21"/>
                      <w:szCs w:val="21"/>
                    </w:rPr>
                  </w:pPr>
                  <w:r>
                    <w:rPr>
                      <w:rFonts w:hint="eastAsia" w:cs="宋体"/>
                      <w:color w:val="auto"/>
                      <w:sz w:val="21"/>
                      <w:szCs w:val="21"/>
                    </w:rPr>
                    <w:t>2.7</w:t>
                  </w:r>
                </w:p>
              </w:tc>
              <w:tc>
                <w:tcPr>
                  <w:tcW w:w="713" w:type="dxa"/>
                  <w:tcBorders>
                    <w:tl2br w:val="nil"/>
                    <w:tr2bl w:val="nil"/>
                  </w:tcBorders>
                  <w:vAlign w:val="center"/>
                </w:tcPr>
                <w:p w14:paraId="7132C38C">
                  <w:pPr>
                    <w:widowControl/>
                    <w:spacing w:line="240" w:lineRule="auto"/>
                    <w:jc w:val="center"/>
                    <w:rPr>
                      <w:color w:val="auto"/>
                      <w:sz w:val="21"/>
                      <w:szCs w:val="21"/>
                    </w:rPr>
                  </w:pPr>
                  <w:r>
                    <w:rPr>
                      <w:rFonts w:hint="eastAsia" w:cs="宋体"/>
                      <w:color w:val="auto"/>
                      <w:sz w:val="21"/>
                      <w:szCs w:val="21"/>
                    </w:rPr>
                    <w:t>6</w:t>
                  </w:r>
                  <w:r>
                    <w:rPr>
                      <w:rFonts w:cs="宋体"/>
                      <w:color w:val="auto"/>
                      <w:sz w:val="21"/>
                      <w:szCs w:val="21"/>
                    </w:rPr>
                    <w:t>.0</w:t>
                  </w:r>
                </w:p>
              </w:tc>
              <w:tc>
                <w:tcPr>
                  <w:tcW w:w="712" w:type="dxa"/>
                  <w:tcBorders>
                    <w:tl2br w:val="nil"/>
                    <w:tr2bl w:val="nil"/>
                  </w:tcBorders>
                  <w:vAlign w:val="center"/>
                </w:tcPr>
                <w:p w14:paraId="4384BA9C">
                  <w:pPr>
                    <w:widowControl/>
                    <w:spacing w:line="240" w:lineRule="auto"/>
                    <w:jc w:val="center"/>
                    <w:rPr>
                      <w:color w:val="auto"/>
                      <w:sz w:val="21"/>
                      <w:szCs w:val="21"/>
                    </w:rPr>
                  </w:pPr>
                  <w:r>
                    <w:rPr>
                      <w:rFonts w:hint="eastAsia" w:cs="宋体"/>
                      <w:color w:val="auto"/>
                      <w:sz w:val="21"/>
                      <w:szCs w:val="21"/>
                    </w:rPr>
                    <w:t>7.0</w:t>
                  </w:r>
                </w:p>
              </w:tc>
              <w:tc>
                <w:tcPr>
                  <w:tcW w:w="1025" w:type="dxa"/>
                  <w:vMerge w:val="continue"/>
                  <w:tcBorders>
                    <w:tl2br w:val="nil"/>
                    <w:tr2bl w:val="nil"/>
                  </w:tcBorders>
                  <w:vAlign w:val="center"/>
                </w:tcPr>
                <w:p w14:paraId="55F7CA1D">
                  <w:pPr>
                    <w:pStyle w:val="47"/>
                    <w:widowControl w:val="0"/>
                    <w:spacing w:line="240" w:lineRule="auto"/>
                    <w:rPr>
                      <w:color w:val="auto"/>
                      <w:szCs w:val="21"/>
                    </w:rPr>
                  </w:pPr>
                </w:p>
              </w:tc>
              <w:tc>
                <w:tcPr>
                  <w:tcW w:w="1050" w:type="dxa"/>
                  <w:tcBorders>
                    <w:tl2br w:val="nil"/>
                    <w:tr2bl w:val="nil"/>
                  </w:tcBorders>
                </w:tcPr>
                <w:p w14:paraId="1E119367">
                  <w:pPr>
                    <w:widowControl/>
                    <w:spacing w:line="240" w:lineRule="auto"/>
                    <w:jc w:val="center"/>
                    <w:textAlignment w:val="top"/>
                    <w:rPr>
                      <w:color w:val="auto"/>
                      <w:sz w:val="21"/>
                      <w:szCs w:val="21"/>
                    </w:rPr>
                  </w:pPr>
                  <w:r>
                    <w:rPr>
                      <w:color w:val="auto"/>
                      <w:kern w:val="0"/>
                      <w:sz w:val="21"/>
                      <w:szCs w:val="21"/>
                      <w:lang w:bidi="ar"/>
                    </w:rPr>
                    <w:t>70</w:t>
                  </w:r>
                </w:p>
              </w:tc>
            </w:tr>
            <w:tr w14:paraId="1CCED7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26" w:type="dxa"/>
                  <w:tcBorders>
                    <w:tl2br w:val="nil"/>
                    <w:tr2bl w:val="nil"/>
                  </w:tcBorders>
                  <w:vAlign w:val="center"/>
                </w:tcPr>
                <w:p w14:paraId="66398BAB">
                  <w:pPr>
                    <w:spacing w:line="240" w:lineRule="auto"/>
                    <w:jc w:val="center"/>
                    <w:rPr>
                      <w:color w:val="auto"/>
                      <w:sz w:val="21"/>
                      <w:szCs w:val="21"/>
                    </w:rPr>
                  </w:pPr>
                  <w:r>
                    <w:rPr>
                      <w:rFonts w:hint="eastAsia"/>
                      <w:bCs/>
                      <w:color w:val="auto"/>
                      <w:sz w:val="21"/>
                      <w:szCs w:val="21"/>
                    </w:rPr>
                    <w:t>4</w:t>
                  </w:r>
                </w:p>
              </w:tc>
              <w:tc>
                <w:tcPr>
                  <w:tcW w:w="1855" w:type="dxa"/>
                  <w:tcBorders>
                    <w:tl2br w:val="nil"/>
                    <w:tr2bl w:val="nil"/>
                  </w:tcBorders>
                  <w:vAlign w:val="center"/>
                </w:tcPr>
                <w:p w14:paraId="48B00ED7">
                  <w:pPr>
                    <w:spacing w:line="240" w:lineRule="auto"/>
                    <w:jc w:val="center"/>
                    <w:rPr>
                      <w:color w:val="auto"/>
                      <w:sz w:val="21"/>
                      <w:szCs w:val="21"/>
                      <w:lang w:eastAsia="en-US"/>
                    </w:rPr>
                  </w:pPr>
                  <w:r>
                    <w:rPr>
                      <w:rFonts w:hint="eastAsia"/>
                      <w:color w:val="auto"/>
                      <w:sz w:val="21"/>
                      <w:szCs w:val="21"/>
                    </w:rPr>
                    <w:t>智能数控激光焊接机</w:t>
                  </w:r>
                </w:p>
              </w:tc>
              <w:tc>
                <w:tcPr>
                  <w:tcW w:w="625" w:type="dxa"/>
                  <w:tcBorders>
                    <w:tl2br w:val="nil"/>
                    <w:tr2bl w:val="nil"/>
                  </w:tcBorders>
                  <w:vAlign w:val="center"/>
                </w:tcPr>
                <w:p w14:paraId="25362147">
                  <w:pPr>
                    <w:spacing w:line="240" w:lineRule="auto"/>
                    <w:jc w:val="center"/>
                    <w:rPr>
                      <w:color w:val="auto"/>
                      <w:sz w:val="21"/>
                      <w:szCs w:val="21"/>
                    </w:rPr>
                  </w:pPr>
                  <w:r>
                    <w:rPr>
                      <w:rFonts w:hint="eastAsia"/>
                      <w:color w:val="auto"/>
                      <w:sz w:val="21"/>
                      <w:szCs w:val="21"/>
                    </w:rPr>
                    <w:t>8</w:t>
                  </w:r>
                </w:p>
              </w:tc>
              <w:tc>
                <w:tcPr>
                  <w:tcW w:w="887" w:type="dxa"/>
                  <w:tcBorders>
                    <w:tl2br w:val="nil"/>
                    <w:tr2bl w:val="nil"/>
                  </w:tcBorders>
                  <w:vAlign w:val="center"/>
                </w:tcPr>
                <w:p w14:paraId="28A76C19">
                  <w:pPr>
                    <w:spacing w:line="240" w:lineRule="auto"/>
                    <w:jc w:val="center"/>
                    <w:rPr>
                      <w:color w:val="auto"/>
                      <w:sz w:val="21"/>
                      <w:szCs w:val="21"/>
                    </w:rPr>
                  </w:pPr>
                  <w:r>
                    <w:rPr>
                      <w:color w:val="auto"/>
                      <w:sz w:val="21"/>
                      <w:szCs w:val="21"/>
                    </w:rPr>
                    <w:t>7</w:t>
                  </w:r>
                  <w:r>
                    <w:rPr>
                      <w:rFonts w:hint="eastAsia"/>
                      <w:color w:val="auto"/>
                      <w:sz w:val="21"/>
                      <w:szCs w:val="21"/>
                    </w:rPr>
                    <w:t>0</w:t>
                  </w:r>
                </w:p>
              </w:tc>
              <w:tc>
                <w:tcPr>
                  <w:tcW w:w="725" w:type="dxa"/>
                  <w:tcBorders>
                    <w:tl2br w:val="nil"/>
                    <w:tr2bl w:val="nil"/>
                  </w:tcBorders>
                  <w:vAlign w:val="center"/>
                </w:tcPr>
                <w:p w14:paraId="39EAC39D">
                  <w:pPr>
                    <w:widowControl/>
                    <w:spacing w:line="240" w:lineRule="auto"/>
                    <w:jc w:val="center"/>
                    <w:rPr>
                      <w:color w:val="auto"/>
                      <w:sz w:val="21"/>
                      <w:szCs w:val="21"/>
                    </w:rPr>
                  </w:pPr>
                  <w:r>
                    <w:rPr>
                      <w:rFonts w:hint="eastAsia" w:cs="宋体"/>
                      <w:color w:val="auto"/>
                      <w:sz w:val="21"/>
                      <w:szCs w:val="21"/>
                    </w:rPr>
                    <w:t>6.0</w:t>
                  </w:r>
                </w:p>
              </w:tc>
              <w:tc>
                <w:tcPr>
                  <w:tcW w:w="713" w:type="dxa"/>
                  <w:tcBorders>
                    <w:tl2br w:val="nil"/>
                    <w:tr2bl w:val="nil"/>
                  </w:tcBorders>
                  <w:vAlign w:val="center"/>
                </w:tcPr>
                <w:p w14:paraId="7E5F3147">
                  <w:pPr>
                    <w:widowControl/>
                    <w:spacing w:line="240" w:lineRule="auto"/>
                    <w:jc w:val="center"/>
                    <w:rPr>
                      <w:color w:val="auto"/>
                      <w:sz w:val="21"/>
                      <w:szCs w:val="21"/>
                    </w:rPr>
                  </w:pPr>
                  <w:r>
                    <w:rPr>
                      <w:rFonts w:hint="eastAsia" w:cs="宋体"/>
                      <w:color w:val="auto"/>
                      <w:sz w:val="21"/>
                      <w:szCs w:val="21"/>
                    </w:rPr>
                    <w:t>4</w:t>
                  </w:r>
                  <w:r>
                    <w:rPr>
                      <w:rFonts w:cs="宋体"/>
                      <w:color w:val="auto"/>
                      <w:sz w:val="21"/>
                      <w:szCs w:val="21"/>
                    </w:rPr>
                    <w:t>.0</w:t>
                  </w:r>
                </w:p>
              </w:tc>
              <w:tc>
                <w:tcPr>
                  <w:tcW w:w="712" w:type="dxa"/>
                  <w:tcBorders>
                    <w:tl2br w:val="nil"/>
                    <w:tr2bl w:val="nil"/>
                  </w:tcBorders>
                  <w:vAlign w:val="center"/>
                </w:tcPr>
                <w:p w14:paraId="24F2696E">
                  <w:pPr>
                    <w:widowControl/>
                    <w:spacing w:line="240" w:lineRule="auto"/>
                    <w:jc w:val="center"/>
                    <w:rPr>
                      <w:color w:val="auto"/>
                      <w:sz w:val="21"/>
                      <w:szCs w:val="21"/>
                    </w:rPr>
                  </w:pPr>
                  <w:r>
                    <w:rPr>
                      <w:rFonts w:hint="eastAsia" w:cs="宋体"/>
                      <w:color w:val="auto"/>
                      <w:sz w:val="21"/>
                      <w:szCs w:val="21"/>
                    </w:rPr>
                    <w:t>7.0</w:t>
                  </w:r>
                </w:p>
              </w:tc>
              <w:tc>
                <w:tcPr>
                  <w:tcW w:w="1025" w:type="dxa"/>
                  <w:vMerge w:val="continue"/>
                  <w:tcBorders>
                    <w:tl2br w:val="nil"/>
                    <w:tr2bl w:val="nil"/>
                  </w:tcBorders>
                  <w:vAlign w:val="center"/>
                </w:tcPr>
                <w:p w14:paraId="02C36586">
                  <w:pPr>
                    <w:pStyle w:val="47"/>
                    <w:widowControl w:val="0"/>
                    <w:spacing w:line="240" w:lineRule="auto"/>
                    <w:rPr>
                      <w:color w:val="auto"/>
                      <w:szCs w:val="21"/>
                    </w:rPr>
                  </w:pPr>
                </w:p>
              </w:tc>
              <w:tc>
                <w:tcPr>
                  <w:tcW w:w="1050" w:type="dxa"/>
                  <w:tcBorders>
                    <w:tl2br w:val="nil"/>
                    <w:tr2bl w:val="nil"/>
                  </w:tcBorders>
                </w:tcPr>
                <w:p w14:paraId="1D1A80E0">
                  <w:pPr>
                    <w:widowControl/>
                    <w:spacing w:line="240" w:lineRule="auto"/>
                    <w:jc w:val="center"/>
                    <w:textAlignment w:val="top"/>
                    <w:rPr>
                      <w:color w:val="auto"/>
                      <w:sz w:val="21"/>
                      <w:szCs w:val="21"/>
                    </w:rPr>
                  </w:pPr>
                  <w:r>
                    <w:rPr>
                      <w:color w:val="auto"/>
                      <w:kern w:val="0"/>
                      <w:sz w:val="21"/>
                      <w:szCs w:val="21"/>
                      <w:lang w:bidi="ar"/>
                    </w:rPr>
                    <w:t>53</w:t>
                  </w:r>
                </w:p>
              </w:tc>
            </w:tr>
            <w:tr w14:paraId="0F457B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9" w:hRule="atLeast"/>
              </w:trPr>
              <w:tc>
                <w:tcPr>
                  <w:tcW w:w="426" w:type="dxa"/>
                  <w:tcBorders>
                    <w:tl2br w:val="nil"/>
                    <w:tr2bl w:val="nil"/>
                  </w:tcBorders>
                  <w:vAlign w:val="center"/>
                </w:tcPr>
                <w:p w14:paraId="463CE705">
                  <w:pPr>
                    <w:spacing w:line="240" w:lineRule="auto"/>
                    <w:jc w:val="center"/>
                    <w:rPr>
                      <w:color w:val="auto"/>
                      <w:sz w:val="21"/>
                      <w:szCs w:val="21"/>
                    </w:rPr>
                  </w:pPr>
                  <w:r>
                    <w:rPr>
                      <w:rFonts w:hint="eastAsia"/>
                      <w:bCs/>
                      <w:color w:val="auto"/>
                      <w:sz w:val="21"/>
                      <w:szCs w:val="21"/>
                    </w:rPr>
                    <w:t>5</w:t>
                  </w:r>
                </w:p>
              </w:tc>
              <w:tc>
                <w:tcPr>
                  <w:tcW w:w="1855" w:type="dxa"/>
                  <w:tcBorders>
                    <w:tl2br w:val="nil"/>
                    <w:tr2bl w:val="nil"/>
                  </w:tcBorders>
                  <w:vAlign w:val="center"/>
                </w:tcPr>
                <w:p w14:paraId="29779691">
                  <w:pPr>
                    <w:spacing w:line="240" w:lineRule="auto"/>
                    <w:jc w:val="center"/>
                    <w:rPr>
                      <w:color w:val="auto"/>
                      <w:sz w:val="21"/>
                      <w:szCs w:val="21"/>
                      <w:lang w:eastAsia="en-US"/>
                    </w:rPr>
                  </w:pPr>
                  <w:r>
                    <w:rPr>
                      <w:rFonts w:hint="eastAsia"/>
                      <w:color w:val="auto"/>
                      <w:sz w:val="21"/>
                      <w:szCs w:val="21"/>
                    </w:rPr>
                    <w:t>热压机</w:t>
                  </w:r>
                </w:p>
              </w:tc>
              <w:tc>
                <w:tcPr>
                  <w:tcW w:w="625" w:type="dxa"/>
                  <w:tcBorders>
                    <w:tl2br w:val="nil"/>
                    <w:tr2bl w:val="nil"/>
                  </w:tcBorders>
                  <w:vAlign w:val="center"/>
                </w:tcPr>
                <w:p w14:paraId="6BD7F3CB">
                  <w:pPr>
                    <w:spacing w:line="240" w:lineRule="auto"/>
                    <w:jc w:val="center"/>
                    <w:rPr>
                      <w:color w:val="auto"/>
                      <w:sz w:val="21"/>
                      <w:szCs w:val="21"/>
                    </w:rPr>
                  </w:pPr>
                  <w:r>
                    <w:rPr>
                      <w:rFonts w:hint="eastAsia"/>
                      <w:color w:val="auto"/>
                      <w:sz w:val="21"/>
                      <w:szCs w:val="21"/>
                    </w:rPr>
                    <w:t>1</w:t>
                  </w:r>
                </w:p>
              </w:tc>
              <w:tc>
                <w:tcPr>
                  <w:tcW w:w="887" w:type="dxa"/>
                  <w:tcBorders>
                    <w:tl2br w:val="nil"/>
                    <w:tr2bl w:val="nil"/>
                  </w:tcBorders>
                  <w:vAlign w:val="center"/>
                </w:tcPr>
                <w:p w14:paraId="56B098A6">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4FDCF358">
                  <w:pPr>
                    <w:widowControl/>
                    <w:spacing w:line="240" w:lineRule="auto"/>
                    <w:jc w:val="center"/>
                    <w:rPr>
                      <w:color w:val="auto"/>
                      <w:sz w:val="21"/>
                      <w:szCs w:val="21"/>
                    </w:rPr>
                  </w:pPr>
                  <w:r>
                    <w:rPr>
                      <w:rFonts w:hint="eastAsia" w:cs="宋体"/>
                      <w:color w:val="auto"/>
                      <w:sz w:val="21"/>
                      <w:szCs w:val="21"/>
                    </w:rPr>
                    <w:t>-1.5</w:t>
                  </w:r>
                </w:p>
              </w:tc>
              <w:tc>
                <w:tcPr>
                  <w:tcW w:w="713" w:type="dxa"/>
                  <w:tcBorders>
                    <w:tl2br w:val="nil"/>
                    <w:tr2bl w:val="nil"/>
                  </w:tcBorders>
                  <w:vAlign w:val="center"/>
                </w:tcPr>
                <w:p w14:paraId="6A70450B">
                  <w:pPr>
                    <w:widowControl/>
                    <w:spacing w:line="240" w:lineRule="auto"/>
                    <w:jc w:val="center"/>
                    <w:rPr>
                      <w:color w:val="auto"/>
                      <w:sz w:val="21"/>
                      <w:szCs w:val="21"/>
                    </w:rPr>
                  </w:pPr>
                  <w:r>
                    <w:rPr>
                      <w:rFonts w:hint="eastAsia" w:cs="宋体"/>
                      <w:color w:val="auto"/>
                      <w:sz w:val="21"/>
                      <w:szCs w:val="21"/>
                    </w:rPr>
                    <w:t>8.0</w:t>
                  </w:r>
                </w:p>
              </w:tc>
              <w:tc>
                <w:tcPr>
                  <w:tcW w:w="712" w:type="dxa"/>
                  <w:tcBorders>
                    <w:tl2br w:val="nil"/>
                    <w:tr2bl w:val="nil"/>
                  </w:tcBorders>
                  <w:vAlign w:val="center"/>
                </w:tcPr>
                <w:p w14:paraId="70159B2C">
                  <w:pPr>
                    <w:widowControl/>
                    <w:spacing w:line="240" w:lineRule="auto"/>
                    <w:jc w:val="center"/>
                    <w:rPr>
                      <w:color w:val="auto"/>
                      <w:sz w:val="21"/>
                      <w:szCs w:val="21"/>
                    </w:rPr>
                  </w:pPr>
                  <w:r>
                    <w:rPr>
                      <w:rFonts w:hint="eastAsia" w:cs="宋体"/>
                      <w:color w:val="auto"/>
                      <w:sz w:val="21"/>
                      <w:szCs w:val="21"/>
                    </w:rPr>
                    <w:t>7.0</w:t>
                  </w:r>
                </w:p>
              </w:tc>
              <w:tc>
                <w:tcPr>
                  <w:tcW w:w="1025" w:type="dxa"/>
                  <w:vMerge w:val="continue"/>
                  <w:tcBorders>
                    <w:tl2br w:val="nil"/>
                    <w:tr2bl w:val="nil"/>
                  </w:tcBorders>
                  <w:vAlign w:val="center"/>
                </w:tcPr>
                <w:p w14:paraId="07EEE192">
                  <w:pPr>
                    <w:pStyle w:val="47"/>
                    <w:widowControl w:val="0"/>
                    <w:spacing w:line="240" w:lineRule="auto"/>
                    <w:rPr>
                      <w:color w:val="auto"/>
                      <w:szCs w:val="21"/>
                    </w:rPr>
                  </w:pPr>
                </w:p>
              </w:tc>
              <w:tc>
                <w:tcPr>
                  <w:tcW w:w="1050" w:type="dxa"/>
                  <w:tcBorders>
                    <w:tl2br w:val="nil"/>
                    <w:tr2bl w:val="nil"/>
                  </w:tcBorders>
                </w:tcPr>
                <w:p w14:paraId="725057CE">
                  <w:pPr>
                    <w:widowControl/>
                    <w:spacing w:line="240" w:lineRule="auto"/>
                    <w:jc w:val="center"/>
                    <w:textAlignment w:val="top"/>
                    <w:rPr>
                      <w:color w:val="auto"/>
                      <w:sz w:val="21"/>
                      <w:szCs w:val="21"/>
                    </w:rPr>
                  </w:pPr>
                  <w:r>
                    <w:rPr>
                      <w:color w:val="auto"/>
                      <w:kern w:val="0"/>
                      <w:sz w:val="21"/>
                      <w:szCs w:val="21"/>
                      <w:lang w:bidi="ar"/>
                    </w:rPr>
                    <w:t>60</w:t>
                  </w:r>
                </w:p>
              </w:tc>
            </w:tr>
            <w:tr w14:paraId="126388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77A9C07A">
                  <w:pPr>
                    <w:spacing w:line="240" w:lineRule="auto"/>
                    <w:jc w:val="center"/>
                    <w:rPr>
                      <w:color w:val="auto"/>
                      <w:sz w:val="21"/>
                      <w:szCs w:val="21"/>
                    </w:rPr>
                  </w:pPr>
                  <w:r>
                    <w:rPr>
                      <w:rFonts w:hint="eastAsia"/>
                      <w:bCs/>
                      <w:color w:val="auto"/>
                      <w:sz w:val="21"/>
                      <w:szCs w:val="21"/>
                    </w:rPr>
                    <w:t>6</w:t>
                  </w:r>
                </w:p>
              </w:tc>
              <w:tc>
                <w:tcPr>
                  <w:tcW w:w="1855" w:type="dxa"/>
                  <w:tcBorders>
                    <w:tl2br w:val="nil"/>
                    <w:tr2bl w:val="nil"/>
                  </w:tcBorders>
                  <w:vAlign w:val="center"/>
                </w:tcPr>
                <w:p w14:paraId="464A03F4">
                  <w:pPr>
                    <w:spacing w:line="240" w:lineRule="auto"/>
                    <w:jc w:val="center"/>
                    <w:rPr>
                      <w:color w:val="auto"/>
                      <w:sz w:val="21"/>
                      <w:szCs w:val="21"/>
                    </w:rPr>
                  </w:pPr>
                  <w:r>
                    <w:rPr>
                      <w:rFonts w:hint="eastAsia"/>
                      <w:color w:val="auto"/>
                      <w:sz w:val="21"/>
                      <w:szCs w:val="21"/>
                    </w:rPr>
                    <w:t>智能数控亚克力激光切割机</w:t>
                  </w:r>
                </w:p>
              </w:tc>
              <w:tc>
                <w:tcPr>
                  <w:tcW w:w="625" w:type="dxa"/>
                  <w:tcBorders>
                    <w:tl2br w:val="nil"/>
                    <w:tr2bl w:val="nil"/>
                  </w:tcBorders>
                  <w:vAlign w:val="center"/>
                </w:tcPr>
                <w:p w14:paraId="20867664">
                  <w:pPr>
                    <w:spacing w:line="240" w:lineRule="auto"/>
                    <w:jc w:val="center"/>
                    <w:rPr>
                      <w:color w:val="auto"/>
                      <w:sz w:val="21"/>
                      <w:szCs w:val="21"/>
                    </w:rPr>
                  </w:pPr>
                  <w:r>
                    <w:rPr>
                      <w:rFonts w:hint="eastAsia"/>
                      <w:color w:val="auto"/>
                      <w:sz w:val="21"/>
                      <w:szCs w:val="21"/>
                    </w:rPr>
                    <w:t>2</w:t>
                  </w:r>
                </w:p>
              </w:tc>
              <w:tc>
                <w:tcPr>
                  <w:tcW w:w="887" w:type="dxa"/>
                  <w:tcBorders>
                    <w:tl2br w:val="nil"/>
                    <w:tr2bl w:val="nil"/>
                  </w:tcBorders>
                  <w:vAlign w:val="center"/>
                </w:tcPr>
                <w:p w14:paraId="6178B07E">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6E17CDA1">
                  <w:pPr>
                    <w:widowControl/>
                    <w:spacing w:line="240" w:lineRule="auto"/>
                    <w:jc w:val="center"/>
                    <w:rPr>
                      <w:color w:val="auto"/>
                      <w:sz w:val="21"/>
                      <w:szCs w:val="21"/>
                    </w:rPr>
                  </w:pPr>
                  <w:r>
                    <w:rPr>
                      <w:rFonts w:hint="eastAsia" w:cs="宋体"/>
                      <w:color w:val="auto"/>
                      <w:sz w:val="21"/>
                      <w:szCs w:val="21"/>
                    </w:rPr>
                    <w:t>3</w:t>
                  </w:r>
                </w:p>
              </w:tc>
              <w:tc>
                <w:tcPr>
                  <w:tcW w:w="713" w:type="dxa"/>
                  <w:tcBorders>
                    <w:tl2br w:val="nil"/>
                    <w:tr2bl w:val="nil"/>
                  </w:tcBorders>
                  <w:vAlign w:val="center"/>
                </w:tcPr>
                <w:p w14:paraId="22387CFF">
                  <w:pPr>
                    <w:widowControl/>
                    <w:spacing w:line="240" w:lineRule="auto"/>
                    <w:jc w:val="center"/>
                    <w:rPr>
                      <w:color w:val="auto"/>
                      <w:sz w:val="21"/>
                      <w:szCs w:val="21"/>
                    </w:rPr>
                  </w:pPr>
                  <w:r>
                    <w:rPr>
                      <w:rFonts w:hint="eastAsia" w:cs="宋体"/>
                      <w:color w:val="auto"/>
                      <w:sz w:val="21"/>
                      <w:szCs w:val="21"/>
                    </w:rPr>
                    <w:t>7</w:t>
                  </w:r>
                  <w:r>
                    <w:rPr>
                      <w:rFonts w:cs="宋体"/>
                      <w:color w:val="auto"/>
                      <w:sz w:val="21"/>
                      <w:szCs w:val="21"/>
                    </w:rPr>
                    <w:t>.0</w:t>
                  </w:r>
                </w:p>
              </w:tc>
              <w:tc>
                <w:tcPr>
                  <w:tcW w:w="712" w:type="dxa"/>
                  <w:tcBorders>
                    <w:tl2br w:val="nil"/>
                    <w:tr2bl w:val="nil"/>
                  </w:tcBorders>
                  <w:vAlign w:val="center"/>
                </w:tcPr>
                <w:p w14:paraId="6C1FFE81">
                  <w:pPr>
                    <w:widowControl/>
                    <w:spacing w:line="240" w:lineRule="auto"/>
                    <w:jc w:val="center"/>
                    <w:rPr>
                      <w:color w:val="auto"/>
                      <w:sz w:val="21"/>
                      <w:szCs w:val="21"/>
                    </w:rPr>
                  </w:pPr>
                  <w:r>
                    <w:rPr>
                      <w:rFonts w:cs="宋体"/>
                      <w:color w:val="auto"/>
                      <w:sz w:val="21"/>
                      <w:szCs w:val="21"/>
                    </w:rPr>
                    <w:t>0</w:t>
                  </w:r>
                  <w:r>
                    <w:rPr>
                      <w:rFonts w:hint="eastAsia" w:cs="宋体"/>
                      <w:color w:val="auto"/>
                      <w:sz w:val="21"/>
                      <w:szCs w:val="21"/>
                    </w:rPr>
                    <w:t>.7</w:t>
                  </w:r>
                </w:p>
              </w:tc>
              <w:tc>
                <w:tcPr>
                  <w:tcW w:w="1025" w:type="dxa"/>
                  <w:vMerge w:val="continue"/>
                  <w:tcBorders>
                    <w:tl2br w:val="nil"/>
                    <w:tr2bl w:val="nil"/>
                  </w:tcBorders>
                  <w:vAlign w:val="center"/>
                </w:tcPr>
                <w:p w14:paraId="227379BA">
                  <w:pPr>
                    <w:pStyle w:val="47"/>
                    <w:widowControl w:val="0"/>
                    <w:spacing w:line="240" w:lineRule="auto"/>
                    <w:rPr>
                      <w:color w:val="auto"/>
                      <w:szCs w:val="21"/>
                    </w:rPr>
                  </w:pPr>
                </w:p>
              </w:tc>
              <w:tc>
                <w:tcPr>
                  <w:tcW w:w="1050" w:type="dxa"/>
                  <w:tcBorders>
                    <w:tl2br w:val="nil"/>
                    <w:tr2bl w:val="nil"/>
                  </w:tcBorders>
                </w:tcPr>
                <w:p w14:paraId="4311868C">
                  <w:pPr>
                    <w:widowControl/>
                    <w:spacing w:line="240" w:lineRule="auto"/>
                    <w:jc w:val="center"/>
                    <w:textAlignment w:val="top"/>
                    <w:rPr>
                      <w:color w:val="auto"/>
                      <w:sz w:val="21"/>
                      <w:szCs w:val="21"/>
                    </w:rPr>
                  </w:pPr>
                  <w:r>
                    <w:rPr>
                      <w:color w:val="auto"/>
                      <w:kern w:val="0"/>
                      <w:sz w:val="21"/>
                      <w:szCs w:val="21"/>
                      <w:lang w:bidi="ar"/>
                    </w:rPr>
                    <w:t>60</w:t>
                  </w:r>
                </w:p>
              </w:tc>
            </w:tr>
            <w:tr w14:paraId="04A446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0F7CF47C">
                  <w:pPr>
                    <w:spacing w:line="240" w:lineRule="auto"/>
                    <w:jc w:val="center"/>
                    <w:rPr>
                      <w:color w:val="auto"/>
                      <w:sz w:val="21"/>
                      <w:szCs w:val="21"/>
                    </w:rPr>
                  </w:pPr>
                  <w:r>
                    <w:rPr>
                      <w:rFonts w:hint="eastAsia"/>
                      <w:bCs/>
                      <w:color w:val="auto"/>
                      <w:sz w:val="21"/>
                      <w:szCs w:val="21"/>
                    </w:rPr>
                    <w:t>7</w:t>
                  </w:r>
                </w:p>
              </w:tc>
              <w:tc>
                <w:tcPr>
                  <w:tcW w:w="1855" w:type="dxa"/>
                  <w:tcBorders>
                    <w:tl2br w:val="nil"/>
                    <w:tr2bl w:val="nil"/>
                  </w:tcBorders>
                  <w:vAlign w:val="center"/>
                </w:tcPr>
                <w:p w14:paraId="47BBFFC7">
                  <w:pPr>
                    <w:spacing w:line="240" w:lineRule="auto"/>
                    <w:jc w:val="center"/>
                    <w:rPr>
                      <w:color w:val="auto"/>
                      <w:sz w:val="21"/>
                      <w:szCs w:val="21"/>
                    </w:rPr>
                  </w:pPr>
                  <w:r>
                    <w:rPr>
                      <w:rFonts w:hint="eastAsia"/>
                      <w:color w:val="auto"/>
                      <w:sz w:val="21"/>
                      <w:szCs w:val="21"/>
                    </w:rPr>
                    <w:t>智能数控机械臂焊接机</w:t>
                  </w:r>
                </w:p>
              </w:tc>
              <w:tc>
                <w:tcPr>
                  <w:tcW w:w="625" w:type="dxa"/>
                  <w:tcBorders>
                    <w:tl2br w:val="nil"/>
                    <w:tr2bl w:val="nil"/>
                  </w:tcBorders>
                  <w:vAlign w:val="center"/>
                </w:tcPr>
                <w:p w14:paraId="1250611E">
                  <w:pPr>
                    <w:spacing w:line="240" w:lineRule="auto"/>
                    <w:jc w:val="center"/>
                    <w:rPr>
                      <w:color w:val="auto"/>
                      <w:sz w:val="21"/>
                      <w:szCs w:val="21"/>
                    </w:rPr>
                  </w:pPr>
                  <w:r>
                    <w:rPr>
                      <w:rFonts w:hint="eastAsia"/>
                      <w:color w:val="auto"/>
                      <w:sz w:val="21"/>
                      <w:szCs w:val="21"/>
                    </w:rPr>
                    <w:t>1</w:t>
                  </w:r>
                </w:p>
              </w:tc>
              <w:tc>
                <w:tcPr>
                  <w:tcW w:w="887" w:type="dxa"/>
                  <w:tcBorders>
                    <w:tl2br w:val="nil"/>
                    <w:tr2bl w:val="nil"/>
                  </w:tcBorders>
                  <w:vAlign w:val="center"/>
                </w:tcPr>
                <w:p w14:paraId="30AA7DFD">
                  <w:pPr>
                    <w:spacing w:line="240" w:lineRule="auto"/>
                    <w:jc w:val="center"/>
                    <w:rPr>
                      <w:color w:val="auto"/>
                      <w:sz w:val="21"/>
                      <w:szCs w:val="21"/>
                    </w:rPr>
                  </w:pPr>
                  <w:r>
                    <w:rPr>
                      <w:color w:val="auto"/>
                      <w:sz w:val="21"/>
                      <w:szCs w:val="21"/>
                    </w:rPr>
                    <w:t>7</w:t>
                  </w:r>
                  <w:r>
                    <w:rPr>
                      <w:rFonts w:hint="eastAsia"/>
                      <w:color w:val="auto"/>
                      <w:sz w:val="21"/>
                      <w:szCs w:val="21"/>
                    </w:rPr>
                    <w:t>0</w:t>
                  </w:r>
                </w:p>
              </w:tc>
              <w:tc>
                <w:tcPr>
                  <w:tcW w:w="725" w:type="dxa"/>
                  <w:tcBorders>
                    <w:tl2br w:val="nil"/>
                    <w:tr2bl w:val="nil"/>
                  </w:tcBorders>
                  <w:vAlign w:val="center"/>
                </w:tcPr>
                <w:p w14:paraId="17B00E55">
                  <w:pPr>
                    <w:widowControl/>
                    <w:spacing w:line="240" w:lineRule="auto"/>
                    <w:jc w:val="center"/>
                    <w:rPr>
                      <w:color w:val="auto"/>
                      <w:sz w:val="21"/>
                      <w:szCs w:val="21"/>
                    </w:rPr>
                  </w:pPr>
                  <w:r>
                    <w:rPr>
                      <w:rFonts w:hint="eastAsia" w:cs="宋体"/>
                      <w:color w:val="auto"/>
                      <w:sz w:val="21"/>
                      <w:szCs w:val="21"/>
                    </w:rPr>
                    <w:t>4</w:t>
                  </w:r>
                  <w:r>
                    <w:rPr>
                      <w:rFonts w:cs="宋体"/>
                      <w:color w:val="auto"/>
                      <w:sz w:val="21"/>
                      <w:szCs w:val="21"/>
                    </w:rPr>
                    <w:t>.0</w:t>
                  </w:r>
                </w:p>
              </w:tc>
              <w:tc>
                <w:tcPr>
                  <w:tcW w:w="713" w:type="dxa"/>
                  <w:tcBorders>
                    <w:tl2br w:val="nil"/>
                    <w:tr2bl w:val="nil"/>
                  </w:tcBorders>
                  <w:vAlign w:val="center"/>
                </w:tcPr>
                <w:p w14:paraId="582287ED">
                  <w:pPr>
                    <w:widowControl/>
                    <w:spacing w:line="240" w:lineRule="auto"/>
                    <w:jc w:val="center"/>
                    <w:rPr>
                      <w:color w:val="auto"/>
                      <w:sz w:val="21"/>
                      <w:szCs w:val="21"/>
                    </w:rPr>
                  </w:pPr>
                  <w:r>
                    <w:rPr>
                      <w:rFonts w:hint="eastAsia" w:cs="宋体"/>
                      <w:color w:val="auto"/>
                      <w:sz w:val="21"/>
                      <w:szCs w:val="21"/>
                    </w:rPr>
                    <w:t>-6</w:t>
                  </w:r>
                  <w:r>
                    <w:rPr>
                      <w:rFonts w:cs="宋体"/>
                      <w:color w:val="auto"/>
                      <w:sz w:val="21"/>
                      <w:szCs w:val="21"/>
                    </w:rPr>
                    <w:t>.0</w:t>
                  </w:r>
                </w:p>
              </w:tc>
              <w:tc>
                <w:tcPr>
                  <w:tcW w:w="712" w:type="dxa"/>
                  <w:tcBorders>
                    <w:tl2br w:val="nil"/>
                    <w:tr2bl w:val="nil"/>
                  </w:tcBorders>
                  <w:vAlign w:val="center"/>
                </w:tcPr>
                <w:p w14:paraId="3FC58004">
                  <w:pPr>
                    <w:widowControl/>
                    <w:spacing w:line="240" w:lineRule="auto"/>
                    <w:jc w:val="center"/>
                    <w:rPr>
                      <w:color w:val="auto"/>
                      <w:sz w:val="21"/>
                      <w:szCs w:val="21"/>
                    </w:rPr>
                  </w:pPr>
                  <w:r>
                    <w:rPr>
                      <w:rFonts w:hint="eastAsia" w:cs="宋体"/>
                      <w:color w:val="auto"/>
                      <w:sz w:val="21"/>
                      <w:szCs w:val="21"/>
                    </w:rPr>
                    <w:t>0.7</w:t>
                  </w:r>
                </w:p>
              </w:tc>
              <w:tc>
                <w:tcPr>
                  <w:tcW w:w="1025" w:type="dxa"/>
                  <w:vMerge w:val="continue"/>
                  <w:tcBorders>
                    <w:tl2br w:val="nil"/>
                    <w:tr2bl w:val="nil"/>
                  </w:tcBorders>
                  <w:vAlign w:val="center"/>
                </w:tcPr>
                <w:p w14:paraId="16CCE908">
                  <w:pPr>
                    <w:pStyle w:val="47"/>
                    <w:widowControl w:val="0"/>
                    <w:spacing w:line="240" w:lineRule="auto"/>
                    <w:rPr>
                      <w:color w:val="auto"/>
                      <w:szCs w:val="21"/>
                    </w:rPr>
                  </w:pPr>
                </w:p>
              </w:tc>
              <w:tc>
                <w:tcPr>
                  <w:tcW w:w="1050" w:type="dxa"/>
                  <w:tcBorders>
                    <w:tl2br w:val="nil"/>
                    <w:tr2bl w:val="nil"/>
                  </w:tcBorders>
                </w:tcPr>
                <w:p w14:paraId="4E1487A3">
                  <w:pPr>
                    <w:widowControl/>
                    <w:spacing w:line="240" w:lineRule="auto"/>
                    <w:jc w:val="center"/>
                    <w:textAlignment w:val="top"/>
                    <w:rPr>
                      <w:color w:val="auto"/>
                      <w:sz w:val="21"/>
                      <w:szCs w:val="21"/>
                    </w:rPr>
                  </w:pPr>
                  <w:r>
                    <w:rPr>
                      <w:color w:val="auto"/>
                      <w:kern w:val="0"/>
                      <w:sz w:val="21"/>
                      <w:szCs w:val="21"/>
                      <w:lang w:bidi="ar"/>
                    </w:rPr>
                    <w:t>59</w:t>
                  </w:r>
                </w:p>
              </w:tc>
            </w:tr>
            <w:tr w14:paraId="5F911C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2D3AA84A">
                  <w:pPr>
                    <w:spacing w:line="240" w:lineRule="auto"/>
                    <w:jc w:val="center"/>
                    <w:rPr>
                      <w:color w:val="auto"/>
                      <w:sz w:val="21"/>
                      <w:szCs w:val="21"/>
                    </w:rPr>
                  </w:pPr>
                  <w:r>
                    <w:rPr>
                      <w:rFonts w:hint="eastAsia"/>
                      <w:bCs/>
                      <w:color w:val="auto"/>
                      <w:sz w:val="21"/>
                      <w:szCs w:val="21"/>
                    </w:rPr>
                    <w:t>8</w:t>
                  </w:r>
                </w:p>
              </w:tc>
              <w:tc>
                <w:tcPr>
                  <w:tcW w:w="1855" w:type="dxa"/>
                  <w:tcBorders>
                    <w:tl2br w:val="nil"/>
                    <w:tr2bl w:val="nil"/>
                  </w:tcBorders>
                  <w:vAlign w:val="center"/>
                </w:tcPr>
                <w:p w14:paraId="3E56DA60">
                  <w:pPr>
                    <w:spacing w:line="240" w:lineRule="auto"/>
                    <w:jc w:val="center"/>
                    <w:rPr>
                      <w:color w:val="auto"/>
                      <w:sz w:val="21"/>
                      <w:szCs w:val="21"/>
                    </w:rPr>
                  </w:pPr>
                  <w:r>
                    <w:rPr>
                      <w:rFonts w:hint="eastAsia"/>
                      <w:color w:val="auto"/>
                      <w:sz w:val="21"/>
                      <w:szCs w:val="21"/>
                    </w:rPr>
                    <w:t>智能数控光纤激光焊接机</w:t>
                  </w:r>
                </w:p>
              </w:tc>
              <w:tc>
                <w:tcPr>
                  <w:tcW w:w="625" w:type="dxa"/>
                  <w:tcBorders>
                    <w:tl2br w:val="nil"/>
                    <w:tr2bl w:val="nil"/>
                  </w:tcBorders>
                  <w:vAlign w:val="center"/>
                </w:tcPr>
                <w:p w14:paraId="25047742">
                  <w:pPr>
                    <w:spacing w:line="240" w:lineRule="auto"/>
                    <w:jc w:val="center"/>
                    <w:rPr>
                      <w:color w:val="auto"/>
                      <w:sz w:val="21"/>
                      <w:szCs w:val="21"/>
                    </w:rPr>
                  </w:pPr>
                  <w:r>
                    <w:rPr>
                      <w:rFonts w:hint="eastAsia"/>
                      <w:color w:val="auto"/>
                      <w:sz w:val="21"/>
                      <w:szCs w:val="21"/>
                    </w:rPr>
                    <w:t>1</w:t>
                  </w:r>
                </w:p>
              </w:tc>
              <w:tc>
                <w:tcPr>
                  <w:tcW w:w="887" w:type="dxa"/>
                  <w:tcBorders>
                    <w:tl2br w:val="nil"/>
                    <w:tr2bl w:val="nil"/>
                  </w:tcBorders>
                  <w:vAlign w:val="center"/>
                </w:tcPr>
                <w:p w14:paraId="375FE569">
                  <w:pPr>
                    <w:spacing w:line="240" w:lineRule="auto"/>
                    <w:jc w:val="center"/>
                    <w:rPr>
                      <w:color w:val="auto"/>
                      <w:sz w:val="21"/>
                      <w:szCs w:val="21"/>
                    </w:rPr>
                  </w:pPr>
                  <w:r>
                    <w:rPr>
                      <w:color w:val="auto"/>
                      <w:sz w:val="21"/>
                      <w:szCs w:val="21"/>
                    </w:rPr>
                    <w:t>7</w:t>
                  </w:r>
                  <w:r>
                    <w:rPr>
                      <w:rFonts w:hint="eastAsia"/>
                      <w:color w:val="auto"/>
                      <w:sz w:val="21"/>
                      <w:szCs w:val="21"/>
                    </w:rPr>
                    <w:t>0</w:t>
                  </w:r>
                </w:p>
              </w:tc>
              <w:tc>
                <w:tcPr>
                  <w:tcW w:w="725" w:type="dxa"/>
                  <w:tcBorders>
                    <w:tl2br w:val="nil"/>
                    <w:tr2bl w:val="nil"/>
                  </w:tcBorders>
                  <w:vAlign w:val="center"/>
                </w:tcPr>
                <w:p w14:paraId="74F0BD17">
                  <w:pPr>
                    <w:widowControl/>
                    <w:spacing w:line="240" w:lineRule="auto"/>
                    <w:jc w:val="center"/>
                    <w:rPr>
                      <w:color w:val="auto"/>
                      <w:sz w:val="21"/>
                      <w:szCs w:val="21"/>
                    </w:rPr>
                  </w:pPr>
                  <w:r>
                    <w:rPr>
                      <w:rFonts w:hint="eastAsia" w:cs="宋体"/>
                      <w:color w:val="auto"/>
                      <w:sz w:val="21"/>
                      <w:szCs w:val="21"/>
                    </w:rPr>
                    <w:t>8</w:t>
                  </w:r>
                  <w:r>
                    <w:rPr>
                      <w:rFonts w:cs="宋体"/>
                      <w:color w:val="auto"/>
                      <w:sz w:val="21"/>
                      <w:szCs w:val="21"/>
                    </w:rPr>
                    <w:t>.0</w:t>
                  </w:r>
                </w:p>
              </w:tc>
              <w:tc>
                <w:tcPr>
                  <w:tcW w:w="713" w:type="dxa"/>
                  <w:tcBorders>
                    <w:tl2br w:val="nil"/>
                    <w:tr2bl w:val="nil"/>
                  </w:tcBorders>
                  <w:vAlign w:val="center"/>
                </w:tcPr>
                <w:p w14:paraId="5293144A">
                  <w:pPr>
                    <w:widowControl/>
                    <w:spacing w:line="240" w:lineRule="auto"/>
                    <w:jc w:val="center"/>
                    <w:rPr>
                      <w:color w:val="auto"/>
                      <w:sz w:val="21"/>
                      <w:szCs w:val="21"/>
                    </w:rPr>
                  </w:pPr>
                  <w:r>
                    <w:rPr>
                      <w:rFonts w:hint="eastAsia" w:cs="宋体"/>
                      <w:color w:val="auto"/>
                      <w:sz w:val="21"/>
                      <w:szCs w:val="21"/>
                    </w:rPr>
                    <w:t>6</w:t>
                  </w:r>
                  <w:r>
                    <w:rPr>
                      <w:rFonts w:cs="宋体"/>
                      <w:color w:val="auto"/>
                      <w:sz w:val="21"/>
                      <w:szCs w:val="21"/>
                    </w:rPr>
                    <w:t>.0</w:t>
                  </w:r>
                </w:p>
              </w:tc>
              <w:tc>
                <w:tcPr>
                  <w:tcW w:w="712" w:type="dxa"/>
                  <w:tcBorders>
                    <w:tl2br w:val="nil"/>
                    <w:tr2bl w:val="nil"/>
                  </w:tcBorders>
                  <w:vAlign w:val="center"/>
                </w:tcPr>
                <w:p w14:paraId="6F7E3B50">
                  <w:pPr>
                    <w:widowControl/>
                    <w:spacing w:line="240" w:lineRule="auto"/>
                    <w:jc w:val="center"/>
                    <w:rPr>
                      <w:color w:val="auto"/>
                      <w:sz w:val="21"/>
                      <w:szCs w:val="21"/>
                    </w:rPr>
                  </w:pPr>
                  <w:r>
                    <w:rPr>
                      <w:rFonts w:hint="eastAsia" w:cs="宋体"/>
                      <w:color w:val="auto"/>
                      <w:sz w:val="21"/>
                      <w:szCs w:val="21"/>
                    </w:rPr>
                    <w:t>7.0</w:t>
                  </w:r>
                </w:p>
              </w:tc>
              <w:tc>
                <w:tcPr>
                  <w:tcW w:w="1025" w:type="dxa"/>
                  <w:vMerge w:val="continue"/>
                  <w:tcBorders>
                    <w:tl2br w:val="nil"/>
                    <w:tr2bl w:val="nil"/>
                  </w:tcBorders>
                  <w:vAlign w:val="center"/>
                </w:tcPr>
                <w:p w14:paraId="58B6637F">
                  <w:pPr>
                    <w:pStyle w:val="47"/>
                    <w:widowControl w:val="0"/>
                    <w:spacing w:line="240" w:lineRule="auto"/>
                    <w:rPr>
                      <w:color w:val="auto"/>
                      <w:szCs w:val="21"/>
                    </w:rPr>
                  </w:pPr>
                </w:p>
              </w:tc>
              <w:tc>
                <w:tcPr>
                  <w:tcW w:w="1050" w:type="dxa"/>
                  <w:tcBorders>
                    <w:tl2br w:val="nil"/>
                    <w:tr2bl w:val="nil"/>
                  </w:tcBorders>
                </w:tcPr>
                <w:p w14:paraId="6813EDA7">
                  <w:pPr>
                    <w:widowControl/>
                    <w:spacing w:line="240" w:lineRule="auto"/>
                    <w:jc w:val="center"/>
                    <w:textAlignment w:val="top"/>
                    <w:rPr>
                      <w:color w:val="auto"/>
                      <w:sz w:val="21"/>
                      <w:szCs w:val="21"/>
                    </w:rPr>
                  </w:pPr>
                  <w:r>
                    <w:rPr>
                      <w:color w:val="auto"/>
                      <w:kern w:val="0"/>
                      <w:sz w:val="21"/>
                      <w:szCs w:val="21"/>
                      <w:lang w:bidi="ar"/>
                    </w:rPr>
                    <w:t>53</w:t>
                  </w:r>
                </w:p>
              </w:tc>
            </w:tr>
            <w:tr w14:paraId="59AD89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D0AA4FC">
                  <w:pPr>
                    <w:spacing w:line="240" w:lineRule="auto"/>
                    <w:jc w:val="center"/>
                    <w:rPr>
                      <w:color w:val="auto"/>
                      <w:sz w:val="21"/>
                      <w:szCs w:val="21"/>
                    </w:rPr>
                  </w:pPr>
                  <w:r>
                    <w:rPr>
                      <w:rFonts w:hint="eastAsia"/>
                      <w:bCs/>
                      <w:color w:val="auto"/>
                      <w:sz w:val="21"/>
                      <w:szCs w:val="21"/>
                    </w:rPr>
                    <w:t>9</w:t>
                  </w:r>
                </w:p>
              </w:tc>
              <w:tc>
                <w:tcPr>
                  <w:tcW w:w="1855" w:type="dxa"/>
                  <w:tcBorders>
                    <w:tl2br w:val="nil"/>
                    <w:tr2bl w:val="nil"/>
                  </w:tcBorders>
                  <w:vAlign w:val="center"/>
                </w:tcPr>
                <w:p w14:paraId="7C684071">
                  <w:pPr>
                    <w:spacing w:line="240" w:lineRule="auto"/>
                    <w:jc w:val="center"/>
                    <w:rPr>
                      <w:color w:val="auto"/>
                      <w:sz w:val="21"/>
                      <w:szCs w:val="21"/>
                    </w:rPr>
                  </w:pPr>
                  <w:r>
                    <w:rPr>
                      <w:rFonts w:hint="eastAsia"/>
                      <w:color w:val="auto"/>
                      <w:sz w:val="21"/>
                      <w:szCs w:val="21"/>
                    </w:rPr>
                    <w:t>空压机</w:t>
                  </w:r>
                </w:p>
              </w:tc>
              <w:tc>
                <w:tcPr>
                  <w:tcW w:w="625" w:type="dxa"/>
                  <w:tcBorders>
                    <w:tl2br w:val="nil"/>
                    <w:tr2bl w:val="nil"/>
                  </w:tcBorders>
                  <w:vAlign w:val="center"/>
                </w:tcPr>
                <w:p w14:paraId="467D3AA4">
                  <w:pPr>
                    <w:spacing w:line="240" w:lineRule="auto"/>
                    <w:jc w:val="center"/>
                    <w:rPr>
                      <w:color w:val="auto"/>
                      <w:sz w:val="21"/>
                      <w:szCs w:val="21"/>
                    </w:rPr>
                  </w:pPr>
                  <w:r>
                    <w:rPr>
                      <w:rFonts w:hint="eastAsia"/>
                      <w:color w:val="auto"/>
                      <w:sz w:val="21"/>
                      <w:szCs w:val="21"/>
                    </w:rPr>
                    <w:t>3</w:t>
                  </w:r>
                </w:p>
              </w:tc>
              <w:tc>
                <w:tcPr>
                  <w:tcW w:w="887" w:type="dxa"/>
                  <w:tcBorders>
                    <w:tl2br w:val="nil"/>
                    <w:tr2bl w:val="nil"/>
                  </w:tcBorders>
                  <w:vAlign w:val="center"/>
                </w:tcPr>
                <w:p w14:paraId="4D3F8EB4">
                  <w:pPr>
                    <w:spacing w:line="240" w:lineRule="auto"/>
                    <w:jc w:val="center"/>
                    <w:rPr>
                      <w:color w:val="auto"/>
                      <w:sz w:val="21"/>
                      <w:szCs w:val="21"/>
                    </w:rPr>
                  </w:pPr>
                  <w:r>
                    <w:rPr>
                      <w:rFonts w:hint="eastAsia"/>
                      <w:color w:val="auto"/>
                      <w:sz w:val="21"/>
                      <w:szCs w:val="21"/>
                    </w:rPr>
                    <w:t>80</w:t>
                  </w:r>
                </w:p>
              </w:tc>
              <w:tc>
                <w:tcPr>
                  <w:tcW w:w="725" w:type="dxa"/>
                  <w:tcBorders>
                    <w:tl2br w:val="nil"/>
                    <w:tr2bl w:val="nil"/>
                  </w:tcBorders>
                  <w:vAlign w:val="center"/>
                </w:tcPr>
                <w:p w14:paraId="1A52632A">
                  <w:pPr>
                    <w:widowControl/>
                    <w:spacing w:line="240" w:lineRule="auto"/>
                    <w:jc w:val="center"/>
                    <w:rPr>
                      <w:color w:val="auto"/>
                      <w:sz w:val="21"/>
                      <w:szCs w:val="21"/>
                    </w:rPr>
                  </w:pPr>
                  <w:r>
                    <w:rPr>
                      <w:rFonts w:hint="eastAsia" w:cs="宋体"/>
                      <w:color w:val="auto"/>
                      <w:sz w:val="21"/>
                      <w:szCs w:val="21"/>
                    </w:rPr>
                    <w:t>4</w:t>
                  </w:r>
                  <w:r>
                    <w:rPr>
                      <w:rFonts w:cs="宋体"/>
                      <w:color w:val="auto"/>
                      <w:sz w:val="21"/>
                      <w:szCs w:val="21"/>
                    </w:rPr>
                    <w:t>.0</w:t>
                  </w:r>
                </w:p>
              </w:tc>
              <w:tc>
                <w:tcPr>
                  <w:tcW w:w="713" w:type="dxa"/>
                  <w:tcBorders>
                    <w:tl2br w:val="nil"/>
                    <w:tr2bl w:val="nil"/>
                  </w:tcBorders>
                  <w:vAlign w:val="center"/>
                </w:tcPr>
                <w:p w14:paraId="65B2F894">
                  <w:pPr>
                    <w:widowControl/>
                    <w:spacing w:line="240" w:lineRule="auto"/>
                    <w:jc w:val="center"/>
                    <w:rPr>
                      <w:color w:val="auto"/>
                      <w:sz w:val="21"/>
                      <w:szCs w:val="21"/>
                    </w:rPr>
                  </w:pPr>
                  <w:r>
                    <w:rPr>
                      <w:rFonts w:hint="eastAsia" w:cs="宋体"/>
                      <w:color w:val="auto"/>
                      <w:sz w:val="21"/>
                      <w:szCs w:val="21"/>
                    </w:rPr>
                    <w:t>6</w:t>
                  </w:r>
                  <w:r>
                    <w:rPr>
                      <w:rFonts w:cs="宋体"/>
                      <w:color w:val="auto"/>
                      <w:sz w:val="21"/>
                      <w:szCs w:val="21"/>
                    </w:rPr>
                    <w:t>.0</w:t>
                  </w:r>
                </w:p>
              </w:tc>
              <w:tc>
                <w:tcPr>
                  <w:tcW w:w="712" w:type="dxa"/>
                  <w:tcBorders>
                    <w:tl2br w:val="nil"/>
                    <w:tr2bl w:val="nil"/>
                  </w:tcBorders>
                  <w:vAlign w:val="center"/>
                </w:tcPr>
                <w:p w14:paraId="1DF73A0F">
                  <w:pPr>
                    <w:widowControl/>
                    <w:spacing w:line="240" w:lineRule="auto"/>
                    <w:jc w:val="center"/>
                    <w:rPr>
                      <w:color w:val="auto"/>
                      <w:sz w:val="21"/>
                      <w:szCs w:val="21"/>
                    </w:rPr>
                  </w:pPr>
                  <w:r>
                    <w:rPr>
                      <w:rFonts w:hint="eastAsia" w:cs="宋体"/>
                      <w:color w:val="auto"/>
                      <w:sz w:val="21"/>
                      <w:szCs w:val="21"/>
                    </w:rPr>
                    <w:t>7.0</w:t>
                  </w:r>
                </w:p>
              </w:tc>
              <w:tc>
                <w:tcPr>
                  <w:tcW w:w="1025" w:type="dxa"/>
                  <w:vMerge w:val="continue"/>
                  <w:tcBorders>
                    <w:tl2br w:val="nil"/>
                    <w:tr2bl w:val="nil"/>
                  </w:tcBorders>
                  <w:vAlign w:val="center"/>
                </w:tcPr>
                <w:p w14:paraId="307B0154">
                  <w:pPr>
                    <w:pStyle w:val="47"/>
                    <w:widowControl w:val="0"/>
                    <w:spacing w:line="240" w:lineRule="auto"/>
                    <w:rPr>
                      <w:color w:val="auto"/>
                      <w:szCs w:val="21"/>
                    </w:rPr>
                  </w:pPr>
                </w:p>
              </w:tc>
              <w:tc>
                <w:tcPr>
                  <w:tcW w:w="1050" w:type="dxa"/>
                  <w:tcBorders>
                    <w:tl2br w:val="nil"/>
                    <w:tr2bl w:val="nil"/>
                  </w:tcBorders>
                </w:tcPr>
                <w:p w14:paraId="79EECFF9">
                  <w:pPr>
                    <w:widowControl/>
                    <w:spacing w:line="240" w:lineRule="auto"/>
                    <w:jc w:val="center"/>
                    <w:textAlignment w:val="top"/>
                    <w:rPr>
                      <w:color w:val="auto"/>
                      <w:sz w:val="21"/>
                      <w:szCs w:val="21"/>
                    </w:rPr>
                  </w:pPr>
                  <w:r>
                    <w:rPr>
                      <w:color w:val="auto"/>
                      <w:kern w:val="0"/>
                      <w:sz w:val="21"/>
                      <w:szCs w:val="21"/>
                      <w:lang w:bidi="ar"/>
                    </w:rPr>
                    <w:t>69</w:t>
                  </w:r>
                </w:p>
              </w:tc>
            </w:tr>
            <w:tr w14:paraId="5D9FC2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2" w:hRule="atLeast"/>
              </w:trPr>
              <w:tc>
                <w:tcPr>
                  <w:tcW w:w="426" w:type="dxa"/>
                  <w:tcBorders>
                    <w:tl2br w:val="nil"/>
                    <w:tr2bl w:val="nil"/>
                  </w:tcBorders>
                  <w:vAlign w:val="center"/>
                </w:tcPr>
                <w:p w14:paraId="71757292">
                  <w:pPr>
                    <w:spacing w:line="240" w:lineRule="auto"/>
                    <w:jc w:val="center"/>
                    <w:rPr>
                      <w:color w:val="auto"/>
                      <w:sz w:val="21"/>
                      <w:szCs w:val="21"/>
                    </w:rPr>
                  </w:pPr>
                  <w:r>
                    <w:rPr>
                      <w:rFonts w:hint="eastAsia"/>
                      <w:bCs/>
                      <w:color w:val="auto"/>
                      <w:sz w:val="21"/>
                      <w:szCs w:val="21"/>
                    </w:rPr>
                    <w:t>10</w:t>
                  </w:r>
                </w:p>
              </w:tc>
              <w:tc>
                <w:tcPr>
                  <w:tcW w:w="1855" w:type="dxa"/>
                  <w:tcBorders>
                    <w:tl2br w:val="nil"/>
                    <w:tr2bl w:val="nil"/>
                  </w:tcBorders>
                  <w:vAlign w:val="center"/>
                </w:tcPr>
                <w:p w14:paraId="41B92D58">
                  <w:pPr>
                    <w:spacing w:line="240" w:lineRule="auto"/>
                    <w:jc w:val="center"/>
                    <w:rPr>
                      <w:color w:val="auto"/>
                      <w:sz w:val="21"/>
                      <w:szCs w:val="21"/>
                    </w:rPr>
                  </w:pPr>
                  <w:r>
                    <w:rPr>
                      <w:rFonts w:hint="eastAsia"/>
                      <w:color w:val="auto"/>
                      <w:sz w:val="21"/>
                      <w:szCs w:val="21"/>
                    </w:rPr>
                    <w:t>铝材/钢材切割机</w:t>
                  </w:r>
                </w:p>
              </w:tc>
              <w:tc>
                <w:tcPr>
                  <w:tcW w:w="625" w:type="dxa"/>
                  <w:tcBorders>
                    <w:tl2br w:val="nil"/>
                    <w:tr2bl w:val="nil"/>
                  </w:tcBorders>
                  <w:vAlign w:val="center"/>
                </w:tcPr>
                <w:p w14:paraId="780D6ECB">
                  <w:pPr>
                    <w:spacing w:line="240" w:lineRule="auto"/>
                    <w:jc w:val="center"/>
                    <w:rPr>
                      <w:color w:val="auto"/>
                      <w:sz w:val="21"/>
                      <w:szCs w:val="21"/>
                    </w:rPr>
                  </w:pPr>
                  <w:r>
                    <w:rPr>
                      <w:rFonts w:hint="eastAsia"/>
                      <w:color w:val="auto"/>
                      <w:sz w:val="21"/>
                      <w:szCs w:val="21"/>
                    </w:rPr>
                    <w:t>2</w:t>
                  </w:r>
                </w:p>
              </w:tc>
              <w:tc>
                <w:tcPr>
                  <w:tcW w:w="887" w:type="dxa"/>
                  <w:tcBorders>
                    <w:tl2br w:val="nil"/>
                    <w:tr2bl w:val="nil"/>
                  </w:tcBorders>
                  <w:vAlign w:val="center"/>
                </w:tcPr>
                <w:p w14:paraId="36605C2E">
                  <w:pPr>
                    <w:spacing w:line="240" w:lineRule="auto"/>
                    <w:jc w:val="center"/>
                    <w:rPr>
                      <w:color w:val="auto"/>
                      <w:sz w:val="21"/>
                      <w:szCs w:val="21"/>
                    </w:rPr>
                  </w:pPr>
                  <w:r>
                    <w:rPr>
                      <w:rFonts w:hint="eastAsia"/>
                      <w:color w:val="auto"/>
                      <w:sz w:val="21"/>
                      <w:szCs w:val="21"/>
                    </w:rPr>
                    <w:t>90</w:t>
                  </w:r>
                </w:p>
              </w:tc>
              <w:tc>
                <w:tcPr>
                  <w:tcW w:w="725" w:type="dxa"/>
                  <w:tcBorders>
                    <w:tl2br w:val="nil"/>
                    <w:tr2bl w:val="nil"/>
                  </w:tcBorders>
                  <w:vAlign w:val="center"/>
                </w:tcPr>
                <w:p w14:paraId="29BD230F">
                  <w:pPr>
                    <w:widowControl/>
                    <w:spacing w:line="240" w:lineRule="auto"/>
                    <w:jc w:val="center"/>
                    <w:rPr>
                      <w:color w:val="auto"/>
                      <w:sz w:val="21"/>
                      <w:szCs w:val="21"/>
                    </w:rPr>
                  </w:pPr>
                  <w:r>
                    <w:rPr>
                      <w:rFonts w:hint="eastAsia" w:cs="宋体"/>
                      <w:color w:val="auto"/>
                      <w:sz w:val="21"/>
                      <w:szCs w:val="21"/>
                    </w:rPr>
                    <w:t>-8</w:t>
                  </w:r>
                  <w:r>
                    <w:rPr>
                      <w:rFonts w:cs="宋体"/>
                      <w:color w:val="auto"/>
                      <w:sz w:val="21"/>
                      <w:szCs w:val="21"/>
                    </w:rPr>
                    <w:t>.0</w:t>
                  </w:r>
                </w:p>
              </w:tc>
              <w:tc>
                <w:tcPr>
                  <w:tcW w:w="713" w:type="dxa"/>
                  <w:tcBorders>
                    <w:tl2br w:val="nil"/>
                    <w:tr2bl w:val="nil"/>
                  </w:tcBorders>
                  <w:vAlign w:val="center"/>
                </w:tcPr>
                <w:p w14:paraId="57F6C1D3">
                  <w:pPr>
                    <w:widowControl/>
                    <w:spacing w:line="240" w:lineRule="auto"/>
                    <w:jc w:val="center"/>
                    <w:rPr>
                      <w:color w:val="auto"/>
                      <w:sz w:val="21"/>
                      <w:szCs w:val="21"/>
                    </w:rPr>
                  </w:pPr>
                  <w:r>
                    <w:rPr>
                      <w:rFonts w:hint="eastAsia" w:cs="宋体"/>
                      <w:color w:val="auto"/>
                      <w:sz w:val="21"/>
                      <w:szCs w:val="21"/>
                    </w:rPr>
                    <w:t>2</w:t>
                  </w:r>
                  <w:r>
                    <w:rPr>
                      <w:rFonts w:cs="宋体"/>
                      <w:color w:val="auto"/>
                      <w:sz w:val="21"/>
                      <w:szCs w:val="21"/>
                    </w:rPr>
                    <w:t>.0</w:t>
                  </w:r>
                </w:p>
              </w:tc>
              <w:tc>
                <w:tcPr>
                  <w:tcW w:w="712" w:type="dxa"/>
                  <w:tcBorders>
                    <w:tl2br w:val="nil"/>
                    <w:tr2bl w:val="nil"/>
                  </w:tcBorders>
                  <w:vAlign w:val="center"/>
                </w:tcPr>
                <w:p w14:paraId="3076B184">
                  <w:pPr>
                    <w:widowControl/>
                    <w:spacing w:line="240" w:lineRule="auto"/>
                    <w:jc w:val="center"/>
                    <w:rPr>
                      <w:color w:val="auto"/>
                      <w:sz w:val="21"/>
                      <w:szCs w:val="21"/>
                    </w:rPr>
                  </w:pPr>
                  <w:r>
                    <w:rPr>
                      <w:rFonts w:cs="宋体"/>
                      <w:color w:val="auto"/>
                      <w:sz w:val="21"/>
                      <w:szCs w:val="21"/>
                    </w:rPr>
                    <w:t>0</w:t>
                  </w:r>
                  <w:r>
                    <w:rPr>
                      <w:rFonts w:hint="eastAsia" w:cs="宋体"/>
                      <w:color w:val="auto"/>
                      <w:sz w:val="21"/>
                      <w:szCs w:val="21"/>
                    </w:rPr>
                    <w:t>.7</w:t>
                  </w:r>
                </w:p>
              </w:tc>
              <w:tc>
                <w:tcPr>
                  <w:tcW w:w="1025" w:type="dxa"/>
                  <w:vMerge w:val="continue"/>
                  <w:tcBorders>
                    <w:tl2br w:val="nil"/>
                    <w:tr2bl w:val="nil"/>
                  </w:tcBorders>
                  <w:vAlign w:val="center"/>
                </w:tcPr>
                <w:p w14:paraId="5484E414">
                  <w:pPr>
                    <w:pStyle w:val="47"/>
                    <w:widowControl w:val="0"/>
                    <w:spacing w:line="240" w:lineRule="auto"/>
                    <w:rPr>
                      <w:color w:val="auto"/>
                      <w:szCs w:val="21"/>
                    </w:rPr>
                  </w:pPr>
                </w:p>
              </w:tc>
              <w:tc>
                <w:tcPr>
                  <w:tcW w:w="1050" w:type="dxa"/>
                  <w:tcBorders>
                    <w:tl2br w:val="nil"/>
                    <w:tr2bl w:val="nil"/>
                  </w:tcBorders>
                </w:tcPr>
                <w:p w14:paraId="092EA5EA">
                  <w:pPr>
                    <w:widowControl/>
                    <w:spacing w:line="240" w:lineRule="auto"/>
                    <w:jc w:val="center"/>
                    <w:textAlignment w:val="top"/>
                    <w:rPr>
                      <w:color w:val="auto"/>
                      <w:sz w:val="21"/>
                      <w:szCs w:val="21"/>
                    </w:rPr>
                  </w:pPr>
                  <w:r>
                    <w:rPr>
                      <w:color w:val="auto"/>
                      <w:kern w:val="0"/>
                      <w:sz w:val="21"/>
                      <w:szCs w:val="21"/>
                      <w:lang w:bidi="ar"/>
                    </w:rPr>
                    <w:t>70</w:t>
                  </w:r>
                </w:p>
              </w:tc>
            </w:tr>
            <w:tr w14:paraId="1F74D9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26" w:type="dxa"/>
                  <w:tcBorders>
                    <w:tl2br w:val="nil"/>
                    <w:tr2bl w:val="nil"/>
                  </w:tcBorders>
                  <w:vAlign w:val="center"/>
                </w:tcPr>
                <w:p w14:paraId="5504B092">
                  <w:pPr>
                    <w:spacing w:line="240" w:lineRule="auto"/>
                    <w:jc w:val="center"/>
                    <w:rPr>
                      <w:color w:val="auto"/>
                      <w:sz w:val="21"/>
                      <w:szCs w:val="21"/>
                    </w:rPr>
                  </w:pPr>
                  <w:r>
                    <w:rPr>
                      <w:rFonts w:hint="eastAsia"/>
                      <w:bCs/>
                      <w:color w:val="auto"/>
                      <w:sz w:val="21"/>
                      <w:szCs w:val="21"/>
                    </w:rPr>
                    <w:t>11</w:t>
                  </w:r>
                </w:p>
              </w:tc>
              <w:tc>
                <w:tcPr>
                  <w:tcW w:w="1855" w:type="dxa"/>
                  <w:tcBorders>
                    <w:tl2br w:val="nil"/>
                    <w:tr2bl w:val="nil"/>
                  </w:tcBorders>
                  <w:vAlign w:val="center"/>
                </w:tcPr>
                <w:p w14:paraId="2FF6A1AA">
                  <w:pPr>
                    <w:spacing w:line="240" w:lineRule="auto"/>
                    <w:jc w:val="center"/>
                    <w:rPr>
                      <w:color w:val="auto"/>
                      <w:sz w:val="21"/>
                      <w:szCs w:val="21"/>
                    </w:rPr>
                  </w:pPr>
                  <w:r>
                    <w:rPr>
                      <w:rFonts w:hint="eastAsia"/>
                      <w:color w:val="auto"/>
                      <w:sz w:val="21"/>
                      <w:szCs w:val="21"/>
                    </w:rPr>
                    <w:t>打包机</w:t>
                  </w:r>
                </w:p>
              </w:tc>
              <w:tc>
                <w:tcPr>
                  <w:tcW w:w="625" w:type="dxa"/>
                  <w:tcBorders>
                    <w:tl2br w:val="nil"/>
                    <w:tr2bl w:val="nil"/>
                  </w:tcBorders>
                  <w:vAlign w:val="center"/>
                </w:tcPr>
                <w:p w14:paraId="23A4BB52">
                  <w:pPr>
                    <w:spacing w:line="240" w:lineRule="auto"/>
                    <w:jc w:val="center"/>
                    <w:rPr>
                      <w:color w:val="auto"/>
                      <w:sz w:val="21"/>
                      <w:szCs w:val="21"/>
                    </w:rPr>
                  </w:pPr>
                  <w:r>
                    <w:rPr>
                      <w:rFonts w:hint="eastAsia"/>
                      <w:color w:val="auto"/>
                      <w:sz w:val="21"/>
                      <w:szCs w:val="21"/>
                    </w:rPr>
                    <w:t>2</w:t>
                  </w:r>
                </w:p>
              </w:tc>
              <w:tc>
                <w:tcPr>
                  <w:tcW w:w="887" w:type="dxa"/>
                  <w:tcBorders>
                    <w:tl2br w:val="nil"/>
                    <w:tr2bl w:val="nil"/>
                  </w:tcBorders>
                  <w:vAlign w:val="center"/>
                </w:tcPr>
                <w:p w14:paraId="01B2F3FD">
                  <w:pPr>
                    <w:spacing w:line="240" w:lineRule="auto"/>
                    <w:jc w:val="center"/>
                    <w:rPr>
                      <w:color w:val="auto"/>
                      <w:sz w:val="21"/>
                      <w:szCs w:val="21"/>
                    </w:rPr>
                  </w:pPr>
                  <w:r>
                    <w:rPr>
                      <w:color w:val="auto"/>
                      <w:sz w:val="21"/>
                      <w:szCs w:val="21"/>
                    </w:rPr>
                    <w:t>75</w:t>
                  </w:r>
                </w:p>
              </w:tc>
              <w:tc>
                <w:tcPr>
                  <w:tcW w:w="725" w:type="dxa"/>
                  <w:tcBorders>
                    <w:tl2br w:val="nil"/>
                    <w:tr2bl w:val="nil"/>
                  </w:tcBorders>
                  <w:vAlign w:val="center"/>
                </w:tcPr>
                <w:p w14:paraId="4946D10E">
                  <w:pPr>
                    <w:widowControl/>
                    <w:spacing w:line="240" w:lineRule="auto"/>
                    <w:jc w:val="center"/>
                    <w:rPr>
                      <w:color w:val="auto"/>
                      <w:sz w:val="21"/>
                      <w:szCs w:val="21"/>
                    </w:rPr>
                  </w:pPr>
                  <w:r>
                    <w:rPr>
                      <w:rFonts w:hint="eastAsia" w:cs="宋体"/>
                      <w:color w:val="auto"/>
                      <w:sz w:val="21"/>
                      <w:szCs w:val="21"/>
                    </w:rPr>
                    <w:t>-3</w:t>
                  </w:r>
                  <w:r>
                    <w:rPr>
                      <w:rFonts w:cs="宋体"/>
                      <w:color w:val="auto"/>
                      <w:sz w:val="21"/>
                      <w:szCs w:val="21"/>
                    </w:rPr>
                    <w:t>.0</w:t>
                  </w:r>
                </w:p>
              </w:tc>
              <w:tc>
                <w:tcPr>
                  <w:tcW w:w="713" w:type="dxa"/>
                  <w:tcBorders>
                    <w:tl2br w:val="nil"/>
                    <w:tr2bl w:val="nil"/>
                  </w:tcBorders>
                  <w:vAlign w:val="center"/>
                </w:tcPr>
                <w:p w14:paraId="3CCEDD01">
                  <w:pPr>
                    <w:widowControl/>
                    <w:spacing w:line="240" w:lineRule="auto"/>
                    <w:jc w:val="center"/>
                    <w:rPr>
                      <w:color w:val="auto"/>
                      <w:sz w:val="21"/>
                      <w:szCs w:val="21"/>
                    </w:rPr>
                  </w:pPr>
                  <w:r>
                    <w:rPr>
                      <w:rFonts w:hint="eastAsia" w:cs="宋体"/>
                      <w:color w:val="auto"/>
                      <w:sz w:val="21"/>
                      <w:szCs w:val="21"/>
                    </w:rPr>
                    <w:t>-8</w:t>
                  </w:r>
                  <w:r>
                    <w:rPr>
                      <w:rFonts w:cs="宋体"/>
                      <w:color w:val="auto"/>
                      <w:sz w:val="21"/>
                      <w:szCs w:val="21"/>
                    </w:rPr>
                    <w:t>.0</w:t>
                  </w:r>
                </w:p>
              </w:tc>
              <w:tc>
                <w:tcPr>
                  <w:tcW w:w="712" w:type="dxa"/>
                  <w:tcBorders>
                    <w:tl2br w:val="nil"/>
                    <w:tr2bl w:val="nil"/>
                  </w:tcBorders>
                  <w:vAlign w:val="center"/>
                </w:tcPr>
                <w:p w14:paraId="670154D0">
                  <w:pPr>
                    <w:widowControl/>
                    <w:spacing w:line="240" w:lineRule="auto"/>
                    <w:jc w:val="center"/>
                    <w:rPr>
                      <w:color w:val="auto"/>
                      <w:sz w:val="21"/>
                      <w:szCs w:val="21"/>
                    </w:rPr>
                  </w:pPr>
                  <w:r>
                    <w:rPr>
                      <w:rFonts w:hint="eastAsia" w:cs="宋体"/>
                      <w:color w:val="auto"/>
                      <w:sz w:val="21"/>
                      <w:szCs w:val="21"/>
                    </w:rPr>
                    <w:t>11.5</w:t>
                  </w:r>
                </w:p>
              </w:tc>
              <w:tc>
                <w:tcPr>
                  <w:tcW w:w="1025" w:type="dxa"/>
                  <w:vMerge w:val="continue"/>
                  <w:tcBorders>
                    <w:tl2br w:val="nil"/>
                    <w:tr2bl w:val="nil"/>
                  </w:tcBorders>
                  <w:vAlign w:val="center"/>
                </w:tcPr>
                <w:p w14:paraId="391FAD85">
                  <w:pPr>
                    <w:pStyle w:val="47"/>
                    <w:widowControl w:val="0"/>
                    <w:spacing w:line="240" w:lineRule="auto"/>
                    <w:rPr>
                      <w:color w:val="auto"/>
                      <w:szCs w:val="21"/>
                    </w:rPr>
                  </w:pPr>
                </w:p>
              </w:tc>
              <w:tc>
                <w:tcPr>
                  <w:tcW w:w="1050" w:type="dxa"/>
                  <w:tcBorders>
                    <w:tl2br w:val="nil"/>
                    <w:tr2bl w:val="nil"/>
                  </w:tcBorders>
                </w:tcPr>
                <w:p w14:paraId="0F5087C2">
                  <w:pPr>
                    <w:widowControl/>
                    <w:spacing w:line="240" w:lineRule="auto"/>
                    <w:jc w:val="center"/>
                    <w:textAlignment w:val="top"/>
                    <w:rPr>
                      <w:color w:val="auto"/>
                      <w:sz w:val="21"/>
                      <w:szCs w:val="21"/>
                    </w:rPr>
                  </w:pPr>
                  <w:r>
                    <w:rPr>
                      <w:color w:val="auto"/>
                      <w:kern w:val="0"/>
                      <w:sz w:val="21"/>
                      <w:szCs w:val="21"/>
                      <w:lang w:bidi="ar"/>
                    </w:rPr>
                    <w:t>58</w:t>
                  </w:r>
                </w:p>
              </w:tc>
            </w:tr>
          </w:tbl>
          <w:p w14:paraId="60B76458">
            <w:pPr>
              <w:pStyle w:val="36"/>
              <w:spacing w:before="0" w:after="0"/>
              <w:rPr>
                <w:color w:val="auto"/>
              </w:rPr>
            </w:pPr>
            <w:r>
              <w:rPr>
                <w:rFonts w:hint="eastAsia"/>
                <w:color w:val="auto"/>
              </w:rPr>
              <w:t>表4.3-2  项目设备噪声一览表（室外声源）</w:t>
            </w:r>
          </w:p>
          <w:tbl>
            <w:tblPr>
              <w:tblStyle w:val="31"/>
              <w:tblW w:w="801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06"/>
              <w:gridCol w:w="1125"/>
              <w:gridCol w:w="737"/>
              <w:gridCol w:w="1050"/>
              <w:gridCol w:w="713"/>
              <w:gridCol w:w="737"/>
              <w:gridCol w:w="650"/>
              <w:gridCol w:w="1475"/>
              <w:gridCol w:w="1025"/>
            </w:tblGrid>
            <w:tr w14:paraId="0C6F7F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506" w:type="dxa"/>
                  <w:vMerge w:val="restart"/>
                  <w:tcBorders>
                    <w:tl2br w:val="nil"/>
                    <w:tr2bl w:val="nil"/>
                  </w:tcBorders>
                  <w:vAlign w:val="center"/>
                </w:tcPr>
                <w:p w14:paraId="76916CA4">
                  <w:pPr>
                    <w:spacing w:line="240" w:lineRule="auto"/>
                    <w:jc w:val="center"/>
                    <w:rPr>
                      <w:color w:val="auto"/>
                      <w:sz w:val="21"/>
                      <w:szCs w:val="21"/>
                    </w:rPr>
                  </w:pPr>
                  <w:r>
                    <w:rPr>
                      <w:rFonts w:hint="eastAsia" w:cs="宋体"/>
                      <w:color w:val="auto"/>
                      <w:sz w:val="21"/>
                      <w:szCs w:val="21"/>
                    </w:rPr>
                    <w:t>序</w:t>
                  </w:r>
                  <w:r>
                    <w:rPr>
                      <w:rFonts w:cs="宋体"/>
                      <w:color w:val="auto"/>
                      <w:sz w:val="21"/>
                      <w:szCs w:val="21"/>
                    </w:rPr>
                    <w:t>号</w:t>
                  </w:r>
                </w:p>
              </w:tc>
              <w:tc>
                <w:tcPr>
                  <w:tcW w:w="1125" w:type="dxa"/>
                  <w:vMerge w:val="restart"/>
                  <w:tcBorders>
                    <w:tl2br w:val="nil"/>
                    <w:tr2bl w:val="nil"/>
                  </w:tcBorders>
                  <w:vAlign w:val="center"/>
                </w:tcPr>
                <w:p w14:paraId="4401C644">
                  <w:pPr>
                    <w:spacing w:line="240" w:lineRule="auto"/>
                    <w:jc w:val="center"/>
                    <w:rPr>
                      <w:color w:val="auto"/>
                      <w:sz w:val="21"/>
                      <w:szCs w:val="21"/>
                    </w:rPr>
                  </w:pPr>
                  <w:r>
                    <w:rPr>
                      <w:rFonts w:cs="宋体"/>
                      <w:color w:val="auto"/>
                      <w:sz w:val="21"/>
                      <w:szCs w:val="21"/>
                    </w:rPr>
                    <w:t>设备名称</w:t>
                  </w:r>
                </w:p>
              </w:tc>
              <w:tc>
                <w:tcPr>
                  <w:tcW w:w="737" w:type="dxa"/>
                  <w:vMerge w:val="restart"/>
                  <w:tcBorders>
                    <w:tl2br w:val="nil"/>
                    <w:tr2bl w:val="nil"/>
                  </w:tcBorders>
                  <w:vAlign w:val="center"/>
                </w:tcPr>
                <w:p w14:paraId="131FEDC1">
                  <w:pPr>
                    <w:spacing w:line="240" w:lineRule="auto"/>
                    <w:jc w:val="center"/>
                    <w:rPr>
                      <w:color w:val="auto"/>
                      <w:sz w:val="21"/>
                      <w:szCs w:val="21"/>
                    </w:rPr>
                  </w:pPr>
                  <w:r>
                    <w:rPr>
                      <w:rFonts w:cs="宋体"/>
                      <w:color w:val="auto"/>
                      <w:sz w:val="21"/>
                      <w:szCs w:val="21"/>
                    </w:rPr>
                    <w:t>数量</w:t>
                  </w:r>
                </w:p>
              </w:tc>
              <w:tc>
                <w:tcPr>
                  <w:tcW w:w="1050" w:type="dxa"/>
                  <w:vMerge w:val="restart"/>
                  <w:tcBorders>
                    <w:tl2br w:val="nil"/>
                    <w:tr2bl w:val="nil"/>
                  </w:tcBorders>
                  <w:vAlign w:val="center"/>
                </w:tcPr>
                <w:p w14:paraId="4AF0D0CA">
                  <w:pPr>
                    <w:spacing w:line="240" w:lineRule="auto"/>
                    <w:jc w:val="center"/>
                    <w:rPr>
                      <w:color w:val="auto"/>
                      <w:sz w:val="21"/>
                      <w:szCs w:val="21"/>
                    </w:rPr>
                  </w:pPr>
                  <w:r>
                    <w:rPr>
                      <w:rFonts w:cs="宋体"/>
                      <w:color w:val="auto"/>
                      <w:sz w:val="21"/>
                      <w:szCs w:val="21"/>
                    </w:rPr>
                    <w:t>治理前声级</w:t>
                  </w:r>
                  <w:r>
                    <w:rPr>
                      <w:rFonts w:hint="eastAsia" w:cs="宋体"/>
                      <w:color w:val="auto"/>
                      <w:sz w:val="21"/>
                      <w:szCs w:val="21"/>
                    </w:rPr>
                    <w:t>/dB（A）</w:t>
                  </w:r>
                </w:p>
              </w:tc>
              <w:tc>
                <w:tcPr>
                  <w:tcW w:w="2100" w:type="dxa"/>
                  <w:gridSpan w:val="3"/>
                  <w:tcBorders>
                    <w:tl2br w:val="nil"/>
                    <w:tr2bl w:val="nil"/>
                  </w:tcBorders>
                  <w:vAlign w:val="center"/>
                </w:tcPr>
                <w:p w14:paraId="1386C0C2">
                  <w:pPr>
                    <w:spacing w:line="240" w:lineRule="auto"/>
                    <w:jc w:val="center"/>
                    <w:rPr>
                      <w:rFonts w:cs="宋体"/>
                      <w:color w:val="auto"/>
                      <w:sz w:val="21"/>
                      <w:szCs w:val="21"/>
                    </w:rPr>
                  </w:pPr>
                  <w:r>
                    <w:rPr>
                      <w:rFonts w:hint="eastAsia" w:cs="宋体"/>
                      <w:color w:val="auto"/>
                      <w:sz w:val="21"/>
                      <w:szCs w:val="21"/>
                    </w:rPr>
                    <w:t>空间相对位置/m</w:t>
                  </w:r>
                </w:p>
              </w:tc>
              <w:tc>
                <w:tcPr>
                  <w:tcW w:w="1475" w:type="dxa"/>
                  <w:vMerge w:val="restart"/>
                  <w:tcBorders>
                    <w:tl2br w:val="nil"/>
                    <w:tr2bl w:val="nil"/>
                  </w:tcBorders>
                  <w:vAlign w:val="center"/>
                </w:tcPr>
                <w:p w14:paraId="339D911E">
                  <w:pPr>
                    <w:spacing w:line="240" w:lineRule="auto"/>
                    <w:jc w:val="center"/>
                    <w:rPr>
                      <w:color w:val="auto"/>
                      <w:sz w:val="21"/>
                      <w:szCs w:val="21"/>
                    </w:rPr>
                  </w:pPr>
                  <w:r>
                    <w:rPr>
                      <w:rFonts w:cs="宋体"/>
                      <w:color w:val="auto"/>
                      <w:sz w:val="21"/>
                      <w:szCs w:val="21"/>
                    </w:rPr>
                    <w:t>治理措施</w:t>
                  </w:r>
                </w:p>
              </w:tc>
              <w:tc>
                <w:tcPr>
                  <w:tcW w:w="1025" w:type="dxa"/>
                  <w:vMerge w:val="restart"/>
                  <w:tcBorders>
                    <w:tl2br w:val="nil"/>
                    <w:tr2bl w:val="nil"/>
                  </w:tcBorders>
                  <w:vAlign w:val="center"/>
                </w:tcPr>
                <w:p w14:paraId="3ED5000B">
                  <w:pPr>
                    <w:spacing w:line="240" w:lineRule="auto"/>
                    <w:jc w:val="center"/>
                    <w:rPr>
                      <w:color w:val="auto"/>
                      <w:sz w:val="21"/>
                      <w:szCs w:val="21"/>
                    </w:rPr>
                  </w:pPr>
                  <w:r>
                    <w:rPr>
                      <w:rFonts w:cs="宋体"/>
                      <w:color w:val="auto"/>
                      <w:sz w:val="21"/>
                      <w:szCs w:val="21"/>
                    </w:rPr>
                    <w:t>治理后升级</w:t>
                  </w:r>
                </w:p>
              </w:tc>
            </w:tr>
            <w:tr w14:paraId="645DE0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8" w:hRule="atLeast"/>
              </w:trPr>
              <w:tc>
                <w:tcPr>
                  <w:tcW w:w="506" w:type="dxa"/>
                  <w:vMerge w:val="continue"/>
                  <w:tcBorders>
                    <w:tl2br w:val="nil"/>
                    <w:tr2bl w:val="nil"/>
                  </w:tcBorders>
                  <w:vAlign w:val="center"/>
                </w:tcPr>
                <w:p w14:paraId="2C6E2794">
                  <w:pPr>
                    <w:spacing w:line="240" w:lineRule="auto"/>
                    <w:jc w:val="center"/>
                    <w:rPr>
                      <w:color w:val="auto"/>
                      <w:sz w:val="21"/>
                      <w:szCs w:val="21"/>
                    </w:rPr>
                  </w:pPr>
                </w:p>
              </w:tc>
              <w:tc>
                <w:tcPr>
                  <w:tcW w:w="1125" w:type="dxa"/>
                  <w:vMerge w:val="continue"/>
                  <w:tcBorders>
                    <w:tl2br w:val="nil"/>
                    <w:tr2bl w:val="nil"/>
                  </w:tcBorders>
                  <w:vAlign w:val="center"/>
                </w:tcPr>
                <w:p w14:paraId="18F130E2">
                  <w:pPr>
                    <w:spacing w:line="240" w:lineRule="auto"/>
                    <w:jc w:val="center"/>
                    <w:rPr>
                      <w:color w:val="auto"/>
                      <w:sz w:val="21"/>
                      <w:szCs w:val="21"/>
                    </w:rPr>
                  </w:pPr>
                </w:p>
              </w:tc>
              <w:tc>
                <w:tcPr>
                  <w:tcW w:w="737" w:type="dxa"/>
                  <w:vMerge w:val="continue"/>
                  <w:tcBorders>
                    <w:tl2br w:val="nil"/>
                    <w:tr2bl w:val="nil"/>
                  </w:tcBorders>
                  <w:vAlign w:val="center"/>
                </w:tcPr>
                <w:p w14:paraId="77ED18F4">
                  <w:pPr>
                    <w:spacing w:line="240" w:lineRule="auto"/>
                    <w:jc w:val="center"/>
                    <w:rPr>
                      <w:color w:val="auto"/>
                      <w:sz w:val="21"/>
                      <w:szCs w:val="21"/>
                    </w:rPr>
                  </w:pPr>
                </w:p>
              </w:tc>
              <w:tc>
                <w:tcPr>
                  <w:tcW w:w="1050" w:type="dxa"/>
                  <w:vMerge w:val="continue"/>
                  <w:tcBorders>
                    <w:tl2br w:val="nil"/>
                    <w:tr2bl w:val="nil"/>
                  </w:tcBorders>
                  <w:vAlign w:val="center"/>
                </w:tcPr>
                <w:p w14:paraId="5DE33416">
                  <w:pPr>
                    <w:spacing w:line="240" w:lineRule="auto"/>
                    <w:jc w:val="center"/>
                    <w:rPr>
                      <w:color w:val="auto"/>
                      <w:sz w:val="21"/>
                      <w:szCs w:val="21"/>
                    </w:rPr>
                  </w:pPr>
                </w:p>
              </w:tc>
              <w:tc>
                <w:tcPr>
                  <w:tcW w:w="713" w:type="dxa"/>
                  <w:tcBorders>
                    <w:tl2br w:val="nil"/>
                    <w:tr2bl w:val="nil"/>
                  </w:tcBorders>
                  <w:vAlign w:val="center"/>
                </w:tcPr>
                <w:p w14:paraId="70521C1C">
                  <w:pPr>
                    <w:spacing w:line="240" w:lineRule="auto"/>
                    <w:jc w:val="center"/>
                    <w:rPr>
                      <w:rFonts w:cs="宋体"/>
                      <w:color w:val="auto"/>
                      <w:sz w:val="21"/>
                      <w:szCs w:val="21"/>
                    </w:rPr>
                  </w:pPr>
                  <w:r>
                    <w:rPr>
                      <w:rFonts w:hint="eastAsia" w:cs="宋体"/>
                      <w:color w:val="auto"/>
                      <w:sz w:val="21"/>
                      <w:szCs w:val="21"/>
                    </w:rPr>
                    <w:t>x</w:t>
                  </w:r>
                </w:p>
              </w:tc>
              <w:tc>
                <w:tcPr>
                  <w:tcW w:w="737" w:type="dxa"/>
                  <w:tcBorders>
                    <w:tl2br w:val="nil"/>
                    <w:tr2bl w:val="nil"/>
                  </w:tcBorders>
                  <w:vAlign w:val="center"/>
                </w:tcPr>
                <w:p w14:paraId="190D627F">
                  <w:pPr>
                    <w:spacing w:line="240" w:lineRule="auto"/>
                    <w:jc w:val="center"/>
                    <w:rPr>
                      <w:rFonts w:cs="宋体"/>
                      <w:color w:val="auto"/>
                      <w:sz w:val="21"/>
                      <w:szCs w:val="21"/>
                    </w:rPr>
                  </w:pPr>
                  <w:r>
                    <w:rPr>
                      <w:rFonts w:hint="eastAsia" w:cs="宋体"/>
                      <w:color w:val="auto"/>
                      <w:sz w:val="21"/>
                      <w:szCs w:val="21"/>
                    </w:rPr>
                    <w:t>y</w:t>
                  </w:r>
                </w:p>
              </w:tc>
              <w:tc>
                <w:tcPr>
                  <w:tcW w:w="650" w:type="dxa"/>
                  <w:tcBorders>
                    <w:tl2br w:val="nil"/>
                    <w:tr2bl w:val="nil"/>
                  </w:tcBorders>
                  <w:vAlign w:val="center"/>
                </w:tcPr>
                <w:p w14:paraId="31887396">
                  <w:pPr>
                    <w:spacing w:line="240" w:lineRule="auto"/>
                    <w:jc w:val="center"/>
                    <w:rPr>
                      <w:rFonts w:cs="宋体"/>
                      <w:color w:val="auto"/>
                      <w:sz w:val="21"/>
                      <w:szCs w:val="21"/>
                    </w:rPr>
                  </w:pPr>
                  <w:r>
                    <w:rPr>
                      <w:rFonts w:hint="eastAsia" w:cs="宋体"/>
                      <w:color w:val="auto"/>
                      <w:sz w:val="21"/>
                      <w:szCs w:val="21"/>
                    </w:rPr>
                    <w:t>z</w:t>
                  </w:r>
                </w:p>
              </w:tc>
              <w:tc>
                <w:tcPr>
                  <w:tcW w:w="1475" w:type="dxa"/>
                  <w:vMerge w:val="continue"/>
                  <w:tcBorders>
                    <w:tl2br w:val="nil"/>
                    <w:tr2bl w:val="nil"/>
                  </w:tcBorders>
                  <w:vAlign w:val="center"/>
                </w:tcPr>
                <w:p w14:paraId="5AC705FA">
                  <w:pPr>
                    <w:spacing w:line="240" w:lineRule="auto"/>
                    <w:jc w:val="center"/>
                    <w:rPr>
                      <w:rFonts w:cs="宋体"/>
                      <w:color w:val="auto"/>
                      <w:sz w:val="21"/>
                      <w:szCs w:val="21"/>
                    </w:rPr>
                  </w:pPr>
                </w:p>
              </w:tc>
              <w:tc>
                <w:tcPr>
                  <w:tcW w:w="1025" w:type="dxa"/>
                  <w:vMerge w:val="continue"/>
                  <w:tcBorders>
                    <w:tl2br w:val="nil"/>
                    <w:tr2bl w:val="nil"/>
                  </w:tcBorders>
                  <w:vAlign w:val="center"/>
                </w:tcPr>
                <w:p w14:paraId="203D2269">
                  <w:pPr>
                    <w:spacing w:line="240" w:lineRule="auto"/>
                    <w:jc w:val="center"/>
                    <w:rPr>
                      <w:rFonts w:cs="宋体"/>
                      <w:color w:val="auto"/>
                      <w:sz w:val="21"/>
                      <w:szCs w:val="21"/>
                    </w:rPr>
                  </w:pPr>
                </w:p>
              </w:tc>
            </w:tr>
            <w:tr w14:paraId="6F7524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506" w:type="dxa"/>
                  <w:tcBorders>
                    <w:tl2br w:val="nil"/>
                    <w:tr2bl w:val="nil"/>
                  </w:tcBorders>
                  <w:vAlign w:val="center"/>
                </w:tcPr>
                <w:p w14:paraId="0084E27A">
                  <w:pPr>
                    <w:spacing w:line="240" w:lineRule="auto"/>
                    <w:jc w:val="center"/>
                    <w:rPr>
                      <w:color w:val="auto"/>
                      <w:sz w:val="21"/>
                      <w:szCs w:val="21"/>
                    </w:rPr>
                  </w:pPr>
                  <w:r>
                    <w:rPr>
                      <w:rFonts w:hint="eastAsia"/>
                      <w:bCs/>
                      <w:color w:val="auto"/>
                      <w:sz w:val="21"/>
                      <w:szCs w:val="21"/>
                    </w:rPr>
                    <w:t>1</w:t>
                  </w:r>
                </w:p>
              </w:tc>
              <w:tc>
                <w:tcPr>
                  <w:tcW w:w="1125" w:type="dxa"/>
                  <w:tcBorders>
                    <w:tl2br w:val="nil"/>
                    <w:tr2bl w:val="nil"/>
                  </w:tcBorders>
                </w:tcPr>
                <w:p w14:paraId="04F10DEF">
                  <w:pPr>
                    <w:pStyle w:val="51"/>
                    <w:spacing w:before="120" w:beforeLines="50" w:line="240" w:lineRule="auto"/>
                    <w:jc w:val="center"/>
                    <w:rPr>
                      <w:rFonts w:hint="eastAsia"/>
                      <w:color w:val="auto"/>
                      <w:sz w:val="21"/>
                      <w:szCs w:val="21"/>
                      <w:lang w:eastAsia="zh-CN"/>
                    </w:rPr>
                  </w:pPr>
                  <w:r>
                    <w:rPr>
                      <w:rFonts w:hint="eastAsia"/>
                      <w:color w:val="auto"/>
                      <w:spacing w:val="5"/>
                      <w:sz w:val="21"/>
                      <w:szCs w:val="21"/>
                      <w:lang w:eastAsia="zh-CN"/>
                    </w:rPr>
                    <w:t>风机</w:t>
                  </w:r>
                </w:p>
              </w:tc>
              <w:tc>
                <w:tcPr>
                  <w:tcW w:w="737" w:type="dxa"/>
                  <w:tcBorders>
                    <w:tl2br w:val="nil"/>
                    <w:tr2bl w:val="nil"/>
                  </w:tcBorders>
                </w:tcPr>
                <w:p w14:paraId="2EB0325D">
                  <w:pPr>
                    <w:spacing w:before="120" w:beforeLines="50" w:line="240" w:lineRule="auto"/>
                    <w:jc w:val="center"/>
                    <w:rPr>
                      <w:color w:val="auto"/>
                      <w:sz w:val="21"/>
                      <w:szCs w:val="21"/>
                    </w:rPr>
                  </w:pPr>
                  <w:r>
                    <w:rPr>
                      <w:rFonts w:hint="eastAsia"/>
                      <w:color w:val="auto"/>
                      <w:spacing w:val="-8"/>
                      <w:position w:val="1"/>
                      <w:sz w:val="21"/>
                      <w:szCs w:val="21"/>
                    </w:rPr>
                    <w:t>1</w:t>
                  </w:r>
                </w:p>
              </w:tc>
              <w:tc>
                <w:tcPr>
                  <w:tcW w:w="1050" w:type="dxa"/>
                  <w:tcBorders>
                    <w:tl2br w:val="nil"/>
                    <w:tr2bl w:val="nil"/>
                  </w:tcBorders>
                </w:tcPr>
                <w:p w14:paraId="3888E306">
                  <w:pPr>
                    <w:widowControl/>
                    <w:spacing w:before="120" w:beforeLines="50" w:line="240" w:lineRule="auto"/>
                    <w:jc w:val="center"/>
                    <w:textAlignment w:val="top"/>
                    <w:rPr>
                      <w:color w:val="auto"/>
                      <w:sz w:val="21"/>
                      <w:szCs w:val="21"/>
                    </w:rPr>
                  </w:pPr>
                  <w:r>
                    <w:rPr>
                      <w:rFonts w:hint="eastAsia"/>
                      <w:color w:val="auto"/>
                      <w:kern w:val="0"/>
                      <w:sz w:val="21"/>
                      <w:szCs w:val="21"/>
                      <w:lang w:bidi="ar"/>
                    </w:rPr>
                    <w:t>90</w:t>
                  </w:r>
                </w:p>
              </w:tc>
              <w:tc>
                <w:tcPr>
                  <w:tcW w:w="713" w:type="dxa"/>
                  <w:tcBorders>
                    <w:tl2br w:val="nil"/>
                    <w:tr2bl w:val="nil"/>
                  </w:tcBorders>
                  <w:vAlign w:val="center"/>
                </w:tcPr>
                <w:p w14:paraId="767A316F">
                  <w:pPr>
                    <w:widowControl/>
                    <w:spacing w:line="240" w:lineRule="auto"/>
                    <w:jc w:val="center"/>
                    <w:rPr>
                      <w:color w:val="auto"/>
                      <w:sz w:val="21"/>
                      <w:szCs w:val="21"/>
                    </w:rPr>
                  </w:pPr>
                  <w:r>
                    <w:rPr>
                      <w:rFonts w:hint="eastAsia"/>
                      <w:color w:val="auto"/>
                      <w:sz w:val="21"/>
                      <w:szCs w:val="21"/>
                    </w:rPr>
                    <w:t>-10.0</w:t>
                  </w:r>
                </w:p>
              </w:tc>
              <w:tc>
                <w:tcPr>
                  <w:tcW w:w="737" w:type="dxa"/>
                  <w:tcBorders>
                    <w:tl2br w:val="nil"/>
                    <w:tr2bl w:val="nil"/>
                  </w:tcBorders>
                  <w:vAlign w:val="center"/>
                </w:tcPr>
                <w:p w14:paraId="48C76629">
                  <w:pPr>
                    <w:widowControl/>
                    <w:spacing w:line="240" w:lineRule="auto"/>
                    <w:jc w:val="center"/>
                    <w:rPr>
                      <w:color w:val="auto"/>
                      <w:sz w:val="21"/>
                      <w:szCs w:val="21"/>
                    </w:rPr>
                  </w:pPr>
                  <w:r>
                    <w:rPr>
                      <w:rFonts w:hint="eastAsia" w:cs="宋体"/>
                      <w:color w:val="auto"/>
                      <w:sz w:val="21"/>
                      <w:szCs w:val="21"/>
                    </w:rPr>
                    <w:t>-14.0</w:t>
                  </w:r>
                </w:p>
              </w:tc>
              <w:tc>
                <w:tcPr>
                  <w:tcW w:w="650" w:type="dxa"/>
                  <w:tcBorders>
                    <w:tl2br w:val="nil"/>
                    <w:tr2bl w:val="nil"/>
                  </w:tcBorders>
                  <w:vAlign w:val="center"/>
                </w:tcPr>
                <w:p w14:paraId="24A71008">
                  <w:pPr>
                    <w:widowControl/>
                    <w:spacing w:line="240" w:lineRule="auto"/>
                    <w:jc w:val="center"/>
                    <w:rPr>
                      <w:color w:val="auto"/>
                      <w:sz w:val="21"/>
                      <w:szCs w:val="21"/>
                    </w:rPr>
                  </w:pPr>
                  <w:r>
                    <w:rPr>
                      <w:rFonts w:hint="eastAsia" w:cs="宋体"/>
                      <w:color w:val="auto"/>
                      <w:sz w:val="21"/>
                      <w:szCs w:val="21"/>
                    </w:rPr>
                    <w:t>20.0</w:t>
                  </w:r>
                </w:p>
              </w:tc>
              <w:tc>
                <w:tcPr>
                  <w:tcW w:w="1475" w:type="dxa"/>
                  <w:tcBorders>
                    <w:tl2br w:val="nil"/>
                    <w:tr2bl w:val="nil"/>
                  </w:tcBorders>
                  <w:vAlign w:val="center"/>
                </w:tcPr>
                <w:p w14:paraId="381ED447">
                  <w:pPr>
                    <w:pStyle w:val="47"/>
                    <w:widowControl w:val="0"/>
                    <w:spacing w:line="240" w:lineRule="auto"/>
                    <w:rPr>
                      <w:color w:val="auto"/>
                      <w:szCs w:val="21"/>
                    </w:rPr>
                  </w:pPr>
                  <w:r>
                    <w:rPr>
                      <w:rFonts w:hint="eastAsia"/>
                      <w:color w:val="auto"/>
                      <w:szCs w:val="21"/>
                    </w:rPr>
                    <w:t>低噪声设备、基础减震</w:t>
                  </w:r>
                </w:p>
              </w:tc>
              <w:tc>
                <w:tcPr>
                  <w:tcW w:w="1025" w:type="dxa"/>
                  <w:tcBorders>
                    <w:tl2br w:val="nil"/>
                    <w:tr2bl w:val="nil"/>
                  </w:tcBorders>
                  <w:vAlign w:val="center"/>
                </w:tcPr>
                <w:p w14:paraId="11C28BAD">
                  <w:pPr>
                    <w:pStyle w:val="47"/>
                    <w:widowControl w:val="0"/>
                    <w:spacing w:line="240" w:lineRule="auto"/>
                    <w:rPr>
                      <w:color w:val="auto"/>
                      <w:szCs w:val="21"/>
                    </w:rPr>
                  </w:pPr>
                  <w:r>
                    <w:rPr>
                      <w:rFonts w:hint="eastAsia"/>
                      <w:color w:val="auto"/>
                      <w:szCs w:val="21"/>
                    </w:rPr>
                    <w:t>70</w:t>
                  </w:r>
                </w:p>
              </w:tc>
            </w:tr>
          </w:tbl>
          <w:p w14:paraId="7BFA5C6A">
            <w:pPr>
              <w:pStyle w:val="4"/>
              <w:ind w:firstLine="0" w:firstLineChars="0"/>
              <w:rPr>
                <w:color w:val="auto"/>
              </w:rPr>
            </w:pPr>
            <w:r>
              <w:rPr>
                <w:color w:val="auto"/>
              </w:rPr>
              <w:t>4.</w:t>
            </w:r>
            <w:r>
              <w:rPr>
                <w:rFonts w:hint="eastAsia"/>
                <w:color w:val="auto"/>
              </w:rPr>
              <w:t>3.2</w:t>
            </w:r>
            <w:r>
              <w:rPr>
                <w:color w:val="auto"/>
              </w:rPr>
              <w:t>运营期声环境影响分析</w:t>
            </w:r>
          </w:p>
          <w:p w14:paraId="4EB84F02">
            <w:pPr>
              <w:ind w:firstLine="482" w:firstLineChars="200"/>
              <w:rPr>
                <w:b/>
                <w:bCs/>
                <w:color w:val="auto"/>
                <w:kern w:val="0"/>
                <w:lang w:bidi="ar"/>
              </w:rPr>
            </w:pPr>
            <w:r>
              <w:rPr>
                <w:rFonts w:hint="eastAsia"/>
                <w:b/>
                <w:bCs/>
                <w:color w:val="auto"/>
                <w:kern w:val="0"/>
                <w:lang w:bidi="ar"/>
              </w:rPr>
              <w:t>（1）计算模型</w:t>
            </w:r>
          </w:p>
          <w:p w14:paraId="0FBBED5A">
            <w:pPr>
              <w:pStyle w:val="58"/>
              <w:ind w:firstLine="480"/>
              <w:rPr>
                <w:color w:val="auto"/>
                <w:szCs w:val="24"/>
              </w:rPr>
            </w:pPr>
            <w:r>
              <w:rPr>
                <w:rFonts w:hint="eastAsia"/>
                <w:color w:val="auto"/>
                <w:szCs w:val="24"/>
              </w:rPr>
              <w:t>本次评价</w:t>
            </w:r>
            <w:r>
              <w:rPr>
                <w:color w:val="auto"/>
                <w:szCs w:val="24"/>
              </w:rPr>
              <w:t>根据《环境影响评价技术导则声环境》（HJ2.4-2021）相关要求车间设备噪声采用叠加公式计算：</w:t>
            </w:r>
          </w:p>
          <w:p w14:paraId="378D3F35">
            <w:pPr>
              <w:ind w:firstLine="480" w:firstLineChars="200"/>
              <w:jc w:val="center"/>
              <w:rPr>
                <w:rFonts w:eastAsia="等线"/>
                <w:bCs/>
                <w:color w:val="auto"/>
              </w:rPr>
            </w:pPr>
            <m:oMath>
              <m:r>
                <m:rPr/>
                <w:rPr>
                  <w:rFonts w:ascii="Cambria Math" w:hAnsi="Cambria Math"/>
                  <w:color w:val="auto"/>
                </w:rPr>
                <m:t>Lp=</m:t>
              </m:r>
              <m:r>
                <m:rPr>
                  <m:sty m:val="p"/>
                </m:rPr>
                <w:rPr>
                  <w:rFonts w:ascii="Cambria Math" w:hAnsi="Cambria Math"/>
                  <w:color w:val="auto"/>
                </w:rPr>
                <m:t>10</m:t>
              </m:r>
              <m:r>
                <m:rPr/>
                <w:rPr>
                  <w:rFonts w:ascii="Cambria Math" w:hAnsi="Cambria Math"/>
                  <w:color w:val="auto"/>
                </w:rPr>
                <m:t>lg(</m:t>
              </m:r>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0.1Lp1</m:t>
                  </m:r>
                  <m:ctrlPr>
                    <w:rPr>
                      <w:rFonts w:ascii="Cambria Math" w:hAnsi="Cambria Math"/>
                      <w:i/>
                      <w:color w:val="auto"/>
                    </w:rPr>
                  </m:ctrlPr>
                </m:sup>
              </m:sSup>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0.1Lp2</m:t>
                  </m:r>
                  <m:ctrlPr>
                    <w:rPr>
                      <w:rFonts w:ascii="Cambria Math" w:hAnsi="Cambria Math"/>
                      <w:i/>
                      <w:color w:val="auto"/>
                    </w:rPr>
                  </m:ctrlPr>
                </m:sup>
              </m:sSup>
              <m:r>
                <m:rPr/>
                <w:rPr>
                  <w:rFonts w:ascii="Cambria Math" w:hAnsi="Cambria Math"/>
                  <w:color w:val="auto"/>
                </w:rPr>
                <m:t>+⋯</m:t>
              </m:r>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0.1Lpi</m:t>
                  </m:r>
                  <m:ctrlPr>
                    <w:rPr>
                      <w:rFonts w:ascii="Cambria Math" w:hAnsi="Cambria Math"/>
                      <w:i/>
                      <w:color w:val="auto"/>
                    </w:rPr>
                  </m:ctrlPr>
                </m:sup>
              </m:sSup>
              <m:r>
                <m:rPr/>
                <w:rPr>
                  <w:rFonts w:ascii="Cambria Math" w:hAnsi="Cambria Math"/>
                  <w:color w:val="auto"/>
                </w:rPr>
                <m:t>)</m:t>
              </m:r>
            </m:oMath>
            <w:r>
              <w:rPr>
                <w:rFonts w:eastAsia="等线"/>
                <w:bCs/>
                <w:color w:val="auto"/>
              </w:rPr>
              <w:t xml:space="preserve">     </w:t>
            </w:r>
            <w:r>
              <w:rPr>
                <w:bCs/>
                <w:color w:val="auto"/>
              </w:rPr>
              <w:t xml:space="preserve"> （式1）</w:t>
            </w:r>
          </w:p>
          <w:p w14:paraId="40BE9FDB">
            <w:pPr>
              <w:ind w:firstLine="480" w:firstLineChars="200"/>
              <w:rPr>
                <w:bCs/>
                <w:color w:val="auto"/>
              </w:rPr>
            </w:pPr>
            <w:r>
              <w:rPr>
                <w:bCs/>
                <w:color w:val="auto"/>
              </w:rPr>
              <w:t>式中：Lp——噪声叠加后总的声压级，dB(A)；</w:t>
            </w:r>
          </w:p>
          <w:p w14:paraId="6C0778F6">
            <w:pPr>
              <w:ind w:firstLine="1200" w:firstLineChars="500"/>
              <w:rPr>
                <w:bCs/>
                <w:color w:val="auto"/>
              </w:rPr>
            </w:pPr>
            <w:r>
              <w:rPr>
                <w:bCs/>
                <w:color w:val="auto"/>
              </w:rPr>
              <w:t>Lpi——单个噪声的声压级，dB(A)；</w:t>
            </w:r>
          </w:p>
          <w:p w14:paraId="75B85E7D">
            <w:pPr>
              <w:ind w:firstLine="1200" w:firstLineChars="500"/>
              <w:rPr>
                <w:b/>
                <w:color w:val="auto"/>
              </w:rPr>
            </w:pPr>
            <w:r>
              <w:rPr>
                <w:bCs/>
                <w:color w:val="auto"/>
              </w:rPr>
              <w:t>N——噪声的个数。</w:t>
            </w:r>
          </w:p>
          <w:p w14:paraId="3D0DDB9E">
            <w:pPr>
              <w:ind w:firstLine="480" w:firstLineChars="200"/>
              <w:rPr>
                <w:color w:val="auto"/>
                <w:kern w:val="0"/>
                <w:lang w:bidi="ar"/>
              </w:rPr>
            </w:pPr>
            <w:r>
              <w:rPr>
                <w:color w:val="auto"/>
                <w:kern w:val="0"/>
                <w:lang w:bidi="ar"/>
              </w:rPr>
              <w:t>对于噪声源随距离衰减模式，采用以下</w:t>
            </w:r>
            <w:r>
              <w:rPr>
                <w:rFonts w:hint="eastAsia"/>
                <w:color w:val="auto"/>
                <w:kern w:val="0"/>
                <w:lang w:bidi="ar"/>
              </w:rPr>
              <w:t>公式</w:t>
            </w:r>
            <w:r>
              <w:rPr>
                <w:color w:val="auto"/>
                <w:kern w:val="0"/>
                <w:lang w:bidi="ar"/>
              </w:rPr>
              <w:t>计算：</w:t>
            </w:r>
          </w:p>
          <w:p w14:paraId="57AF2020">
            <w:pPr>
              <w:ind w:firstLine="480" w:firstLineChars="200"/>
              <w:jc w:val="center"/>
              <w:rPr>
                <w:color w:val="auto"/>
                <w:kern w:val="0"/>
                <w:lang w:bidi="ar"/>
              </w:rPr>
            </w:pPr>
            <m:oMath>
              <m:sSub>
                <m:sSubPr>
                  <m:ctrlPr>
                    <w:rPr>
                      <w:rFonts w:ascii="Cambria Math" w:hAnsi="Cambria Math"/>
                      <w:color w:val="auto"/>
                    </w:rPr>
                  </m:ctrlPr>
                </m:sSubPr>
                <m:e>
                  <m:r>
                    <m:rPr>
                      <m:sty m:val="p"/>
                    </m:rPr>
                    <w:rPr>
                      <w:rFonts w:ascii="Cambria Math" w:hAnsi="Cambria Math"/>
                      <w:color w:val="auto"/>
                    </w:rPr>
                    <m:t>L</m:t>
                  </m:r>
                  <m:ctrlPr>
                    <w:rPr>
                      <w:rFonts w:ascii="Cambria Math" w:hAnsi="Cambria Math"/>
                      <w:color w:val="auto"/>
                    </w:rPr>
                  </m:ctrlPr>
                </m:e>
                <m:sub>
                  <m:r>
                    <m:rPr>
                      <m:sty m:val="p"/>
                    </m:rPr>
                    <w:rPr>
                      <w:rFonts w:ascii="Cambria Math" w:hAnsi="Cambria Math"/>
                      <w:color w:val="auto"/>
                    </w:rPr>
                    <m:t>A</m:t>
                  </m:r>
                  <m:ctrlPr>
                    <w:rPr>
                      <w:rFonts w:ascii="Cambria Math" w:hAnsi="Cambria Math"/>
                      <w:color w:val="auto"/>
                    </w:rPr>
                  </m:ctrlPr>
                </m:sub>
              </m:sSub>
              <m:d>
                <m:dPr>
                  <m:ctrlPr>
                    <w:rPr>
                      <w:rFonts w:ascii="Cambria Math" w:hAnsi="Cambria Math"/>
                      <w:i/>
                      <w:color w:val="auto"/>
                    </w:rPr>
                  </m:ctrlPr>
                </m:dPr>
                <m:e>
                  <m:r>
                    <m:rPr/>
                    <w:rPr>
                      <w:rFonts w:ascii="Cambria Math" w:hAnsi="Cambria Math"/>
                      <w:color w:val="auto"/>
                    </w:rPr>
                    <m:t>r</m:t>
                  </m:r>
                  <m:ctrlPr>
                    <w:rPr>
                      <w:rFonts w:ascii="Cambria Math" w:hAnsi="Cambria Math"/>
                      <w:i/>
                      <w:color w:val="auto"/>
                    </w:rPr>
                  </m:ctrlPr>
                </m:e>
              </m:d>
              <m:r>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L</m:t>
                  </m:r>
                  <m:ctrlPr>
                    <w:rPr>
                      <w:rFonts w:ascii="Cambria Math" w:hAnsi="Cambria Math"/>
                      <w:color w:val="auto"/>
                    </w:rPr>
                  </m:ctrlPr>
                </m:e>
                <m:sub>
                  <m:r>
                    <m:rPr>
                      <m:sty m:val="p"/>
                    </m:rPr>
                    <w:rPr>
                      <w:rFonts w:ascii="Cambria Math" w:hAnsi="Cambria Math"/>
                      <w:color w:val="auto"/>
                    </w:rPr>
                    <m:t>A</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r>
                <m:rPr/>
                <w:rPr>
                  <w:rFonts w:ascii="Cambria Math" w:hAnsi="Cambria Math"/>
                  <w:color w:val="auto"/>
                </w:rPr>
                <m:t>)−Alg(</m:t>
              </m:r>
              <m:f>
                <m:fPr>
                  <m:ctrlPr>
                    <w:rPr>
                      <w:rFonts w:ascii="Cambria Math" w:hAnsi="Cambria Math"/>
                      <w:i/>
                      <w:color w:val="auto"/>
                    </w:rPr>
                  </m:ctrlPr>
                </m:fPr>
                <m:num>
                  <m:r>
                    <m:rPr/>
                    <w:rPr>
                      <w:rFonts w:ascii="Cambria Math" w:hAnsi="Cambria Math"/>
                      <w:color w:val="auto"/>
                    </w:rPr>
                    <m:t>r</m:t>
                  </m:r>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den>
              </m:f>
              <m:r>
                <m:rPr/>
                <w:rPr>
                  <w:rFonts w:ascii="Cambria Math" w:hAnsi="Cambria Math"/>
                  <w:color w:val="auto"/>
                </w:rPr>
                <m:t>)−ΔL</m:t>
              </m:r>
            </m:oMath>
            <w:r>
              <w:rPr>
                <w:color w:val="auto"/>
                <w:kern w:val="0"/>
                <w:lang w:bidi="ar"/>
              </w:rPr>
              <w:t xml:space="preserve">             </w:t>
            </w:r>
            <w:r>
              <w:rPr>
                <w:rFonts w:hint="eastAsia"/>
                <w:color w:val="auto"/>
                <w:kern w:val="0"/>
                <w:lang w:bidi="ar"/>
              </w:rPr>
              <w:t xml:space="preserve"> </w:t>
            </w:r>
            <w:r>
              <w:rPr>
                <w:color w:val="auto"/>
                <w:kern w:val="0"/>
                <w:lang w:bidi="ar"/>
              </w:rPr>
              <w:t xml:space="preserve">  </w:t>
            </w:r>
            <w:r>
              <w:rPr>
                <w:bCs/>
                <w:color w:val="auto"/>
              </w:rPr>
              <w:t>（式2）</w:t>
            </w:r>
          </w:p>
          <w:p w14:paraId="747062C2">
            <w:pPr>
              <w:ind w:firstLine="480" w:firstLineChars="200"/>
              <w:rPr>
                <w:color w:val="auto"/>
                <w:kern w:val="0"/>
                <w:lang w:bidi="ar"/>
              </w:rPr>
            </w:pPr>
            <w:r>
              <w:rPr>
                <w:color w:val="auto"/>
                <w:kern w:val="0"/>
                <w:lang w:bidi="ar"/>
              </w:rPr>
              <w:t>式中：L(r)——距离r处的A声级，dB(A)；</w:t>
            </w:r>
          </w:p>
          <w:p w14:paraId="1689A557">
            <w:pPr>
              <w:ind w:firstLine="1200" w:firstLineChars="500"/>
              <w:rPr>
                <w:color w:val="auto"/>
                <w:kern w:val="0"/>
                <w:lang w:bidi="ar"/>
              </w:rPr>
            </w:pPr>
            <w:r>
              <w:rPr>
                <w:color w:val="auto"/>
                <w:kern w:val="0"/>
                <w:lang w:bidi="ar"/>
              </w:rPr>
              <w:t>L(r</w:t>
            </w:r>
            <w:r>
              <w:rPr>
                <w:color w:val="auto"/>
                <w:kern w:val="0"/>
                <w:vertAlign w:val="subscript"/>
                <w:lang w:bidi="ar"/>
              </w:rPr>
              <w:t>0</w:t>
            </w:r>
            <w:r>
              <w:rPr>
                <w:color w:val="auto"/>
                <w:kern w:val="0"/>
                <w:lang w:bidi="ar"/>
              </w:rPr>
              <w:t>)——距离r</w:t>
            </w:r>
            <w:r>
              <w:rPr>
                <w:color w:val="auto"/>
                <w:kern w:val="0"/>
                <w:vertAlign w:val="subscript"/>
                <w:lang w:bidi="ar"/>
              </w:rPr>
              <w:t>0</w:t>
            </w:r>
            <w:r>
              <w:rPr>
                <w:color w:val="auto"/>
                <w:kern w:val="0"/>
                <w:lang w:bidi="ar"/>
              </w:rPr>
              <w:t>处的A声级，dB(A)；</w:t>
            </w:r>
          </w:p>
          <w:p w14:paraId="3998ADA2">
            <w:pPr>
              <w:ind w:firstLine="1200" w:firstLineChars="500"/>
              <w:rPr>
                <w:color w:val="auto"/>
                <w:kern w:val="0"/>
                <w:lang w:bidi="ar"/>
              </w:rPr>
            </w:pPr>
            <w:r>
              <w:rPr>
                <w:color w:val="auto"/>
                <w:kern w:val="0"/>
                <w:lang w:bidi="ar"/>
              </w:rPr>
              <w:t>r——声源至受点的距离，m；</w:t>
            </w:r>
          </w:p>
          <w:p w14:paraId="3149EE14">
            <w:pPr>
              <w:ind w:firstLine="1200" w:firstLineChars="500"/>
              <w:rPr>
                <w:color w:val="auto"/>
                <w:kern w:val="0"/>
                <w:lang w:bidi="ar"/>
              </w:rPr>
            </w:pPr>
            <w:r>
              <w:rPr>
                <w:color w:val="auto"/>
                <w:kern w:val="0"/>
                <w:lang w:bidi="ar"/>
              </w:rPr>
              <w:t>r</w:t>
            </w:r>
            <w:r>
              <w:rPr>
                <w:color w:val="auto"/>
                <w:kern w:val="0"/>
                <w:vertAlign w:val="subscript"/>
                <w:lang w:bidi="ar"/>
              </w:rPr>
              <w:t>0</w:t>
            </w:r>
            <w:r>
              <w:rPr>
                <w:color w:val="auto"/>
                <w:kern w:val="0"/>
                <w:lang w:bidi="ar"/>
              </w:rPr>
              <w:t>——声源至参照点的距离，m，本项目r</w:t>
            </w:r>
            <w:r>
              <w:rPr>
                <w:color w:val="auto"/>
                <w:kern w:val="0"/>
                <w:vertAlign w:val="subscript"/>
                <w:lang w:bidi="ar"/>
              </w:rPr>
              <w:t>0</w:t>
            </w:r>
            <w:r>
              <w:rPr>
                <w:color w:val="auto"/>
                <w:kern w:val="0"/>
                <w:lang w:bidi="ar"/>
              </w:rPr>
              <w:t>=1m；</w:t>
            </w:r>
          </w:p>
          <w:p w14:paraId="7C3F4104">
            <w:pPr>
              <w:ind w:firstLine="1200" w:firstLineChars="500"/>
              <w:rPr>
                <w:color w:val="auto"/>
                <w:kern w:val="0"/>
                <w:lang w:bidi="ar"/>
              </w:rPr>
            </w:pPr>
            <w:r>
              <w:rPr>
                <w:color w:val="auto"/>
                <w:kern w:val="0"/>
                <w:lang w:bidi="ar"/>
              </w:rPr>
              <w:t>ΔL——各种因素引起的衰减量，包括声屏障、遮挡物、绿化等；</w:t>
            </w:r>
          </w:p>
          <w:p w14:paraId="21AE28CC">
            <w:pPr>
              <w:ind w:firstLine="1200" w:firstLineChars="500"/>
              <w:rPr>
                <w:color w:val="auto"/>
                <w:kern w:val="0"/>
                <w:lang w:bidi="ar"/>
              </w:rPr>
            </w:pPr>
            <w:r>
              <w:rPr>
                <w:color w:val="auto"/>
                <w:kern w:val="0"/>
                <w:lang w:bidi="ar"/>
              </w:rPr>
              <w:t>A——预测无限长线声源取10，预测有限长线声源取15，预测点声源取20。</w:t>
            </w:r>
          </w:p>
          <w:p w14:paraId="315FD4C8">
            <w:pPr>
              <w:pStyle w:val="58"/>
              <w:ind w:firstLine="482"/>
              <w:rPr>
                <w:b/>
                <w:bCs w:val="0"/>
                <w:color w:val="auto"/>
                <w:szCs w:val="24"/>
              </w:rPr>
            </w:pPr>
            <w:r>
              <w:rPr>
                <w:b/>
                <w:bCs w:val="0"/>
                <w:color w:val="auto"/>
                <w:szCs w:val="24"/>
              </w:rPr>
              <w:t>（2）预测参数</w:t>
            </w:r>
          </w:p>
          <w:p w14:paraId="4472B8C0">
            <w:pPr>
              <w:ind w:firstLine="480" w:firstLineChars="200"/>
              <w:rPr>
                <w:color w:val="auto"/>
                <w:lang w:val="zh-CN"/>
              </w:rPr>
            </w:pPr>
            <w:r>
              <w:rPr>
                <w:rFonts w:hint="eastAsia"/>
                <w:color w:val="auto"/>
                <w:kern w:val="0"/>
                <w:lang w:bidi="ar"/>
              </w:rPr>
              <w:t>项目运营期产生的噪声主要来自生产过程中机械设备运行时所产生的噪声。根据噪声的传播规律可知，从噪声源到受声点的噪声衰减总量是由噪声源到受声点的距离、车间墙体隔声量、空气吸收和绿化带阻滞及建筑屏障的衰减综合而成。在此预测中，仅考虑距离衰减，故选用点声源衰减模式进行预测。项目厂界噪声预测结果详见表4.3-3。</w:t>
            </w:r>
          </w:p>
          <w:p w14:paraId="00266B28">
            <w:pPr>
              <w:spacing w:line="240" w:lineRule="auto"/>
              <w:jc w:val="center"/>
              <w:rPr>
                <w:color w:val="auto"/>
              </w:rPr>
            </w:pPr>
            <w:r>
              <w:rPr>
                <w:b/>
                <w:bCs/>
                <w:color w:val="auto"/>
                <w:spacing w:val="8"/>
                <w:lang w:bidi="ar"/>
              </w:rPr>
              <w:t>表4.</w:t>
            </w:r>
            <w:r>
              <w:rPr>
                <w:rFonts w:hint="eastAsia"/>
                <w:b/>
                <w:bCs/>
                <w:color w:val="auto"/>
                <w:spacing w:val="8"/>
                <w:lang w:bidi="ar"/>
              </w:rPr>
              <w:t>3</w:t>
            </w:r>
            <w:r>
              <w:rPr>
                <w:b/>
                <w:bCs/>
                <w:color w:val="auto"/>
                <w:spacing w:val="8"/>
                <w:lang w:bidi="ar"/>
              </w:rPr>
              <w:t>-</w:t>
            </w:r>
            <w:r>
              <w:rPr>
                <w:rFonts w:hint="eastAsia"/>
                <w:b/>
                <w:bCs/>
                <w:color w:val="auto"/>
                <w:spacing w:val="8"/>
                <w:lang w:bidi="ar"/>
              </w:rPr>
              <w:t>3</w:t>
            </w:r>
            <w:r>
              <w:rPr>
                <w:b/>
                <w:bCs/>
                <w:color w:val="auto"/>
                <w:spacing w:val="8"/>
                <w:lang w:bidi="ar"/>
              </w:rPr>
              <w:t xml:space="preserve"> </w:t>
            </w:r>
            <w:r>
              <w:rPr>
                <w:rFonts w:hint="eastAsia"/>
                <w:b/>
                <w:bCs/>
                <w:color w:val="auto"/>
                <w:spacing w:val="8"/>
                <w:lang w:bidi="ar"/>
              </w:rPr>
              <w:t xml:space="preserve"> </w:t>
            </w:r>
            <w:r>
              <w:rPr>
                <w:b/>
                <w:bCs/>
                <w:color w:val="auto"/>
                <w:spacing w:val="8"/>
                <w:lang w:bidi="ar"/>
              </w:rPr>
              <w:t>厂界噪声预测结果 单位：dB(A)</w:t>
            </w:r>
          </w:p>
          <w:tbl>
            <w:tblPr>
              <w:tblStyle w:val="30"/>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104"/>
              <w:gridCol w:w="1294"/>
              <w:gridCol w:w="1385"/>
              <w:gridCol w:w="1232"/>
              <w:gridCol w:w="1351"/>
            </w:tblGrid>
            <w:tr w14:paraId="0FF9F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7" w:type="pct"/>
                  <w:vMerge w:val="restart"/>
                  <w:tcBorders>
                    <w:tl2br w:val="nil"/>
                    <w:tr2bl w:val="nil"/>
                  </w:tcBorders>
                  <w:vAlign w:val="center"/>
                </w:tcPr>
                <w:p w14:paraId="5CE982FE">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位置</w:t>
                  </w:r>
                </w:p>
              </w:tc>
              <w:tc>
                <w:tcPr>
                  <w:tcW w:w="706" w:type="pct"/>
                  <w:vMerge w:val="restart"/>
                  <w:tcBorders>
                    <w:tl2br w:val="nil"/>
                    <w:tr2bl w:val="nil"/>
                  </w:tcBorders>
                  <w:vAlign w:val="center"/>
                </w:tcPr>
                <w:p w14:paraId="05534396">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时段</w:t>
                  </w:r>
                </w:p>
              </w:tc>
              <w:tc>
                <w:tcPr>
                  <w:tcW w:w="828" w:type="pct"/>
                  <w:vMerge w:val="restart"/>
                  <w:tcBorders>
                    <w:tl2br w:val="nil"/>
                    <w:tr2bl w:val="nil"/>
                  </w:tcBorders>
                  <w:vAlign w:val="center"/>
                </w:tcPr>
                <w:p w14:paraId="66549646">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贡献值</w:t>
                  </w:r>
                  <w:r>
                    <w:rPr>
                      <w:rFonts w:hint="eastAsia" w:eastAsia="宋体"/>
                      <w:color w:val="auto"/>
                      <w:sz w:val="21"/>
                      <w:szCs w:val="21"/>
                    </w:rPr>
                    <w:t>dB(A)</w:t>
                  </w:r>
                </w:p>
              </w:tc>
              <w:tc>
                <w:tcPr>
                  <w:tcW w:w="885" w:type="pct"/>
                  <w:vMerge w:val="restart"/>
                  <w:tcBorders>
                    <w:tl2br w:val="nil"/>
                    <w:tr2bl w:val="nil"/>
                  </w:tcBorders>
                  <w:vAlign w:val="center"/>
                </w:tcPr>
                <w:p w14:paraId="5615F1E4">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标准值dB(A)</w:t>
                  </w:r>
                </w:p>
              </w:tc>
              <w:tc>
                <w:tcPr>
                  <w:tcW w:w="1651" w:type="pct"/>
                  <w:gridSpan w:val="2"/>
                  <w:tcBorders>
                    <w:tl2br w:val="nil"/>
                    <w:tr2bl w:val="nil"/>
                  </w:tcBorders>
                  <w:vAlign w:val="center"/>
                </w:tcPr>
                <w:p w14:paraId="22ED9856">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达标情况</w:t>
                  </w:r>
                </w:p>
              </w:tc>
            </w:tr>
            <w:tr w14:paraId="1E9EB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27" w:type="pct"/>
                  <w:vMerge w:val="continue"/>
                  <w:tcBorders>
                    <w:tl2br w:val="nil"/>
                    <w:tr2bl w:val="nil"/>
                  </w:tcBorders>
                  <w:vAlign w:val="center"/>
                </w:tcPr>
                <w:p w14:paraId="02F6FB69">
                  <w:pPr>
                    <w:pStyle w:val="9"/>
                    <w:kinsoku w:val="0"/>
                    <w:autoSpaceDE w:val="0"/>
                    <w:autoSpaceDN w:val="0"/>
                    <w:snapToGrid w:val="0"/>
                    <w:spacing w:line="360" w:lineRule="auto"/>
                    <w:jc w:val="center"/>
                    <w:rPr>
                      <w:rFonts w:eastAsia="宋体"/>
                      <w:color w:val="auto"/>
                      <w:sz w:val="21"/>
                      <w:szCs w:val="21"/>
                    </w:rPr>
                  </w:pPr>
                </w:p>
              </w:tc>
              <w:tc>
                <w:tcPr>
                  <w:tcW w:w="706" w:type="pct"/>
                  <w:vMerge w:val="continue"/>
                  <w:tcBorders>
                    <w:tl2br w:val="nil"/>
                    <w:tr2bl w:val="nil"/>
                  </w:tcBorders>
                  <w:vAlign w:val="center"/>
                </w:tcPr>
                <w:p w14:paraId="58178DFC">
                  <w:pPr>
                    <w:pStyle w:val="9"/>
                    <w:kinsoku w:val="0"/>
                    <w:autoSpaceDE w:val="0"/>
                    <w:autoSpaceDN w:val="0"/>
                    <w:snapToGrid w:val="0"/>
                    <w:spacing w:line="360" w:lineRule="auto"/>
                    <w:jc w:val="center"/>
                    <w:rPr>
                      <w:rFonts w:eastAsia="宋体"/>
                      <w:color w:val="auto"/>
                      <w:sz w:val="21"/>
                      <w:szCs w:val="21"/>
                    </w:rPr>
                  </w:pPr>
                </w:p>
              </w:tc>
              <w:tc>
                <w:tcPr>
                  <w:tcW w:w="828" w:type="pct"/>
                  <w:vMerge w:val="continue"/>
                  <w:tcBorders>
                    <w:tl2br w:val="nil"/>
                    <w:tr2bl w:val="nil"/>
                  </w:tcBorders>
                  <w:vAlign w:val="center"/>
                </w:tcPr>
                <w:p w14:paraId="1AAEE826">
                  <w:pPr>
                    <w:pStyle w:val="9"/>
                    <w:kinsoku w:val="0"/>
                    <w:autoSpaceDE w:val="0"/>
                    <w:autoSpaceDN w:val="0"/>
                    <w:snapToGrid w:val="0"/>
                    <w:spacing w:line="360" w:lineRule="auto"/>
                    <w:jc w:val="center"/>
                    <w:rPr>
                      <w:rFonts w:eastAsia="宋体"/>
                      <w:color w:val="auto"/>
                      <w:sz w:val="21"/>
                      <w:szCs w:val="21"/>
                    </w:rPr>
                  </w:pPr>
                </w:p>
              </w:tc>
              <w:tc>
                <w:tcPr>
                  <w:tcW w:w="885" w:type="pct"/>
                  <w:vMerge w:val="continue"/>
                  <w:tcBorders>
                    <w:tl2br w:val="nil"/>
                    <w:tr2bl w:val="nil"/>
                  </w:tcBorders>
                  <w:vAlign w:val="center"/>
                </w:tcPr>
                <w:p w14:paraId="430CBDFD">
                  <w:pPr>
                    <w:pStyle w:val="9"/>
                    <w:kinsoku w:val="0"/>
                    <w:autoSpaceDE w:val="0"/>
                    <w:autoSpaceDN w:val="0"/>
                    <w:snapToGrid w:val="0"/>
                    <w:spacing w:line="360" w:lineRule="auto"/>
                    <w:ind w:firstLine="0"/>
                    <w:jc w:val="center"/>
                    <w:rPr>
                      <w:rFonts w:eastAsia="宋体"/>
                      <w:color w:val="auto"/>
                      <w:sz w:val="21"/>
                      <w:szCs w:val="21"/>
                    </w:rPr>
                  </w:pPr>
                </w:p>
              </w:tc>
              <w:tc>
                <w:tcPr>
                  <w:tcW w:w="788" w:type="pct"/>
                  <w:tcBorders>
                    <w:tl2br w:val="nil"/>
                    <w:tr2bl w:val="nil"/>
                  </w:tcBorders>
                  <w:vAlign w:val="center"/>
                </w:tcPr>
                <w:p w14:paraId="5AE177FD">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昼间</w:t>
                  </w:r>
                </w:p>
              </w:tc>
              <w:tc>
                <w:tcPr>
                  <w:tcW w:w="862" w:type="pct"/>
                  <w:tcBorders>
                    <w:tl2br w:val="nil"/>
                    <w:tr2bl w:val="nil"/>
                  </w:tcBorders>
                  <w:vAlign w:val="center"/>
                </w:tcPr>
                <w:p w14:paraId="16C50007">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夜间</w:t>
                  </w:r>
                </w:p>
              </w:tc>
            </w:tr>
            <w:tr w14:paraId="65CC3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27" w:type="pct"/>
                  <w:tcBorders>
                    <w:tl2br w:val="nil"/>
                    <w:tr2bl w:val="nil"/>
                  </w:tcBorders>
                  <w:vAlign w:val="center"/>
                </w:tcPr>
                <w:p w14:paraId="4A8159C4">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厂界东侧</w:t>
                  </w:r>
                </w:p>
              </w:tc>
              <w:tc>
                <w:tcPr>
                  <w:tcW w:w="706" w:type="pct"/>
                  <w:tcBorders>
                    <w:tl2br w:val="nil"/>
                    <w:tr2bl w:val="nil"/>
                  </w:tcBorders>
                  <w:vAlign w:val="center"/>
                </w:tcPr>
                <w:p w14:paraId="5F5D88CC">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昼间</w:t>
                  </w:r>
                </w:p>
              </w:tc>
              <w:tc>
                <w:tcPr>
                  <w:tcW w:w="828" w:type="pct"/>
                  <w:tcBorders>
                    <w:tl2br w:val="nil"/>
                    <w:tr2bl w:val="nil"/>
                  </w:tcBorders>
                  <w:vAlign w:val="center"/>
                </w:tcPr>
                <w:p w14:paraId="2255D6B9">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60.24</w:t>
                  </w:r>
                </w:p>
              </w:tc>
              <w:tc>
                <w:tcPr>
                  <w:tcW w:w="885" w:type="pct"/>
                  <w:tcBorders>
                    <w:tl2br w:val="nil"/>
                    <w:tr2bl w:val="nil"/>
                  </w:tcBorders>
                  <w:vAlign w:val="center"/>
                </w:tcPr>
                <w:p w14:paraId="521B3E2A">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65</w:t>
                  </w:r>
                </w:p>
              </w:tc>
              <w:tc>
                <w:tcPr>
                  <w:tcW w:w="788" w:type="pct"/>
                  <w:tcBorders>
                    <w:tl2br w:val="nil"/>
                    <w:tr2bl w:val="nil"/>
                  </w:tcBorders>
                  <w:vAlign w:val="center"/>
                </w:tcPr>
                <w:p w14:paraId="7A2CAB9E">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c>
                <w:tcPr>
                  <w:tcW w:w="862" w:type="pct"/>
                  <w:tcBorders>
                    <w:tl2br w:val="nil"/>
                    <w:tr2bl w:val="nil"/>
                  </w:tcBorders>
                  <w:vAlign w:val="center"/>
                </w:tcPr>
                <w:p w14:paraId="1EC0CEDA">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r>
            <w:tr w14:paraId="5F69F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vAlign w:val="center"/>
                </w:tcPr>
                <w:p w14:paraId="676C2C60">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厂界</w:t>
                  </w:r>
                  <w:r>
                    <w:rPr>
                      <w:rFonts w:hint="eastAsia" w:eastAsia="宋体"/>
                      <w:color w:val="auto"/>
                      <w:sz w:val="21"/>
                      <w:szCs w:val="21"/>
                    </w:rPr>
                    <w:t>西</w:t>
                  </w:r>
                  <w:r>
                    <w:rPr>
                      <w:rFonts w:eastAsia="宋体"/>
                      <w:color w:val="auto"/>
                      <w:sz w:val="21"/>
                      <w:szCs w:val="21"/>
                    </w:rPr>
                    <w:t>侧</w:t>
                  </w:r>
                </w:p>
              </w:tc>
              <w:tc>
                <w:tcPr>
                  <w:tcW w:w="706" w:type="pct"/>
                  <w:tcBorders>
                    <w:tl2br w:val="nil"/>
                    <w:tr2bl w:val="nil"/>
                  </w:tcBorders>
                  <w:vAlign w:val="center"/>
                </w:tcPr>
                <w:p w14:paraId="3BEF5A95">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昼间</w:t>
                  </w:r>
                </w:p>
              </w:tc>
              <w:tc>
                <w:tcPr>
                  <w:tcW w:w="828" w:type="pct"/>
                  <w:tcBorders>
                    <w:tl2br w:val="nil"/>
                    <w:tr2bl w:val="nil"/>
                  </w:tcBorders>
                  <w:vAlign w:val="center"/>
                </w:tcPr>
                <w:p w14:paraId="6872DBB2">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51.39</w:t>
                  </w:r>
                </w:p>
              </w:tc>
              <w:tc>
                <w:tcPr>
                  <w:tcW w:w="885" w:type="pct"/>
                  <w:tcBorders>
                    <w:tl2br w:val="nil"/>
                    <w:tr2bl w:val="nil"/>
                  </w:tcBorders>
                  <w:vAlign w:val="center"/>
                </w:tcPr>
                <w:p w14:paraId="19632624">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65</w:t>
                  </w:r>
                </w:p>
              </w:tc>
              <w:tc>
                <w:tcPr>
                  <w:tcW w:w="788" w:type="pct"/>
                  <w:tcBorders>
                    <w:tl2br w:val="nil"/>
                    <w:tr2bl w:val="nil"/>
                  </w:tcBorders>
                  <w:vAlign w:val="center"/>
                </w:tcPr>
                <w:p w14:paraId="0BBAEAD4">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c>
                <w:tcPr>
                  <w:tcW w:w="862" w:type="pct"/>
                  <w:tcBorders>
                    <w:tl2br w:val="nil"/>
                    <w:tr2bl w:val="nil"/>
                  </w:tcBorders>
                  <w:vAlign w:val="center"/>
                </w:tcPr>
                <w:p w14:paraId="1CCF7FE4">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r>
            <w:tr w14:paraId="4DCFB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vAlign w:val="center"/>
                </w:tcPr>
                <w:p w14:paraId="7FFA87ED">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厂界南侧</w:t>
                  </w:r>
                </w:p>
              </w:tc>
              <w:tc>
                <w:tcPr>
                  <w:tcW w:w="706" w:type="pct"/>
                  <w:tcBorders>
                    <w:tl2br w:val="nil"/>
                    <w:tr2bl w:val="nil"/>
                  </w:tcBorders>
                  <w:vAlign w:val="center"/>
                </w:tcPr>
                <w:p w14:paraId="493D9EA9">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昼间</w:t>
                  </w:r>
                </w:p>
              </w:tc>
              <w:tc>
                <w:tcPr>
                  <w:tcW w:w="828" w:type="pct"/>
                  <w:tcBorders>
                    <w:tl2br w:val="nil"/>
                    <w:tr2bl w:val="nil"/>
                  </w:tcBorders>
                  <w:vAlign w:val="center"/>
                </w:tcPr>
                <w:p w14:paraId="5BFC9422">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59.29</w:t>
                  </w:r>
                </w:p>
              </w:tc>
              <w:tc>
                <w:tcPr>
                  <w:tcW w:w="885" w:type="pct"/>
                  <w:tcBorders>
                    <w:tl2br w:val="nil"/>
                    <w:tr2bl w:val="nil"/>
                  </w:tcBorders>
                  <w:vAlign w:val="center"/>
                </w:tcPr>
                <w:p w14:paraId="03CBB4EC">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65</w:t>
                  </w:r>
                </w:p>
              </w:tc>
              <w:tc>
                <w:tcPr>
                  <w:tcW w:w="788" w:type="pct"/>
                  <w:tcBorders>
                    <w:tl2br w:val="nil"/>
                    <w:tr2bl w:val="nil"/>
                  </w:tcBorders>
                  <w:vAlign w:val="center"/>
                </w:tcPr>
                <w:p w14:paraId="38E869AC">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c>
                <w:tcPr>
                  <w:tcW w:w="862" w:type="pct"/>
                  <w:tcBorders>
                    <w:tl2br w:val="nil"/>
                    <w:tr2bl w:val="nil"/>
                  </w:tcBorders>
                  <w:vAlign w:val="center"/>
                </w:tcPr>
                <w:p w14:paraId="472ABE35">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r>
            <w:tr w14:paraId="62D65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7" w:type="pct"/>
                  <w:tcBorders>
                    <w:tl2br w:val="nil"/>
                    <w:tr2bl w:val="nil"/>
                  </w:tcBorders>
                  <w:vAlign w:val="center"/>
                </w:tcPr>
                <w:p w14:paraId="35E3766E">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厂界</w:t>
                  </w:r>
                  <w:r>
                    <w:rPr>
                      <w:rFonts w:hint="eastAsia" w:eastAsia="宋体"/>
                      <w:color w:val="auto"/>
                      <w:sz w:val="21"/>
                      <w:szCs w:val="21"/>
                    </w:rPr>
                    <w:t>北</w:t>
                  </w:r>
                  <w:r>
                    <w:rPr>
                      <w:rFonts w:eastAsia="宋体"/>
                      <w:color w:val="auto"/>
                      <w:sz w:val="21"/>
                      <w:szCs w:val="21"/>
                    </w:rPr>
                    <w:t>侧</w:t>
                  </w:r>
                </w:p>
              </w:tc>
              <w:tc>
                <w:tcPr>
                  <w:tcW w:w="706" w:type="pct"/>
                  <w:tcBorders>
                    <w:tl2br w:val="nil"/>
                    <w:tr2bl w:val="nil"/>
                  </w:tcBorders>
                  <w:vAlign w:val="center"/>
                </w:tcPr>
                <w:p w14:paraId="72432AF5">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昼间</w:t>
                  </w:r>
                </w:p>
              </w:tc>
              <w:tc>
                <w:tcPr>
                  <w:tcW w:w="828" w:type="pct"/>
                  <w:tcBorders>
                    <w:tl2br w:val="nil"/>
                    <w:tr2bl w:val="nil"/>
                  </w:tcBorders>
                  <w:vAlign w:val="center"/>
                </w:tcPr>
                <w:p w14:paraId="15D3E068">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58.70</w:t>
                  </w:r>
                </w:p>
              </w:tc>
              <w:tc>
                <w:tcPr>
                  <w:tcW w:w="885" w:type="pct"/>
                  <w:tcBorders>
                    <w:tl2br w:val="nil"/>
                    <w:tr2bl w:val="nil"/>
                  </w:tcBorders>
                  <w:vAlign w:val="center"/>
                </w:tcPr>
                <w:p w14:paraId="7C54C2BB">
                  <w:pPr>
                    <w:pStyle w:val="9"/>
                    <w:kinsoku w:val="0"/>
                    <w:autoSpaceDE w:val="0"/>
                    <w:autoSpaceDN w:val="0"/>
                    <w:snapToGrid w:val="0"/>
                    <w:spacing w:line="360" w:lineRule="auto"/>
                    <w:ind w:firstLine="0"/>
                    <w:jc w:val="center"/>
                    <w:rPr>
                      <w:rFonts w:eastAsia="宋体"/>
                      <w:color w:val="auto"/>
                      <w:sz w:val="21"/>
                      <w:szCs w:val="21"/>
                    </w:rPr>
                  </w:pPr>
                  <w:r>
                    <w:rPr>
                      <w:rFonts w:hint="eastAsia" w:eastAsia="宋体"/>
                      <w:color w:val="auto"/>
                      <w:sz w:val="21"/>
                      <w:szCs w:val="21"/>
                    </w:rPr>
                    <w:t>65</w:t>
                  </w:r>
                </w:p>
              </w:tc>
              <w:tc>
                <w:tcPr>
                  <w:tcW w:w="788" w:type="pct"/>
                  <w:tcBorders>
                    <w:tl2br w:val="nil"/>
                    <w:tr2bl w:val="nil"/>
                  </w:tcBorders>
                  <w:vAlign w:val="center"/>
                </w:tcPr>
                <w:p w14:paraId="5ABF6EAD">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c>
                <w:tcPr>
                  <w:tcW w:w="862" w:type="pct"/>
                  <w:tcBorders>
                    <w:tl2br w:val="nil"/>
                    <w:tr2bl w:val="nil"/>
                  </w:tcBorders>
                  <w:vAlign w:val="center"/>
                </w:tcPr>
                <w:p w14:paraId="7D05CEAB">
                  <w:pPr>
                    <w:pStyle w:val="9"/>
                    <w:kinsoku w:val="0"/>
                    <w:autoSpaceDE w:val="0"/>
                    <w:autoSpaceDN w:val="0"/>
                    <w:snapToGrid w:val="0"/>
                    <w:spacing w:line="360" w:lineRule="auto"/>
                    <w:ind w:firstLine="0"/>
                    <w:jc w:val="center"/>
                    <w:rPr>
                      <w:rFonts w:eastAsia="宋体"/>
                      <w:color w:val="auto"/>
                      <w:sz w:val="21"/>
                      <w:szCs w:val="21"/>
                    </w:rPr>
                  </w:pPr>
                  <w:r>
                    <w:rPr>
                      <w:rFonts w:eastAsia="宋体"/>
                      <w:color w:val="auto"/>
                      <w:sz w:val="21"/>
                      <w:szCs w:val="21"/>
                    </w:rPr>
                    <w:t>达标</w:t>
                  </w:r>
                </w:p>
              </w:tc>
            </w:tr>
          </w:tbl>
          <w:p w14:paraId="54F6E8F8">
            <w:pPr>
              <w:widowControl/>
              <w:ind w:firstLine="480" w:firstLineChars="200"/>
              <w:rPr>
                <w:color w:val="auto"/>
                <w:kern w:val="0"/>
                <w:lang w:bidi="ar"/>
              </w:rPr>
            </w:pPr>
            <w:r>
              <w:rPr>
                <w:color w:val="auto"/>
              </w:rPr>
              <w:t>厂界达标分析：根据表4.</w:t>
            </w:r>
            <w:r>
              <w:rPr>
                <w:rFonts w:hint="eastAsia"/>
                <w:color w:val="auto"/>
              </w:rPr>
              <w:t>3</w:t>
            </w:r>
            <w:r>
              <w:rPr>
                <w:color w:val="auto"/>
              </w:rPr>
              <w:t>-</w:t>
            </w:r>
            <w:r>
              <w:rPr>
                <w:rFonts w:hint="eastAsia"/>
                <w:color w:val="auto"/>
              </w:rPr>
              <w:t>2</w:t>
            </w:r>
            <w:r>
              <w:rPr>
                <w:color w:val="auto"/>
              </w:rPr>
              <w:t>预测结果表明，项目主要噪声源在采取有效的降噪措施前提下，项目厂界噪声均可满足</w:t>
            </w:r>
            <w:r>
              <w:rPr>
                <w:color w:val="auto"/>
                <w:kern w:val="0"/>
                <w:lang w:bidi="ar"/>
              </w:rPr>
              <w:t>《工业企业厂界环境噪声排放标准》（GB12348-2008）中的</w:t>
            </w:r>
            <w:r>
              <w:rPr>
                <w:rFonts w:hint="eastAsia"/>
                <w:color w:val="auto"/>
                <w:kern w:val="0"/>
                <w:lang w:bidi="ar"/>
              </w:rPr>
              <w:t>3</w:t>
            </w:r>
            <w:r>
              <w:rPr>
                <w:color w:val="auto"/>
                <w:kern w:val="0"/>
                <w:lang w:bidi="ar"/>
              </w:rPr>
              <w:t>类标准，即昼间≤6</w:t>
            </w:r>
            <w:r>
              <w:rPr>
                <w:rFonts w:hint="eastAsia"/>
                <w:color w:val="auto"/>
                <w:kern w:val="0"/>
                <w:lang w:bidi="ar"/>
              </w:rPr>
              <w:t>5</w:t>
            </w:r>
            <w:r>
              <w:rPr>
                <w:color w:val="auto"/>
                <w:kern w:val="0"/>
                <w:lang w:bidi="ar"/>
              </w:rPr>
              <w:t>dB(A)。</w:t>
            </w:r>
          </w:p>
          <w:p w14:paraId="1F545B72">
            <w:pPr>
              <w:widowControl/>
              <w:ind w:firstLine="482" w:firstLineChars="200"/>
              <w:jc w:val="left"/>
              <w:rPr>
                <w:b/>
                <w:bCs/>
                <w:color w:val="auto"/>
                <w:kern w:val="0"/>
                <w:lang w:val="zh-CN"/>
              </w:rPr>
            </w:pPr>
            <w:r>
              <w:rPr>
                <w:rFonts w:hint="eastAsia"/>
                <w:b/>
                <w:bCs/>
                <w:color w:val="auto"/>
                <w:kern w:val="0"/>
              </w:rPr>
              <w:t>（2）</w:t>
            </w:r>
            <w:r>
              <w:rPr>
                <w:b/>
                <w:bCs/>
                <w:color w:val="auto"/>
                <w:kern w:val="0"/>
                <w:lang w:val="zh-CN"/>
              </w:rPr>
              <w:t>敏感点噪声预测结果分析</w:t>
            </w:r>
          </w:p>
          <w:p w14:paraId="0244E6BB">
            <w:pPr>
              <w:adjustRightInd w:val="0"/>
              <w:ind w:firstLine="480" w:firstLineChars="200"/>
              <w:jc w:val="left"/>
              <w:textAlignment w:val="baseline"/>
              <w:rPr>
                <w:color w:val="auto"/>
                <w:szCs w:val="20"/>
              </w:rPr>
            </w:pPr>
            <w:r>
              <w:rPr>
                <w:color w:val="auto"/>
                <w:szCs w:val="20"/>
                <w:lang w:val="zh-CN"/>
              </w:rPr>
              <w:t>根据现场勘查，项目周边</w:t>
            </w:r>
            <w:r>
              <w:rPr>
                <w:color w:val="auto"/>
                <w:szCs w:val="20"/>
              </w:rPr>
              <w:t>50m范围内无声环境保护目标</w:t>
            </w:r>
            <w:r>
              <w:rPr>
                <w:color w:val="auto"/>
                <w:szCs w:val="20"/>
                <w:lang w:val="zh-CN"/>
              </w:rPr>
              <w:t>。</w:t>
            </w:r>
          </w:p>
          <w:p w14:paraId="28543DE5">
            <w:pPr>
              <w:pStyle w:val="4"/>
              <w:ind w:firstLine="0" w:firstLineChars="0"/>
              <w:rPr>
                <w:color w:val="auto"/>
              </w:rPr>
            </w:pPr>
            <w:r>
              <w:rPr>
                <w:rFonts w:hint="eastAsia"/>
                <w:color w:val="auto"/>
              </w:rPr>
              <w:t>4.3.3声环境防治措施</w:t>
            </w:r>
          </w:p>
          <w:p w14:paraId="42D7493E">
            <w:pPr>
              <w:widowControl/>
              <w:ind w:firstLine="480" w:firstLineChars="200"/>
              <w:rPr>
                <w:color w:val="auto"/>
              </w:rPr>
            </w:pPr>
            <w:r>
              <w:rPr>
                <w:color w:val="auto"/>
              </w:rPr>
              <w:t>项目运营过程中重视噪声的污染控制，从噪声源和噪声传播途径着手，并综合考虑平面布置和绿化的降噪效果，控制噪声对厂界外声环境的影响。本项目噪声经相应的降噪措施处理后通过建筑物门窗及墙壁的屏蔽、阻挡作用后，将会大幅度地衰减，项目拟采取的主要噪声防治措施如下：</w:t>
            </w:r>
          </w:p>
          <w:p w14:paraId="5821B234">
            <w:pPr>
              <w:widowControl/>
              <w:ind w:firstLine="480" w:firstLineChars="200"/>
              <w:rPr>
                <w:color w:val="auto"/>
              </w:rPr>
            </w:pPr>
            <w:r>
              <w:rPr>
                <w:color w:val="auto"/>
              </w:rPr>
              <w:t>（1）项目各类设备均采用低噪声型设备。</w:t>
            </w:r>
          </w:p>
          <w:p w14:paraId="1FBE5733">
            <w:pPr>
              <w:widowControl/>
              <w:ind w:firstLine="480" w:firstLineChars="200"/>
              <w:rPr>
                <w:color w:val="auto"/>
              </w:rPr>
            </w:pPr>
            <w:r>
              <w:rPr>
                <w:color w:val="auto"/>
              </w:rPr>
              <w:t>（2）建设单位根据噪声产生的性质可分为机械运动噪声及空气动力性噪声根据其产生的性质和机理不同分别采用了隔声、减振或加消声器等方式进行了降噪处理。通过安装减振垫或者隔声门窗来达到降低噪声的目的，措施如：①风机等振动设备配置减振座。②合理</w:t>
            </w:r>
            <w:r>
              <w:rPr>
                <w:rFonts w:hint="eastAsia"/>
                <w:color w:val="auto"/>
              </w:rPr>
              <w:t>地</w:t>
            </w:r>
            <w:r>
              <w:rPr>
                <w:color w:val="auto"/>
              </w:rPr>
              <w:t>固定风管减少管路的振动。③在噪声源建筑物如空压机房安装隔声门、隔声窗、吸声吊顶，降低建筑物内部声能密度，减少对外部环境的噪声影响。④减弱振动噪声</w:t>
            </w:r>
            <w:r>
              <w:rPr>
                <w:rFonts w:hint="eastAsia"/>
                <w:color w:val="auto"/>
              </w:rPr>
              <w:t>，</w:t>
            </w:r>
            <w:r>
              <w:rPr>
                <w:color w:val="auto"/>
              </w:rPr>
              <w:t>在不影响操作的情况下</w:t>
            </w:r>
            <w:r>
              <w:rPr>
                <w:rFonts w:hint="eastAsia"/>
                <w:color w:val="auto"/>
              </w:rPr>
              <w:t>，</w:t>
            </w:r>
            <w:r>
              <w:rPr>
                <w:color w:val="auto"/>
              </w:rPr>
              <w:t>建议对其配套安装隔声罩</w:t>
            </w:r>
            <w:r>
              <w:rPr>
                <w:rFonts w:hint="eastAsia"/>
                <w:color w:val="auto"/>
              </w:rPr>
              <w:t>。</w:t>
            </w:r>
          </w:p>
          <w:p w14:paraId="6423FEFD">
            <w:pPr>
              <w:widowControl/>
              <w:ind w:firstLine="480" w:firstLineChars="200"/>
              <w:rPr>
                <w:color w:val="auto"/>
              </w:rPr>
            </w:pPr>
            <w:r>
              <w:rPr>
                <w:rFonts w:hint="eastAsia"/>
                <w:color w:val="auto"/>
              </w:rPr>
              <w:t>（3）</w:t>
            </w:r>
            <w:r>
              <w:rPr>
                <w:color w:val="auto"/>
              </w:rPr>
              <w:t>项目通过合理布局，厂区周边设置围墙，并加强绿化，厂界四周布置绿化带，减少噪声对周边环境的影响。</w:t>
            </w:r>
          </w:p>
          <w:p w14:paraId="53FA2A58">
            <w:pPr>
              <w:widowControl/>
              <w:ind w:firstLine="480" w:firstLineChars="200"/>
              <w:rPr>
                <w:color w:val="auto"/>
              </w:rPr>
            </w:pPr>
            <w:r>
              <w:rPr>
                <w:rFonts w:hint="eastAsia"/>
                <w:color w:val="auto"/>
              </w:rPr>
              <w:t>（4）</w:t>
            </w:r>
            <w:r>
              <w:rPr>
                <w:color w:val="auto"/>
              </w:rPr>
              <w:t>加强设备管理，确保降噪设施的有效运行，定期生产设备的保养、检修与润滑，保证设备处于良好的运转状态。</w:t>
            </w:r>
          </w:p>
          <w:p w14:paraId="3F37442A">
            <w:pPr>
              <w:widowControl/>
              <w:ind w:firstLine="480" w:firstLineChars="200"/>
              <w:rPr>
                <w:color w:val="auto"/>
              </w:rPr>
            </w:pPr>
            <w:r>
              <w:rPr>
                <w:color w:val="auto"/>
              </w:rPr>
              <w:t>综上，项目经采取以上噪声防治措施，该措施技术成熟可靠，投资费用较少在经济、技术上是可行的。</w:t>
            </w:r>
          </w:p>
          <w:p w14:paraId="463EE310">
            <w:pPr>
              <w:pStyle w:val="4"/>
              <w:ind w:firstLine="0" w:firstLineChars="0"/>
              <w:rPr>
                <w:color w:val="auto"/>
              </w:rPr>
            </w:pPr>
            <w:r>
              <w:rPr>
                <w:rFonts w:hint="eastAsia"/>
                <w:color w:val="auto"/>
              </w:rPr>
              <w:t>4.3.4噪声自行监测计划</w:t>
            </w:r>
          </w:p>
          <w:p w14:paraId="7599B48D">
            <w:pPr>
              <w:ind w:firstLine="480" w:firstLineChars="200"/>
              <w:rPr>
                <w:rFonts w:cs="宋体"/>
                <w:color w:val="auto"/>
              </w:rPr>
            </w:pPr>
            <w:r>
              <w:rPr>
                <w:rFonts w:hint="eastAsia" w:cs="宋体"/>
                <w:color w:val="auto"/>
              </w:rPr>
              <w:t>根据《固定污染源排污许可分类管理名录（2019年版）》（生态环境部第11号）可知，本项目属于</w:t>
            </w:r>
            <w:r>
              <w:rPr>
                <w:rFonts w:hint="eastAsia" w:cs="宋体"/>
                <w:color w:val="auto"/>
                <w:lang w:eastAsia="zh-CN"/>
              </w:rPr>
              <w:t>“</w:t>
            </w:r>
            <w:r>
              <w:rPr>
                <w:rFonts w:hint="eastAsia" w:cs="宋体"/>
                <w:color w:val="auto"/>
              </w:rPr>
              <w:t>二十四、橡胶和塑料制品业29其他</w:t>
            </w:r>
            <w:r>
              <w:rPr>
                <w:rFonts w:hint="eastAsia" w:cs="宋体"/>
                <w:color w:val="auto"/>
                <w:lang w:eastAsia="zh-CN"/>
              </w:rPr>
              <w:t>”</w:t>
            </w:r>
            <w:r>
              <w:rPr>
                <w:rFonts w:hint="eastAsia" w:cs="宋体"/>
                <w:color w:val="auto"/>
              </w:rPr>
              <w:t>，</w:t>
            </w:r>
            <w:r>
              <w:rPr>
                <w:rFonts w:hint="eastAsia" w:cs="宋体"/>
                <w:color w:val="auto"/>
                <w:lang w:eastAsia="zh-CN"/>
              </w:rPr>
              <w:t>“</w:t>
            </w:r>
            <w:r>
              <w:rPr>
                <w:rFonts w:hint="eastAsia" w:cs="宋体"/>
                <w:color w:val="auto"/>
              </w:rPr>
              <w:t>三十、金属制品业其他</w:t>
            </w:r>
            <w:r>
              <w:rPr>
                <w:rFonts w:hint="eastAsia" w:cs="宋体"/>
                <w:color w:val="auto"/>
                <w:lang w:eastAsia="zh-CN"/>
              </w:rPr>
              <w:t>”</w:t>
            </w:r>
            <w:r>
              <w:rPr>
                <w:rFonts w:hint="eastAsia" w:cs="宋体"/>
                <w:color w:val="auto"/>
              </w:rPr>
              <w:t>本项目应当进行登记管理，登记管理无自行监测要求。</w:t>
            </w:r>
          </w:p>
          <w:p w14:paraId="24B079F7">
            <w:pPr>
              <w:keepNext/>
              <w:keepLines/>
              <w:jc w:val="left"/>
              <w:outlineLvl w:val="1"/>
              <w:rPr>
                <w:b/>
                <w:color w:val="auto"/>
                <w:sz w:val="28"/>
              </w:rPr>
            </w:pPr>
            <w:r>
              <w:rPr>
                <w:rFonts w:hint="eastAsia"/>
                <w:b/>
                <w:color w:val="auto"/>
                <w:sz w:val="28"/>
              </w:rPr>
              <w:t>4.4运营期固体废物影响分析和污染防治措施</w:t>
            </w:r>
          </w:p>
          <w:p w14:paraId="2143AC35">
            <w:pPr>
              <w:pStyle w:val="4"/>
              <w:ind w:firstLine="0" w:firstLineChars="0"/>
              <w:rPr>
                <w:color w:val="auto"/>
              </w:rPr>
            </w:pPr>
            <w:r>
              <w:rPr>
                <w:rFonts w:hint="eastAsia"/>
                <w:color w:val="auto"/>
              </w:rPr>
              <w:t>4.4.1固体废物产生情况</w:t>
            </w:r>
          </w:p>
          <w:p w14:paraId="3C323EED">
            <w:pPr>
              <w:ind w:firstLine="480" w:firstLineChars="200"/>
              <w:rPr>
                <w:rFonts w:cs="宋体"/>
                <w:color w:val="auto"/>
              </w:rPr>
            </w:pPr>
            <w:r>
              <w:rPr>
                <w:rFonts w:hint="eastAsia" w:cs="宋体"/>
                <w:color w:val="auto"/>
              </w:rPr>
              <w:t>本项目建成之后运营期产生的固体废物包括生活垃圾、一般工业固废（废包装材料、废边角料、除尘器收集粉尘）和危险废物（废原料桶、水帘柜废液、漆渣、废过滤棉、废活性炭、废机油）。</w:t>
            </w:r>
          </w:p>
          <w:p w14:paraId="6EA4E37C">
            <w:pPr>
              <w:pStyle w:val="4"/>
              <w:ind w:firstLine="0" w:firstLineChars="0"/>
              <w:rPr>
                <w:color w:val="auto"/>
              </w:rPr>
            </w:pPr>
            <w:r>
              <w:rPr>
                <w:rFonts w:hint="eastAsia"/>
                <w:color w:val="auto"/>
              </w:rPr>
              <w:t>4.4.2固体废物源强核算</w:t>
            </w:r>
          </w:p>
          <w:p w14:paraId="46B800A3">
            <w:pPr>
              <w:ind w:firstLine="482" w:firstLineChars="200"/>
              <w:rPr>
                <w:rFonts w:cs="宋体"/>
                <w:b/>
                <w:bCs/>
                <w:color w:val="auto"/>
              </w:rPr>
            </w:pPr>
            <w:r>
              <w:rPr>
                <w:rFonts w:hint="eastAsia" w:cs="宋体"/>
                <w:b/>
                <w:bCs/>
                <w:color w:val="auto"/>
              </w:rPr>
              <w:t>（1）生活垃圾</w:t>
            </w:r>
          </w:p>
          <w:p w14:paraId="1BFD38F8">
            <w:pPr>
              <w:ind w:firstLine="480" w:firstLineChars="200"/>
              <w:rPr>
                <w:color w:val="auto"/>
              </w:rPr>
            </w:pPr>
            <w:r>
              <w:rPr>
                <w:rFonts w:cs="宋体"/>
                <w:color w:val="auto"/>
              </w:rPr>
              <w:t>本项目员工共</w:t>
            </w:r>
            <w:r>
              <w:rPr>
                <w:rFonts w:hint="eastAsia" w:cs="宋体"/>
                <w:color w:val="auto"/>
              </w:rPr>
              <w:t>85</w:t>
            </w:r>
            <w:r>
              <w:rPr>
                <w:rFonts w:cs="宋体"/>
                <w:color w:val="auto"/>
              </w:rPr>
              <w:t>人，均不住厂，不住厂员工生活垃圾产生系数按0.5kg/人</w:t>
            </w:r>
            <w:r>
              <w:rPr>
                <w:rFonts w:hint="eastAsia" w:cs="宋体"/>
                <w:color w:val="auto"/>
              </w:rPr>
              <w:t>·</w:t>
            </w:r>
            <w:r>
              <w:rPr>
                <w:rFonts w:cs="宋体"/>
                <w:color w:val="auto"/>
              </w:rPr>
              <w:t>天计，年工作天数为</w:t>
            </w:r>
            <w:r>
              <w:rPr>
                <w:rFonts w:hint="eastAsia" w:cs="宋体"/>
                <w:color w:val="auto"/>
              </w:rPr>
              <w:t>280</w:t>
            </w:r>
            <w:r>
              <w:rPr>
                <w:rFonts w:cs="宋体"/>
                <w:color w:val="auto"/>
              </w:rPr>
              <w:t>天，则员工生活垃圾产生量为</w:t>
            </w:r>
            <w:r>
              <w:rPr>
                <w:rFonts w:hint="eastAsia" w:cs="宋体"/>
                <w:color w:val="auto"/>
              </w:rPr>
              <w:t>11.9</w:t>
            </w:r>
            <w:r>
              <w:rPr>
                <w:rFonts w:cs="宋体"/>
                <w:color w:val="auto"/>
              </w:rPr>
              <w:t>t/a。生活垃圾统一收集后委托当地环卫部门处置。</w:t>
            </w:r>
          </w:p>
          <w:p w14:paraId="5C7F4E12">
            <w:pPr>
              <w:ind w:firstLine="482" w:firstLineChars="200"/>
              <w:rPr>
                <w:rFonts w:cs="宋体"/>
                <w:b/>
                <w:bCs/>
                <w:color w:val="auto"/>
              </w:rPr>
            </w:pPr>
            <w:r>
              <w:rPr>
                <w:rFonts w:hint="eastAsia" w:cs="宋体"/>
                <w:b/>
                <w:bCs/>
                <w:color w:val="auto"/>
              </w:rPr>
              <w:t>（2）废包装材料</w:t>
            </w:r>
          </w:p>
          <w:p w14:paraId="1AE2E96D">
            <w:pPr>
              <w:ind w:firstLine="480" w:firstLineChars="200"/>
              <w:rPr>
                <w:rFonts w:cs="宋体"/>
                <w:color w:val="auto"/>
              </w:rPr>
            </w:pPr>
            <w:r>
              <w:rPr>
                <w:rFonts w:cs="宋体"/>
                <w:color w:val="auto"/>
              </w:rPr>
              <w:t>来自产品和原辅材料包装产生的废包装材料，属于一般固废，根据建设单位提供的资料，本项目产生废包装材料0.1t/a</w:t>
            </w:r>
            <w:r>
              <w:rPr>
                <w:rFonts w:hint="eastAsia" w:cs="宋体"/>
                <w:color w:val="auto"/>
                <w:lang w:eastAsia="zh-CN"/>
              </w:rPr>
              <w:t>。</w:t>
            </w:r>
            <w:r>
              <w:rPr>
                <w:rFonts w:hint="eastAsia" w:cs="宋体"/>
                <w:color w:val="auto"/>
              </w:rPr>
              <w:t>废包装材料属于</w:t>
            </w:r>
            <w:r>
              <w:rPr>
                <w:rFonts w:hint="eastAsia" w:cs="宋体"/>
                <w:color w:val="auto"/>
                <w:lang w:eastAsia="zh-CN"/>
              </w:rPr>
              <w:t>《</w:t>
            </w:r>
            <w:r>
              <w:rPr>
                <w:rFonts w:hint="eastAsia" w:cs="宋体"/>
                <w:color w:val="auto"/>
              </w:rPr>
              <w:t>固体废物分类与代码名录》</w:t>
            </w:r>
            <w:r>
              <w:rPr>
                <w:rFonts w:hint="eastAsia" w:cs="宋体"/>
                <w:color w:val="auto"/>
                <w:lang w:eastAsia="zh-CN"/>
              </w:rPr>
              <w:t>（</w:t>
            </w:r>
            <w:r>
              <w:rPr>
                <w:rFonts w:hint="eastAsia" w:cs="宋体"/>
                <w:color w:val="auto"/>
              </w:rPr>
              <w:t>生态环境部公告2024年第4号</w:t>
            </w:r>
            <w:r>
              <w:rPr>
                <w:rFonts w:hint="eastAsia" w:cs="宋体"/>
                <w:color w:val="auto"/>
                <w:lang w:eastAsia="zh-CN"/>
              </w:rPr>
              <w:t>）</w:t>
            </w:r>
            <w:r>
              <w:rPr>
                <w:rFonts w:hint="eastAsia" w:cs="宋体"/>
                <w:color w:val="auto"/>
              </w:rPr>
              <w:t>中的</w:t>
            </w:r>
            <w:r>
              <w:rPr>
                <w:rFonts w:hint="eastAsia" w:cs="宋体"/>
                <w:color w:val="auto"/>
                <w:lang w:eastAsia="zh-CN"/>
              </w:rPr>
              <w:t>“</w:t>
            </w:r>
            <w:r>
              <w:rPr>
                <w:rFonts w:hint="eastAsia" w:cs="宋体"/>
                <w:color w:val="auto"/>
              </w:rPr>
              <w:t>SW17可再生类废物</w:t>
            </w:r>
            <w:r>
              <w:rPr>
                <w:rFonts w:hint="eastAsia" w:cs="宋体"/>
                <w:color w:val="auto"/>
                <w:lang w:eastAsia="zh-CN"/>
              </w:rPr>
              <w:t>”</w:t>
            </w:r>
            <w:r>
              <w:rPr>
                <w:rFonts w:hint="eastAsia" w:cs="宋体"/>
                <w:color w:val="auto"/>
              </w:rPr>
              <w:t>中废纸，代码为900-005-S17，</w:t>
            </w:r>
            <w:r>
              <w:rPr>
                <w:rFonts w:cs="宋体"/>
                <w:color w:val="auto"/>
              </w:rPr>
              <w:t>暂存后交由资源回收商定期清运回收再利用。</w:t>
            </w:r>
          </w:p>
          <w:p w14:paraId="0E21A8C2">
            <w:pPr>
              <w:ind w:firstLine="482" w:firstLineChars="200"/>
              <w:rPr>
                <w:rFonts w:cs="宋体"/>
                <w:b/>
                <w:bCs/>
                <w:color w:val="auto"/>
              </w:rPr>
            </w:pPr>
            <w:r>
              <w:rPr>
                <w:rFonts w:hint="eastAsia" w:cs="宋体"/>
                <w:b/>
                <w:bCs/>
                <w:color w:val="auto"/>
              </w:rPr>
              <w:t>（3）废边角料</w:t>
            </w:r>
          </w:p>
          <w:p w14:paraId="3C53C9C2">
            <w:pPr>
              <w:ind w:firstLine="480" w:firstLineChars="200"/>
              <w:rPr>
                <w:rFonts w:cs="宋体"/>
                <w:color w:val="auto"/>
              </w:rPr>
            </w:pPr>
            <w:r>
              <w:rPr>
                <w:rFonts w:hint="eastAsia" w:cs="宋体"/>
                <w:color w:val="auto"/>
              </w:rPr>
              <w:t>金属板材、</w:t>
            </w:r>
            <w:r>
              <w:rPr>
                <w:rFonts w:cs="宋体"/>
                <w:color w:val="auto"/>
              </w:rPr>
              <w:t>亚克力板</w:t>
            </w:r>
            <w:r>
              <w:rPr>
                <w:rFonts w:hint="eastAsia" w:cs="宋体"/>
                <w:color w:val="auto"/>
              </w:rPr>
              <w:t>和</w:t>
            </w:r>
            <w:r>
              <w:rPr>
                <w:rFonts w:cs="宋体"/>
                <w:color w:val="auto"/>
              </w:rPr>
              <w:t>PVC</w:t>
            </w:r>
            <w:r>
              <w:rPr>
                <w:rFonts w:hint="eastAsia" w:cs="宋体"/>
                <w:color w:val="auto"/>
              </w:rPr>
              <w:t>板</w:t>
            </w:r>
            <w:r>
              <w:rPr>
                <w:rFonts w:cs="宋体"/>
                <w:color w:val="auto"/>
              </w:rPr>
              <w:t>通过切割、雕刻工序会产生一定量的</w:t>
            </w:r>
            <w:r>
              <w:rPr>
                <w:rFonts w:hint="eastAsia" w:cs="宋体"/>
                <w:color w:val="auto"/>
              </w:rPr>
              <w:t>废</w:t>
            </w:r>
            <w:r>
              <w:rPr>
                <w:rFonts w:cs="宋体"/>
                <w:color w:val="auto"/>
              </w:rPr>
              <w:t>边角料，根据建设单位提供的资料，</w:t>
            </w:r>
            <w:r>
              <w:rPr>
                <w:rFonts w:hint="eastAsia" w:cs="宋体"/>
                <w:color w:val="auto"/>
              </w:rPr>
              <w:t>金属板材废</w:t>
            </w:r>
            <w:r>
              <w:rPr>
                <w:rFonts w:cs="宋体"/>
                <w:color w:val="auto"/>
              </w:rPr>
              <w:t>边角料产生量约</w:t>
            </w:r>
            <w:r>
              <w:rPr>
                <w:rFonts w:hint="eastAsia" w:cs="宋体"/>
                <w:color w:val="auto"/>
              </w:rPr>
              <w:t>1</w:t>
            </w:r>
            <w:r>
              <w:rPr>
                <w:rFonts w:cs="宋体"/>
                <w:color w:val="auto"/>
              </w:rPr>
              <w:t>t</w:t>
            </w:r>
            <w:r>
              <w:rPr>
                <w:rFonts w:hint="eastAsia" w:cs="宋体"/>
                <w:color w:val="auto"/>
              </w:rPr>
              <w:t>/</w:t>
            </w:r>
            <w:r>
              <w:rPr>
                <w:rFonts w:cs="宋体"/>
                <w:color w:val="auto"/>
              </w:rPr>
              <w:t>a</w:t>
            </w:r>
            <w:r>
              <w:rPr>
                <w:rFonts w:hint="eastAsia" w:cs="宋体"/>
                <w:color w:val="auto"/>
              </w:rPr>
              <w:t>；</w:t>
            </w:r>
            <w:r>
              <w:rPr>
                <w:rFonts w:cs="宋体"/>
                <w:color w:val="auto"/>
              </w:rPr>
              <w:t>亚克力、PVC板</w:t>
            </w:r>
            <w:r>
              <w:rPr>
                <w:rFonts w:hint="eastAsia" w:cs="宋体"/>
                <w:color w:val="auto"/>
              </w:rPr>
              <w:t>废</w:t>
            </w:r>
            <w:r>
              <w:rPr>
                <w:rFonts w:cs="宋体"/>
                <w:color w:val="auto"/>
              </w:rPr>
              <w:t>边角料产生量约</w:t>
            </w:r>
            <w:r>
              <w:rPr>
                <w:rFonts w:hint="eastAsia" w:cs="宋体"/>
                <w:color w:val="auto"/>
              </w:rPr>
              <w:t>0.2</w:t>
            </w:r>
            <w:r>
              <w:rPr>
                <w:rFonts w:cs="宋体"/>
                <w:color w:val="auto"/>
              </w:rPr>
              <w:t>t</w:t>
            </w:r>
            <w:r>
              <w:rPr>
                <w:rFonts w:hint="eastAsia" w:cs="宋体"/>
                <w:color w:val="auto"/>
              </w:rPr>
              <w:t>/</w:t>
            </w:r>
            <w:r>
              <w:rPr>
                <w:rFonts w:cs="宋体"/>
                <w:color w:val="auto"/>
              </w:rPr>
              <w:t>a</w:t>
            </w:r>
            <w:r>
              <w:rPr>
                <w:rFonts w:hint="eastAsia" w:cs="宋体"/>
                <w:color w:val="auto"/>
              </w:rPr>
              <w:t>；</w:t>
            </w:r>
            <w:r>
              <w:rPr>
                <w:rFonts w:cs="宋体"/>
                <w:color w:val="auto"/>
              </w:rPr>
              <w:t>则</w:t>
            </w:r>
            <w:r>
              <w:rPr>
                <w:rFonts w:hint="eastAsia" w:cs="宋体"/>
                <w:color w:val="auto"/>
              </w:rPr>
              <w:t>废</w:t>
            </w:r>
            <w:r>
              <w:rPr>
                <w:rFonts w:cs="宋体"/>
                <w:color w:val="auto"/>
              </w:rPr>
              <w:t>边角料总产生量为</w:t>
            </w:r>
            <w:r>
              <w:rPr>
                <w:rFonts w:hint="eastAsia" w:cs="宋体"/>
                <w:color w:val="auto"/>
              </w:rPr>
              <w:t>1.2</w:t>
            </w:r>
            <w:r>
              <w:rPr>
                <w:rFonts w:cs="宋体"/>
                <w:color w:val="auto"/>
              </w:rPr>
              <w:t>t</w:t>
            </w:r>
            <w:r>
              <w:rPr>
                <w:rFonts w:hint="eastAsia" w:cs="宋体"/>
                <w:color w:val="auto"/>
              </w:rPr>
              <w:t>/</w:t>
            </w:r>
            <w:r>
              <w:rPr>
                <w:rFonts w:cs="宋体"/>
                <w:color w:val="auto"/>
              </w:rPr>
              <w:t>a。</w:t>
            </w:r>
            <w:r>
              <w:rPr>
                <w:rFonts w:hint="eastAsia" w:cs="宋体"/>
                <w:color w:val="auto"/>
                <w:lang w:val="en-US" w:eastAsia="zh-CN"/>
              </w:rPr>
              <w:t>金属板材废</w:t>
            </w:r>
            <w:r>
              <w:rPr>
                <w:rFonts w:hint="eastAsia" w:cs="宋体"/>
                <w:color w:val="auto"/>
              </w:rPr>
              <w:t>边角料属于</w:t>
            </w:r>
            <w:r>
              <w:rPr>
                <w:rFonts w:hint="eastAsia" w:cs="宋体"/>
                <w:color w:val="auto"/>
                <w:lang w:eastAsia="zh-CN"/>
              </w:rPr>
              <w:t>《</w:t>
            </w:r>
            <w:r>
              <w:rPr>
                <w:rFonts w:hint="eastAsia" w:cs="宋体"/>
                <w:color w:val="auto"/>
              </w:rPr>
              <w:t>固体废物分类与代码名录》</w:t>
            </w:r>
            <w:r>
              <w:rPr>
                <w:rFonts w:hint="eastAsia" w:cs="宋体"/>
                <w:color w:val="auto"/>
                <w:lang w:eastAsia="zh-CN"/>
              </w:rPr>
              <w:t>（</w:t>
            </w:r>
            <w:r>
              <w:rPr>
                <w:rFonts w:hint="eastAsia" w:cs="宋体"/>
                <w:color w:val="auto"/>
              </w:rPr>
              <w:t>生态环境部公告2024年第4号</w:t>
            </w:r>
            <w:r>
              <w:rPr>
                <w:rFonts w:hint="eastAsia" w:cs="宋体"/>
                <w:color w:val="auto"/>
                <w:lang w:eastAsia="zh-CN"/>
              </w:rPr>
              <w:t>）</w:t>
            </w:r>
            <w:r>
              <w:rPr>
                <w:rFonts w:hint="eastAsia" w:cs="宋体"/>
                <w:color w:val="auto"/>
              </w:rPr>
              <w:t>中的</w:t>
            </w:r>
            <w:r>
              <w:rPr>
                <w:rFonts w:hint="eastAsia" w:cs="宋体"/>
                <w:color w:val="auto"/>
                <w:lang w:eastAsia="zh-CN"/>
              </w:rPr>
              <w:t>“</w:t>
            </w:r>
            <w:r>
              <w:rPr>
                <w:rFonts w:hint="eastAsia" w:cs="宋体"/>
                <w:color w:val="auto"/>
              </w:rPr>
              <w:t>SW17可再生类废物</w:t>
            </w:r>
            <w:r>
              <w:rPr>
                <w:rFonts w:hint="eastAsia" w:cs="宋体"/>
                <w:color w:val="auto"/>
                <w:lang w:eastAsia="zh-CN"/>
              </w:rPr>
              <w:t>”</w:t>
            </w:r>
            <w:r>
              <w:rPr>
                <w:rFonts w:hint="eastAsia" w:cs="宋体"/>
                <w:color w:val="auto"/>
              </w:rPr>
              <w:t>中</w:t>
            </w:r>
            <w:r>
              <w:rPr>
                <w:rFonts w:hint="eastAsia" w:cs="宋体"/>
                <w:color w:val="auto"/>
                <w:lang w:val="en-US" w:eastAsia="zh-CN"/>
              </w:rPr>
              <w:t>废钢铁</w:t>
            </w:r>
            <w:r>
              <w:rPr>
                <w:rFonts w:hint="eastAsia" w:cs="宋体"/>
                <w:color w:val="auto"/>
              </w:rPr>
              <w:t>，代码为900-00</w:t>
            </w:r>
            <w:r>
              <w:rPr>
                <w:rFonts w:hint="eastAsia" w:cs="宋体"/>
                <w:color w:val="auto"/>
                <w:lang w:val="en-US" w:eastAsia="zh-CN"/>
              </w:rPr>
              <w:t>1</w:t>
            </w:r>
            <w:r>
              <w:rPr>
                <w:rFonts w:hint="eastAsia" w:cs="宋体"/>
                <w:color w:val="auto"/>
              </w:rPr>
              <w:t>-S17</w:t>
            </w:r>
            <w:r>
              <w:rPr>
                <w:rFonts w:hint="eastAsia" w:cs="宋体"/>
                <w:color w:val="auto"/>
                <w:lang w:eastAsia="zh-CN"/>
              </w:rPr>
              <w:t>；</w:t>
            </w:r>
            <w:r>
              <w:rPr>
                <w:rFonts w:cs="宋体"/>
                <w:color w:val="auto"/>
              </w:rPr>
              <w:t>亚克力板</w:t>
            </w:r>
            <w:r>
              <w:rPr>
                <w:rFonts w:hint="eastAsia" w:cs="宋体"/>
                <w:color w:val="auto"/>
              </w:rPr>
              <w:t>和</w:t>
            </w:r>
            <w:r>
              <w:rPr>
                <w:rFonts w:cs="宋体"/>
                <w:color w:val="auto"/>
              </w:rPr>
              <w:t>PVC</w:t>
            </w:r>
            <w:r>
              <w:rPr>
                <w:rFonts w:hint="eastAsia" w:cs="宋体"/>
                <w:color w:val="auto"/>
              </w:rPr>
              <w:t>板</w:t>
            </w:r>
            <w:r>
              <w:rPr>
                <w:rFonts w:hint="eastAsia" w:cs="宋体"/>
                <w:color w:val="auto"/>
                <w:lang w:val="en-US" w:eastAsia="zh-CN"/>
              </w:rPr>
              <w:t>废边角料属于</w:t>
            </w:r>
            <w:r>
              <w:rPr>
                <w:rFonts w:hint="eastAsia" w:cs="宋体"/>
                <w:color w:val="auto"/>
                <w:lang w:eastAsia="zh-CN"/>
              </w:rPr>
              <w:t>《</w:t>
            </w:r>
            <w:r>
              <w:rPr>
                <w:rFonts w:hint="eastAsia" w:cs="宋体"/>
                <w:color w:val="auto"/>
              </w:rPr>
              <w:t>固体废物分类与代码名录》</w:t>
            </w:r>
            <w:r>
              <w:rPr>
                <w:rFonts w:hint="eastAsia" w:cs="宋体"/>
                <w:color w:val="auto"/>
                <w:lang w:eastAsia="zh-CN"/>
              </w:rPr>
              <w:t>（</w:t>
            </w:r>
            <w:r>
              <w:rPr>
                <w:rFonts w:hint="eastAsia" w:cs="宋体"/>
                <w:color w:val="auto"/>
              </w:rPr>
              <w:t>生态环境部公告2024年第4号</w:t>
            </w:r>
            <w:r>
              <w:rPr>
                <w:rFonts w:hint="eastAsia" w:cs="宋体"/>
                <w:color w:val="auto"/>
                <w:lang w:eastAsia="zh-CN"/>
              </w:rPr>
              <w:t>）</w:t>
            </w:r>
            <w:r>
              <w:rPr>
                <w:rFonts w:hint="eastAsia" w:cs="宋体"/>
                <w:color w:val="auto"/>
              </w:rPr>
              <w:t>中的</w:t>
            </w:r>
            <w:r>
              <w:rPr>
                <w:rFonts w:hint="eastAsia" w:cs="宋体"/>
                <w:color w:val="auto"/>
                <w:lang w:eastAsia="zh-CN"/>
              </w:rPr>
              <w:t>“</w:t>
            </w:r>
            <w:r>
              <w:rPr>
                <w:rFonts w:hint="eastAsia" w:cs="宋体"/>
                <w:color w:val="auto"/>
              </w:rPr>
              <w:t>SW17可再生类废物</w:t>
            </w:r>
            <w:r>
              <w:rPr>
                <w:rFonts w:hint="eastAsia" w:cs="宋体"/>
                <w:color w:val="auto"/>
                <w:lang w:eastAsia="zh-CN"/>
              </w:rPr>
              <w:t>”</w:t>
            </w:r>
            <w:r>
              <w:rPr>
                <w:rFonts w:hint="eastAsia" w:cs="宋体"/>
                <w:color w:val="auto"/>
              </w:rPr>
              <w:t>中</w:t>
            </w:r>
            <w:r>
              <w:rPr>
                <w:rFonts w:hint="eastAsia" w:cs="宋体"/>
                <w:color w:val="auto"/>
                <w:lang w:val="en-US" w:eastAsia="zh-CN"/>
              </w:rPr>
              <w:t>废塑料</w:t>
            </w:r>
            <w:r>
              <w:rPr>
                <w:rFonts w:hint="eastAsia" w:cs="宋体"/>
                <w:color w:val="auto"/>
              </w:rPr>
              <w:t>，代码为900-00</w:t>
            </w:r>
            <w:r>
              <w:rPr>
                <w:rFonts w:hint="eastAsia" w:cs="宋体"/>
                <w:color w:val="auto"/>
                <w:lang w:val="en-US" w:eastAsia="zh-CN"/>
              </w:rPr>
              <w:t>3</w:t>
            </w:r>
            <w:r>
              <w:rPr>
                <w:rFonts w:hint="eastAsia" w:cs="宋体"/>
                <w:color w:val="auto"/>
              </w:rPr>
              <w:t>-S17，</w:t>
            </w:r>
            <w:r>
              <w:rPr>
                <w:rFonts w:cs="宋体"/>
                <w:color w:val="auto"/>
              </w:rPr>
              <w:t>定期收集后外售给资源回收利用单位。</w:t>
            </w:r>
          </w:p>
          <w:p w14:paraId="756FE28D">
            <w:pPr>
              <w:ind w:firstLine="482" w:firstLineChars="200"/>
              <w:rPr>
                <w:rFonts w:cs="宋体"/>
                <w:b/>
                <w:bCs/>
                <w:color w:val="auto"/>
              </w:rPr>
            </w:pPr>
            <w:r>
              <w:rPr>
                <w:rFonts w:hint="eastAsia" w:cs="宋体"/>
                <w:b/>
                <w:bCs/>
                <w:color w:val="auto"/>
              </w:rPr>
              <w:t>（4）除尘器收集粉尘</w:t>
            </w:r>
          </w:p>
          <w:p w14:paraId="60533B93">
            <w:pPr>
              <w:ind w:firstLine="480" w:firstLineChars="200"/>
              <w:rPr>
                <w:rFonts w:cs="宋体"/>
                <w:color w:val="auto"/>
              </w:rPr>
            </w:pPr>
            <w:r>
              <w:rPr>
                <w:rFonts w:hint="eastAsia" w:cs="宋体"/>
                <w:color w:val="auto"/>
              </w:rPr>
              <w:t>本项目切割、雕刻、焊接工序产生的粉尘均收集处理，其成分主要为钢铁和塑料。根据工程分析数据，清理出来的粉尘量约</w:t>
            </w:r>
            <w:r>
              <w:rPr>
                <w:rFonts w:hint="eastAsia" w:cs="宋体"/>
                <w:color w:val="auto"/>
                <w:lang w:val="en-US" w:eastAsia="zh-CN"/>
              </w:rPr>
              <w:t>0.61427</w:t>
            </w:r>
            <w:r>
              <w:rPr>
                <w:rFonts w:hint="eastAsia" w:cs="宋体"/>
                <w:color w:val="auto"/>
              </w:rPr>
              <w:t>t/a，除尘器收集粉尘属于</w:t>
            </w:r>
            <w:r>
              <w:rPr>
                <w:rFonts w:hint="eastAsia" w:cs="宋体"/>
                <w:color w:val="auto"/>
                <w:lang w:eastAsia="zh-CN"/>
              </w:rPr>
              <w:t>《</w:t>
            </w:r>
            <w:r>
              <w:rPr>
                <w:rFonts w:hint="eastAsia" w:cs="宋体"/>
                <w:color w:val="auto"/>
              </w:rPr>
              <w:t>固体废物分类与代码名录》</w:t>
            </w:r>
            <w:r>
              <w:rPr>
                <w:rFonts w:hint="eastAsia" w:cs="宋体"/>
                <w:color w:val="auto"/>
                <w:lang w:eastAsia="zh-CN"/>
              </w:rPr>
              <w:t>（</w:t>
            </w:r>
            <w:r>
              <w:rPr>
                <w:rFonts w:hint="eastAsia" w:cs="宋体"/>
                <w:color w:val="auto"/>
              </w:rPr>
              <w:t>生态环境部公告2024年第4号</w:t>
            </w:r>
            <w:r>
              <w:rPr>
                <w:rFonts w:hint="eastAsia" w:cs="宋体"/>
                <w:color w:val="auto"/>
                <w:lang w:eastAsia="zh-CN"/>
              </w:rPr>
              <w:t>）</w:t>
            </w:r>
            <w:r>
              <w:rPr>
                <w:rFonts w:hint="eastAsia" w:cs="宋体"/>
                <w:color w:val="auto"/>
              </w:rPr>
              <w:t>中的</w:t>
            </w:r>
            <w:r>
              <w:rPr>
                <w:rFonts w:hint="eastAsia" w:cs="宋体"/>
                <w:color w:val="auto"/>
                <w:lang w:eastAsia="zh-CN"/>
              </w:rPr>
              <w:t>“</w:t>
            </w:r>
            <w:r>
              <w:rPr>
                <w:rFonts w:hint="eastAsia" w:cs="宋体"/>
                <w:color w:val="auto"/>
              </w:rPr>
              <w:t>SW59其他工业固体废物</w:t>
            </w:r>
            <w:r>
              <w:rPr>
                <w:rFonts w:hint="eastAsia" w:cs="宋体"/>
                <w:color w:val="auto"/>
                <w:lang w:eastAsia="zh-CN"/>
              </w:rPr>
              <w:t>”</w:t>
            </w:r>
            <w:r>
              <w:rPr>
                <w:rFonts w:hint="eastAsia" w:cs="宋体"/>
                <w:color w:val="auto"/>
              </w:rPr>
              <w:t>，代码为900-099-S59</w:t>
            </w:r>
            <w:r>
              <w:rPr>
                <w:rFonts w:hint="eastAsia" w:cs="宋体"/>
                <w:color w:val="auto"/>
                <w:lang w:eastAsia="zh-CN"/>
              </w:rPr>
              <w:t>，</w:t>
            </w:r>
            <w:r>
              <w:rPr>
                <w:rFonts w:hint="eastAsia" w:cs="宋体"/>
                <w:color w:val="auto"/>
              </w:rPr>
              <w:t>建设单位将收集粉尘定期收集后外售给资源回收利用单位。</w:t>
            </w:r>
          </w:p>
          <w:p w14:paraId="74215615">
            <w:pPr>
              <w:ind w:firstLine="482" w:firstLineChars="200"/>
              <w:rPr>
                <w:rFonts w:cs="宋体"/>
                <w:b/>
                <w:bCs/>
                <w:color w:val="auto"/>
              </w:rPr>
            </w:pPr>
            <w:r>
              <w:rPr>
                <w:rFonts w:hint="eastAsia" w:cs="宋体"/>
                <w:b/>
                <w:bCs/>
                <w:color w:val="auto"/>
              </w:rPr>
              <w:t>（5）废原料桶</w:t>
            </w:r>
          </w:p>
          <w:p w14:paraId="3DF0621C">
            <w:pPr>
              <w:ind w:firstLine="480" w:firstLineChars="200"/>
              <w:rPr>
                <w:rFonts w:cs="宋体"/>
                <w:color w:val="auto"/>
              </w:rPr>
            </w:pPr>
            <w:r>
              <w:rPr>
                <w:rFonts w:hint="eastAsia" w:cs="宋体"/>
                <w:color w:val="auto"/>
              </w:rPr>
              <w:t>项目所使用的漆料、机油等会产生原料空桶。根据建设单位提供资料，废原料桶产生量约为0.5t/a，属于《国家危险废物名录》（2025年版）中所列的危险废物，类别为HW49其他废物，废物代码900-041-49，妥善收集后临时储存于危险废物贮存间，定期委托有资质的单位处理处置。</w:t>
            </w:r>
          </w:p>
          <w:p w14:paraId="49F09706">
            <w:pPr>
              <w:ind w:firstLine="482" w:firstLineChars="200"/>
              <w:rPr>
                <w:rFonts w:cs="宋体"/>
                <w:b/>
                <w:bCs/>
                <w:color w:val="auto"/>
              </w:rPr>
            </w:pPr>
            <w:r>
              <w:rPr>
                <w:rFonts w:hint="eastAsia" w:cs="宋体"/>
                <w:b/>
                <w:bCs/>
                <w:color w:val="auto"/>
              </w:rPr>
              <w:t>（6）水帘柜废液</w:t>
            </w:r>
          </w:p>
          <w:p w14:paraId="2DDEACA1">
            <w:pPr>
              <w:ind w:firstLine="480" w:firstLineChars="200"/>
              <w:rPr>
                <w:rFonts w:cs="宋体"/>
                <w:color w:val="auto"/>
              </w:rPr>
            </w:pPr>
            <w:r>
              <w:rPr>
                <w:rFonts w:hint="eastAsia" w:cs="宋体"/>
                <w:color w:val="auto"/>
              </w:rPr>
              <w:t>根据废水源强分析可知，水帘柜废液产生量为4.8t/a。属于《国家危险废物名录》（2025年版）中的HW12染料、涂料废物，代码为900-252-12的危险废物，需定期交由有危险废物处理资质的单位外运处理。</w:t>
            </w:r>
          </w:p>
          <w:p w14:paraId="52916219">
            <w:pPr>
              <w:ind w:firstLine="482" w:firstLineChars="200"/>
              <w:rPr>
                <w:rFonts w:cs="宋体"/>
                <w:b/>
                <w:bCs/>
                <w:color w:val="auto"/>
              </w:rPr>
            </w:pPr>
            <w:r>
              <w:rPr>
                <w:rFonts w:hint="eastAsia" w:cs="宋体"/>
                <w:b/>
                <w:bCs/>
                <w:color w:val="auto"/>
              </w:rPr>
              <w:t>（7）漆渣</w:t>
            </w:r>
          </w:p>
          <w:p w14:paraId="2E6D291B">
            <w:pPr>
              <w:ind w:firstLine="480" w:firstLineChars="200"/>
              <w:rPr>
                <w:rFonts w:cs="宋体"/>
                <w:color w:val="auto"/>
              </w:rPr>
            </w:pPr>
            <w:r>
              <w:rPr>
                <w:rFonts w:hint="eastAsia" w:cs="宋体"/>
                <w:color w:val="auto"/>
              </w:rPr>
              <w:t>本项目漆渣主要为水帘柜循环池沉淀的漆渣，喷漆工序漆雾产生量为0.39420</w:t>
            </w:r>
            <w:r>
              <w:rPr>
                <w:rFonts w:cs="宋体"/>
                <w:color w:val="auto"/>
              </w:rPr>
              <w:t>t</w:t>
            </w:r>
            <w:r>
              <w:rPr>
                <w:rFonts w:hint="eastAsia" w:cs="宋体"/>
                <w:color w:val="auto"/>
              </w:rPr>
              <w:t>/</w:t>
            </w:r>
            <w:r>
              <w:rPr>
                <w:rFonts w:cs="宋体"/>
                <w:color w:val="auto"/>
              </w:rPr>
              <w:t>a</w:t>
            </w:r>
            <w:r>
              <w:rPr>
                <w:rFonts w:hint="eastAsia" w:cs="宋体"/>
                <w:color w:val="auto"/>
              </w:rPr>
              <w:t>，水帘柜处理效率为80%，则漆渣产生量为0.39420×0.</w:t>
            </w:r>
            <w:r>
              <w:rPr>
                <w:color w:val="auto"/>
              </w:rPr>
              <w:t>8</w:t>
            </w:r>
            <w:r>
              <w:rPr>
                <w:rFonts w:eastAsia="微软雅黑"/>
                <w:color w:val="auto"/>
              </w:rPr>
              <w:t>≈</w:t>
            </w:r>
            <w:r>
              <w:rPr>
                <w:rFonts w:hint="eastAsia" w:eastAsia="微软雅黑"/>
                <w:color w:val="auto"/>
                <w:lang w:val="en-US" w:eastAsia="zh-CN"/>
              </w:rPr>
              <w:t>0.31536</w:t>
            </w:r>
            <w:r>
              <w:rPr>
                <w:rFonts w:hint="eastAsia" w:cs="宋体"/>
                <w:color w:val="auto"/>
              </w:rPr>
              <w:t>t/a，属于《国家危险废物名录》（2025年版）中的HW12染料、涂料废物，代码为900-252-12的危险废物，需定期交由有危险废物处理资质的单位外运处理。</w:t>
            </w:r>
          </w:p>
          <w:p w14:paraId="2CCECA59">
            <w:pPr>
              <w:ind w:firstLine="482" w:firstLineChars="200"/>
              <w:rPr>
                <w:rFonts w:cs="宋体"/>
                <w:b/>
                <w:bCs/>
                <w:color w:val="auto"/>
              </w:rPr>
            </w:pPr>
            <w:r>
              <w:rPr>
                <w:rFonts w:hint="eastAsia" w:cs="宋体"/>
                <w:b/>
                <w:bCs/>
                <w:color w:val="auto"/>
              </w:rPr>
              <w:t>（8）废过滤棉</w:t>
            </w:r>
          </w:p>
          <w:p w14:paraId="1435947F">
            <w:pPr>
              <w:ind w:firstLine="480" w:firstLineChars="200"/>
              <w:rPr>
                <w:rFonts w:cs="宋体"/>
                <w:color w:val="auto"/>
              </w:rPr>
            </w:pPr>
            <w:r>
              <w:rPr>
                <w:rFonts w:cs="宋体"/>
                <w:color w:val="auto"/>
              </w:rPr>
              <w:t>喷漆</w:t>
            </w:r>
            <w:r>
              <w:rPr>
                <w:rFonts w:hint="eastAsia" w:cs="宋体"/>
                <w:color w:val="auto"/>
              </w:rPr>
              <w:t>工序</w:t>
            </w:r>
            <w:r>
              <w:rPr>
                <w:rFonts w:cs="宋体"/>
                <w:color w:val="auto"/>
              </w:rPr>
              <w:t>产生的</w:t>
            </w:r>
            <w:r>
              <w:rPr>
                <w:rFonts w:hint="eastAsia" w:cs="宋体"/>
                <w:color w:val="auto"/>
              </w:rPr>
              <w:t>漆雾</w:t>
            </w:r>
            <w:r>
              <w:rPr>
                <w:rFonts w:cs="宋体"/>
                <w:color w:val="auto"/>
              </w:rPr>
              <w:t>经</w:t>
            </w:r>
            <w:r>
              <w:rPr>
                <w:rFonts w:hint="eastAsia" w:cs="宋体"/>
                <w:color w:val="auto"/>
                <w:lang w:eastAsia="zh-CN"/>
              </w:rPr>
              <w:t>“</w:t>
            </w:r>
            <w:r>
              <w:rPr>
                <w:rFonts w:cs="宋体"/>
                <w:color w:val="auto"/>
              </w:rPr>
              <w:t>干式过滤</w:t>
            </w:r>
            <w:r>
              <w:rPr>
                <w:rFonts w:hint="eastAsia" w:cs="宋体"/>
                <w:color w:val="auto"/>
                <w:lang w:eastAsia="zh-CN"/>
              </w:rPr>
              <w:t>”</w:t>
            </w:r>
            <w:r>
              <w:rPr>
                <w:rFonts w:cs="宋体"/>
                <w:color w:val="auto"/>
              </w:rPr>
              <w:t>处理，其废气处理设施中的过滤棉需定期更换，会产生废过滤棉。废过滤棉产生量约为0.5t</w:t>
            </w:r>
            <w:r>
              <w:rPr>
                <w:rFonts w:hint="eastAsia" w:cs="宋体"/>
                <w:color w:val="auto"/>
              </w:rPr>
              <w:t>/</w:t>
            </w:r>
            <w:r>
              <w:rPr>
                <w:rFonts w:cs="宋体"/>
                <w:color w:val="auto"/>
              </w:rPr>
              <w:t>a。属于</w:t>
            </w:r>
            <w:r>
              <w:rPr>
                <w:rFonts w:hint="eastAsia" w:cs="宋体"/>
                <w:color w:val="auto"/>
              </w:rPr>
              <w:t>《国家危险废物名录》（2025年版）</w:t>
            </w:r>
            <w:r>
              <w:rPr>
                <w:rFonts w:cs="宋体"/>
                <w:color w:val="auto"/>
              </w:rPr>
              <w:t>中的HW49其他废物，废物代码为900-041-49的危险废物，需定期交由有危险废物处理资质的单位外运处理。</w:t>
            </w:r>
          </w:p>
          <w:p w14:paraId="668E8FA5">
            <w:pPr>
              <w:ind w:firstLine="482" w:firstLineChars="200"/>
              <w:rPr>
                <w:rFonts w:cs="宋体"/>
                <w:b/>
                <w:bCs/>
                <w:color w:val="auto"/>
              </w:rPr>
            </w:pPr>
            <w:r>
              <w:rPr>
                <w:rFonts w:hint="eastAsia" w:cs="宋体"/>
                <w:b/>
                <w:bCs/>
                <w:color w:val="auto"/>
              </w:rPr>
              <w:t>（9）废活性炭</w:t>
            </w:r>
          </w:p>
          <w:p w14:paraId="0629A009">
            <w:pPr>
              <w:widowControl/>
              <w:ind w:firstLine="480" w:firstLineChars="200"/>
              <w:jc w:val="left"/>
              <w:rPr>
                <w:color w:val="auto"/>
              </w:rPr>
            </w:pPr>
            <w:r>
              <w:rPr>
                <w:color w:val="auto"/>
                <w:kern w:val="0"/>
                <w:lang w:bidi="ar"/>
              </w:rPr>
              <w:t>①装填量</w:t>
            </w:r>
          </w:p>
          <w:p w14:paraId="05ED2CC0">
            <w:pPr>
              <w:widowControl/>
              <w:ind w:firstLine="480" w:firstLineChars="200"/>
              <w:rPr>
                <w:color w:val="auto"/>
              </w:rPr>
            </w:pPr>
            <w:r>
              <w:rPr>
                <w:color w:val="auto"/>
                <w:kern w:val="0"/>
                <w:lang w:bidi="ar"/>
              </w:rPr>
              <w:t>根据《厦门市生态环境局关于加强挥发性有机物污染防治工作的通知》（厦环大气〔2022〕15号）中</w:t>
            </w:r>
            <w:r>
              <w:rPr>
                <w:rFonts w:hint="eastAsia"/>
                <w:color w:val="auto"/>
                <w:kern w:val="0"/>
                <w:lang w:eastAsia="zh-CN" w:bidi="ar"/>
              </w:rPr>
              <w:t>“</w:t>
            </w:r>
            <w:r>
              <w:rPr>
                <w:color w:val="auto"/>
                <w:kern w:val="0"/>
                <w:lang w:bidi="ar"/>
              </w:rPr>
              <w:t>采用不具备脱附功能的吸附法治理废气的，每万立方米/小时设计风量的吸附剂装填量应不小于1立方米</w:t>
            </w:r>
            <w:r>
              <w:rPr>
                <w:rFonts w:hint="eastAsia"/>
                <w:color w:val="auto"/>
                <w:kern w:val="0"/>
                <w:lang w:eastAsia="zh-CN" w:bidi="ar"/>
              </w:rPr>
              <w:t>”</w:t>
            </w:r>
            <w:r>
              <w:rPr>
                <w:color w:val="auto"/>
                <w:kern w:val="0"/>
                <w:lang w:bidi="ar"/>
              </w:rPr>
              <w:t>，项目配套风机处理能力为10000m</w:t>
            </w:r>
            <w:r>
              <w:rPr>
                <w:color w:val="auto"/>
                <w:kern w:val="0"/>
                <w:vertAlign w:val="superscript"/>
                <w:lang w:bidi="ar"/>
              </w:rPr>
              <w:t>3</w:t>
            </w:r>
            <w:r>
              <w:rPr>
                <w:color w:val="auto"/>
                <w:kern w:val="0"/>
                <w:lang w:bidi="ar"/>
              </w:rPr>
              <w:t>/h，则每级活性炭装填量至少为1m</w:t>
            </w:r>
            <w:r>
              <w:rPr>
                <w:color w:val="auto"/>
                <w:kern w:val="0"/>
                <w:vertAlign w:val="superscript"/>
                <w:lang w:bidi="ar"/>
              </w:rPr>
              <w:t>3</w:t>
            </w:r>
            <w:r>
              <w:rPr>
                <w:color w:val="auto"/>
                <w:kern w:val="0"/>
                <w:lang w:bidi="ar"/>
              </w:rPr>
              <w:t>，活性炭密度按照0.5t/m</w:t>
            </w:r>
            <w:r>
              <w:rPr>
                <w:color w:val="auto"/>
                <w:kern w:val="0"/>
                <w:vertAlign w:val="superscript"/>
                <w:lang w:bidi="ar"/>
              </w:rPr>
              <w:t>3</w:t>
            </w:r>
            <w:r>
              <w:rPr>
                <w:color w:val="auto"/>
                <w:kern w:val="0"/>
                <w:lang w:bidi="ar"/>
              </w:rPr>
              <w:t>计，则项目两级活性炭吸附装置总装填量为1t/次。</w:t>
            </w:r>
          </w:p>
          <w:p w14:paraId="76DA6D0E">
            <w:pPr>
              <w:widowControl/>
              <w:ind w:firstLine="480" w:firstLineChars="200"/>
              <w:rPr>
                <w:color w:val="auto"/>
              </w:rPr>
            </w:pPr>
            <w:r>
              <w:rPr>
                <w:color w:val="auto"/>
                <w:kern w:val="0"/>
                <w:lang w:bidi="ar"/>
              </w:rPr>
              <w:t>②更</w:t>
            </w:r>
            <w:r>
              <w:rPr>
                <w:rFonts w:hint="eastAsia" w:ascii="宋体" w:hAnsi="宋体" w:cs="宋体"/>
                <w:color w:val="auto"/>
                <w:kern w:val="0"/>
                <w:lang w:bidi="ar"/>
              </w:rPr>
              <w:t>换周期</w:t>
            </w:r>
          </w:p>
          <w:p w14:paraId="3496B1D7">
            <w:pPr>
              <w:widowControl/>
              <w:ind w:firstLine="480" w:firstLineChars="200"/>
              <w:rPr>
                <w:color w:val="auto"/>
              </w:rPr>
            </w:pPr>
            <w:r>
              <w:rPr>
                <w:color w:val="auto"/>
                <w:kern w:val="0"/>
                <w:lang w:bidi="ar"/>
              </w:rPr>
              <w:t>参照《浙江省分散吸附-集中再生活性炭法挥发性有机物治理体系建设技术指南（试行）》（浙江省生态环境厅2021年11月）中的要求</w:t>
            </w:r>
            <w:r>
              <w:rPr>
                <w:rFonts w:hint="eastAsia"/>
                <w:color w:val="auto"/>
                <w:kern w:val="0"/>
                <w:lang w:eastAsia="zh-CN" w:bidi="ar"/>
              </w:rPr>
              <w:t>“</w:t>
            </w:r>
            <w:r>
              <w:rPr>
                <w:color w:val="auto"/>
                <w:kern w:val="0"/>
                <w:lang w:bidi="ar"/>
              </w:rPr>
              <w:t>活性炭更换周期一般不应超过累计运行500小时</w:t>
            </w:r>
            <w:r>
              <w:rPr>
                <w:rFonts w:hint="eastAsia"/>
                <w:color w:val="auto"/>
                <w:kern w:val="0"/>
                <w:lang w:eastAsia="zh-CN" w:bidi="ar"/>
              </w:rPr>
              <w:t>”</w:t>
            </w:r>
            <w:r>
              <w:rPr>
                <w:color w:val="auto"/>
                <w:kern w:val="0"/>
                <w:lang w:bidi="ar"/>
              </w:rPr>
              <w:t>，项目年运行2240h，为确保两级活性炭吸附装置处理效率，要求年更换次数不少于</w:t>
            </w:r>
            <w:r>
              <w:rPr>
                <w:rFonts w:hint="eastAsia"/>
                <w:color w:val="auto"/>
                <w:kern w:val="0"/>
                <w:lang w:bidi="ar"/>
              </w:rPr>
              <w:t>4</w:t>
            </w:r>
            <w:r>
              <w:rPr>
                <w:color w:val="auto"/>
                <w:kern w:val="0"/>
                <w:lang w:bidi="ar"/>
              </w:rPr>
              <w:t>次。</w:t>
            </w:r>
          </w:p>
          <w:p w14:paraId="14315369">
            <w:pPr>
              <w:widowControl/>
              <w:ind w:firstLine="480" w:firstLineChars="200"/>
              <w:rPr>
                <w:color w:val="auto"/>
              </w:rPr>
            </w:pPr>
            <w:r>
              <w:rPr>
                <w:color w:val="auto"/>
                <w:kern w:val="0"/>
                <w:lang w:bidi="ar"/>
              </w:rPr>
              <w:t>③废活性炭产生量</w:t>
            </w:r>
          </w:p>
          <w:p w14:paraId="43598F81">
            <w:pPr>
              <w:ind w:firstLine="480" w:firstLineChars="200"/>
              <w:rPr>
                <w:rFonts w:cs="宋体"/>
                <w:color w:val="auto"/>
              </w:rPr>
            </w:pPr>
            <w:r>
              <w:rPr>
                <w:rFonts w:hint="eastAsia"/>
                <w:color w:val="auto"/>
              </w:rPr>
              <w:t>根据《活性炭纤维在挥发性有机废气处理中应用》的试验结果表明：1kg活性炭可吸附0.22-0.30kg的有机废气。</w:t>
            </w:r>
            <w:r>
              <w:rPr>
                <w:rFonts w:hint="eastAsia" w:cs="宋体"/>
                <w:color w:val="auto"/>
              </w:rPr>
              <w:t>本项目按1t活性炭吸附0.3t有机废气计算。根据前文产排污分析可知，项目有组织有机废气净化量</w:t>
            </w:r>
            <w:r>
              <w:rPr>
                <w:rFonts w:hint="eastAsia" w:cs="宋体"/>
                <w:color w:val="auto"/>
                <w:lang w:val="en-US" w:eastAsia="zh-CN"/>
              </w:rPr>
              <w:t>0.7806</w:t>
            </w:r>
            <w:r>
              <w:rPr>
                <w:rFonts w:hint="eastAsia" w:cs="宋体"/>
                <w:color w:val="auto"/>
              </w:rPr>
              <w:t>t/a，则预计项目年消耗活性炭量为</w:t>
            </w:r>
            <w:r>
              <w:rPr>
                <w:rFonts w:hint="eastAsia" w:cs="宋体"/>
                <w:color w:val="auto"/>
                <w:lang w:val="en-US" w:eastAsia="zh-CN"/>
              </w:rPr>
              <w:t>0.7806</w:t>
            </w:r>
            <w:r>
              <w:rPr>
                <w:color w:val="auto"/>
              </w:rPr>
              <w:t>÷</w:t>
            </w:r>
            <w:r>
              <w:rPr>
                <w:rFonts w:hint="eastAsia" w:cs="宋体"/>
                <w:color w:val="auto"/>
              </w:rPr>
              <w:t>0.3</w:t>
            </w:r>
            <w:r>
              <w:rPr>
                <w:rFonts w:eastAsia="微软雅黑"/>
                <w:color w:val="auto"/>
              </w:rPr>
              <w:t>≈</w:t>
            </w:r>
            <w:r>
              <w:rPr>
                <w:rFonts w:hint="eastAsia" w:eastAsia="微软雅黑"/>
                <w:color w:val="auto"/>
              </w:rPr>
              <w:t>2.</w:t>
            </w:r>
            <w:r>
              <w:rPr>
                <w:rFonts w:hint="eastAsia" w:eastAsia="微软雅黑"/>
                <w:color w:val="auto"/>
                <w:lang w:val="en-US" w:eastAsia="zh-CN"/>
              </w:rPr>
              <w:t>6</w:t>
            </w:r>
            <w:r>
              <w:rPr>
                <w:rFonts w:hint="eastAsia" w:cs="宋体"/>
                <w:color w:val="auto"/>
              </w:rPr>
              <w:t>t，则项目每年产生的废活性炭吸附饱和物量约为</w:t>
            </w:r>
            <w:r>
              <w:rPr>
                <w:rFonts w:hint="eastAsia"/>
                <w:color w:val="auto"/>
                <w:lang w:val="en-US" w:eastAsia="zh-CN"/>
              </w:rPr>
              <w:t>3.38</w:t>
            </w:r>
            <w:r>
              <w:rPr>
                <w:rFonts w:hint="eastAsia" w:cs="宋体"/>
                <w:color w:val="auto"/>
              </w:rPr>
              <w:t>t/a。根据《国家危险废物名录》（2025年版），废弃活性炭吸附饱和物属于危险废物，</w:t>
            </w:r>
            <w:r>
              <w:rPr>
                <w:rFonts w:hint="eastAsia"/>
                <w:color w:val="auto"/>
              </w:rPr>
              <w:t>废物类别</w:t>
            </w:r>
            <w:r>
              <w:rPr>
                <w:rFonts w:hint="eastAsia" w:cs="宋体"/>
                <w:color w:val="auto"/>
              </w:rPr>
              <w:t>为HW49其他废物，废物代码900-039-49。妥善收集后贮存至危险废物贮存间中，定期委托有危废处置资质单位进行处理。</w:t>
            </w:r>
          </w:p>
          <w:p w14:paraId="5DE30FB8">
            <w:pPr>
              <w:ind w:firstLine="482" w:firstLineChars="200"/>
              <w:rPr>
                <w:rFonts w:cs="宋体"/>
                <w:b/>
                <w:bCs/>
                <w:color w:val="auto"/>
              </w:rPr>
            </w:pPr>
            <w:r>
              <w:rPr>
                <w:rFonts w:hint="eastAsia" w:cs="宋体"/>
                <w:b/>
                <w:bCs/>
                <w:color w:val="auto"/>
              </w:rPr>
              <w:t>（10）废机油</w:t>
            </w:r>
          </w:p>
          <w:p w14:paraId="6ADEE719">
            <w:pPr>
              <w:ind w:firstLine="480" w:firstLineChars="200"/>
              <w:rPr>
                <w:rFonts w:cs="宋体"/>
                <w:color w:val="auto"/>
              </w:rPr>
            </w:pPr>
            <w:r>
              <w:rPr>
                <w:rFonts w:hint="eastAsia" w:cs="宋体"/>
                <w:color w:val="auto"/>
              </w:rPr>
              <w:t>本项目生产设备运转、维修过程需使用机油，根据建设单位提供的资料，废机油的产生量约为0.1t/a。属于《国家危险废物名录》（2025年版）中的HW08的废矿物油与含矿物油废物，代码为900-249-08的危险废物，需定期交由有危险废物处理资质的单位外运处理。</w:t>
            </w:r>
          </w:p>
          <w:p w14:paraId="0454A172">
            <w:pPr>
              <w:adjustRightInd w:val="0"/>
              <w:snapToGrid w:val="0"/>
              <w:spacing w:line="240" w:lineRule="auto"/>
              <w:jc w:val="center"/>
              <w:rPr>
                <w:b/>
                <w:color w:val="auto"/>
                <w:kern w:val="0"/>
                <w:szCs w:val="20"/>
              </w:rPr>
            </w:pPr>
            <w:r>
              <w:rPr>
                <w:rFonts w:hint="eastAsia"/>
                <w:b/>
                <w:color w:val="auto"/>
                <w:kern w:val="0"/>
                <w:szCs w:val="20"/>
              </w:rPr>
              <w:t>表4.4-1  本项目一般工业固体废物和生活垃圾产生处置一览表</w:t>
            </w:r>
          </w:p>
          <w:tbl>
            <w:tblPr>
              <w:tblStyle w:val="31"/>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764"/>
              <w:gridCol w:w="1051"/>
              <w:gridCol w:w="957"/>
              <w:gridCol w:w="1171"/>
              <w:gridCol w:w="1129"/>
              <w:gridCol w:w="865"/>
              <w:gridCol w:w="1670"/>
            </w:tblGrid>
            <w:tr w14:paraId="1FDF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55" w:type="pct"/>
                  <w:tcBorders>
                    <w:top w:val="single" w:color="auto" w:sz="12" w:space="0"/>
                    <w:left w:val="nil"/>
                  </w:tcBorders>
                  <w:vAlign w:val="center"/>
                </w:tcPr>
                <w:p w14:paraId="3DC2538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序号</w:t>
                  </w:r>
                </w:p>
              </w:tc>
              <w:tc>
                <w:tcPr>
                  <w:tcW w:w="476" w:type="pct"/>
                  <w:tcBorders>
                    <w:top w:val="single" w:color="auto" w:sz="12" w:space="0"/>
                    <w:left w:val="nil"/>
                  </w:tcBorders>
                  <w:vAlign w:val="center"/>
                </w:tcPr>
                <w:p w14:paraId="630B35F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产生环节</w:t>
                  </w:r>
                </w:p>
              </w:tc>
              <w:tc>
                <w:tcPr>
                  <w:tcW w:w="655" w:type="pct"/>
                  <w:tcBorders>
                    <w:top w:val="single" w:color="auto" w:sz="12" w:space="0"/>
                  </w:tcBorders>
                  <w:vAlign w:val="center"/>
                </w:tcPr>
                <w:p w14:paraId="402208F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固废名称</w:t>
                  </w:r>
                </w:p>
              </w:tc>
              <w:tc>
                <w:tcPr>
                  <w:tcW w:w="596" w:type="pct"/>
                  <w:tcBorders>
                    <w:top w:val="single" w:color="auto" w:sz="12" w:space="0"/>
                  </w:tcBorders>
                  <w:vAlign w:val="center"/>
                </w:tcPr>
                <w:p w14:paraId="2A1F1D65">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一般固废代码</w:t>
                  </w:r>
                </w:p>
              </w:tc>
              <w:tc>
                <w:tcPr>
                  <w:tcW w:w="730" w:type="pct"/>
                  <w:tcBorders>
                    <w:top w:val="single" w:color="auto" w:sz="12" w:space="0"/>
                  </w:tcBorders>
                  <w:vAlign w:val="center"/>
                </w:tcPr>
                <w:p w14:paraId="74BFBDF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物理性状</w:t>
                  </w:r>
                </w:p>
              </w:tc>
              <w:tc>
                <w:tcPr>
                  <w:tcW w:w="704" w:type="pct"/>
                  <w:tcBorders>
                    <w:top w:val="single" w:color="auto" w:sz="12" w:space="0"/>
                  </w:tcBorders>
                  <w:vAlign w:val="center"/>
                </w:tcPr>
                <w:p w14:paraId="7AE736F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固废属性</w:t>
                  </w:r>
                </w:p>
              </w:tc>
              <w:tc>
                <w:tcPr>
                  <w:tcW w:w="539" w:type="pct"/>
                  <w:tcBorders>
                    <w:top w:val="single" w:color="auto" w:sz="12" w:space="0"/>
                  </w:tcBorders>
                  <w:vAlign w:val="center"/>
                </w:tcPr>
                <w:p w14:paraId="1335AA2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产生量（t/a）</w:t>
                  </w:r>
                </w:p>
              </w:tc>
              <w:tc>
                <w:tcPr>
                  <w:tcW w:w="1041" w:type="pct"/>
                  <w:tcBorders>
                    <w:top w:val="single" w:color="auto" w:sz="12" w:space="0"/>
                    <w:right w:val="nil"/>
                  </w:tcBorders>
                  <w:vAlign w:val="center"/>
                </w:tcPr>
                <w:p w14:paraId="0CCC979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处置方式</w:t>
                  </w:r>
                </w:p>
              </w:tc>
            </w:tr>
            <w:tr w14:paraId="3135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left w:val="nil"/>
                  </w:tcBorders>
                  <w:vAlign w:val="center"/>
                </w:tcPr>
                <w:p w14:paraId="5C13321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w:t>
                  </w:r>
                </w:p>
              </w:tc>
              <w:tc>
                <w:tcPr>
                  <w:tcW w:w="476" w:type="pct"/>
                  <w:vMerge w:val="restart"/>
                  <w:tcBorders>
                    <w:left w:val="nil"/>
                  </w:tcBorders>
                  <w:vAlign w:val="center"/>
                </w:tcPr>
                <w:p w14:paraId="67765B1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生产过程</w:t>
                  </w:r>
                </w:p>
              </w:tc>
              <w:tc>
                <w:tcPr>
                  <w:tcW w:w="655" w:type="pct"/>
                  <w:vAlign w:val="center"/>
                </w:tcPr>
                <w:p w14:paraId="4291C2B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废包装材料</w:t>
                  </w:r>
                </w:p>
              </w:tc>
              <w:tc>
                <w:tcPr>
                  <w:tcW w:w="596" w:type="pct"/>
                  <w:vAlign w:val="center"/>
                </w:tcPr>
                <w:p w14:paraId="35ACA817">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900-005-S17</w:t>
                  </w:r>
                </w:p>
              </w:tc>
              <w:tc>
                <w:tcPr>
                  <w:tcW w:w="730" w:type="pct"/>
                  <w:vAlign w:val="center"/>
                </w:tcPr>
                <w:p w14:paraId="6CE8EC1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704" w:type="pct"/>
                  <w:vAlign w:val="center"/>
                </w:tcPr>
                <w:p w14:paraId="3EB6B60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一般工业固体废物</w:t>
                  </w:r>
                </w:p>
              </w:tc>
              <w:tc>
                <w:tcPr>
                  <w:tcW w:w="539" w:type="pct"/>
                  <w:vAlign w:val="center"/>
                </w:tcPr>
                <w:p w14:paraId="02720BE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0.1</w:t>
                  </w:r>
                </w:p>
              </w:tc>
              <w:tc>
                <w:tcPr>
                  <w:tcW w:w="1041" w:type="pct"/>
                  <w:vMerge w:val="restart"/>
                  <w:tcBorders>
                    <w:right w:val="nil"/>
                  </w:tcBorders>
                  <w:vAlign w:val="center"/>
                </w:tcPr>
                <w:p w14:paraId="6C3E6857">
                  <w:pPr>
                    <w:adjustRightInd w:val="0"/>
                    <w:snapToGrid w:val="0"/>
                    <w:spacing w:before="24" w:beforeLines="10" w:after="24" w:afterLines="10" w:line="240" w:lineRule="auto"/>
                    <w:jc w:val="center"/>
                    <w:rPr>
                      <w:color w:val="auto"/>
                      <w:kern w:val="0"/>
                      <w:sz w:val="21"/>
                      <w:szCs w:val="20"/>
                    </w:rPr>
                  </w:pPr>
                  <w:r>
                    <w:rPr>
                      <w:color w:val="auto"/>
                      <w:kern w:val="0"/>
                      <w:sz w:val="21"/>
                      <w:szCs w:val="20"/>
                    </w:rPr>
                    <w:t>收集后出售给回收企业综合利用</w:t>
                  </w:r>
                </w:p>
              </w:tc>
            </w:tr>
            <w:tr w14:paraId="12AE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left w:val="nil"/>
                  </w:tcBorders>
                  <w:vAlign w:val="center"/>
                </w:tcPr>
                <w:p w14:paraId="74694CC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2</w:t>
                  </w:r>
                </w:p>
              </w:tc>
              <w:tc>
                <w:tcPr>
                  <w:tcW w:w="476" w:type="pct"/>
                  <w:vMerge w:val="continue"/>
                  <w:tcBorders>
                    <w:left w:val="nil"/>
                  </w:tcBorders>
                  <w:vAlign w:val="center"/>
                </w:tcPr>
                <w:p w14:paraId="06B3E9E8">
                  <w:pPr>
                    <w:adjustRightInd w:val="0"/>
                    <w:snapToGrid w:val="0"/>
                    <w:spacing w:before="24" w:beforeLines="10" w:after="24" w:afterLines="10" w:line="240" w:lineRule="auto"/>
                    <w:jc w:val="center"/>
                    <w:rPr>
                      <w:color w:val="auto"/>
                      <w:kern w:val="0"/>
                      <w:sz w:val="21"/>
                      <w:szCs w:val="20"/>
                    </w:rPr>
                  </w:pPr>
                </w:p>
              </w:tc>
              <w:tc>
                <w:tcPr>
                  <w:tcW w:w="655" w:type="pct"/>
                  <w:vAlign w:val="center"/>
                </w:tcPr>
                <w:p w14:paraId="3F211AF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废边角料</w:t>
                  </w:r>
                </w:p>
              </w:tc>
              <w:tc>
                <w:tcPr>
                  <w:tcW w:w="596" w:type="pct"/>
                  <w:vAlign w:val="center"/>
                </w:tcPr>
                <w:p w14:paraId="7713D831">
                  <w:pPr>
                    <w:adjustRightInd w:val="0"/>
                    <w:snapToGrid w:val="0"/>
                    <w:spacing w:before="24" w:beforeLines="10" w:after="24" w:afterLines="10" w:line="240" w:lineRule="auto"/>
                    <w:jc w:val="center"/>
                    <w:rPr>
                      <w:rFonts w:hint="default"/>
                      <w:color w:val="auto"/>
                      <w:kern w:val="0"/>
                      <w:sz w:val="21"/>
                      <w:szCs w:val="20"/>
                      <w:lang w:val="en-US" w:eastAsia="zh-CN"/>
                    </w:rPr>
                  </w:pPr>
                  <w:r>
                    <w:rPr>
                      <w:rFonts w:hint="eastAsia"/>
                      <w:color w:val="auto"/>
                      <w:kern w:val="0"/>
                      <w:sz w:val="21"/>
                      <w:szCs w:val="20"/>
                      <w:lang w:val="en-US" w:eastAsia="zh-CN"/>
                    </w:rPr>
                    <w:t>900-001-S17；900-003-S17</w:t>
                  </w:r>
                </w:p>
              </w:tc>
              <w:tc>
                <w:tcPr>
                  <w:tcW w:w="730" w:type="pct"/>
                  <w:vAlign w:val="center"/>
                </w:tcPr>
                <w:p w14:paraId="7414134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704" w:type="pct"/>
                  <w:vAlign w:val="center"/>
                </w:tcPr>
                <w:p w14:paraId="41336DD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一般工业固体废物</w:t>
                  </w:r>
                </w:p>
              </w:tc>
              <w:tc>
                <w:tcPr>
                  <w:tcW w:w="539" w:type="pct"/>
                  <w:vAlign w:val="center"/>
                </w:tcPr>
                <w:p w14:paraId="6D08D69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1.2</w:t>
                  </w:r>
                </w:p>
              </w:tc>
              <w:tc>
                <w:tcPr>
                  <w:tcW w:w="1041" w:type="pct"/>
                  <w:vMerge w:val="continue"/>
                  <w:tcBorders>
                    <w:right w:val="nil"/>
                  </w:tcBorders>
                  <w:vAlign w:val="center"/>
                </w:tcPr>
                <w:p w14:paraId="071D8619">
                  <w:pPr>
                    <w:adjustRightInd w:val="0"/>
                    <w:snapToGrid w:val="0"/>
                    <w:spacing w:before="24" w:beforeLines="10" w:after="24" w:afterLines="10" w:line="240" w:lineRule="auto"/>
                    <w:jc w:val="center"/>
                    <w:rPr>
                      <w:color w:val="auto"/>
                      <w:kern w:val="0"/>
                      <w:sz w:val="21"/>
                      <w:szCs w:val="20"/>
                    </w:rPr>
                  </w:pPr>
                </w:p>
              </w:tc>
            </w:tr>
            <w:tr w14:paraId="4A1E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left w:val="nil"/>
                    <w:bottom w:val="single" w:color="auto" w:sz="4" w:space="0"/>
                  </w:tcBorders>
                  <w:vAlign w:val="center"/>
                </w:tcPr>
                <w:p w14:paraId="3F90C3B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3</w:t>
                  </w:r>
                </w:p>
              </w:tc>
              <w:tc>
                <w:tcPr>
                  <w:tcW w:w="476" w:type="pct"/>
                  <w:vMerge w:val="continue"/>
                  <w:tcBorders>
                    <w:left w:val="nil"/>
                    <w:bottom w:val="single" w:color="auto" w:sz="4" w:space="0"/>
                  </w:tcBorders>
                  <w:vAlign w:val="center"/>
                </w:tcPr>
                <w:p w14:paraId="2FB00889">
                  <w:pPr>
                    <w:adjustRightInd w:val="0"/>
                    <w:snapToGrid w:val="0"/>
                    <w:spacing w:before="24" w:beforeLines="10" w:after="24" w:afterLines="10" w:line="240" w:lineRule="auto"/>
                    <w:jc w:val="center"/>
                    <w:rPr>
                      <w:color w:val="auto"/>
                      <w:kern w:val="0"/>
                      <w:sz w:val="21"/>
                      <w:szCs w:val="20"/>
                    </w:rPr>
                  </w:pPr>
                </w:p>
              </w:tc>
              <w:tc>
                <w:tcPr>
                  <w:tcW w:w="655" w:type="pct"/>
                  <w:tcBorders>
                    <w:bottom w:val="single" w:color="auto" w:sz="4" w:space="0"/>
                  </w:tcBorders>
                  <w:vAlign w:val="center"/>
                </w:tcPr>
                <w:p w14:paraId="0F44423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除尘器收集粉尘</w:t>
                  </w:r>
                </w:p>
              </w:tc>
              <w:tc>
                <w:tcPr>
                  <w:tcW w:w="596" w:type="pct"/>
                  <w:tcBorders>
                    <w:bottom w:val="single" w:color="auto" w:sz="4" w:space="0"/>
                  </w:tcBorders>
                  <w:vAlign w:val="center"/>
                </w:tcPr>
                <w:p w14:paraId="1972AF1F">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900-099-S59</w:t>
                  </w:r>
                </w:p>
              </w:tc>
              <w:tc>
                <w:tcPr>
                  <w:tcW w:w="730" w:type="pct"/>
                  <w:tcBorders>
                    <w:bottom w:val="single" w:color="auto" w:sz="4" w:space="0"/>
                  </w:tcBorders>
                  <w:vAlign w:val="center"/>
                </w:tcPr>
                <w:p w14:paraId="48AC242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704" w:type="pct"/>
                  <w:tcBorders>
                    <w:bottom w:val="single" w:color="auto" w:sz="4" w:space="0"/>
                  </w:tcBorders>
                  <w:vAlign w:val="center"/>
                </w:tcPr>
                <w:p w14:paraId="0EF3913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一般工业固体废物</w:t>
                  </w:r>
                </w:p>
              </w:tc>
              <w:tc>
                <w:tcPr>
                  <w:tcW w:w="539" w:type="pct"/>
                  <w:tcBorders>
                    <w:bottom w:val="single" w:color="auto" w:sz="4" w:space="0"/>
                  </w:tcBorders>
                  <w:vAlign w:val="center"/>
                </w:tcPr>
                <w:p w14:paraId="31158793">
                  <w:pPr>
                    <w:adjustRightInd w:val="0"/>
                    <w:snapToGrid w:val="0"/>
                    <w:spacing w:before="24" w:beforeLines="10" w:after="24" w:afterLines="10" w:line="240" w:lineRule="auto"/>
                    <w:jc w:val="center"/>
                    <w:rPr>
                      <w:rFonts w:hint="default" w:eastAsia="宋体"/>
                      <w:color w:val="auto"/>
                      <w:kern w:val="0"/>
                      <w:sz w:val="21"/>
                      <w:szCs w:val="20"/>
                      <w:lang w:val="en-US" w:eastAsia="zh-CN"/>
                    </w:rPr>
                  </w:pPr>
                  <w:r>
                    <w:rPr>
                      <w:rFonts w:hint="eastAsia"/>
                      <w:color w:val="auto"/>
                      <w:kern w:val="0"/>
                      <w:sz w:val="21"/>
                      <w:szCs w:val="20"/>
                      <w:lang w:val="en-US" w:eastAsia="zh-CN"/>
                    </w:rPr>
                    <w:t>0.61427</w:t>
                  </w:r>
                </w:p>
              </w:tc>
              <w:tc>
                <w:tcPr>
                  <w:tcW w:w="1041" w:type="pct"/>
                  <w:vMerge w:val="continue"/>
                  <w:tcBorders>
                    <w:bottom w:val="single" w:color="auto" w:sz="4" w:space="0"/>
                    <w:right w:val="nil"/>
                  </w:tcBorders>
                  <w:vAlign w:val="center"/>
                </w:tcPr>
                <w:p w14:paraId="21FEE187">
                  <w:pPr>
                    <w:adjustRightInd w:val="0"/>
                    <w:snapToGrid w:val="0"/>
                    <w:spacing w:before="24" w:beforeLines="10" w:after="24" w:afterLines="10" w:line="240" w:lineRule="auto"/>
                    <w:jc w:val="center"/>
                    <w:rPr>
                      <w:color w:val="auto"/>
                      <w:kern w:val="0"/>
                      <w:sz w:val="21"/>
                      <w:szCs w:val="20"/>
                    </w:rPr>
                  </w:pPr>
                </w:p>
              </w:tc>
            </w:tr>
            <w:tr w14:paraId="1BCC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top w:val="single" w:color="auto" w:sz="4" w:space="0"/>
                    <w:left w:val="nil"/>
                    <w:bottom w:val="single" w:color="auto" w:sz="12" w:space="0"/>
                  </w:tcBorders>
                  <w:vAlign w:val="center"/>
                </w:tcPr>
                <w:p w14:paraId="1A52A93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4</w:t>
                  </w:r>
                </w:p>
              </w:tc>
              <w:tc>
                <w:tcPr>
                  <w:tcW w:w="476" w:type="pct"/>
                  <w:tcBorders>
                    <w:top w:val="single" w:color="auto" w:sz="4" w:space="0"/>
                    <w:bottom w:val="single" w:color="auto" w:sz="12" w:space="0"/>
                  </w:tcBorders>
                  <w:vAlign w:val="center"/>
                </w:tcPr>
                <w:p w14:paraId="70317BD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职工办公</w:t>
                  </w:r>
                </w:p>
              </w:tc>
              <w:tc>
                <w:tcPr>
                  <w:tcW w:w="655" w:type="pct"/>
                  <w:tcBorders>
                    <w:top w:val="single" w:color="auto" w:sz="4" w:space="0"/>
                    <w:bottom w:val="single" w:color="auto" w:sz="12" w:space="0"/>
                  </w:tcBorders>
                  <w:vAlign w:val="center"/>
                </w:tcPr>
                <w:p w14:paraId="3567D18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生活垃圾</w:t>
                  </w:r>
                </w:p>
              </w:tc>
              <w:tc>
                <w:tcPr>
                  <w:tcW w:w="596" w:type="pct"/>
                  <w:tcBorders>
                    <w:top w:val="single" w:color="auto" w:sz="4" w:space="0"/>
                    <w:bottom w:val="single" w:color="auto" w:sz="12" w:space="0"/>
                  </w:tcBorders>
                  <w:vAlign w:val="center"/>
                </w:tcPr>
                <w:p w14:paraId="640C237F">
                  <w:pPr>
                    <w:adjustRightInd w:val="0"/>
                    <w:snapToGrid w:val="0"/>
                    <w:spacing w:before="24" w:beforeLines="10" w:after="24" w:afterLines="10" w:line="240" w:lineRule="auto"/>
                    <w:jc w:val="center"/>
                    <w:rPr>
                      <w:rFonts w:hint="eastAsia" w:eastAsia="宋体"/>
                      <w:color w:val="auto"/>
                      <w:kern w:val="0"/>
                      <w:sz w:val="21"/>
                      <w:szCs w:val="20"/>
                      <w:lang w:val="en-US" w:eastAsia="zh-CN"/>
                    </w:rPr>
                  </w:pPr>
                  <w:r>
                    <w:rPr>
                      <w:rFonts w:hint="eastAsia"/>
                      <w:color w:val="auto"/>
                      <w:kern w:val="0"/>
                      <w:sz w:val="21"/>
                      <w:szCs w:val="20"/>
                      <w:lang w:val="en-US" w:eastAsia="zh-CN"/>
                    </w:rPr>
                    <w:t>/</w:t>
                  </w:r>
                </w:p>
              </w:tc>
              <w:tc>
                <w:tcPr>
                  <w:tcW w:w="730" w:type="pct"/>
                  <w:tcBorders>
                    <w:top w:val="single" w:color="auto" w:sz="4" w:space="0"/>
                    <w:bottom w:val="single" w:color="auto" w:sz="12" w:space="0"/>
                  </w:tcBorders>
                  <w:vAlign w:val="center"/>
                </w:tcPr>
                <w:p w14:paraId="6ADED2C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704" w:type="pct"/>
                  <w:tcBorders>
                    <w:top w:val="single" w:color="auto" w:sz="4" w:space="0"/>
                    <w:bottom w:val="single" w:color="auto" w:sz="12" w:space="0"/>
                  </w:tcBorders>
                  <w:vAlign w:val="center"/>
                </w:tcPr>
                <w:p w14:paraId="0149243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生活垃圾</w:t>
                  </w:r>
                </w:p>
              </w:tc>
              <w:tc>
                <w:tcPr>
                  <w:tcW w:w="539" w:type="pct"/>
                  <w:tcBorders>
                    <w:top w:val="single" w:color="auto" w:sz="4" w:space="0"/>
                    <w:bottom w:val="single" w:color="auto" w:sz="12" w:space="0"/>
                  </w:tcBorders>
                  <w:vAlign w:val="center"/>
                </w:tcPr>
                <w:p w14:paraId="6DFF18A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11.9</w:t>
                  </w:r>
                </w:p>
              </w:tc>
              <w:tc>
                <w:tcPr>
                  <w:tcW w:w="1041" w:type="pct"/>
                  <w:tcBorders>
                    <w:top w:val="single" w:color="auto" w:sz="4" w:space="0"/>
                    <w:bottom w:val="single" w:color="auto" w:sz="12" w:space="0"/>
                    <w:right w:val="nil"/>
                  </w:tcBorders>
                  <w:vAlign w:val="center"/>
                </w:tcPr>
                <w:p w14:paraId="6E610A1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委托环卫部门统一清运</w:t>
                  </w:r>
                </w:p>
              </w:tc>
            </w:tr>
          </w:tbl>
          <w:p w14:paraId="01E59EF5">
            <w:pPr>
              <w:adjustRightInd w:val="0"/>
              <w:snapToGrid w:val="0"/>
              <w:spacing w:line="240" w:lineRule="auto"/>
              <w:jc w:val="center"/>
              <w:rPr>
                <w:b/>
                <w:color w:val="auto"/>
                <w:kern w:val="0"/>
                <w:szCs w:val="20"/>
              </w:rPr>
            </w:pPr>
            <w:r>
              <w:rPr>
                <w:rFonts w:hint="eastAsia"/>
                <w:b/>
                <w:color w:val="auto"/>
                <w:kern w:val="0"/>
                <w:szCs w:val="20"/>
              </w:rPr>
              <w:t>表4.4-2  本项目危险废物产生处置一览表</w:t>
            </w:r>
          </w:p>
          <w:tbl>
            <w:tblPr>
              <w:tblStyle w:val="31"/>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1149"/>
              <w:gridCol w:w="733"/>
              <w:gridCol w:w="1129"/>
              <w:gridCol w:w="758"/>
              <w:gridCol w:w="607"/>
              <w:gridCol w:w="896"/>
              <w:gridCol w:w="587"/>
              <w:gridCol w:w="975"/>
              <w:gridCol w:w="755"/>
            </w:tblGrid>
            <w:tr w14:paraId="31FC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488" w:type="dxa"/>
                  <w:tcBorders>
                    <w:top w:val="single" w:color="auto" w:sz="12" w:space="0"/>
                    <w:left w:val="nil"/>
                  </w:tcBorders>
                  <w:vAlign w:val="center"/>
                </w:tcPr>
                <w:p w14:paraId="610FC7B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序号</w:t>
                  </w:r>
                </w:p>
              </w:tc>
              <w:tc>
                <w:tcPr>
                  <w:tcW w:w="1149" w:type="dxa"/>
                  <w:tcBorders>
                    <w:top w:val="single" w:color="auto" w:sz="12" w:space="0"/>
                  </w:tcBorders>
                  <w:vAlign w:val="center"/>
                </w:tcPr>
                <w:p w14:paraId="356D7F7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危废名称</w:t>
                  </w:r>
                </w:p>
              </w:tc>
              <w:tc>
                <w:tcPr>
                  <w:tcW w:w="733" w:type="dxa"/>
                  <w:tcBorders>
                    <w:top w:val="single" w:color="auto" w:sz="12" w:space="0"/>
                  </w:tcBorders>
                  <w:vAlign w:val="center"/>
                </w:tcPr>
                <w:p w14:paraId="44C0BE3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废物类别</w:t>
                  </w:r>
                </w:p>
              </w:tc>
              <w:tc>
                <w:tcPr>
                  <w:tcW w:w="1129" w:type="dxa"/>
                  <w:tcBorders>
                    <w:top w:val="single" w:color="auto" w:sz="12" w:space="0"/>
                  </w:tcBorders>
                  <w:vAlign w:val="center"/>
                </w:tcPr>
                <w:p w14:paraId="314F369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危废代码</w:t>
                  </w:r>
                </w:p>
              </w:tc>
              <w:tc>
                <w:tcPr>
                  <w:tcW w:w="758" w:type="dxa"/>
                  <w:tcBorders>
                    <w:top w:val="single" w:color="auto" w:sz="12" w:space="0"/>
                  </w:tcBorders>
                  <w:vAlign w:val="center"/>
                </w:tcPr>
                <w:p w14:paraId="46ED8E6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产生环节</w:t>
                  </w:r>
                </w:p>
              </w:tc>
              <w:tc>
                <w:tcPr>
                  <w:tcW w:w="607" w:type="dxa"/>
                  <w:tcBorders>
                    <w:top w:val="single" w:color="auto" w:sz="12" w:space="0"/>
                  </w:tcBorders>
                  <w:vAlign w:val="center"/>
                </w:tcPr>
                <w:p w14:paraId="227BE51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状态</w:t>
                  </w:r>
                </w:p>
              </w:tc>
              <w:tc>
                <w:tcPr>
                  <w:tcW w:w="896" w:type="dxa"/>
                  <w:tcBorders>
                    <w:top w:val="single" w:color="auto" w:sz="12" w:space="0"/>
                  </w:tcBorders>
                  <w:vAlign w:val="center"/>
                </w:tcPr>
                <w:p w14:paraId="060FC87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主要成分</w:t>
                  </w:r>
                </w:p>
              </w:tc>
              <w:tc>
                <w:tcPr>
                  <w:tcW w:w="587" w:type="dxa"/>
                  <w:tcBorders>
                    <w:top w:val="single" w:color="auto" w:sz="12" w:space="0"/>
                  </w:tcBorders>
                  <w:vAlign w:val="center"/>
                </w:tcPr>
                <w:p w14:paraId="268A70C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危险特性</w:t>
                  </w:r>
                </w:p>
              </w:tc>
              <w:tc>
                <w:tcPr>
                  <w:tcW w:w="975" w:type="dxa"/>
                  <w:tcBorders>
                    <w:top w:val="single" w:color="auto" w:sz="12" w:space="0"/>
                  </w:tcBorders>
                  <w:vAlign w:val="center"/>
                </w:tcPr>
                <w:p w14:paraId="281512D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产生量</w:t>
                  </w:r>
                </w:p>
              </w:tc>
              <w:tc>
                <w:tcPr>
                  <w:tcW w:w="755" w:type="dxa"/>
                  <w:tcBorders>
                    <w:top w:val="single" w:color="auto" w:sz="12" w:space="0"/>
                    <w:right w:val="nil"/>
                  </w:tcBorders>
                  <w:vAlign w:val="center"/>
                </w:tcPr>
                <w:p w14:paraId="4B81148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处置措施</w:t>
                  </w:r>
                </w:p>
              </w:tc>
            </w:tr>
            <w:tr w14:paraId="62DD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488" w:type="dxa"/>
                  <w:tcBorders>
                    <w:left w:val="nil"/>
                  </w:tcBorders>
                  <w:vAlign w:val="center"/>
                </w:tcPr>
                <w:p w14:paraId="3D0E31F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w:t>
                  </w:r>
                </w:p>
              </w:tc>
              <w:tc>
                <w:tcPr>
                  <w:tcW w:w="1149" w:type="dxa"/>
                  <w:vAlign w:val="center"/>
                </w:tcPr>
                <w:p w14:paraId="649F6D9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废原料桶</w:t>
                  </w:r>
                </w:p>
              </w:tc>
              <w:tc>
                <w:tcPr>
                  <w:tcW w:w="733" w:type="dxa"/>
                  <w:vAlign w:val="center"/>
                </w:tcPr>
                <w:p w14:paraId="533B9DF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HW49</w:t>
                  </w:r>
                </w:p>
              </w:tc>
              <w:tc>
                <w:tcPr>
                  <w:tcW w:w="1129" w:type="dxa"/>
                  <w:vAlign w:val="center"/>
                </w:tcPr>
                <w:p w14:paraId="3128908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900-041-49</w:t>
                  </w:r>
                </w:p>
              </w:tc>
              <w:tc>
                <w:tcPr>
                  <w:tcW w:w="758" w:type="dxa"/>
                  <w:vAlign w:val="center"/>
                </w:tcPr>
                <w:p w14:paraId="7C3C9B6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w:t>
                  </w:r>
                </w:p>
              </w:tc>
              <w:tc>
                <w:tcPr>
                  <w:tcW w:w="607" w:type="dxa"/>
                  <w:vAlign w:val="center"/>
                </w:tcPr>
                <w:p w14:paraId="3C227F8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896" w:type="dxa"/>
                  <w:vAlign w:val="center"/>
                </w:tcPr>
                <w:p w14:paraId="1283586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有机溶剂</w:t>
                  </w:r>
                </w:p>
              </w:tc>
              <w:tc>
                <w:tcPr>
                  <w:tcW w:w="587" w:type="dxa"/>
                  <w:vAlign w:val="center"/>
                </w:tcPr>
                <w:p w14:paraId="53E332A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T</w:t>
                  </w:r>
                </w:p>
              </w:tc>
              <w:tc>
                <w:tcPr>
                  <w:tcW w:w="975" w:type="dxa"/>
                  <w:vAlign w:val="center"/>
                </w:tcPr>
                <w:p w14:paraId="4E1ACBD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0.5t/a</w:t>
                  </w:r>
                </w:p>
              </w:tc>
              <w:tc>
                <w:tcPr>
                  <w:tcW w:w="755" w:type="dxa"/>
                  <w:vMerge w:val="restart"/>
                  <w:tcBorders>
                    <w:bottom w:val="single" w:color="auto" w:sz="12" w:space="0"/>
                    <w:right w:val="nil"/>
                  </w:tcBorders>
                  <w:vAlign w:val="center"/>
                </w:tcPr>
                <w:p w14:paraId="750BDB0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收集后贮存至厂区的危险废物贮存间中，定期委托有危废处置资质单位进行处理</w:t>
                  </w:r>
                </w:p>
              </w:tc>
            </w:tr>
            <w:tr w14:paraId="147F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488" w:type="dxa"/>
                  <w:tcBorders>
                    <w:left w:val="nil"/>
                  </w:tcBorders>
                  <w:vAlign w:val="center"/>
                </w:tcPr>
                <w:p w14:paraId="78DA16B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2</w:t>
                  </w:r>
                </w:p>
              </w:tc>
              <w:tc>
                <w:tcPr>
                  <w:tcW w:w="1149" w:type="dxa"/>
                  <w:vAlign w:val="center"/>
                </w:tcPr>
                <w:p w14:paraId="61A5C038">
                  <w:pPr>
                    <w:adjustRightInd w:val="0"/>
                    <w:snapToGrid w:val="0"/>
                    <w:spacing w:before="24" w:beforeLines="10" w:after="24" w:afterLines="10" w:line="240" w:lineRule="auto"/>
                    <w:jc w:val="center"/>
                    <w:rPr>
                      <w:color w:val="auto"/>
                      <w:kern w:val="0"/>
                      <w:sz w:val="21"/>
                      <w:szCs w:val="20"/>
                    </w:rPr>
                  </w:pPr>
                  <w:r>
                    <w:rPr>
                      <w:color w:val="auto"/>
                      <w:kern w:val="0"/>
                      <w:sz w:val="21"/>
                      <w:szCs w:val="20"/>
                    </w:rPr>
                    <w:t>水帘柜废液</w:t>
                  </w:r>
                </w:p>
              </w:tc>
              <w:tc>
                <w:tcPr>
                  <w:tcW w:w="733" w:type="dxa"/>
                  <w:vAlign w:val="center"/>
                </w:tcPr>
                <w:p w14:paraId="2ECC1377">
                  <w:pPr>
                    <w:adjustRightInd w:val="0"/>
                    <w:snapToGrid w:val="0"/>
                    <w:spacing w:before="24" w:beforeLines="10" w:after="24" w:afterLines="10" w:line="240" w:lineRule="auto"/>
                    <w:jc w:val="center"/>
                    <w:rPr>
                      <w:color w:val="auto"/>
                      <w:kern w:val="0"/>
                      <w:sz w:val="21"/>
                      <w:szCs w:val="20"/>
                    </w:rPr>
                  </w:pPr>
                  <w:r>
                    <w:rPr>
                      <w:color w:val="auto"/>
                      <w:kern w:val="0"/>
                      <w:sz w:val="21"/>
                      <w:szCs w:val="20"/>
                    </w:rPr>
                    <w:t>HW</w:t>
                  </w:r>
                  <w:r>
                    <w:rPr>
                      <w:rFonts w:hint="eastAsia"/>
                      <w:color w:val="auto"/>
                      <w:kern w:val="0"/>
                      <w:sz w:val="21"/>
                      <w:szCs w:val="20"/>
                    </w:rPr>
                    <w:t>12</w:t>
                  </w:r>
                </w:p>
              </w:tc>
              <w:tc>
                <w:tcPr>
                  <w:tcW w:w="1129" w:type="dxa"/>
                  <w:vAlign w:val="center"/>
                </w:tcPr>
                <w:p w14:paraId="66137E04">
                  <w:pPr>
                    <w:adjustRightInd w:val="0"/>
                    <w:snapToGrid w:val="0"/>
                    <w:spacing w:before="24" w:beforeLines="10" w:after="24" w:afterLines="10" w:line="240" w:lineRule="auto"/>
                    <w:jc w:val="center"/>
                    <w:rPr>
                      <w:color w:val="auto"/>
                      <w:kern w:val="0"/>
                      <w:sz w:val="21"/>
                      <w:szCs w:val="20"/>
                    </w:rPr>
                  </w:pPr>
                  <w:r>
                    <w:rPr>
                      <w:color w:val="auto"/>
                      <w:kern w:val="0"/>
                      <w:sz w:val="21"/>
                      <w:szCs w:val="20"/>
                    </w:rPr>
                    <w:t>900-252-12</w:t>
                  </w:r>
                </w:p>
              </w:tc>
              <w:tc>
                <w:tcPr>
                  <w:tcW w:w="758" w:type="dxa"/>
                  <w:vAlign w:val="center"/>
                </w:tcPr>
                <w:p w14:paraId="14D64BB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喷漆</w:t>
                  </w:r>
                </w:p>
              </w:tc>
              <w:tc>
                <w:tcPr>
                  <w:tcW w:w="607" w:type="dxa"/>
                  <w:vAlign w:val="center"/>
                </w:tcPr>
                <w:p w14:paraId="7C23E41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液态</w:t>
                  </w:r>
                </w:p>
              </w:tc>
              <w:tc>
                <w:tcPr>
                  <w:tcW w:w="896" w:type="dxa"/>
                  <w:vAlign w:val="center"/>
                </w:tcPr>
                <w:p w14:paraId="07F2A8D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涂料</w:t>
                  </w:r>
                </w:p>
              </w:tc>
              <w:tc>
                <w:tcPr>
                  <w:tcW w:w="587" w:type="dxa"/>
                  <w:vAlign w:val="center"/>
                </w:tcPr>
                <w:p w14:paraId="03450406">
                  <w:pPr>
                    <w:adjustRightInd w:val="0"/>
                    <w:snapToGrid w:val="0"/>
                    <w:spacing w:before="24" w:beforeLines="10" w:after="24" w:afterLines="10" w:line="240" w:lineRule="auto"/>
                    <w:jc w:val="center"/>
                    <w:rPr>
                      <w:color w:val="auto"/>
                      <w:kern w:val="0"/>
                      <w:sz w:val="21"/>
                      <w:szCs w:val="20"/>
                    </w:rPr>
                  </w:pPr>
                  <w:r>
                    <w:rPr>
                      <w:color w:val="auto"/>
                      <w:kern w:val="0"/>
                      <w:sz w:val="21"/>
                      <w:szCs w:val="20"/>
                    </w:rPr>
                    <w:t>T</w:t>
                  </w:r>
                </w:p>
              </w:tc>
              <w:tc>
                <w:tcPr>
                  <w:tcW w:w="975" w:type="dxa"/>
                  <w:vAlign w:val="center"/>
                </w:tcPr>
                <w:p w14:paraId="09B8169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4.8t/a</w:t>
                  </w:r>
                </w:p>
              </w:tc>
              <w:tc>
                <w:tcPr>
                  <w:tcW w:w="755" w:type="dxa"/>
                  <w:vMerge w:val="continue"/>
                  <w:tcBorders>
                    <w:top w:val="single" w:color="auto" w:sz="12" w:space="0"/>
                    <w:bottom w:val="single" w:color="auto" w:sz="12" w:space="0"/>
                    <w:right w:val="nil"/>
                  </w:tcBorders>
                  <w:vAlign w:val="center"/>
                </w:tcPr>
                <w:p w14:paraId="7646C850">
                  <w:pPr>
                    <w:adjustRightInd w:val="0"/>
                    <w:snapToGrid w:val="0"/>
                    <w:spacing w:before="24" w:beforeLines="10" w:after="24" w:afterLines="10" w:line="240" w:lineRule="auto"/>
                    <w:jc w:val="center"/>
                    <w:rPr>
                      <w:color w:val="auto"/>
                      <w:kern w:val="0"/>
                      <w:sz w:val="21"/>
                      <w:szCs w:val="20"/>
                    </w:rPr>
                  </w:pPr>
                </w:p>
              </w:tc>
            </w:tr>
            <w:tr w14:paraId="4C40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488" w:type="dxa"/>
                  <w:tcBorders>
                    <w:left w:val="nil"/>
                  </w:tcBorders>
                  <w:vAlign w:val="center"/>
                </w:tcPr>
                <w:p w14:paraId="7ED4245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3</w:t>
                  </w:r>
                </w:p>
              </w:tc>
              <w:tc>
                <w:tcPr>
                  <w:tcW w:w="1149" w:type="dxa"/>
                  <w:vAlign w:val="center"/>
                </w:tcPr>
                <w:p w14:paraId="2B8424E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漆渣</w:t>
                  </w:r>
                </w:p>
              </w:tc>
              <w:tc>
                <w:tcPr>
                  <w:tcW w:w="733" w:type="dxa"/>
                  <w:vAlign w:val="center"/>
                </w:tcPr>
                <w:p w14:paraId="0787B9F6">
                  <w:pPr>
                    <w:adjustRightInd w:val="0"/>
                    <w:snapToGrid w:val="0"/>
                    <w:spacing w:before="24" w:beforeLines="10" w:after="24" w:afterLines="10" w:line="240" w:lineRule="auto"/>
                    <w:jc w:val="center"/>
                    <w:rPr>
                      <w:color w:val="auto"/>
                      <w:kern w:val="0"/>
                      <w:sz w:val="21"/>
                      <w:szCs w:val="20"/>
                    </w:rPr>
                  </w:pPr>
                  <w:r>
                    <w:rPr>
                      <w:color w:val="auto"/>
                      <w:kern w:val="0"/>
                      <w:sz w:val="21"/>
                      <w:szCs w:val="20"/>
                    </w:rPr>
                    <w:t>HW</w:t>
                  </w:r>
                  <w:r>
                    <w:rPr>
                      <w:rFonts w:hint="eastAsia"/>
                      <w:color w:val="auto"/>
                      <w:kern w:val="0"/>
                      <w:sz w:val="21"/>
                      <w:szCs w:val="20"/>
                    </w:rPr>
                    <w:t>12</w:t>
                  </w:r>
                </w:p>
              </w:tc>
              <w:tc>
                <w:tcPr>
                  <w:tcW w:w="1129" w:type="dxa"/>
                  <w:vAlign w:val="center"/>
                </w:tcPr>
                <w:p w14:paraId="7CF5CD42">
                  <w:pPr>
                    <w:adjustRightInd w:val="0"/>
                    <w:snapToGrid w:val="0"/>
                    <w:spacing w:before="24" w:beforeLines="10" w:after="24" w:afterLines="10" w:line="240" w:lineRule="auto"/>
                    <w:jc w:val="center"/>
                    <w:rPr>
                      <w:color w:val="auto"/>
                      <w:kern w:val="0"/>
                      <w:sz w:val="21"/>
                      <w:szCs w:val="20"/>
                    </w:rPr>
                  </w:pPr>
                  <w:r>
                    <w:rPr>
                      <w:color w:val="auto"/>
                      <w:kern w:val="0"/>
                      <w:sz w:val="21"/>
                      <w:szCs w:val="20"/>
                    </w:rPr>
                    <w:t>900-252-12</w:t>
                  </w:r>
                </w:p>
              </w:tc>
              <w:tc>
                <w:tcPr>
                  <w:tcW w:w="758" w:type="dxa"/>
                  <w:vAlign w:val="center"/>
                </w:tcPr>
                <w:p w14:paraId="7CD0545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喷漆</w:t>
                  </w:r>
                </w:p>
              </w:tc>
              <w:tc>
                <w:tcPr>
                  <w:tcW w:w="607" w:type="dxa"/>
                  <w:vAlign w:val="center"/>
                </w:tcPr>
                <w:p w14:paraId="5F404EB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896" w:type="dxa"/>
                  <w:vAlign w:val="center"/>
                </w:tcPr>
                <w:p w14:paraId="4118BCD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漆渣</w:t>
                  </w:r>
                </w:p>
              </w:tc>
              <w:tc>
                <w:tcPr>
                  <w:tcW w:w="587" w:type="dxa"/>
                  <w:vAlign w:val="center"/>
                </w:tcPr>
                <w:p w14:paraId="6D114F55">
                  <w:pPr>
                    <w:adjustRightInd w:val="0"/>
                    <w:snapToGrid w:val="0"/>
                    <w:spacing w:before="24" w:beforeLines="10" w:after="24" w:afterLines="10" w:line="240" w:lineRule="auto"/>
                    <w:jc w:val="center"/>
                    <w:rPr>
                      <w:color w:val="auto"/>
                      <w:kern w:val="0"/>
                      <w:sz w:val="21"/>
                      <w:szCs w:val="20"/>
                    </w:rPr>
                  </w:pPr>
                  <w:r>
                    <w:rPr>
                      <w:color w:val="auto"/>
                      <w:kern w:val="0"/>
                      <w:sz w:val="21"/>
                      <w:szCs w:val="20"/>
                    </w:rPr>
                    <w:t>T</w:t>
                  </w:r>
                </w:p>
              </w:tc>
              <w:tc>
                <w:tcPr>
                  <w:tcW w:w="975" w:type="dxa"/>
                  <w:vAlign w:val="center"/>
                </w:tcPr>
                <w:p w14:paraId="4C1D57C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lang w:val="en-US" w:eastAsia="zh-CN"/>
                    </w:rPr>
                    <w:t>0.31536</w:t>
                  </w:r>
                  <w:r>
                    <w:rPr>
                      <w:rFonts w:hint="eastAsia"/>
                      <w:color w:val="auto"/>
                      <w:kern w:val="0"/>
                      <w:sz w:val="21"/>
                      <w:szCs w:val="20"/>
                    </w:rPr>
                    <w:t>t/a</w:t>
                  </w:r>
                </w:p>
              </w:tc>
              <w:tc>
                <w:tcPr>
                  <w:tcW w:w="755" w:type="dxa"/>
                  <w:vMerge w:val="continue"/>
                  <w:tcBorders>
                    <w:top w:val="single" w:color="auto" w:sz="12" w:space="0"/>
                    <w:bottom w:val="single" w:color="auto" w:sz="12" w:space="0"/>
                    <w:right w:val="nil"/>
                  </w:tcBorders>
                  <w:vAlign w:val="center"/>
                </w:tcPr>
                <w:p w14:paraId="1CBE5148">
                  <w:pPr>
                    <w:adjustRightInd w:val="0"/>
                    <w:snapToGrid w:val="0"/>
                    <w:spacing w:before="24" w:beforeLines="10" w:after="24" w:afterLines="10" w:line="240" w:lineRule="auto"/>
                    <w:jc w:val="center"/>
                    <w:rPr>
                      <w:color w:val="auto"/>
                      <w:kern w:val="0"/>
                      <w:sz w:val="21"/>
                      <w:szCs w:val="20"/>
                    </w:rPr>
                  </w:pPr>
                </w:p>
              </w:tc>
            </w:tr>
            <w:tr w14:paraId="0966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488" w:type="dxa"/>
                  <w:tcBorders>
                    <w:left w:val="nil"/>
                  </w:tcBorders>
                  <w:vAlign w:val="center"/>
                </w:tcPr>
                <w:p w14:paraId="7150BC3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4</w:t>
                  </w:r>
                </w:p>
              </w:tc>
              <w:tc>
                <w:tcPr>
                  <w:tcW w:w="1149" w:type="dxa"/>
                  <w:vAlign w:val="center"/>
                </w:tcPr>
                <w:p w14:paraId="4150FF7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废过滤棉</w:t>
                  </w:r>
                </w:p>
              </w:tc>
              <w:tc>
                <w:tcPr>
                  <w:tcW w:w="733" w:type="dxa"/>
                  <w:vAlign w:val="center"/>
                </w:tcPr>
                <w:p w14:paraId="5B664E2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HW49</w:t>
                  </w:r>
                </w:p>
              </w:tc>
              <w:tc>
                <w:tcPr>
                  <w:tcW w:w="1129" w:type="dxa"/>
                  <w:vAlign w:val="center"/>
                </w:tcPr>
                <w:p w14:paraId="7ED01B28">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900-041-49</w:t>
                  </w:r>
                </w:p>
              </w:tc>
              <w:tc>
                <w:tcPr>
                  <w:tcW w:w="758" w:type="dxa"/>
                  <w:vAlign w:val="center"/>
                </w:tcPr>
                <w:p w14:paraId="10AEBF3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w:t>
                  </w:r>
                </w:p>
              </w:tc>
              <w:tc>
                <w:tcPr>
                  <w:tcW w:w="607" w:type="dxa"/>
                  <w:vAlign w:val="center"/>
                </w:tcPr>
                <w:p w14:paraId="1AE9D02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896" w:type="dxa"/>
                  <w:vAlign w:val="center"/>
                </w:tcPr>
                <w:p w14:paraId="16E2829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非甲烷总烃、乙酸乙酯与乙酸丁酯合计、二甲苯</w:t>
                  </w:r>
                </w:p>
              </w:tc>
              <w:tc>
                <w:tcPr>
                  <w:tcW w:w="587" w:type="dxa"/>
                  <w:vAlign w:val="center"/>
                </w:tcPr>
                <w:p w14:paraId="0AB7C2D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T</w:t>
                  </w:r>
                </w:p>
              </w:tc>
              <w:tc>
                <w:tcPr>
                  <w:tcW w:w="975" w:type="dxa"/>
                  <w:vAlign w:val="center"/>
                </w:tcPr>
                <w:p w14:paraId="46BA03CD">
                  <w:pPr>
                    <w:adjustRightInd w:val="0"/>
                    <w:snapToGrid w:val="0"/>
                    <w:spacing w:before="24" w:beforeLines="10" w:after="24" w:afterLines="10" w:line="240" w:lineRule="auto"/>
                    <w:jc w:val="center"/>
                    <w:rPr>
                      <w:color w:val="auto"/>
                      <w:kern w:val="0"/>
                      <w:sz w:val="21"/>
                      <w:szCs w:val="20"/>
                      <w:highlight w:val="none"/>
                    </w:rPr>
                  </w:pPr>
                  <w:r>
                    <w:rPr>
                      <w:rFonts w:hint="eastAsia"/>
                      <w:color w:val="auto"/>
                      <w:kern w:val="0"/>
                      <w:sz w:val="21"/>
                      <w:szCs w:val="20"/>
                      <w:highlight w:val="none"/>
                    </w:rPr>
                    <w:t>0.5t/a</w:t>
                  </w:r>
                </w:p>
              </w:tc>
              <w:tc>
                <w:tcPr>
                  <w:tcW w:w="755" w:type="dxa"/>
                  <w:vMerge w:val="continue"/>
                  <w:tcBorders>
                    <w:top w:val="single" w:color="auto" w:sz="12" w:space="0"/>
                    <w:bottom w:val="single" w:color="auto" w:sz="12" w:space="0"/>
                    <w:right w:val="nil"/>
                  </w:tcBorders>
                  <w:vAlign w:val="center"/>
                </w:tcPr>
                <w:p w14:paraId="69309F92">
                  <w:pPr>
                    <w:adjustRightInd w:val="0"/>
                    <w:snapToGrid w:val="0"/>
                    <w:spacing w:before="24" w:beforeLines="10" w:after="24" w:afterLines="10" w:line="240" w:lineRule="auto"/>
                    <w:jc w:val="center"/>
                    <w:rPr>
                      <w:color w:val="auto"/>
                      <w:kern w:val="0"/>
                      <w:sz w:val="21"/>
                      <w:szCs w:val="20"/>
                    </w:rPr>
                  </w:pPr>
                </w:p>
              </w:tc>
            </w:tr>
            <w:tr w14:paraId="043E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488" w:type="dxa"/>
                  <w:tcBorders>
                    <w:left w:val="nil"/>
                  </w:tcBorders>
                  <w:vAlign w:val="center"/>
                </w:tcPr>
                <w:p w14:paraId="3CF7C6E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5</w:t>
                  </w:r>
                </w:p>
              </w:tc>
              <w:tc>
                <w:tcPr>
                  <w:tcW w:w="1149" w:type="dxa"/>
                  <w:vAlign w:val="center"/>
                </w:tcPr>
                <w:p w14:paraId="08964FC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废活性炭</w:t>
                  </w:r>
                </w:p>
              </w:tc>
              <w:tc>
                <w:tcPr>
                  <w:tcW w:w="733" w:type="dxa"/>
                  <w:vAlign w:val="center"/>
                </w:tcPr>
                <w:p w14:paraId="09805B0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HW49</w:t>
                  </w:r>
                </w:p>
              </w:tc>
              <w:tc>
                <w:tcPr>
                  <w:tcW w:w="1129" w:type="dxa"/>
                  <w:vAlign w:val="center"/>
                </w:tcPr>
                <w:p w14:paraId="1C317A3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900-039-49</w:t>
                  </w:r>
                </w:p>
              </w:tc>
              <w:tc>
                <w:tcPr>
                  <w:tcW w:w="758" w:type="dxa"/>
                  <w:vAlign w:val="center"/>
                </w:tcPr>
                <w:p w14:paraId="312AFCF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废气治理</w:t>
                  </w:r>
                </w:p>
              </w:tc>
              <w:tc>
                <w:tcPr>
                  <w:tcW w:w="607" w:type="dxa"/>
                  <w:vAlign w:val="center"/>
                </w:tcPr>
                <w:p w14:paraId="5937F0F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896" w:type="dxa"/>
                  <w:vAlign w:val="center"/>
                </w:tcPr>
                <w:p w14:paraId="52240E0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饱和活性炭、非甲烷总烃、乙酸乙酯与乙酸丁酯合计、二甲苯</w:t>
                  </w:r>
                </w:p>
              </w:tc>
              <w:tc>
                <w:tcPr>
                  <w:tcW w:w="587" w:type="dxa"/>
                  <w:vAlign w:val="center"/>
                </w:tcPr>
                <w:p w14:paraId="4C3AAAEF">
                  <w:pPr>
                    <w:adjustRightInd w:val="0"/>
                    <w:snapToGrid w:val="0"/>
                    <w:spacing w:before="24" w:beforeLines="10" w:after="24" w:afterLines="10" w:line="240" w:lineRule="auto"/>
                    <w:jc w:val="center"/>
                    <w:rPr>
                      <w:color w:val="auto"/>
                      <w:kern w:val="0"/>
                      <w:sz w:val="21"/>
                      <w:szCs w:val="20"/>
                    </w:rPr>
                  </w:pPr>
                  <w:r>
                    <w:rPr>
                      <w:color w:val="auto"/>
                      <w:kern w:val="0"/>
                      <w:sz w:val="21"/>
                      <w:szCs w:val="20"/>
                    </w:rPr>
                    <w:t>T</w:t>
                  </w:r>
                </w:p>
              </w:tc>
              <w:tc>
                <w:tcPr>
                  <w:tcW w:w="975" w:type="dxa"/>
                  <w:vAlign w:val="center"/>
                </w:tcPr>
                <w:p w14:paraId="01BC79DB">
                  <w:pPr>
                    <w:adjustRightInd w:val="0"/>
                    <w:snapToGrid w:val="0"/>
                    <w:spacing w:before="24" w:beforeLines="10" w:after="24" w:afterLines="10" w:line="240" w:lineRule="auto"/>
                    <w:jc w:val="center"/>
                    <w:rPr>
                      <w:color w:val="auto"/>
                      <w:kern w:val="0"/>
                      <w:sz w:val="21"/>
                      <w:szCs w:val="20"/>
                      <w:highlight w:val="none"/>
                    </w:rPr>
                  </w:pPr>
                  <w:r>
                    <w:rPr>
                      <w:rFonts w:hint="eastAsia"/>
                      <w:color w:val="auto"/>
                      <w:kern w:val="0"/>
                      <w:sz w:val="21"/>
                      <w:szCs w:val="20"/>
                      <w:highlight w:val="none"/>
                      <w:lang w:val="en-US" w:eastAsia="zh-CN"/>
                    </w:rPr>
                    <w:t>3.38</w:t>
                  </w:r>
                  <w:r>
                    <w:rPr>
                      <w:rFonts w:hint="eastAsia"/>
                      <w:color w:val="auto"/>
                      <w:kern w:val="0"/>
                      <w:sz w:val="21"/>
                      <w:szCs w:val="20"/>
                      <w:highlight w:val="none"/>
                    </w:rPr>
                    <w:t>t/a</w:t>
                  </w:r>
                </w:p>
              </w:tc>
              <w:tc>
                <w:tcPr>
                  <w:tcW w:w="755" w:type="dxa"/>
                  <w:vMerge w:val="continue"/>
                  <w:tcBorders>
                    <w:top w:val="single" w:color="auto" w:sz="12" w:space="0"/>
                    <w:bottom w:val="single" w:color="auto" w:sz="12" w:space="0"/>
                    <w:right w:val="nil"/>
                  </w:tcBorders>
                  <w:vAlign w:val="center"/>
                </w:tcPr>
                <w:p w14:paraId="369B70AB">
                  <w:pPr>
                    <w:adjustRightInd w:val="0"/>
                    <w:snapToGrid w:val="0"/>
                    <w:spacing w:before="24" w:beforeLines="10" w:after="24" w:afterLines="10" w:line="240" w:lineRule="auto"/>
                    <w:jc w:val="center"/>
                    <w:rPr>
                      <w:color w:val="auto"/>
                      <w:kern w:val="0"/>
                      <w:sz w:val="21"/>
                      <w:szCs w:val="20"/>
                    </w:rPr>
                  </w:pPr>
                </w:p>
              </w:tc>
            </w:tr>
            <w:tr w14:paraId="15ED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488" w:type="dxa"/>
                  <w:tcBorders>
                    <w:left w:val="nil"/>
                    <w:bottom w:val="single" w:color="auto" w:sz="12" w:space="0"/>
                  </w:tcBorders>
                  <w:vAlign w:val="center"/>
                </w:tcPr>
                <w:p w14:paraId="6055659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6</w:t>
                  </w:r>
                </w:p>
              </w:tc>
              <w:tc>
                <w:tcPr>
                  <w:tcW w:w="1149" w:type="dxa"/>
                  <w:tcBorders>
                    <w:bottom w:val="single" w:color="auto" w:sz="12" w:space="0"/>
                  </w:tcBorders>
                  <w:vAlign w:val="center"/>
                </w:tcPr>
                <w:p w14:paraId="4727F4B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废机油</w:t>
                  </w:r>
                </w:p>
              </w:tc>
              <w:tc>
                <w:tcPr>
                  <w:tcW w:w="733" w:type="dxa"/>
                  <w:tcBorders>
                    <w:bottom w:val="single" w:color="auto" w:sz="12" w:space="0"/>
                  </w:tcBorders>
                  <w:vAlign w:val="center"/>
                </w:tcPr>
                <w:p w14:paraId="62E4625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HW08</w:t>
                  </w:r>
                </w:p>
              </w:tc>
              <w:tc>
                <w:tcPr>
                  <w:tcW w:w="1129" w:type="dxa"/>
                  <w:tcBorders>
                    <w:bottom w:val="single" w:color="auto" w:sz="12" w:space="0"/>
                  </w:tcBorders>
                  <w:vAlign w:val="center"/>
                </w:tcPr>
                <w:p w14:paraId="6E9E0E4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900-249-08</w:t>
                  </w:r>
                </w:p>
              </w:tc>
              <w:tc>
                <w:tcPr>
                  <w:tcW w:w="758" w:type="dxa"/>
                  <w:tcBorders>
                    <w:bottom w:val="single" w:color="auto" w:sz="12" w:space="0"/>
                  </w:tcBorders>
                  <w:vAlign w:val="center"/>
                </w:tcPr>
                <w:p w14:paraId="4096B61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w:t>
                  </w:r>
                </w:p>
              </w:tc>
              <w:tc>
                <w:tcPr>
                  <w:tcW w:w="607" w:type="dxa"/>
                  <w:tcBorders>
                    <w:bottom w:val="single" w:color="auto" w:sz="12" w:space="0"/>
                  </w:tcBorders>
                  <w:vAlign w:val="center"/>
                </w:tcPr>
                <w:p w14:paraId="70D4C41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固态</w:t>
                  </w:r>
                </w:p>
              </w:tc>
              <w:tc>
                <w:tcPr>
                  <w:tcW w:w="896" w:type="dxa"/>
                  <w:tcBorders>
                    <w:bottom w:val="single" w:color="auto" w:sz="12" w:space="0"/>
                  </w:tcBorders>
                  <w:vAlign w:val="center"/>
                </w:tcPr>
                <w:p w14:paraId="2D7436A5">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有机溶剂</w:t>
                  </w:r>
                </w:p>
              </w:tc>
              <w:tc>
                <w:tcPr>
                  <w:tcW w:w="587" w:type="dxa"/>
                  <w:tcBorders>
                    <w:bottom w:val="single" w:color="auto" w:sz="12" w:space="0"/>
                  </w:tcBorders>
                  <w:vAlign w:val="center"/>
                </w:tcPr>
                <w:p w14:paraId="5E61351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T</w:t>
                  </w:r>
                </w:p>
              </w:tc>
              <w:tc>
                <w:tcPr>
                  <w:tcW w:w="975" w:type="dxa"/>
                  <w:tcBorders>
                    <w:bottom w:val="single" w:color="auto" w:sz="12" w:space="0"/>
                  </w:tcBorders>
                  <w:vAlign w:val="center"/>
                </w:tcPr>
                <w:p w14:paraId="523E11A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0.1t/a</w:t>
                  </w:r>
                </w:p>
              </w:tc>
              <w:tc>
                <w:tcPr>
                  <w:tcW w:w="755" w:type="dxa"/>
                  <w:vMerge w:val="continue"/>
                  <w:tcBorders>
                    <w:top w:val="single" w:color="auto" w:sz="12" w:space="0"/>
                    <w:bottom w:val="single" w:color="auto" w:sz="12" w:space="0"/>
                    <w:right w:val="nil"/>
                  </w:tcBorders>
                  <w:vAlign w:val="center"/>
                </w:tcPr>
                <w:p w14:paraId="32377E18">
                  <w:pPr>
                    <w:adjustRightInd w:val="0"/>
                    <w:snapToGrid w:val="0"/>
                    <w:spacing w:before="24" w:beforeLines="10" w:after="24" w:afterLines="10" w:line="240" w:lineRule="auto"/>
                    <w:jc w:val="center"/>
                    <w:rPr>
                      <w:color w:val="auto"/>
                      <w:kern w:val="0"/>
                      <w:sz w:val="21"/>
                      <w:szCs w:val="20"/>
                    </w:rPr>
                  </w:pPr>
                </w:p>
              </w:tc>
            </w:tr>
          </w:tbl>
          <w:p w14:paraId="495A6F37">
            <w:pPr>
              <w:pStyle w:val="4"/>
              <w:ind w:firstLine="0" w:firstLineChars="0"/>
              <w:rPr>
                <w:color w:val="auto"/>
              </w:rPr>
            </w:pPr>
            <w:r>
              <w:rPr>
                <w:rFonts w:hint="eastAsia"/>
                <w:color w:val="auto"/>
              </w:rPr>
              <w:t>4.4.3固体废物管理措施及环境影响分析</w:t>
            </w:r>
          </w:p>
          <w:p w14:paraId="2D696B0C">
            <w:pPr>
              <w:ind w:firstLine="482" w:firstLineChars="200"/>
              <w:rPr>
                <w:rFonts w:cs="宋体"/>
                <w:b/>
                <w:bCs/>
                <w:color w:val="auto"/>
              </w:rPr>
            </w:pPr>
            <w:r>
              <w:rPr>
                <w:rFonts w:hint="eastAsia" w:cs="宋体"/>
                <w:b/>
                <w:bCs/>
                <w:color w:val="auto"/>
              </w:rPr>
              <w:t>（1）一般工业固体废物</w:t>
            </w:r>
          </w:p>
          <w:p w14:paraId="403C6B93">
            <w:pPr>
              <w:ind w:firstLine="482" w:firstLineChars="200"/>
              <w:rPr>
                <w:rFonts w:cs="宋体"/>
                <w:b/>
                <w:bCs/>
                <w:color w:val="auto"/>
              </w:rPr>
            </w:pPr>
            <w:r>
              <w:rPr>
                <w:rFonts w:hint="eastAsia" w:cs="宋体"/>
                <w:b/>
                <w:bCs/>
                <w:color w:val="auto"/>
              </w:rPr>
              <w:t>①一般工业固体废物贮存要求</w:t>
            </w:r>
          </w:p>
          <w:p w14:paraId="68F7B36D">
            <w:pPr>
              <w:ind w:firstLine="480" w:firstLineChars="200"/>
              <w:rPr>
                <w:rFonts w:cs="宋体"/>
                <w:color w:val="auto"/>
              </w:rPr>
            </w:pPr>
            <w:r>
              <w:rPr>
                <w:rFonts w:hint="eastAsia" w:cs="宋体"/>
                <w:color w:val="auto"/>
              </w:rPr>
              <w:t>根据国家《一般工业固体废物贮存和填埋污染控制标准》（GB18599-2020），一般工业固体废物的贮存和管理应做到：在生产过程中应加强一般工业固体废物贮存规范化管理，固体废物分类定点堆放。确保固体废物贮存过程满足防渗漏、防雨淋和防扬尘等环境保护要求。</w:t>
            </w:r>
          </w:p>
          <w:p w14:paraId="01AB5250">
            <w:pPr>
              <w:ind w:firstLine="482" w:firstLineChars="200"/>
              <w:rPr>
                <w:rFonts w:cs="宋体"/>
                <w:b/>
                <w:bCs/>
                <w:color w:val="auto"/>
              </w:rPr>
            </w:pPr>
            <w:r>
              <w:rPr>
                <w:rFonts w:hint="eastAsia" w:cs="宋体"/>
                <w:b/>
                <w:bCs/>
                <w:color w:val="auto"/>
              </w:rPr>
              <w:t>②一般工业固体废物转移和管理要求</w:t>
            </w:r>
          </w:p>
          <w:p w14:paraId="24818841">
            <w:pPr>
              <w:ind w:firstLine="480" w:firstLineChars="200"/>
              <w:rPr>
                <w:rFonts w:cs="宋体"/>
                <w:color w:val="auto"/>
              </w:rPr>
            </w:pPr>
            <w:r>
              <w:rPr>
                <w:rFonts w:hint="eastAsia" w:cs="宋体"/>
                <w:color w:val="auto"/>
              </w:rPr>
              <w:t>A.采取防扬散、防流失、防渗漏或者其他防止固体废物污染环境的措施，不得擅自倾倒、堆放、丢弃、遗撒固体废物。</w:t>
            </w:r>
          </w:p>
          <w:p w14:paraId="1854DA25">
            <w:pPr>
              <w:ind w:firstLine="480" w:firstLineChars="200"/>
              <w:rPr>
                <w:rFonts w:cs="宋体"/>
                <w:color w:val="auto"/>
              </w:rPr>
            </w:pPr>
            <w:r>
              <w:rPr>
                <w:rFonts w:hint="eastAsia" w:cs="宋体"/>
                <w:color w:val="auto"/>
              </w:rPr>
              <w:t>B.禁止向江河、湖泊、运河、渠道、水库及其最高水位线以下的滩地和岸坡以及法律法规规定的其他地点倾倒、堆放、贮存固体废物。</w:t>
            </w:r>
          </w:p>
          <w:p w14:paraId="0A416E39">
            <w:pPr>
              <w:ind w:firstLine="480" w:firstLineChars="200"/>
              <w:rPr>
                <w:rFonts w:cs="宋体"/>
                <w:color w:val="auto"/>
              </w:rPr>
            </w:pPr>
            <w:r>
              <w:rPr>
                <w:rFonts w:hint="eastAsia" w:cs="宋体"/>
                <w:color w:val="auto"/>
              </w:rPr>
              <w:t>C.转移固体废物出省、自治区、直辖市行政区域利用的，应当报固体废物移出地的省、自治区、直辖市人民政府生态环境主管部门备案。移出地的省、自治区、直辖市人民政府生态环境主管部门应当将备案信息通报接收地的省、自治区、直辖市人民政府生态环境主管部门。</w:t>
            </w:r>
          </w:p>
          <w:p w14:paraId="0B2E3DB4">
            <w:pPr>
              <w:ind w:firstLine="480" w:firstLineChars="200"/>
              <w:rPr>
                <w:rFonts w:cs="宋体"/>
                <w:color w:val="auto"/>
              </w:rPr>
            </w:pPr>
            <w:r>
              <w:rPr>
                <w:rFonts w:hint="eastAsia" w:cs="宋体"/>
                <w:color w:val="auto"/>
              </w:rPr>
              <w:t>D.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0801D053">
            <w:pPr>
              <w:ind w:firstLine="480" w:firstLineChars="200"/>
              <w:rPr>
                <w:rFonts w:cs="宋体"/>
                <w:color w:val="auto"/>
              </w:rPr>
            </w:pPr>
            <w:r>
              <w:rPr>
                <w:rFonts w:hint="eastAsia" w:cs="宋体"/>
                <w:color w:val="auto"/>
              </w:rPr>
              <w:t>E.禁止向生活垃圾收集设施中投放工业固体废物。</w:t>
            </w:r>
          </w:p>
          <w:p w14:paraId="48A1C0E4">
            <w:pPr>
              <w:ind w:firstLine="482" w:firstLineChars="200"/>
              <w:rPr>
                <w:rFonts w:cs="宋体"/>
                <w:b/>
                <w:bCs/>
                <w:color w:val="auto"/>
              </w:rPr>
            </w:pPr>
            <w:r>
              <w:rPr>
                <w:rFonts w:hint="eastAsia" w:cs="宋体"/>
                <w:b/>
                <w:bCs/>
                <w:color w:val="auto"/>
              </w:rPr>
              <w:t>（2）生活垃圾</w:t>
            </w:r>
          </w:p>
          <w:p w14:paraId="0071C246">
            <w:pPr>
              <w:ind w:firstLine="480" w:firstLineChars="200"/>
              <w:rPr>
                <w:rFonts w:cs="宋体"/>
                <w:color w:val="auto"/>
              </w:rPr>
            </w:pPr>
            <w:r>
              <w:rPr>
                <w:rFonts w:cs="宋体"/>
                <w:color w:val="auto"/>
              </w:rPr>
              <w:t>生活垃圾极易腐败发臭，必须按照垃圾分类要求对生活垃圾进行分类，定点收集，及时清运或处理，做到日产日清。项目在厂区生产区和办公生活区分别设置一些垃圾收集桶。项目配备专职的清洁人员和必要的工具，负责清扫厂区，维持清洁卫生，生活垃圾收集后委托当地环卫部门统一清运。</w:t>
            </w:r>
          </w:p>
          <w:p w14:paraId="2736A9EF">
            <w:pPr>
              <w:ind w:firstLine="482" w:firstLineChars="200"/>
              <w:rPr>
                <w:rFonts w:cs="宋体"/>
                <w:b/>
                <w:bCs/>
                <w:color w:val="auto"/>
              </w:rPr>
            </w:pPr>
            <w:r>
              <w:rPr>
                <w:rFonts w:cs="宋体"/>
                <w:b/>
                <w:bCs/>
                <w:color w:val="auto"/>
              </w:rPr>
              <w:t>（3）危险废物</w:t>
            </w:r>
          </w:p>
          <w:p w14:paraId="7721F9A2">
            <w:pPr>
              <w:ind w:firstLine="482" w:firstLineChars="200"/>
              <w:rPr>
                <w:rFonts w:cs="宋体"/>
                <w:b/>
                <w:bCs/>
                <w:color w:val="auto"/>
              </w:rPr>
            </w:pPr>
            <w:r>
              <w:rPr>
                <w:rFonts w:cs="宋体"/>
                <w:b/>
                <w:bCs/>
                <w:color w:val="auto"/>
              </w:rPr>
              <w:t>①危险废物暂存</w:t>
            </w:r>
            <w:r>
              <w:rPr>
                <w:rFonts w:hint="eastAsia" w:cs="宋体"/>
                <w:b/>
                <w:bCs/>
                <w:color w:val="auto"/>
              </w:rPr>
              <w:t>贮存管理要求</w:t>
            </w:r>
          </w:p>
          <w:p w14:paraId="6D72AFF3">
            <w:pPr>
              <w:ind w:firstLine="480" w:firstLineChars="200"/>
              <w:rPr>
                <w:rFonts w:cs="宋体"/>
                <w:color w:val="auto"/>
              </w:rPr>
            </w:pPr>
            <w:r>
              <w:rPr>
                <w:rFonts w:cs="宋体"/>
                <w:color w:val="auto"/>
              </w:rPr>
              <w:t>厂区内</w:t>
            </w:r>
            <w:r>
              <w:rPr>
                <w:rFonts w:hint="eastAsia" w:cs="宋体"/>
                <w:color w:val="auto"/>
              </w:rPr>
              <w:t>拟建1间危险废物贮存间</w:t>
            </w:r>
            <w:r>
              <w:rPr>
                <w:rFonts w:hint="eastAsia" w:cs="宋体"/>
                <w:color w:val="auto"/>
                <w:lang w:val="en-US" w:eastAsia="zh-CN"/>
              </w:rPr>
              <w:t>位于二层生产车间西北侧，拟建危废贮存间面积为9m</w:t>
            </w:r>
            <w:r>
              <w:rPr>
                <w:rFonts w:hint="eastAsia" w:cs="宋体"/>
                <w:color w:val="auto"/>
                <w:vertAlign w:val="superscript"/>
                <w:lang w:val="en-US" w:eastAsia="zh-CN"/>
              </w:rPr>
              <w:t>2</w:t>
            </w:r>
            <w:r>
              <w:rPr>
                <w:rFonts w:cs="宋体"/>
                <w:color w:val="auto"/>
              </w:rPr>
              <w:t>，</w:t>
            </w:r>
            <w:r>
              <w:rPr>
                <w:rFonts w:hint="eastAsia" w:cs="宋体"/>
                <w:color w:val="auto"/>
                <w:lang w:val="en-US" w:eastAsia="zh-CN"/>
              </w:rPr>
              <w:t>贮存能力为13t，贮存周期半年，满足本项目半年产生危险废物产生量储存能力。</w:t>
            </w:r>
            <w:r>
              <w:rPr>
                <w:rFonts w:cs="宋体"/>
                <w:color w:val="auto"/>
              </w:rPr>
              <w:t>厂区内设置的</w:t>
            </w:r>
            <w:r>
              <w:rPr>
                <w:rFonts w:hint="eastAsia" w:cs="宋体"/>
                <w:color w:val="auto"/>
              </w:rPr>
              <w:t>危险废物贮存间</w:t>
            </w:r>
            <w:r>
              <w:rPr>
                <w:rFonts w:cs="宋体"/>
                <w:color w:val="auto"/>
              </w:rPr>
              <w:t>应按照《危险废物贮存污染控制标准》（GB18597-20</w:t>
            </w:r>
            <w:r>
              <w:rPr>
                <w:rFonts w:hint="eastAsia" w:cs="宋体"/>
                <w:color w:val="auto"/>
              </w:rPr>
              <w:t>23</w:t>
            </w:r>
            <w:r>
              <w:rPr>
                <w:rFonts w:cs="宋体"/>
                <w:color w:val="auto"/>
              </w:rPr>
              <w:t>）。危险废物贮存</w:t>
            </w:r>
            <w:r>
              <w:rPr>
                <w:rFonts w:hint="eastAsia" w:cs="宋体"/>
                <w:color w:val="auto"/>
              </w:rPr>
              <w:t>设施污染控制要求一般规定：</w:t>
            </w:r>
          </w:p>
          <w:p w14:paraId="63D4FBAE">
            <w:pPr>
              <w:ind w:firstLine="480" w:firstLineChars="200"/>
              <w:rPr>
                <w:rFonts w:cs="宋体"/>
                <w:color w:val="auto"/>
              </w:rPr>
            </w:pPr>
            <w:r>
              <w:rPr>
                <w:rFonts w:hint="eastAsia" w:cs="宋体"/>
                <w:color w:val="auto"/>
              </w:rPr>
              <w:t>A.</w:t>
            </w:r>
            <w:r>
              <w:rPr>
                <w:rFonts w:cs="宋体"/>
                <w:color w:val="auto"/>
              </w:rPr>
              <w:t>贮存设施应根据危险废物的形态、物理化学性质、包装形式和污染物迁移途径，采取必要的防风、防晒、防雨、防漏、防渗、防腐以及其他环境污染防治措施，不应露天堆放危险废物</w:t>
            </w:r>
            <w:r>
              <w:rPr>
                <w:rFonts w:hint="eastAsia" w:cs="宋体"/>
                <w:color w:val="auto"/>
              </w:rPr>
              <w:t>；</w:t>
            </w:r>
          </w:p>
          <w:p w14:paraId="7CC82C88">
            <w:pPr>
              <w:ind w:firstLine="480" w:firstLineChars="200"/>
              <w:rPr>
                <w:rFonts w:cs="宋体"/>
                <w:color w:val="auto"/>
              </w:rPr>
            </w:pPr>
            <w:r>
              <w:rPr>
                <w:rFonts w:hint="eastAsia" w:cs="宋体"/>
                <w:color w:val="auto"/>
              </w:rPr>
              <w:t>B.</w:t>
            </w:r>
            <w:r>
              <w:rPr>
                <w:rFonts w:cs="宋体"/>
                <w:color w:val="auto"/>
              </w:rPr>
              <w:t>贮存设施应根据危险废物的类别、数量、形态、物理化学性质和污染防治等要求设置必要的贮存分区，避免不相容的危险废物接触、混合</w:t>
            </w:r>
            <w:r>
              <w:rPr>
                <w:rFonts w:hint="eastAsia" w:cs="宋体"/>
                <w:color w:val="auto"/>
              </w:rPr>
              <w:t>；</w:t>
            </w:r>
          </w:p>
          <w:p w14:paraId="266153F2">
            <w:pPr>
              <w:ind w:firstLine="480" w:firstLineChars="200"/>
              <w:rPr>
                <w:rFonts w:cs="宋体"/>
                <w:color w:val="auto"/>
              </w:rPr>
            </w:pPr>
            <w:r>
              <w:rPr>
                <w:rFonts w:hint="eastAsia" w:cs="宋体"/>
                <w:color w:val="auto"/>
              </w:rPr>
              <w:t>C.</w:t>
            </w:r>
            <w:r>
              <w:rPr>
                <w:rFonts w:cs="宋体"/>
                <w:color w:val="auto"/>
              </w:rPr>
              <w:t>贮存设施或贮存分区内地面、墙面裙脚、堵截泄漏的围堰、接触危险废物的隔板和墙体等应采用坚固的材料建造，表面无裂缝</w:t>
            </w:r>
            <w:r>
              <w:rPr>
                <w:rFonts w:hint="eastAsia" w:cs="宋体"/>
                <w:color w:val="auto"/>
              </w:rPr>
              <w:t>；</w:t>
            </w:r>
          </w:p>
          <w:p w14:paraId="7EDE2C2C">
            <w:pPr>
              <w:ind w:firstLine="480" w:firstLineChars="200"/>
              <w:rPr>
                <w:rFonts w:cs="宋体"/>
                <w:color w:val="auto"/>
              </w:rPr>
            </w:pPr>
            <w:r>
              <w:rPr>
                <w:rFonts w:hint="eastAsia" w:cs="宋体"/>
                <w:color w:val="auto"/>
              </w:rPr>
              <w:t>D.</w:t>
            </w:r>
            <w:r>
              <w:rPr>
                <w:rFonts w:cs="宋体"/>
                <w:color w:val="auto"/>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cs="宋体"/>
                <w:color w:val="auto"/>
                <w:vertAlign w:val="superscript"/>
              </w:rPr>
              <w:t>-7</w:t>
            </w:r>
            <w:r>
              <w:rPr>
                <w:rFonts w:cs="宋体"/>
                <w:color w:val="auto"/>
              </w:rPr>
              <w:t>cm/s），或至少2mm厚高密度聚乙烯膜等人工防渗材料（渗透系数不大于10</w:t>
            </w:r>
            <w:r>
              <w:rPr>
                <w:rFonts w:cs="宋体"/>
                <w:color w:val="auto"/>
                <w:vertAlign w:val="superscript"/>
              </w:rPr>
              <w:t>-10</w:t>
            </w:r>
            <w:r>
              <w:rPr>
                <w:rFonts w:cs="宋体"/>
                <w:color w:val="auto"/>
              </w:rPr>
              <w:t>cm/s），或其他防渗性能等效的材料</w:t>
            </w:r>
            <w:r>
              <w:rPr>
                <w:rFonts w:hint="eastAsia" w:cs="宋体"/>
                <w:color w:val="auto"/>
              </w:rPr>
              <w:t>；</w:t>
            </w:r>
          </w:p>
          <w:p w14:paraId="2C519C35">
            <w:pPr>
              <w:ind w:firstLine="480" w:firstLineChars="200"/>
              <w:rPr>
                <w:rFonts w:cs="宋体"/>
                <w:color w:val="auto"/>
              </w:rPr>
            </w:pPr>
            <w:r>
              <w:rPr>
                <w:rFonts w:hint="eastAsia" w:cs="宋体"/>
                <w:color w:val="auto"/>
              </w:rPr>
              <w:t>E.</w:t>
            </w:r>
            <w:r>
              <w:rPr>
                <w:rFonts w:cs="宋体"/>
                <w:color w:val="auto"/>
              </w:rPr>
              <w:t>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s="宋体"/>
                <w:color w:val="auto"/>
              </w:rPr>
              <w:t>；</w:t>
            </w:r>
          </w:p>
          <w:p w14:paraId="51E2596C">
            <w:pPr>
              <w:ind w:firstLine="480" w:firstLineChars="200"/>
              <w:rPr>
                <w:rFonts w:cs="宋体"/>
                <w:color w:val="auto"/>
              </w:rPr>
            </w:pPr>
            <w:r>
              <w:rPr>
                <w:rFonts w:hint="eastAsia" w:cs="宋体"/>
                <w:color w:val="auto"/>
              </w:rPr>
              <w:t>F.</w:t>
            </w:r>
            <w:r>
              <w:rPr>
                <w:rFonts w:cs="宋体"/>
                <w:color w:val="auto"/>
              </w:rPr>
              <w:t>贮存设施应采取技术和管理措施防止无关人员进入</w:t>
            </w:r>
            <w:r>
              <w:rPr>
                <w:rFonts w:hint="eastAsia" w:cs="宋体"/>
                <w:color w:val="auto"/>
              </w:rPr>
              <w:t>。</w:t>
            </w:r>
          </w:p>
          <w:p w14:paraId="36F72082">
            <w:pPr>
              <w:ind w:firstLine="480" w:firstLineChars="200"/>
              <w:rPr>
                <w:rFonts w:hint="eastAsia" w:cs="宋体"/>
                <w:b w:val="0"/>
                <w:bCs w:val="0"/>
                <w:color w:val="auto"/>
                <w:lang w:val="en-US" w:eastAsia="zh-CN"/>
              </w:rPr>
            </w:pPr>
            <w:r>
              <w:rPr>
                <w:rFonts w:hint="eastAsia" w:cs="宋体"/>
                <w:b w:val="0"/>
                <w:bCs w:val="0"/>
                <w:color w:val="auto"/>
                <w:lang w:val="en-US" w:eastAsia="zh-CN"/>
              </w:rPr>
              <w:t>危险废物贮存间具体详见表4.4-3。</w:t>
            </w:r>
          </w:p>
          <w:p w14:paraId="6D35F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宋体"/>
                <w:b/>
                <w:bCs/>
                <w:color w:val="auto"/>
                <w:lang w:val="en-US" w:eastAsia="zh-CN"/>
              </w:rPr>
            </w:pPr>
            <w:r>
              <w:rPr>
                <w:rFonts w:hint="eastAsia" w:cs="宋体"/>
                <w:b/>
                <w:bCs/>
                <w:color w:val="auto"/>
                <w:lang w:val="en-US" w:eastAsia="zh-CN"/>
              </w:rPr>
              <w:t>表4.4-3  建设项目危险废物贮存场所（设施）一览表</w:t>
            </w:r>
          </w:p>
          <w:tbl>
            <w:tblPr>
              <w:tblStyle w:val="31"/>
              <w:tblW w:w="796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873"/>
              <w:gridCol w:w="794"/>
              <w:gridCol w:w="1233"/>
              <w:gridCol w:w="825"/>
              <w:gridCol w:w="762"/>
              <w:gridCol w:w="925"/>
              <w:gridCol w:w="788"/>
              <w:gridCol w:w="792"/>
            </w:tblGrid>
            <w:tr w14:paraId="6883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Borders>
                    <w:top w:val="single" w:color="auto" w:sz="12" w:space="0"/>
                    <w:left w:val="nil"/>
                  </w:tcBorders>
                  <w:shd w:val="clear" w:color="auto" w:fill="auto"/>
                  <w:vAlign w:val="top"/>
                </w:tcPr>
                <w:p w14:paraId="53724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贮存场所（设施）名称</w:t>
                  </w:r>
                </w:p>
              </w:tc>
              <w:tc>
                <w:tcPr>
                  <w:tcW w:w="873" w:type="dxa"/>
                  <w:tcBorders>
                    <w:top w:val="single" w:color="auto" w:sz="12" w:space="0"/>
                  </w:tcBorders>
                  <w:shd w:val="clear" w:color="auto" w:fill="auto"/>
                  <w:vAlign w:val="top"/>
                </w:tcPr>
                <w:p w14:paraId="776E5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危险废物名称</w:t>
                  </w:r>
                </w:p>
              </w:tc>
              <w:tc>
                <w:tcPr>
                  <w:tcW w:w="794" w:type="dxa"/>
                  <w:tcBorders>
                    <w:top w:val="single" w:color="auto" w:sz="12" w:space="0"/>
                  </w:tcBorders>
                  <w:shd w:val="clear" w:color="auto" w:fill="auto"/>
                  <w:vAlign w:val="top"/>
                </w:tcPr>
                <w:p w14:paraId="55424E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危险废物类别</w:t>
                  </w:r>
                </w:p>
              </w:tc>
              <w:tc>
                <w:tcPr>
                  <w:tcW w:w="1233" w:type="dxa"/>
                  <w:tcBorders>
                    <w:top w:val="single" w:color="auto" w:sz="12" w:space="0"/>
                  </w:tcBorders>
                  <w:shd w:val="clear" w:color="auto" w:fill="auto"/>
                  <w:vAlign w:val="top"/>
                </w:tcPr>
                <w:p w14:paraId="7F48B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代码</w:t>
                  </w:r>
                </w:p>
              </w:tc>
              <w:tc>
                <w:tcPr>
                  <w:tcW w:w="825" w:type="dxa"/>
                  <w:tcBorders>
                    <w:top w:val="single" w:color="auto" w:sz="12" w:space="0"/>
                  </w:tcBorders>
                  <w:shd w:val="clear" w:color="auto" w:fill="auto"/>
                  <w:vAlign w:val="top"/>
                </w:tcPr>
                <w:p w14:paraId="0FB76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位置</w:t>
                  </w:r>
                </w:p>
              </w:tc>
              <w:tc>
                <w:tcPr>
                  <w:tcW w:w="762" w:type="dxa"/>
                  <w:tcBorders>
                    <w:top w:val="single" w:color="auto" w:sz="12" w:space="0"/>
                  </w:tcBorders>
                  <w:shd w:val="clear" w:color="auto" w:fill="auto"/>
                  <w:vAlign w:val="top"/>
                </w:tcPr>
                <w:p w14:paraId="768319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占地面积</w:t>
                  </w:r>
                </w:p>
              </w:tc>
              <w:tc>
                <w:tcPr>
                  <w:tcW w:w="925" w:type="dxa"/>
                  <w:tcBorders>
                    <w:top w:val="single" w:color="auto" w:sz="12" w:space="0"/>
                  </w:tcBorders>
                  <w:shd w:val="clear" w:color="auto" w:fill="auto"/>
                  <w:vAlign w:val="top"/>
                </w:tcPr>
                <w:p w14:paraId="51043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贮存方式</w:t>
                  </w:r>
                </w:p>
              </w:tc>
              <w:tc>
                <w:tcPr>
                  <w:tcW w:w="788" w:type="dxa"/>
                  <w:tcBorders>
                    <w:top w:val="single" w:color="auto" w:sz="12" w:space="0"/>
                  </w:tcBorders>
                  <w:shd w:val="clear" w:color="auto" w:fill="auto"/>
                  <w:vAlign w:val="top"/>
                </w:tcPr>
                <w:p w14:paraId="4C359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贮存能力</w:t>
                  </w:r>
                </w:p>
              </w:tc>
              <w:tc>
                <w:tcPr>
                  <w:tcW w:w="792" w:type="dxa"/>
                  <w:tcBorders>
                    <w:top w:val="single" w:color="auto" w:sz="12" w:space="0"/>
                    <w:right w:val="nil"/>
                  </w:tcBorders>
                  <w:shd w:val="clear" w:color="auto" w:fill="auto"/>
                  <w:vAlign w:val="top"/>
                </w:tcPr>
                <w:p w14:paraId="1D5C3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sz w:val="21"/>
                      <w:szCs w:val="21"/>
                      <w:vertAlign w:val="baseline"/>
                      <w:lang w:val="en-US" w:eastAsia="zh-CN"/>
                    </w:rPr>
                    <w:t>贮存周期</w:t>
                  </w:r>
                </w:p>
              </w:tc>
            </w:tr>
            <w:tr w14:paraId="12D5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restart"/>
                  <w:tcBorders>
                    <w:left w:val="nil"/>
                  </w:tcBorders>
                  <w:shd w:val="clear" w:color="auto" w:fill="auto"/>
                  <w:vAlign w:val="top"/>
                </w:tcPr>
                <w:p w14:paraId="47BE550C">
                  <w:pPr>
                    <w:keepNext w:val="0"/>
                    <w:keepLines w:val="0"/>
                    <w:pageBreakBefore w:val="0"/>
                    <w:widowControl w:val="0"/>
                    <w:kinsoku/>
                    <w:wordWrap/>
                    <w:overflowPunct/>
                    <w:topLinePunct w:val="0"/>
                    <w:autoSpaceDE/>
                    <w:autoSpaceDN/>
                    <w:bidi w:val="0"/>
                    <w:adjustRightInd/>
                    <w:snapToGrid/>
                    <w:spacing w:before="1873" w:beforeLines="600"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r>
                    <w:rPr>
                      <w:rFonts w:hint="eastAsia" w:cs="宋体"/>
                      <w:b w:val="0"/>
                      <w:bCs w:val="0"/>
                      <w:color w:val="auto"/>
                      <w:kern w:val="2"/>
                      <w:sz w:val="21"/>
                      <w:szCs w:val="21"/>
                      <w:vertAlign w:val="baseline"/>
                      <w:lang w:val="en-US" w:eastAsia="zh-CN" w:bidi="ar-SA"/>
                    </w:rPr>
                    <w:t>危险废物贮存间</w:t>
                  </w:r>
                </w:p>
              </w:tc>
              <w:tc>
                <w:tcPr>
                  <w:tcW w:w="873" w:type="dxa"/>
                  <w:shd w:val="clear" w:color="auto" w:fill="auto"/>
                  <w:vAlign w:val="center"/>
                </w:tcPr>
                <w:p w14:paraId="4BCC7F99">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废原料桶</w:t>
                  </w:r>
                </w:p>
              </w:tc>
              <w:tc>
                <w:tcPr>
                  <w:tcW w:w="794" w:type="dxa"/>
                  <w:shd w:val="clear" w:color="auto" w:fill="auto"/>
                  <w:vAlign w:val="center"/>
                </w:tcPr>
                <w:p w14:paraId="46D3C015">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HW49</w:t>
                  </w:r>
                </w:p>
              </w:tc>
              <w:tc>
                <w:tcPr>
                  <w:tcW w:w="1233" w:type="dxa"/>
                  <w:shd w:val="clear" w:color="auto" w:fill="auto"/>
                  <w:vAlign w:val="center"/>
                </w:tcPr>
                <w:p w14:paraId="213C257D">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900-041-49</w:t>
                  </w:r>
                </w:p>
              </w:tc>
              <w:tc>
                <w:tcPr>
                  <w:tcW w:w="825" w:type="dxa"/>
                  <w:vMerge w:val="restart"/>
                </w:tcPr>
                <w:p w14:paraId="477545A1">
                  <w:pPr>
                    <w:keepNext w:val="0"/>
                    <w:keepLines w:val="0"/>
                    <w:pageBreakBefore w:val="0"/>
                    <w:widowControl w:val="0"/>
                    <w:kinsoku/>
                    <w:wordWrap/>
                    <w:overflowPunct/>
                    <w:topLinePunct w:val="0"/>
                    <w:autoSpaceDE/>
                    <w:autoSpaceDN/>
                    <w:bidi w:val="0"/>
                    <w:adjustRightInd/>
                    <w:snapToGrid/>
                    <w:spacing w:before="1561" w:beforeLines="500" w:line="240" w:lineRule="auto"/>
                    <w:jc w:val="center"/>
                    <w:textAlignment w:val="auto"/>
                    <w:rPr>
                      <w:rFonts w:hint="default" w:cs="宋体"/>
                      <w:b w:val="0"/>
                      <w:bCs w:val="0"/>
                      <w:color w:val="auto"/>
                      <w:sz w:val="21"/>
                      <w:szCs w:val="21"/>
                      <w:vertAlign w:val="baseline"/>
                      <w:lang w:val="en-US" w:eastAsia="zh-CN"/>
                    </w:rPr>
                  </w:pPr>
                  <w:r>
                    <w:rPr>
                      <w:rFonts w:hint="default" w:cs="宋体"/>
                      <w:b w:val="0"/>
                      <w:bCs w:val="0"/>
                      <w:color w:val="auto"/>
                      <w:sz w:val="21"/>
                      <w:szCs w:val="21"/>
                      <w:vertAlign w:val="baseline"/>
                      <w:lang w:val="en-US" w:eastAsia="zh-CN"/>
                    </w:rPr>
                    <w:t>二层生产车间西北侧</w:t>
                  </w:r>
                </w:p>
              </w:tc>
              <w:tc>
                <w:tcPr>
                  <w:tcW w:w="762" w:type="dxa"/>
                  <w:vMerge w:val="restart"/>
                </w:tcPr>
                <w:p w14:paraId="0A950CFB">
                  <w:pPr>
                    <w:keepNext w:val="0"/>
                    <w:keepLines w:val="0"/>
                    <w:pageBreakBefore w:val="0"/>
                    <w:widowControl w:val="0"/>
                    <w:kinsoku/>
                    <w:wordWrap/>
                    <w:overflowPunct/>
                    <w:topLinePunct w:val="0"/>
                    <w:autoSpaceDE/>
                    <w:autoSpaceDN/>
                    <w:bidi w:val="0"/>
                    <w:adjustRightInd/>
                    <w:snapToGrid/>
                    <w:spacing w:before="2185" w:beforeLines="700"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9m</w:t>
                  </w:r>
                  <w:r>
                    <w:rPr>
                      <w:rFonts w:hint="eastAsia" w:cs="宋体"/>
                      <w:b w:val="0"/>
                      <w:bCs w:val="0"/>
                      <w:color w:val="auto"/>
                      <w:sz w:val="21"/>
                      <w:szCs w:val="21"/>
                      <w:vertAlign w:val="superscript"/>
                      <w:lang w:val="en-US" w:eastAsia="zh-CN"/>
                    </w:rPr>
                    <w:t>2</w:t>
                  </w:r>
                </w:p>
              </w:tc>
              <w:tc>
                <w:tcPr>
                  <w:tcW w:w="925" w:type="dxa"/>
                </w:tcPr>
                <w:p w14:paraId="41768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密闭袋装</w:t>
                  </w:r>
                </w:p>
              </w:tc>
              <w:tc>
                <w:tcPr>
                  <w:tcW w:w="788" w:type="dxa"/>
                  <w:vMerge w:val="restart"/>
                </w:tcPr>
                <w:p w14:paraId="6B981E36">
                  <w:pPr>
                    <w:keepNext w:val="0"/>
                    <w:keepLines w:val="0"/>
                    <w:pageBreakBefore w:val="0"/>
                    <w:widowControl w:val="0"/>
                    <w:kinsoku/>
                    <w:wordWrap/>
                    <w:overflowPunct/>
                    <w:topLinePunct w:val="0"/>
                    <w:autoSpaceDE/>
                    <w:autoSpaceDN/>
                    <w:bidi w:val="0"/>
                    <w:adjustRightInd/>
                    <w:snapToGrid/>
                    <w:spacing w:before="2185" w:beforeLines="700" w:line="36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13t</w:t>
                  </w:r>
                </w:p>
              </w:tc>
              <w:tc>
                <w:tcPr>
                  <w:tcW w:w="792" w:type="dxa"/>
                  <w:vMerge w:val="restart"/>
                  <w:tcBorders>
                    <w:right w:val="nil"/>
                  </w:tcBorders>
                </w:tcPr>
                <w:p w14:paraId="058A0C12">
                  <w:pPr>
                    <w:keepNext w:val="0"/>
                    <w:keepLines w:val="0"/>
                    <w:pageBreakBefore w:val="0"/>
                    <w:widowControl w:val="0"/>
                    <w:kinsoku/>
                    <w:wordWrap/>
                    <w:overflowPunct/>
                    <w:topLinePunct w:val="0"/>
                    <w:autoSpaceDE/>
                    <w:autoSpaceDN/>
                    <w:bidi w:val="0"/>
                    <w:adjustRightInd/>
                    <w:snapToGrid/>
                    <w:spacing w:before="2185" w:beforeLines="700"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半年</w:t>
                  </w:r>
                </w:p>
              </w:tc>
            </w:tr>
            <w:tr w14:paraId="0052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left w:val="nil"/>
                  </w:tcBorders>
                  <w:shd w:val="clear" w:color="auto" w:fill="auto"/>
                  <w:vAlign w:val="top"/>
                </w:tcPr>
                <w:p w14:paraId="351BF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p>
              </w:tc>
              <w:tc>
                <w:tcPr>
                  <w:tcW w:w="873" w:type="dxa"/>
                  <w:shd w:val="clear" w:color="auto" w:fill="auto"/>
                  <w:vAlign w:val="center"/>
                </w:tcPr>
                <w:p w14:paraId="38D36C3A">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eastAsia" w:ascii="Times New Roman" w:hAnsi="Times New Roman" w:eastAsia="宋体" w:cs="Times New Roman"/>
                      <w:color w:val="auto"/>
                      <w:kern w:val="0"/>
                      <w:sz w:val="21"/>
                      <w:szCs w:val="20"/>
                      <w:lang w:val="en-US" w:eastAsia="zh-CN" w:bidi="ar-SA"/>
                    </w:rPr>
                  </w:pPr>
                  <w:r>
                    <w:rPr>
                      <w:color w:val="auto"/>
                      <w:kern w:val="0"/>
                      <w:sz w:val="21"/>
                      <w:szCs w:val="20"/>
                    </w:rPr>
                    <w:t>水帘柜</w:t>
                  </w:r>
                  <w:r>
                    <w:rPr>
                      <w:rFonts w:hint="eastAsia"/>
                      <w:color w:val="auto"/>
                      <w:kern w:val="0"/>
                      <w:sz w:val="21"/>
                      <w:szCs w:val="20"/>
                      <w:lang w:val="en-US" w:eastAsia="zh-CN"/>
                    </w:rPr>
                    <w:t>废水</w:t>
                  </w:r>
                </w:p>
              </w:tc>
              <w:tc>
                <w:tcPr>
                  <w:tcW w:w="794" w:type="dxa"/>
                  <w:shd w:val="clear" w:color="auto" w:fill="auto"/>
                  <w:vAlign w:val="center"/>
                </w:tcPr>
                <w:p w14:paraId="685D053D">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color w:val="auto"/>
                      <w:kern w:val="0"/>
                      <w:sz w:val="21"/>
                      <w:szCs w:val="20"/>
                    </w:rPr>
                    <w:t>HW</w:t>
                  </w:r>
                  <w:r>
                    <w:rPr>
                      <w:rFonts w:hint="eastAsia"/>
                      <w:color w:val="auto"/>
                      <w:kern w:val="0"/>
                      <w:sz w:val="21"/>
                      <w:szCs w:val="20"/>
                    </w:rPr>
                    <w:t>12</w:t>
                  </w:r>
                </w:p>
              </w:tc>
              <w:tc>
                <w:tcPr>
                  <w:tcW w:w="1233" w:type="dxa"/>
                  <w:shd w:val="clear" w:color="auto" w:fill="auto"/>
                  <w:vAlign w:val="center"/>
                </w:tcPr>
                <w:p w14:paraId="65BDA330">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color w:val="auto"/>
                      <w:kern w:val="0"/>
                      <w:sz w:val="21"/>
                      <w:szCs w:val="20"/>
                    </w:rPr>
                    <w:t>900-252-12</w:t>
                  </w:r>
                </w:p>
              </w:tc>
              <w:tc>
                <w:tcPr>
                  <w:tcW w:w="825" w:type="dxa"/>
                  <w:vMerge w:val="continue"/>
                </w:tcPr>
                <w:p w14:paraId="7499F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762" w:type="dxa"/>
                  <w:vMerge w:val="continue"/>
                </w:tcPr>
                <w:p w14:paraId="7F273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925" w:type="dxa"/>
                </w:tcPr>
                <w:p w14:paraId="0B0FC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密闭桶装</w:t>
                  </w:r>
                </w:p>
              </w:tc>
              <w:tc>
                <w:tcPr>
                  <w:tcW w:w="788" w:type="dxa"/>
                  <w:vMerge w:val="continue"/>
                </w:tcPr>
                <w:p w14:paraId="54080E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c>
                <w:tcPr>
                  <w:tcW w:w="792" w:type="dxa"/>
                  <w:vMerge w:val="continue"/>
                  <w:tcBorders>
                    <w:right w:val="nil"/>
                  </w:tcBorders>
                </w:tcPr>
                <w:p w14:paraId="06D3AF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r>
            <w:tr w14:paraId="308D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left w:val="nil"/>
                  </w:tcBorders>
                  <w:shd w:val="clear" w:color="auto" w:fill="auto"/>
                  <w:vAlign w:val="top"/>
                </w:tcPr>
                <w:p w14:paraId="6101D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p>
              </w:tc>
              <w:tc>
                <w:tcPr>
                  <w:tcW w:w="873" w:type="dxa"/>
                  <w:shd w:val="clear" w:color="auto" w:fill="auto"/>
                  <w:vAlign w:val="center"/>
                </w:tcPr>
                <w:p w14:paraId="5DDCD509">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漆渣</w:t>
                  </w:r>
                </w:p>
              </w:tc>
              <w:tc>
                <w:tcPr>
                  <w:tcW w:w="794" w:type="dxa"/>
                  <w:shd w:val="clear" w:color="auto" w:fill="auto"/>
                  <w:vAlign w:val="center"/>
                </w:tcPr>
                <w:p w14:paraId="74F64D79">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color w:val="auto"/>
                      <w:kern w:val="0"/>
                      <w:sz w:val="21"/>
                      <w:szCs w:val="20"/>
                    </w:rPr>
                    <w:t>HW</w:t>
                  </w:r>
                  <w:r>
                    <w:rPr>
                      <w:rFonts w:hint="eastAsia"/>
                      <w:color w:val="auto"/>
                      <w:kern w:val="0"/>
                      <w:sz w:val="21"/>
                      <w:szCs w:val="20"/>
                    </w:rPr>
                    <w:t>12</w:t>
                  </w:r>
                </w:p>
              </w:tc>
              <w:tc>
                <w:tcPr>
                  <w:tcW w:w="1233" w:type="dxa"/>
                  <w:shd w:val="clear" w:color="auto" w:fill="auto"/>
                  <w:vAlign w:val="center"/>
                </w:tcPr>
                <w:p w14:paraId="5A6CFD04">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color w:val="auto"/>
                      <w:kern w:val="0"/>
                      <w:sz w:val="21"/>
                      <w:szCs w:val="20"/>
                    </w:rPr>
                    <w:t>900-252-12</w:t>
                  </w:r>
                </w:p>
              </w:tc>
              <w:tc>
                <w:tcPr>
                  <w:tcW w:w="825" w:type="dxa"/>
                  <w:vMerge w:val="continue"/>
                </w:tcPr>
                <w:p w14:paraId="02434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762" w:type="dxa"/>
                  <w:vMerge w:val="continue"/>
                </w:tcPr>
                <w:p w14:paraId="44A9E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925" w:type="dxa"/>
                </w:tcPr>
                <w:p w14:paraId="12310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密闭桶装</w:t>
                  </w:r>
                </w:p>
              </w:tc>
              <w:tc>
                <w:tcPr>
                  <w:tcW w:w="788" w:type="dxa"/>
                  <w:vMerge w:val="continue"/>
                </w:tcPr>
                <w:p w14:paraId="18285A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c>
                <w:tcPr>
                  <w:tcW w:w="792" w:type="dxa"/>
                  <w:vMerge w:val="continue"/>
                  <w:tcBorders>
                    <w:right w:val="nil"/>
                  </w:tcBorders>
                </w:tcPr>
                <w:p w14:paraId="144889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r>
            <w:tr w14:paraId="5295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left w:val="nil"/>
                  </w:tcBorders>
                  <w:shd w:val="clear" w:color="auto" w:fill="auto"/>
                  <w:vAlign w:val="top"/>
                </w:tcPr>
                <w:p w14:paraId="28424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p>
              </w:tc>
              <w:tc>
                <w:tcPr>
                  <w:tcW w:w="873" w:type="dxa"/>
                  <w:shd w:val="clear" w:color="auto" w:fill="auto"/>
                  <w:vAlign w:val="center"/>
                </w:tcPr>
                <w:p w14:paraId="00D6DEB6">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废过滤棉</w:t>
                  </w:r>
                </w:p>
              </w:tc>
              <w:tc>
                <w:tcPr>
                  <w:tcW w:w="794" w:type="dxa"/>
                  <w:shd w:val="clear" w:color="auto" w:fill="auto"/>
                  <w:vAlign w:val="center"/>
                </w:tcPr>
                <w:p w14:paraId="5C162979">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HW49</w:t>
                  </w:r>
                </w:p>
              </w:tc>
              <w:tc>
                <w:tcPr>
                  <w:tcW w:w="1233" w:type="dxa"/>
                  <w:shd w:val="clear" w:color="auto" w:fill="auto"/>
                  <w:vAlign w:val="center"/>
                </w:tcPr>
                <w:p w14:paraId="4F5FA69F">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900-041-49</w:t>
                  </w:r>
                </w:p>
              </w:tc>
              <w:tc>
                <w:tcPr>
                  <w:tcW w:w="825" w:type="dxa"/>
                  <w:vMerge w:val="continue"/>
                </w:tcPr>
                <w:p w14:paraId="02DC0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762" w:type="dxa"/>
                  <w:vMerge w:val="continue"/>
                </w:tcPr>
                <w:p w14:paraId="628885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925" w:type="dxa"/>
                </w:tcPr>
                <w:p w14:paraId="4977A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密闭桶装</w:t>
                  </w:r>
                </w:p>
              </w:tc>
              <w:tc>
                <w:tcPr>
                  <w:tcW w:w="788" w:type="dxa"/>
                  <w:vMerge w:val="continue"/>
                </w:tcPr>
                <w:p w14:paraId="2DA99A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c>
                <w:tcPr>
                  <w:tcW w:w="792" w:type="dxa"/>
                  <w:vMerge w:val="continue"/>
                  <w:tcBorders>
                    <w:right w:val="nil"/>
                  </w:tcBorders>
                </w:tcPr>
                <w:p w14:paraId="008638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r>
            <w:tr w14:paraId="64D0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left w:val="nil"/>
                  </w:tcBorders>
                  <w:shd w:val="clear" w:color="auto" w:fill="auto"/>
                  <w:vAlign w:val="top"/>
                </w:tcPr>
                <w:p w14:paraId="49498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p>
              </w:tc>
              <w:tc>
                <w:tcPr>
                  <w:tcW w:w="873" w:type="dxa"/>
                  <w:shd w:val="clear" w:color="auto" w:fill="auto"/>
                  <w:vAlign w:val="center"/>
                </w:tcPr>
                <w:p w14:paraId="0C472FCD">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废活性炭</w:t>
                  </w:r>
                </w:p>
              </w:tc>
              <w:tc>
                <w:tcPr>
                  <w:tcW w:w="794" w:type="dxa"/>
                  <w:shd w:val="clear" w:color="auto" w:fill="auto"/>
                  <w:vAlign w:val="center"/>
                </w:tcPr>
                <w:p w14:paraId="7CAC8FDE">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HW49</w:t>
                  </w:r>
                </w:p>
              </w:tc>
              <w:tc>
                <w:tcPr>
                  <w:tcW w:w="1233" w:type="dxa"/>
                  <w:shd w:val="clear" w:color="auto" w:fill="auto"/>
                  <w:vAlign w:val="center"/>
                </w:tcPr>
                <w:p w14:paraId="10104ADC">
                  <w:pPr>
                    <w:keepNext w:val="0"/>
                    <w:keepLines w:val="0"/>
                    <w:pageBreakBefore w:val="0"/>
                    <w:widowControl w:val="0"/>
                    <w:kinsoku/>
                    <w:wordWrap/>
                    <w:overflowPunct/>
                    <w:topLinePunct w:val="0"/>
                    <w:autoSpaceDE/>
                    <w:autoSpaceDN/>
                    <w:bidi w:val="0"/>
                    <w:adjustRightInd/>
                    <w:snapToGrid/>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900-039-49</w:t>
                  </w:r>
                </w:p>
              </w:tc>
              <w:tc>
                <w:tcPr>
                  <w:tcW w:w="825" w:type="dxa"/>
                  <w:vMerge w:val="continue"/>
                </w:tcPr>
                <w:p w14:paraId="4F96A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762" w:type="dxa"/>
                  <w:vMerge w:val="continue"/>
                </w:tcPr>
                <w:p w14:paraId="68978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925" w:type="dxa"/>
                </w:tcPr>
                <w:p w14:paraId="011C3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密闭桶装</w:t>
                  </w:r>
                </w:p>
              </w:tc>
              <w:tc>
                <w:tcPr>
                  <w:tcW w:w="788" w:type="dxa"/>
                  <w:vMerge w:val="continue"/>
                </w:tcPr>
                <w:p w14:paraId="1BE19B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c>
                <w:tcPr>
                  <w:tcW w:w="792" w:type="dxa"/>
                  <w:vMerge w:val="continue"/>
                  <w:tcBorders>
                    <w:right w:val="nil"/>
                  </w:tcBorders>
                </w:tcPr>
                <w:p w14:paraId="46E19B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r>
            <w:tr w14:paraId="14CF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left w:val="nil"/>
                    <w:bottom w:val="single" w:color="auto" w:sz="12" w:space="0"/>
                  </w:tcBorders>
                  <w:shd w:val="clear" w:color="auto" w:fill="auto"/>
                  <w:vAlign w:val="top"/>
                </w:tcPr>
                <w:p w14:paraId="04CF2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auto"/>
                      <w:kern w:val="2"/>
                      <w:sz w:val="21"/>
                      <w:szCs w:val="21"/>
                      <w:vertAlign w:val="baseline"/>
                      <w:lang w:val="en-US" w:eastAsia="zh-CN" w:bidi="ar-SA"/>
                    </w:rPr>
                  </w:pPr>
                </w:p>
              </w:tc>
              <w:tc>
                <w:tcPr>
                  <w:tcW w:w="873" w:type="dxa"/>
                  <w:tcBorders>
                    <w:bottom w:val="single" w:color="auto" w:sz="12" w:space="0"/>
                  </w:tcBorders>
                  <w:shd w:val="clear" w:color="auto" w:fill="auto"/>
                  <w:vAlign w:val="center"/>
                </w:tcPr>
                <w:p w14:paraId="1F445E3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废机油</w:t>
                  </w:r>
                </w:p>
              </w:tc>
              <w:tc>
                <w:tcPr>
                  <w:tcW w:w="0" w:type="auto"/>
                  <w:tcBorders>
                    <w:bottom w:val="single" w:color="auto" w:sz="12" w:space="0"/>
                  </w:tcBorders>
                  <w:shd w:val="clear" w:color="auto" w:fill="auto"/>
                  <w:vAlign w:val="center"/>
                </w:tcPr>
                <w:p w14:paraId="03E0EBF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HW08</w:t>
                  </w:r>
                </w:p>
              </w:tc>
              <w:tc>
                <w:tcPr>
                  <w:tcW w:w="1233" w:type="dxa"/>
                  <w:tcBorders>
                    <w:bottom w:val="single" w:color="auto" w:sz="12" w:space="0"/>
                  </w:tcBorders>
                  <w:shd w:val="clear" w:color="auto" w:fill="auto"/>
                  <w:vAlign w:val="center"/>
                </w:tcPr>
                <w:p w14:paraId="1236E873">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kern w:val="0"/>
                      <w:sz w:val="21"/>
                      <w:szCs w:val="20"/>
                    </w:rPr>
                    <w:t>900-249-08</w:t>
                  </w:r>
                </w:p>
              </w:tc>
              <w:tc>
                <w:tcPr>
                  <w:tcW w:w="825" w:type="dxa"/>
                  <w:vMerge w:val="continue"/>
                  <w:tcBorders>
                    <w:bottom w:val="single" w:color="auto" w:sz="12" w:space="0"/>
                  </w:tcBorders>
                </w:tcPr>
                <w:p w14:paraId="26D91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762" w:type="dxa"/>
                  <w:vMerge w:val="continue"/>
                  <w:tcBorders>
                    <w:bottom w:val="single" w:color="auto" w:sz="12" w:space="0"/>
                  </w:tcBorders>
                </w:tcPr>
                <w:p w14:paraId="4DD23B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p>
              </w:tc>
              <w:tc>
                <w:tcPr>
                  <w:tcW w:w="925" w:type="dxa"/>
                  <w:tcBorders>
                    <w:bottom w:val="single" w:color="auto" w:sz="12" w:space="0"/>
                  </w:tcBorders>
                </w:tcPr>
                <w:p w14:paraId="53304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密闭桶装</w:t>
                  </w:r>
                </w:p>
              </w:tc>
              <w:tc>
                <w:tcPr>
                  <w:tcW w:w="788" w:type="dxa"/>
                  <w:vMerge w:val="continue"/>
                  <w:tcBorders>
                    <w:bottom w:val="single" w:color="auto" w:sz="12" w:space="0"/>
                  </w:tcBorders>
                </w:tcPr>
                <w:p w14:paraId="4D999F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c>
                <w:tcPr>
                  <w:tcW w:w="792" w:type="dxa"/>
                  <w:vMerge w:val="continue"/>
                  <w:tcBorders>
                    <w:bottom w:val="single" w:color="auto" w:sz="12" w:space="0"/>
                    <w:right w:val="nil"/>
                  </w:tcBorders>
                </w:tcPr>
                <w:p w14:paraId="407E9F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宋体"/>
                      <w:b w:val="0"/>
                      <w:bCs w:val="0"/>
                      <w:color w:val="auto"/>
                      <w:sz w:val="21"/>
                      <w:szCs w:val="21"/>
                      <w:vertAlign w:val="baseline"/>
                      <w:lang w:val="en-US" w:eastAsia="zh-CN"/>
                    </w:rPr>
                  </w:pPr>
                </w:p>
              </w:tc>
            </w:tr>
          </w:tbl>
          <w:p w14:paraId="56783F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p>
          <w:p w14:paraId="3DE9A2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危废</w:t>
            </w:r>
            <w:r>
              <w:rPr>
                <w:rFonts w:hint="eastAsia" w:ascii="Times New Roman" w:hAnsi="Times New Roman" w:eastAsia="宋体" w:cs="Times New Roman"/>
                <w:b w:val="0"/>
                <w:bCs w:val="0"/>
                <w:color w:val="auto"/>
                <w:lang w:val="en-US" w:eastAsia="zh-CN"/>
              </w:rPr>
              <w:t>贮存</w:t>
            </w:r>
            <w:r>
              <w:rPr>
                <w:rFonts w:hint="default" w:ascii="Times New Roman" w:hAnsi="Times New Roman" w:eastAsia="宋体" w:cs="Times New Roman"/>
                <w:b w:val="0"/>
                <w:bCs w:val="0"/>
                <w:color w:val="auto"/>
                <w:lang w:val="en-US" w:eastAsia="zh-CN"/>
              </w:rPr>
              <w:t>间采用分区分类方式堆放各类危险废物，依据项目各类危险废物年产生量划分区域大小，1000L带盖密封的铁质包装桶尺寸为直径0.6m，高度约0.95m，其占地面积以切线围合形成的正方形计算，即单个承装桶占地面积为0.36m</w:t>
            </w:r>
            <w:r>
              <w:rPr>
                <w:rFonts w:hint="eastAsia"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lang w:val="en-US" w:eastAsia="zh-CN"/>
              </w:rPr>
              <w:t>0.6</w:t>
            </w:r>
            <w:r>
              <w:rPr>
                <w:rFonts w:hint="default"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0.36</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lang w:val="en-US" w:eastAsia="zh-CN"/>
              </w:rPr>
              <w:t>。</w:t>
            </w:r>
          </w:p>
          <w:p w14:paraId="2B4A4C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水帘柜废水</w:t>
            </w:r>
            <w:r>
              <w:rPr>
                <w:rFonts w:hint="default" w:ascii="Times New Roman" w:hAnsi="Times New Roman" w:eastAsia="宋体" w:cs="Times New Roman"/>
                <w:b w:val="0"/>
                <w:bCs w:val="0"/>
                <w:color w:val="auto"/>
                <w:lang w:val="en-US" w:eastAsia="zh-CN"/>
              </w:rPr>
              <w:t>年产生量为</w:t>
            </w:r>
            <w:r>
              <w:rPr>
                <w:rFonts w:hint="eastAsia" w:ascii="Times New Roman" w:hAnsi="Times New Roman" w:eastAsia="宋体" w:cs="Times New Roman"/>
                <w:b w:val="0"/>
                <w:bCs w:val="0"/>
                <w:color w:val="auto"/>
                <w:lang w:val="en-US" w:eastAsia="zh-CN"/>
              </w:rPr>
              <w:t>8</w:t>
            </w:r>
            <w:r>
              <w:rPr>
                <w:rFonts w:hint="default" w:ascii="Times New Roman" w:hAnsi="Times New Roman" w:eastAsia="宋体" w:cs="Times New Roman"/>
                <w:b w:val="0"/>
                <w:bCs w:val="0"/>
                <w:color w:val="auto"/>
                <w:lang w:val="en-US" w:eastAsia="zh-CN"/>
              </w:rPr>
              <w:t>t，约</w:t>
            </w:r>
            <w:r>
              <w:rPr>
                <w:rFonts w:hint="eastAsia" w:ascii="Times New Roman" w:hAnsi="Times New Roman" w:eastAsia="宋体" w:cs="Times New Roman"/>
                <w:b w:val="0"/>
                <w:bCs w:val="0"/>
                <w:color w:val="auto"/>
                <w:lang w:val="en-US" w:eastAsia="zh-CN"/>
              </w:rPr>
              <w:t>8</w:t>
            </w:r>
            <w:r>
              <w:rPr>
                <w:rFonts w:hint="default" w:ascii="Times New Roman" w:hAnsi="Times New Roman" w:eastAsia="宋体" w:cs="Times New Roman"/>
                <w:b w:val="0"/>
                <w:bCs w:val="0"/>
                <w:color w:val="auto"/>
                <w:lang w:val="en-US" w:eastAsia="zh-CN"/>
              </w:rPr>
              <w:t>桶，每</w:t>
            </w:r>
            <w:r>
              <w:rPr>
                <w:rFonts w:hint="eastAsia" w:ascii="Times New Roman" w:hAnsi="Times New Roman" w:eastAsia="宋体" w:cs="Times New Roman"/>
                <w:b w:val="0"/>
                <w:bCs w:val="0"/>
                <w:color w:val="auto"/>
                <w:lang w:val="en-US" w:eastAsia="zh-CN"/>
              </w:rPr>
              <w:t>半年</w:t>
            </w:r>
            <w:r>
              <w:rPr>
                <w:rFonts w:hint="default" w:ascii="Times New Roman" w:hAnsi="Times New Roman" w:eastAsia="宋体" w:cs="Times New Roman"/>
                <w:b w:val="0"/>
                <w:bCs w:val="0"/>
                <w:color w:val="auto"/>
                <w:lang w:val="en-US" w:eastAsia="zh-CN"/>
              </w:rPr>
              <w:t>产生约</w:t>
            </w:r>
            <w:r>
              <w:rPr>
                <w:rFonts w:hint="eastAsia" w:ascii="Times New Roman" w:hAnsi="Times New Roman" w:eastAsia="宋体" w:cs="Times New Roman"/>
                <w:b w:val="0"/>
                <w:bCs w:val="0"/>
                <w:color w:val="auto"/>
                <w:lang w:val="en-US" w:eastAsia="zh-CN"/>
              </w:rPr>
              <w:t>4</w:t>
            </w:r>
            <w:r>
              <w:rPr>
                <w:rFonts w:hint="default" w:ascii="Times New Roman" w:hAnsi="Times New Roman" w:eastAsia="宋体" w:cs="Times New Roman"/>
                <w:b w:val="0"/>
                <w:bCs w:val="0"/>
                <w:color w:val="auto"/>
                <w:lang w:val="en-US" w:eastAsia="zh-CN"/>
              </w:rPr>
              <w:t>桶，所需占地面积为</w:t>
            </w:r>
            <w:r>
              <w:rPr>
                <w:rFonts w:hint="eastAsia" w:ascii="Times New Roman" w:hAnsi="Times New Roman" w:eastAsia="宋体" w:cs="Times New Roman"/>
                <w:b w:val="0"/>
                <w:bCs w:val="0"/>
                <w:color w:val="auto"/>
                <w:lang w:val="en-US" w:eastAsia="zh-CN"/>
              </w:rPr>
              <w:t>0</w:t>
            </w:r>
            <w:r>
              <w:rPr>
                <w:rFonts w:hint="default" w:ascii="Times New Roman" w:hAnsi="Times New Roman" w:eastAsia="宋体" w:cs="Times New Roman"/>
                <w:b w:val="0"/>
                <w:bCs w:val="0"/>
                <w:color w:val="auto"/>
                <w:lang w:val="en-US" w:eastAsia="zh-CN"/>
              </w:rPr>
              <w:t>.36*</w:t>
            </w:r>
            <w:r>
              <w:rPr>
                <w:rFonts w:hint="eastAsia" w:ascii="Times New Roman" w:hAnsi="Times New Roman" w:eastAsia="宋体" w:cs="Times New Roman"/>
                <w:b w:val="0"/>
                <w:bCs w:val="0"/>
                <w:color w:val="auto"/>
                <w:lang w:val="en-US" w:eastAsia="zh-CN"/>
              </w:rPr>
              <w:t>4</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1.44</w:t>
            </w:r>
            <w:r>
              <w:rPr>
                <w:rFonts w:hint="default"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lang w:val="en-US" w:eastAsia="zh-CN"/>
              </w:rPr>
              <w:t>，取值</w:t>
            </w:r>
            <w:r>
              <w:rPr>
                <w:rFonts w:hint="eastAsia" w:ascii="Times New Roman" w:hAnsi="Times New Roman" w:eastAsia="宋体" w:cs="Times New Roman"/>
                <w:b w:val="0"/>
                <w:bCs w:val="0"/>
                <w:color w:val="auto"/>
                <w:lang w:val="en-US" w:eastAsia="zh-CN"/>
              </w:rPr>
              <w:t>1.5</w:t>
            </w:r>
            <w:r>
              <w:rPr>
                <w:rFonts w:hint="default"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lang w:val="en-US" w:eastAsia="zh-CN"/>
              </w:rPr>
              <w:t>；</w:t>
            </w:r>
          </w:p>
          <w:p w14:paraId="2963E1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废活性炭年产生量为</w:t>
            </w:r>
            <w:r>
              <w:rPr>
                <w:rFonts w:hint="eastAsia" w:ascii="Times New Roman" w:hAnsi="Times New Roman" w:eastAsia="宋体" w:cs="Times New Roman"/>
                <w:b w:val="0"/>
                <w:bCs w:val="0"/>
                <w:color w:val="auto"/>
                <w:lang w:val="en-US" w:eastAsia="zh-CN"/>
              </w:rPr>
              <w:t>3.38</w:t>
            </w:r>
            <w:r>
              <w:rPr>
                <w:rFonts w:hint="default" w:ascii="Times New Roman" w:hAnsi="Times New Roman" w:eastAsia="宋体" w:cs="Times New Roman"/>
                <w:b w:val="0"/>
                <w:bCs w:val="0"/>
                <w:color w:val="auto"/>
                <w:lang w:val="en-US" w:eastAsia="zh-CN"/>
              </w:rPr>
              <w:t>t，约</w:t>
            </w:r>
            <w:r>
              <w:rPr>
                <w:rFonts w:hint="eastAsia" w:ascii="Times New Roman" w:hAnsi="Times New Roman" w:eastAsia="宋体" w:cs="Times New Roman"/>
                <w:b w:val="0"/>
                <w:bCs w:val="0"/>
                <w:color w:val="auto"/>
                <w:lang w:val="en-US" w:eastAsia="zh-CN"/>
              </w:rPr>
              <w:t>4</w:t>
            </w:r>
            <w:r>
              <w:rPr>
                <w:rFonts w:hint="default" w:ascii="Times New Roman" w:hAnsi="Times New Roman" w:eastAsia="宋体" w:cs="Times New Roman"/>
                <w:b w:val="0"/>
                <w:bCs w:val="0"/>
                <w:color w:val="auto"/>
                <w:lang w:val="en-US" w:eastAsia="zh-CN"/>
              </w:rPr>
              <w:t>桶，则所需占地面积为0.36*</w:t>
            </w:r>
            <w:r>
              <w:rPr>
                <w:rFonts w:hint="eastAsia" w:ascii="Times New Roman" w:hAnsi="Times New Roman" w:eastAsia="宋体" w:cs="Times New Roman"/>
                <w:b w:val="0"/>
                <w:bCs w:val="0"/>
                <w:color w:val="auto"/>
                <w:lang w:val="en-US" w:eastAsia="zh-CN"/>
              </w:rPr>
              <w:t>4</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1.5</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lang w:val="en-US" w:eastAsia="zh-CN"/>
              </w:rPr>
              <w:t>取值1.0m</w:t>
            </w:r>
            <w:r>
              <w:rPr>
                <w:rFonts w:hint="eastAsia"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vertAlign w:val="baseline"/>
                <w:lang w:val="en-US" w:eastAsia="zh-CN"/>
              </w:rPr>
              <w:t>；</w:t>
            </w:r>
          </w:p>
          <w:p w14:paraId="51E475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废包装桶年产生量约</w:t>
            </w:r>
            <w:r>
              <w:rPr>
                <w:rFonts w:hint="eastAsia" w:ascii="Times New Roman" w:hAnsi="Times New Roman" w:eastAsia="宋体" w:cs="Times New Roman"/>
                <w:b w:val="0"/>
                <w:bCs w:val="0"/>
                <w:color w:val="auto"/>
                <w:lang w:val="en-US" w:eastAsia="zh-CN"/>
              </w:rPr>
              <w:t>500</w:t>
            </w:r>
            <w:r>
              <w:rPr>
                <w:rFonts w:hint="default" w:ascii="Times New Roman" w:hAnsi="Times New Roman" w:eastAsia="宋体" w:cs="Times New Roman"/>
                <w:b w:val="0"/>
                <w:bCs w:val="0"/>
                <w:color w:val="auto"/>
                <w:lang w:val="en-US" w:eastAsia="zh-CN"/>
              </w:rPr>
              <w:t>桶，因其漆空桶</w:t>
            </w:r>
            <w:r>
              <w:rPr>
                <w:rFonts w:hint="eastAsia" w:ascii="Times New Roman" w:hAnsi="Times New Roman" w:eastAsia="宋体" w:cs="Times New Roman"/>
                <w:b w:val="0"/>
                <w:bCs w:val="0"/>
                <w:color w:val="auto"/>
                <w:lang w:val="en-US" w:eastAsia="zh-CN"/>
              </w:rPr>
              <w:t>质量</w:t>
            </w:r>
            <w:r>
              <w:rPr>
                <w:rFonts w:hint="default" w:ascii="Times New Roman" w:hAnsi="Times New Roman" w:eastAsia="宋体" w:cs="Times New Roman"/>
                <w:b w:val="0"/>
                <w:bCs w:val="0"/>
                <w:color w:val="auto"/>
                <w:lang w:val="en-US" w:eastAsia="zh-CN"/>
              </w:rPr>
              <w:t>较小，故可堆叠四层放置，共计16箱，所需占地面积为2.5m</w:t>
            </w:r>
            <w:r>
              <w:rPr>
                <w:rFonts w:hint="eastAsia" w:ascii="Times New Roman" w:hAnsi="Times New Roman" w:eastAsia="宋体" w:cs="Times New Roman"/>
                <w:b w:val="0"/>
                <w:bCs w:val="0"/>
                <w:color w:val="auto"/>
                <w:vertAlign w:val="superscript"/>
                <w:lang w:val="en-US" w:eastAsia="zh-CN"/>
              </w:rPr>
              <w:t>2</w:t>
            </w:r>
          </w:p>
          <w:p w14:paraId="609B8C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漆渣、废过滤棉和废机油年产生量较少，每半年按2桶计，所需占地面积</w:t>
            </w:r>
            <w:r>
              <w:rPr>
                <w:rFonts w:hint="default" w:ascii="Times New Roman" w:hAnsi="Times New Roman" w:eastAsia="宋体" w:cs="Times New Roman"/>
                <w:b w:val="0"/>
                <w:bCs w:val="0"/>
                <w:color w:val="auto"/>
                <w:lang w:val="en-US" w:eastAsia="zh-CN"/>
              </w:rPr>
              <w:t>为0.36*</w:t>
            </w:r>
            <w:r>
              <w:rPr>
                <w:rFonts w:hint="eastAsia"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1.5</w:t>
            </w:r>
            <w:r>
              <w:rPr>
                <w:rFonts w:hint="default" w:ascii="Times New Roman" w:hAnsi="Times New Roman" w:eastAsia="宋体" w:cs="Times New Roman"/>
                <w:b w:val="0"/>
                <w:bCs w:val="0"/>
                <w:color w:val="auto"/>
                <w:lang w:val="en-US" w:eastAsia="zh-CN"/>
              </w:rPr>
              <w:t>m</w:t>
            </w:r>
            <w:r>
              <w:rPr>
                <w:rFonts w:hint="default"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lang w:val="en-US" w:eastAsia="zh-CN"/>
              </w:rPr>
              <w:t>取值</w:t>
            </w:r>
            <w:r>
              <w:rPr>
                <w:rFonts w:hint="eastAsia" w:ascii="Times New Roman" w:hAnsi="Times New Roman" w:eastAsia="宋体" w:cs="Times New Roman"/>
                <w:b w:val="0"/>
                <w:bCs w:val="0"/>
                <w:color w:val="auto"/>
                <w:lang w:val="en-US" w:eastAsia="zh-CN"/>
              </w:rPr>
              <w:t>0.72</w:t>
            </w:r>
            <w:r>
              <w:rPr>
                <w:rFonts w:hint="default"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vertAlign w:val="baseline"/>
                <w:lang w:val="en-US" w:eastAsia="zh-CN"/>
              </w:rPr>
              <w:t>；</w:t>
            </w:r>
          </w:p>
          <w:p w14:paraId="30FC39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综上</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本项目危废间内所有危废占地面积之和为</w:t>
            </w:r>
            <w:r>
              <w:rPr>
                <w:rFonts w:hint="eastAsia" w:ascii="Times New Roman" w:hAnsi="Times New Roman" w:eastAsia="宋体" w:cs="Times New Roman"/>
                <w:b w:val="0"/>
                <w:bCs w:val="0"/>
                <w:color w:val="auto"/>
                <w:lang w:val="en-US" w:eastAsia="zh-CN"/>
              </w:rPr>
              <w:t>5.72</w:t>
            </w:r>
            <w:r>
              <w:rPr>
                <w:rFonts w:hint="default"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2</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小于设计值</w:t>
            </w:r>
            <w:r>
              <w:rPr>
                <w:rFonts w:hint="eastAsia" w:ascii="Times New Roman" w:hAnsi="Times New Roman" w:eastAsia="宋体" w:cs="Times New Roman"/>
                <w:b w:val="0"/>
                <w:bCs w:val="0"/>
                <w:color w:val="auto"/>
                <w:lang w:val="en-US" w:eastAsia="zh-CN"/>
              </w:rPr>
              <w:t>9</w:t>
            </w:r>
            <w:r>
              <w:rPr>
                <w:rFonts w:hint="default"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2</w:t>
            </w:r>
          </w:p>
          <w:p w14:paraId="72D824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宋体"/>
                <w:b/>
                <w:bCs/>
                <w:color w:val="auto"/>
                <w:lang w:val="en-US" w:eastAsia="zh-CN"/>
              </w:rPr>
            </w:pP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危废间大小合理可行。</w:t>
            </w:r>
          </w:p>
          <w:p w14:paraId="738D589A">
            <w:pPr>
              <w:ind w:firstLine="482" w:firstLineChars="200"/>
              <w:rPr>
                <w:rFonts w:cs="宋体"/>
                <w:b/>
                <w:bCs/>
                <w:color w:val="auto"/>
              </w:rPr>
            </w:pPr>
            <w:r>
              <w:rPr>
                <w:rFonts w:hint="eastAsia" w:cs="宋体"/>
                <w:b/>
                <w:bCs/>
                <w:color w:val="auto"/>
              </w:rPr>
              <w:t>②</w:t>
            </w:r>
            <w:r>
              <w:rPr>
                <w:rFonts w:cs="宋体"/>
                <w:b/>
                <w:bCs/>
                <w:color w:val="auto"/>
              </w:rPr>
              <w:t>危险废物</w:t>
            </w:r>
            <w:r>
              <w:rPr>
                <w:rFonts w:hint="eastAsia" w:cs="宋体"/>
                <w:b/>
                <w:bCs/>
                <w:color w:val="auto"/>
              </w:rPr>
              <w:t>容器和包装物污染控制要求</w:t>
            </w:r>
          </w:p>
          <w:p w14:paraId="108CFA05">
            <w:pPr>
              <w:ind w:firstLine="480" w:firstLineChars="200"/>
              <w:rPr>
                <w:rFonts w:cs="宋体"/>
                <w:color w:val="auto"/>
              </w:rPr>
            </w:pPr>
            <w:r>
              <w:rPr>
                <w:rFonts w:hint="eastAsia" w:cs="宋体"/>
                <w:color w:val="auto"/>
              </w:rPr>
              <w:t>A.</w:t>
            </w:r>
            <w:r>
              <w:rPr>
                <w:rFonts w:cs="宋体"/>
                <w:color w:val="auto"/>
              </w:rPr>
              <w:t>容器和包装物材质、内衬应与盛装的危险废物相容</w:t>
            </w:r>
            <w:r>
              <w:rPr>
                <w:rFonts w:hint="eastAsia" w:cs="宋体"/>
                <w:color w:val="auto"/>
              </w:rPr>
              <w:t>；</w:t>
            </w:r>
          </w:p>
          <w:p w14:paraId="0B603EDA">
            <w:pPr>
              <w:ind w:firstLine="480" w:firstLineChars="200"/>
              <w:rPr>
                <w:rFonts w:cs="宋体"/>
                <w:color w:val="auto"/>
              </w:rPr>
            </w:pPr>
            <w:r>
              <w:rPr>
                <w:rFonts w:hint="eastAsia" w:cs="宋体"/>
                <w:color w:val="auto"/>
              </w:rPr>
              <w:t>B.</w:t>
            </w:r>
            <w:r>
              <w:rPr>
                <w:rFonts w:cs="宋体"/>
                <w:color w:val="auto"/>
              </w:rPr>
              <w:t>针对不同类别、形态、物理化学性质的危险废物，其容器和包装物应满足相应的防渗、防漏、防腐和强度等要求</w:t>
            </w:r>
            <w:r>
              <w:rPr>
                <w:rFonts w:hint="eastAsia" w:cs="宋体"/>
                <w:color w:val="auto"/>
              </w:rPr>
              <w:t>；</w:t>
            </w:r>
          </w:p>
          <w:p w14:paraId="0657EB0B">
            <w:pPr>
              <w:ind w:firstLine="480" w:firstLineChars="200"/>
              <w:rPr>
                <w:rFonts w:cs="宋体"/>
                <w:color w:val="auto"/>
              </w:rPr>
            </w:pPr>
            <w:r>
              <w:rPr>
                <w:rFonts w:hint="eastAsia" w:cs="宋体"/>
                <w:color w:val="auto"/>
              </w:rPr>
              <w:t>C.硬质容器和包装物及其支护结构堆叠码放时不应有明显变形，无破损泄漏；</w:t>
            </w:r>
          </w:p>
          <w:p w14:paraId="75E0C129">
            <w:pPr>
              <w:ind w:firstLine="480" w:firstLineChars="200"/>
              <w:rPr>
                <w:rFonts w:cs="宋体"/>
                <w:color w:val="auto"/>
              </w:rPr>
            </w:pPr>
            <w:r>
              <w:rPr>
                <w:rFonts w:hint="eastAsia" w:cs="宋体"/>
                <w:color w:val="auto"/>
              </w:rPr>
              <w:t>D.柔性容器和包装物堆叠码放时应封口严密，无破损泄漏；</w:t>
            </w:r>
          </w:p>
          <w:p w14:paraId="4A5F3CA0">
            <w:pPr>
              <w:ind w:firstLine="480" w:firstLineChars="200"/>
              <w:rPr>
                <w:rFonts w:cs="宋体"/>
                <w:color w:val="auto"/>
              </w:rPr>
            </w:pPr>
            <w:r>
              <w:rPr>
                <w:rFonts w:hint="eastAsia" w:cs="宋体"/>
                <w:color w:val="auto"/>
              </w:rPr>
              <w:t>E.使用容器盛装液态、半固态危险废物时，容器内部应留有适当的空间，以适应因温度变化等可能引发的收缩和膨胀，防止其导致容器渗漏或永久变形；</w:t>
            </w:r>
          </w:p>
          <w:p w14:paraId="42A5B458">
            <w:pPr>
              <w:ind w:firstLine="480" w:firstLineChars="200"/>
              <w:rPr>
                <w:rFonts w:cs="宋体"/>
                <w:color w:val="auto"/>
              </w:rPr>
            </w:pPr>
            <w:r>
              <w:rPr>
                <w:rFonts w:hint="eastAsia" w:cs="宋体"/>
                <w:color w:val="auto"/>
              </w:rPr>
              <w:t>F.</w:t>
            </w:r>
            <w:r>
              <w:rPr>
                <w:rFonts w:cs="宋体"/>
                <w:color w:val="auto"/>
              </w:rPr>
              <w:t>容器和包装物外表面应保持清洁。</w:t>
            </w:r>
          </w:p>
          <w:p w14:paraId="6A047539">
            <w:pPr>
              <w:ind w:firstLine="482" w:firstLineChars="200"/>
              <w:rPr>
                <w:rFonts w:cs="宋体"/>
                <w:b/>
                <w:bCs/>
                <w:color w:val="auto"/>
              </w:rPr>
            </w:pPr>
            <w:r>
              <w:rPr>
                <w:rFonts w:hint="eastAsia" w:cs="宋体"/>
                <w:b/>
                <w:bCs/>
                <w:color w:val="auto"/>
              </w:rPr>
              <w:t>③</w:t>
            </w:r>
            <w:r>
              <w:rPr>
                <w:rFonts w:cs="宋体"/>
                <w:b/>
                <w:bCs/>
                <w:color w:val="auto"/>
              </w:rPr>
              <w:t>危险废物贮存</w:t>
            </w:r>
            <w:r>
              <w:rPr>
                <w:rFonts w:hint="eastAsia" w:cs="宋体"/>
                <w:b/>
                <w:bCs/>
                <w:color w:val="auto"/>
              </w:rPr>
              <w:t>过程污染控制要求一般规定</w:t>
            </w:r>
          </w:p>
          <w:p w14:paraId="48120311">
            <w:pPr>
              <w:ind w:firstLine="480" w:firstLineChars="200"/>
              <w:rPr>
                <w:rFonts w:cs="宋体"/>
                <w:color w:val="auto"/>
              </w:rPr>
            </w:pPr>
            <w:r>
              <w:rPr>
                <w:rFonts w:hint="eastAsia" w:cs="宋体"/>
                <w:color w:val="auto"/>
              </w:rPr>
              <w:t>A.</w:t>
            </w:r>
            <w:r>
              <w:rPr>
                <w:rFonts w:cs="宋体"/>
                <w:color w:val="auto"/>
              </w:rPr>
              <w:t>在常温常压下不易水解、不易挥发的固态危险废物可分类堆放贮存，其他固态危险废物应装入容器或包装物内贮存</w:t>
            </w:r>
            <w:r>
              <w:rPr>
                <w:rFonts w:hint="eastAsia" w:cs="宋体"/>
                <w:color w:val="auto"/>
              </w:rPr>
              <w:t>；</w:t>
            </w:r>
          </w:p>
          <w:p w14:paraId="760C8A93">
            <w:pPr>
              <w:ind w:firstLine="480" w:firstLineChars="200"/>
              <w:rPr>
                <w:rFonts w:cs="宋体"/>
                <w:color w:val="auto"/>
              </w:rPr>
            </w:pPr>
            <w:r>
              <w:rPr>
                <w:rFonts w:hint="eastAsia" w:cs="宋体"/>
                <w:color w:val="auto"/>
              </w:rPr>
              <w:t>B.</w:t>
            </w:r>
            <w:r>
              <w:rPr>
                <w:rFonts w:cs="宋体"/>
                <w:color w:val="auto"/>
              </w:rPr>
              <w:t>液态危险废物应装入容器内贮存，或直接采用贮存池、贮存罐区贮存</w:t>
            </w:r>
            <w:r>
              <w:rPr>
                <w:rFonts w:hint="eastAsia" w:cs="宋体"/>
                <w:color w:val="auto"/>
              </w:rPr>
              <w:t>；</w:t>
            </w:r>
          </w:p>
          <w:p w14:paraId="5A2D1CB7">
            <w:pPr>
              <w:ind w:firstLine="480" w:firstLineChars="200"/>
              <w:rPr>
                <w:rFonts w:cs="宋体"/>
                <w:color w:val="auto"/>
              </w:rPr>
            </w:pPr>
            <w:r>
              <w:rPr>
                <w:rFonts w:hint="eastAsia" w:cs="宋体"/>
                <w:color w:val="auto"/>
              </w:rPr>
              <w:t>C.</w:t>
            </w:r>
            <w:r>
              <w:rPr>
                <w:rFonts w:cs="宋体"/>
                <w:color w:val="auto"/>
              </w:rPr>
              <w:t>半固态危险废物应装入容器或包装袋内贮存，或直接采用贮存池贮存</w:t>
            </w:r>
            <w:r>
              <w:rPr>
                <w:rFonts w:hint="eastAsia" w:cs="宋体"/>
                <w:color w:val="auto"/>
              </w:rPr>
              <w:t>；</w:t>
            </w:r>
          </w:p>
          <w:p w14:paraId="0FB3874D">
            <w:pPr>
              <w:ind w:firstLine="480" w:firstLineChars="200"/>
              <w:rPr>
                <w:rFonts w:cs="宋体"/>
                <w:color w:val="auto"/>
              </w:rPr>
            </w:pPr>
            <w:r>
              <w:rPr>
                <w:rFonts w:hint="eastAsia" w:cs="宋体"/>
                <w:color w:val="auto"/>
              </w:rPr>
              <w:t>D.具有热塑性的危险废物应装入容器或包装袋内进行贮存；</w:t>
            </w:r>
          </w:p>
          <w:p w14:paraId="755A613F">
            <w:pPr>
              <w:ind w:firstLine="480" w:firstLineChars="200"/>
              <w:rPr>
                <w:rFonts w:cs="宋体"/>
                <w:color w:val="auto"/>
              </w:rPr>
            </w:pPr>
            <w:r>
              <w:rPr>
                <w:rFonts w:hint="eastAsia" w:cs="宋体"/>
                <w:color w:val="auto"/>
              </w:rPr>
              <w:t>E.易产生粉尘、VOCs、酸雾、有毒有害大气污染物和刺激性气味气体的危险废物应装入闭口容器 或包装物内贮存；</w:t>
            </w:r>
          </w:p>
          <w:p w14:paraId="2751AAA5">
            <w:pPr>
              <w:ind w:firstLine="480" w:firstLineChars="200"/>
              <w:rPr>
                <w:rFonts w:cs="宋体"/>
                <w:color w:val="auto"/>
              </w:rPr>
            </w:pPr>
            <w:r>
              <w:rPr>
                <w:rFonts w:hint="eastAsia" w:cs="宋体"/>
                <w:color w:val="auto"/>
              </w:rPr>
              <w:t>F.危险废物贮存过程中易产生粉尘等无组织排放的，应采取抑尘等有效措施。</w:t>
            </w:r>
          </w:p>
          <w:p w14:paraId="030C400E">
            <w:pPr>
              <w:ind w:firstLine="482" w:firstLineChars="200"/>
              <w:rPr>
                <w:rFonts w:cs="宋体"/>
                <w:b/>
                <w:bCs/>
                <w:color w:val="auto"/>
              </w:rPr>
            </w:pPr>
            <w:r>
              <w:rPr>
                <w:rFonts w:hint="eastAsia" w:cs="宋体"/>
                <w:b/>
                <w:bCs/>
                <w:color w:val="auto"/>
              </w:rPr>
              <w:t>④贮存设施运行环境管理要求</w:t>
            </w:r>
          </w:p>
          <w:p w14:paraId="080210D6">
            <w:pPr>
              <w:ind w:firstLine="480" w:firstLineChars="200"/>
              <w:rPr>
                <w:rFonts w:cs="宋体"/>
                <w:color w:val="auto"/>
              </w:rPr>
            </w:pPr>
            <w:r>
              <w:rPr>
                <w:rFonts w:hint="eastAsia" w:cs="宋体"/>
                <w:color w:val="auto"/>
              </w:rPr>
              <w:t>A.</w:t>
            </w:r>
            <w:r>
              <w:rPr>
                <w:rFonts w:cs="宋体"/>
                <w:color w:val="auto"/>
              </w:rPr>
              <w:t>危险废物存入贮存设施前应对危险废物类别和特性与危险废物标签等危险废物识别标志的一致性进行核验，不一致的或类别、特性不明的不应存入</w:t>
            </w:r>
            <w:r>
              <w:rPr>
                <w:rFonts w:hint="eastAsia" w:cs="宋体"/>
                <w:color w:val="auto"/>
              </w:rPr>
              <w:t>；</w:t>
            </w:r>
          </w:p>
          <w:p w14:paraId="524C9A9D">
            <w:pPr>
              <w:ind w:firstLine="480" w:firstLineChars="200"/>
              <w:rPr>
                <w:rFonts w:cs="宋体"/>
                <w:color w:val="auto"/>
              </w:rPr>
            </w:pPr>
            <w:r>
              <w:rPr>
                <w:rFonts w:hint="eastAsia" w:cs="宋体"/>
                <w:color w:val="auto"/>
              </w:rPr>
              <w:t>B.应定期检查危险废物的贮存状况，及时清理贮存设施地面，更换破损泄漏的危险废物贮存容器和包装物，保证堆存危险废物的防雨、防风、防扬尘等设施功能完好；</w:t>
            </w:r>
          </w:p>
          <w:p w14:paraId="5FD464B2">
            <w:pPr>
              <w:ind w:firstLine="480" w:firstLineChars="200"/>
              <w:rPr>
                <w:rFonts w:cs="宋体"/>
                <w:color w:val="auto"/>
              </w:rPr>
            </w:pPr>
            <w:r>
              <w:rPr>
                <w:rFonts w:hint="eastAsia" w:cs="宋体"/>
                <w:color w:val="auto"/>
              </w:rPr>
              <w:t>C.作业设备及车辆等结束作业离开贮存设施时，应对其残留的危险废物进行清理，清理的废物或清洗废水应收集处理；</w:t>
            </w:r>
          </w:p>
          <w:p w14:paraId="7227F241">
            <w:pPr>
              <w:ind w:firstLine="480" w:firstLineChars="200"/>
              <w:rPr>
                <w:rFonts w:cs="宋体"/>
                <w:color w:val="auto"/>
              </w:rPr>
            </w:pPr>
            <w:r>
              <w:rPr>
                <w:rFonts w:hint="eastAsia" w:cs="宋体"/>
                <w:color w:val="auto"/>
              </w:rPr>
              <w:t>D.贮存设施运行期间，应按国家有关标准和规定建立危险废物管理台账并保存；</w:t>
            </w:r>
          </w:p>
          <w:p w14:paraId="01858F8B">
            <w:pPr>
              <w:ind w:firstLine="480" w:firstLineChars="200"/>
              <w:rPr>
                <w:rFonts w:cs="宋体"/>
                <w:color w:val="auto"/>
              </w:rPr>
            </w:pPr>
            <w:r>
              <w:rPr>
                <w:rFonts w:hint="eastAsia" w:cs="宋体"/>
                <w:color w:val="auto"/>
              </w:rPr>
              <w:t>E.贮存设施所有者或运营者应建立贮存设施环境管理制度、管理人员岗位职责制度、设施运行操作制度、人员岗位培训制度等；</w:t>
            </w:r>
          </w:p>
          <w:p w14:paraId="7BE07892">
            <w:pPr>
              <w:ind w:firstLine="480" w:firstLineChars="200"/>
              <w:rPr>
                <w:rFonts w:cs="宋体"/>
                <w:color w:val="auto"/>
              </w:rPr>
            </w:pPr>
            <w:r>
              <w:rPr>
                <w:rFonts w:hint="eastAsia" w:cs="宋体"/>
                <w:color w:val="auto"/>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6D7E7844">
            <w:pPr>
              <w:ind w:firstLine="480" w:firstLineChars="200"/>
              <w:rPr>
                <w:rFonts w:cs="宋体"/>
                <w:color w:val="auto"/>
              </w:rPr>
            </w:pPr>
            <w:r>
              <w:rPr>
                <w:rFonts w:hint="eastAsia" w:cs="宋体"/>
                <w:color w:val="auto"/>
              </w:rPr>
              <w:t>G.贮存设施所有者或运营者应建立贮存设施全部档案，包括设计、施工、验收、运行、监测和环境应急等，应按国家有关档案管理的法律法规进行整理和归档。</w:t>
            </w:r>
          </w:p>
          <w:p w14:paraId="27D8BE6B">
            <w:pPr>
              <w:ind w:firstLine="482" w:firstLineChars="200"/>
              <w:rPr>
                <w:rFonts w:cs="宋体"/>
                <w:b/>
                <w:bCs/>
                <w:color w:val="auto"/>
              </w:rPr>
            </w:pPr>
            <w:r>
              <w:rPr>
                <w:rFonts w:hint="eastAsia" w:cs="宋体"/>
                <w:b/>
                <w:bCs/>
                <w:color w:val="auto"/>
              </w:rPr>
              <w:t>⑤污染物排放控制要求</w:t>
            </w:r>
          </w:p>
          <w:p w14:paraId="410DD022">
            <w:pPr>
              <w:ind w:firstLine="480" w:firstLineChars="200"/>
              <w:rPr>
                <w:rFonts w:cs="宋体"/>
                <w:color w:val="auto"/>
              </w:rPr>
            </w:pPr>
            <w:r>
              <w:rPr>
                <w:rFonts w:hint="eastAsia" w:cs="宋体"/>
                <w:color w:val="auto"/>
              </w:rPr>
              <w:t>A.</w:t>
            </w:r>
            <w:r>
              <w:rPr>
                <w:rFonts w:cs="宋体"/>
                <w:color w:val="auto"/>
              </w:rPr>
              <w:t>贮存设施产生的废水（包括贮存设施、作业设备、车辆等清洗废水，贮存罐区积存雨水，贮存事故废水等）应进行收集处理，废水排放应符合GB 8978规定的要求</w:t>
            </w:r>
            <w:r>
              <w:rPr>
                <w:rFonts w:hint="eastAsia" w:cs="宋体"/>
                <w:color w:val="auto"/>
              </w:rPr>
              <w:t>；</w:t>
            </w:r>
          </w:p>
          <w:p w14:paraId="49F68A35">
            <w:pPr>
              <w:ind w:firstLine="480" w:firstLineChars="200"/>
              <w:rPr>
                <w:rFonts w:cs="宋体"/>
                <w:color w:val="auto"/>
              </w:rPr>
            </w:pPr>
            <w:r>
              <w:rPr>
                <w:rFonts w:hint="eastAsia" w:cs="宋体"/>
                <w:color w:val="auto"/>
              </w:rPr>
              <w:t>B.</w:t>
            </w:r>
            <w:r>
              <w:rPr>
                <w:rFonts w:cs="宋体"/>
                <w:color w:val="auto"/>
              </w:rPr>
              <w:t>贮存设施产生的废气（含无组织废气）的排放应符合GB 16297和GB 37822规定的要求</w:t>
            </w:r>
            <w:r>
              <w:rPr>
                <w:rFonts w:hint="eastAsia" w:cs="宋体"/>
                <w:color w:val="auto"/>
              </w:rPr>
              <w:t>；</w:t>
            </w:r>
          </w:p>
          <w:p w14:paraId="1220F5A3">
            <w:pPr>
              <w:ind w:firstLine="480" w:firstLineChars="200"/>
              <w:rPr>
                <w:rFonts w:cs="宋体"/>
                <w:color w:val="auto"/>
              </w:rPr>
            </w:pPr>
            <w:r>
              <w:rPr>
                <w:rFonts w:hint="eastAsia" w:cs="宋体"/>
                <w:color w:val="auto"/>
              </w:rPr>
              <w:t>C.</w:t>
            </w:r>
            <w:r>
              <w:rPr>
                <w:rFonts w:cs="宋体"/>
                <w:color w:val="auto"/>
              </w:rPr>
              <w:t>贮存设施产生的恶臭气体的排放应符合GB 14554规定的要求</w:t>
            </w:r>
            <w:r>
              <w:rPr>
                <w:rFonts w:hint="eastAsia" w:cs="宋体"/>
                <w:color w:val="auto"/>
              </w:rPr>
              <w:t>；</w:t>
            </w:r>
          </w:p>
          <w:p w14:paraId="157C34A6">
            <w:pPr>
              <w:ind w:firstLine="480" w:firstLineChars="200"/>
              <w:rPr>
                <w:rFonts w:cs="宋体"/>
                <w:color w:val="auto"/>
              </w:rPr>
            </w:pPr>
            <w:r>
              <w:rPr>
                <w:rFonts w:hint="eastAsia" w:cs="宋体"/>
                <w:color w:val="auto"/>
              </w:rPr>
              <w:t>D.贮存设施内产生以及清理的固体废物应按固体废物分类管理要求妥善处理；</w:t>
            </w:r>
          </w:p>
          <w:p w14:paraId="58FC9441">
            <w:pPr>
              <w:ind w:firstLine="480" w:firstLineChars="200"/>
              <w:rPr>
                <w:rFonts w:cs="宋体"/>
                <w:color w:val="auto"/>
              </w:rPr>
            </w:pPr>
            <w:r>
              <w:rPr>
                <w:rFonts w:hint="eastAsia" w:cs="宋体"/>
                <w:color w:val="auto"/>
              </w:rPr>
              <w:t>E.贮存设施排放的环境噪声应符合GB 12348规定的要求。</w:t>
            </w:r>
          </w:p>
          <w:p w14:paraId="6CD0542F">
            <w:pPr>
              <w:ind w:firstLine="480" w:firstLineChars="200"/>
              <w:rPr>
                <w:rFonts w:cs="宋体"/>
                <w:b/>
                <w:bCs/>
                <w:color w:val="auto"/>
              </w:rPr>
            </w:pPr>
            <w:r>
              <w:rPr>
                <w:rFonts w:eastAsia="微软雅黑"/>
                <w:b/>
                <w:bCs/>
                <w:color w:val="auto"/>
              </w:rPr>
              <w:t>⑥</w:t>
            </w:r>
            <w:r>
              <w:rPr>
                <w:b/>
                <w:bCs/>
                <w:color w:val="auto"/>
              </w:rPr>
              <w:t>危险废物运</w:t>
            </w:r>
            <w:r>
              <w:rPr>
                <w:rFonts w:cs="宋体"/>
                <w:b/>
                <w:bCs/>
                <w:color w:val="auto"/>
              </w:rPr>
              <w:t>输过程环境管理要求</w:t>
            </w:r>
          </w:p>
          <w:p w14:paraId="0F3A6F5C">
            <w:pPr>
              <w:ind w:firstLine="480" w:firstLineChars="200"/>
              <w:rPr>
                <w:rFonts w:cs="宋体"/>
                <w:color w:val="auto"/>
              </w:rPr>
            </w:pPr>
            <w:r>
              <w:rPr>
                <w:rFonts w:cs="宋体"/>
                <w:color w:val="auto"/>
              </w:rPr>
              <w:t>危险废物在收集时，应清楚废物的类别及</w:t>
            </w:r>
            <w:r>
              <w:rPr>
                <w:rFonts w:hint="eastAsia" w:cs="宋体"/>
                <w:color w:val="auto"/>
              </w:rPr>
              <w:t>主要成分</w:t>
            </w:r>
            <w:r>
              <w:rPr>
                <w:rFonts w:cs="宋体"/>
                <w:color w:val="auto"/>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4FCEDFA2">
            <w:pPr>
              <w:ind w:firstLine="480" w:firstLineChars="200"/>
              <w:rPr>
                <w:rFonts w:cs="宋体"/>
                <w:color w:val="auto"/>
              </w:rPr>
            </w:pPr>
            <w:r>
              <w:rPr>
                <w:rFonts w:cs="宋体"/>
                <w:color w:val="auto"/>
              </w:rPr>
              <w:t>厂内转运时，危险废物产生后放入专门盛装危险废物的容器或防漏胶袋中，由带有防漏托盘的车辆转运至</w:t>
            </w:r>
            <w:r>
              <w:rPr>
                <w:rFonts w:hint="eastAsia" w:cs="宋体"/>
                <w:color w:val="auto"/>
              </w:rPr>
              <w:t>危险废物贮存间</w:t>
            </w:r>
            <w:r>
              <w:rPr>
                <w:rFonts w:cs="宋体"/>
                <w:color w:val="auto"/>
              </w:rPr>
              <w:t>，转运过程中由于人为操作失误造成的容器倒翻、胶袋破损等情况时，泄漏的危险废物大部分会进入托盘中，极少情况下会出现托盘满溢泄漏情况。由于本项目危险废物产生点距离厂内</w:t>
            </w:r>
            <w:r>
              <w:rPr>
                <w:rFonts w:hint="eastAsia" w:cs="宋体"/>
                <w:color w:val="auto"/>
              </w:rPr>
              <w:t>危险废物贮存间</w:t>
            </w:r>
            <w:r>
              <w:rPr>
                <w:rFonts w:cs="宋体"/>
                <w:color w:val="auto"/>
              </w:rPr>
              <w:t>较近，因此企业在加强管理的情况下，厂内转运过程中出现散落、泄漏概率很小，不会产生二次污染。</w:t>
            </w:r>
          </w:p>
          <w:p w14:paraId="4E662111">
            <w:pPr>
              <w:pStyle w:val="3"/>
              <w:spacing w:before="0" w:after="0"/>
              <w:rPr>
                <w:color w:val="auto"/>
              </w:rPr>
            </w:pPr>
            <w:r>
              <w:rPr>
                <w:color w:val="auto"/>
              </w:rPr>
              <w:t>4.</w:t>
            </w:r>
            <w:r>
              <w:rPr>
                <w:rFonts w:hint="eastAsia"/>
                <w:color w:val="auto"/>
              </w:rPr>
              <w:t>5</w:t>
            </w:r>
            <w:r>
              <w:rPr>
                <w:color w:val="auto"/>
              </w:rPr>
              <w:t>地下水、土壤环境防控措施</w:t>
            </w:r>
          </w:p>
          <w:p w14:paraId="3F0F7380">
            <w:pPr>
              <w:pStyle w:val="4"/>
              <w:ind w:firstLine="0" w:firstLineChars="0"/>
              <w:rPr>
                <w:color w:val="auto"/>
              </w:rPr>
            </w:pPr>
            <w:r>
              <w:rPr>
                <w:rFonts w:hint="eastAsia"/>
                <w:color w:val="auto"/>
              </w:rPr>
              <w:t>4.5.1</w:t>
            </w:r>
            <w:r>
              <w:rPr>
                <w:color w:val="auto"/>
              </w:rPr>
              <w:t>防渗措施</w:t>
            </w:r>
          </w:p>
          <w:p w14:paraId="4ECEC5AC">
            <w:pPr>
              <w:ind w:firstLine="480" w:firstLineChars="200"/>
              <w:rPr>
                <w:rFonts w:cs="宋体"/>
                <w:color w:val="auto"/>
              </w:rPr>
            </w:pPr>
            <w:r>
              <w:rPr>
                <w:rFonts w:hint="eastAsia" w:cs="宋体"/>
                <w:color w:val="auto"/>
              </w:rPr>
              <w:t>（1）</w:t>
            </w:r>
            <w:r>
              <w:rPr>
                <w:rFonts w:cs="宋体"/>
                <w:color w:val="auto"/>
              </w:rPr>
              <w:t>合理进行防渗区域划分</w:t>
            </w:r>
          </w:p>
          <w:p w14:paraId="6D823EF5">
            <w:pPr>
              <w:ind w:firstLine="480" w:firstLineChars="200"/>
              <w:rPr>
                <w:rFonts w:cs="宋体"/>
                <w:color w:val="auto"/>
              </w:rPr>
            </w:pPr>
            <w:r>
              <w:rPr>
                <w:rFonts w:cs="宋体"/>
                <w:color w:val="auto"/>
              </w:rPr>
              <w:t>本项目位于</w:t>
            </w:r>
            <w:r>
              <w:rPr>
                <w:rFonts w:hint="eastAsia" w:cs="宋体"/>
                <w:color w:val="auto"/>
              </w:rPr>
              <w:t>福建省闽侯县南屿镇智慧大道20号保利通信福州高新科技产业园13号楼</w:t>
            </w:r>
            <w:r>
              <w:rPr>
                <w:rFonts w:cs="宋体"/>
                <w:color w:val="auto"/>
              </w:rPr>
              <w:t>，</w:t>
            </w:r>
            <w:r>
              <w:rPr>
                <w:rFonts w:hint="eastAsia" w:cs="宋体"/>
                <w:color w:val="auto"/>
              </w:rPr>
              <w:t>本项目涉及生产废水的产生与排放，产生的固体废物主要包括一般工业固体废物和危险废物。生产废水的排放、危险废物的产生和贮存存在对地下水和土壤污染途径。根据《环境影响评价技术导则 地下水环境》（HJ610-2016）以及结合</w:t>
            </w:r>
            <w:r>
              <w:rPr>
                <w:rFonts w:cs="宋体"/>
                <w:color w:val="auto"/>
              </w:rPr>
              <w:t>实际情况考虑根据本项目厂区可能泄漏至地面区域污染物的性质和生产单元的构筑方式，将厂区划分为一般污染防治区</w:t>
            </w:r>
            <w:r>
              <w:rPr>
                <w:rFonts w:hint="eastAsia" w:cs="宋体"/>
                <w:color w:val="auto"/>
              </w:rPr>
              <w:t>和重点污染防治区</w:t>
            </w:r>
            <w:r>
              <w:rPr>
                <w:rFonts w:cs="宋体"/>
                <w:color w:val="auto"/>
              </w:rPr>
              <w:t>，</w:t>
            </w:r>
            <w:r>
              <w:rPr>
                <w:rFonts w:hint="eastAsia" w:cs="宋体"/>
                <w:color w:val="auto"/>
              </w:rPr>
              <w:t>并</w:t>
            </w:r>
            <w:r>
              <w:rPr>
                <w:rFonts w:cs="宋体"/>
                <w:color w:val="auto"/>
              </w:rPr>
              <w:t>提出相应的防渗要求。结合项目的特点，项目防渗防治分区见表4.5-1。</w:t>
            </w:r>
          </w:p>
          <w:p w14:paraId="38B6374A">
            <w:pPr>
              <w:adjustRightInd w:val="0"/>
              <w:snapToGrid w:val="0"/>
              <w:spacing w:line="240" w:lineRule="auto"/>
              <w:jc w:val="center"/>
              <w:rPr>
                <w:b/>
                <w:color w:val="auto"/>
                <w:kern w:val="0"/>
                <w:szCs w:val="20"/>
              </w:rPr>
            </w:pPr>
            <w:r>
              <w:rPr>
                <w:b/>
                <w:color w:val="auto"/>
                <w:kern w:val="0"/>
                <w:szCs w:val="20"/>
              </w:rPr>
              <w:t>表4.</w:t>
            </w:r>
            <w:r>
              <w:rPr>
                <w:rFonts w:hint="eastAsia"/>
                <w:b/>
                <w:color w:val="auto"/>
                <w:kern w:val="0"/>
                <w:szCs w:val="20"/>
              </w:rPr>
              <w:t>5</w:t>
            </w:r>
            <w:r>
              <w:rPr>
                <w:b/>
                <w:color w:val="auto"/>
                <w:kern w:val="0"/>
                <w:szCs w:val="20"/>
              </w:rPr>
              <w:t>-1</w:t>
            </w:r>
            <w:r>
              <w:rPr>
                <w:rFonts w:hint="eastAsia"/>
                <w:b/>
                <w:color w:val="auto"/>
                <w:kern w:val="0"/>
                <w:szCs w:val="20"/>
              </w:rPr>
              <w:t xml:space="preserve">  地下水、</w:t>
            </w:r>
            <w:r>
              <w:rPr>
                <w:b/>
                <w:color w:val="auto"/>
                <w:kern w:val="0"/>
                <w:szCs w:val="20"/>
              </w:rPr>
              <w:t>土壤污染防治分区一览表</w:t>
            </w:r>
          </w:p>
          <w:tbl>
            <w:tblPr>
              <w:tblStyle w:val="30"/>
              <w:tblW w:w="791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56"/>
              <w:gridCol w:w="814"/>
              <w:gridCol w:w="3457"/>
              <w:gridCol w:w="1486"/>
            </w:tblGrid>
            <w:tr w14:paraId="6A7CE5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2156" w:type="dxa"/>
                  <w:tcBorders>
                    <w:top w:val="single" w:color="auto" w:sz="12" w:space="0"/>
                    <w:left w:val="nil"/>
                  </w:tcBorders>
                  <w:vAlign w:val="center"/>
                </w:tcPr>
                <w:p w14:paraId="4173D625">
                  <w:pPr>
                    <w:adjustRightInd w:val="0"/>
                    <w:snapToGrid w:val="0"/>
                    <w:spacing w:before="24" w:beforeLines="10" w:after="24" w:afterLines="10" w:line="240" w:lineRule="auto"/>
                    <w:jc w:val="center"/>
                    <w:rPr>
                      <w:color w:val="auto"/>
                      <w:kern w:val="0"/>
                      <w:sz w:val="21"/>
                      <w:szCs w:val="20"/>
                    </w:rPr>
                  </w:pPr>
                  <w:r>
                    <w:rPr>
                      <w:color w:val="auto"/>
                      <w:kern w:val="0"/>
                      <w:sz w:val="21"/>
                      <w:szCs w:val="20"/>
                    </w:rPr>
                    <w:t>防治分区</w:t>
                  </w:r>
                </w:p>
              </w:tc>
              <w:tc>
                <w:tcPr>
                  <w:tcW w:w="814" w:type="dxa"/>
                  <w:tcBorders>
                    <w:top w:val="single" w:color="auto" w:sz="12" w:space="0"/>
                  </w:tcBorders>
                  <w:vAlign w:val="center"/>
                </w:tcPr>
                <w:p w14:paraId="13EB0F21">
                  <w:pPr>
                    <w:adjustRightInd w:val="0"/>
                    <w:snapToGrid w:val="0"/>
                    <w:spacing w:before="24" w:beforeLines="10" w:after="24" w:afterLines="10" w:line="240" w:lineRule="auto"/>
                    <w:jc w:val="center"/>
                    <w:rPr>
                      <w:color w:val="auto"/>
                      <w:kern w:val="0"/>
                      <w:sz w:val="21"/>
                      <w:szCs w:val="20"/>
                    </w:rPr>
                  </w:pPr>
                  <w:r>
                    <w:rPr>
                      <w:color w:val="auto"/>
                      <w:kern w:val="0"/>
                      <w:sz w:val="21"/>
                      <w:szCs w:val="20"/>
                    </w:rPr>
                    <w:t>序号</w:t>
                  </w:r>
                </w:p>
              </w:tc>
              <w:tc>
                <w:tcPr>
                  <w:tcW w:w="3457" w:type="dxa"/>
                  <w:tcBorders>
                    <w:top w:val="single" w:color="auto" w:sz="12" w:space="0"/>
                  </w:tcBorders>
                  <w:vAlign w:val="center"/>
                </w:tcPr>
                <w:p w14:paraId="3BB0159E">
                  <w:pPr>
                    <w:adjustRightInd w:val="0"/>
                    <w:snapToGrid w:val="0"/>
                    <w:spacing w:before="24" w:beforeLines="10" w:after="24" w:afterLines="10" w:line="240" w:lineRule="auto"/>
                    <w:jc w:val="center"/>
                    <w:rPr>
                      <w:color w:val="auto"/>
                      <w:kern w:val="0"/>
                      <w:sz w:val="21"/>
                      <w:szCs w:val="20"/>
                    </w:rPr>
                  </w:pPr>
                  <w:r>
                    <w:rPr>
                      <w:color w:val="auto"/>
                      <w:kern w:val="0"/>
                      <w:sz w:val="21"/>
                      <w:szCs w:val="20"/>
                    </w:rPr>
                    <w:t>装置或者构筑物名称</w:t>
                  </w:r>
                </w:p>
              </w:tc>
              <w:tc>
                <w:tcPr>
                  <w:tcW w:w="1486" w:type="dxa"/>
                  <w:tcBorders>
                    <w:top w:val="single" w:color="auto" w:sz="12" w:space="0"/>
                    <w:right w:val="nil"/>
                  </w:tcBorders>
                  <w:vAlign w:val="center"/>
                </w:tcPr>
                <w:p w14:paraId="6D3A23D0">
                  <w:pPr>
                    <w:adjustRightInd w:val="0"/>
                    <w:snapToGrid w:val="0"/>
                    <w:spacing w:before="24" w:beforeLines="10" w:after="24" w:afterLines="10" w:line="240" w:lineRule="auto"/>
                    <w:jc w:val="center"/>
                    <w:rPr>
                      <w:color w:val="auto"/>
                      <w:kern w:val="0"/>
                      <w:sz w:val="21"/>
                      <w:szCs w:val="20"/>
                    </w:rPr>
                  </w:pPr>
                  <w:r>
                    <w:rPr>
                      <w:color w:val="auto"/>
                      <w:kern w:val="0"/>
                      <w:sz w:val="21"/>
                      <w:szCs w:val="20"/>
                    </w:rPr>
                    <w:t>防渗区域</w:t>
                  </w:r>
                </w:p>
              </w:tc>
            </w:tr>
            <w:tr w14:paraId="43BC14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2156" w:type="dxa"/>
                  <w:tcBorders>
                    <w:left w:val="nil"/>
                  </w:tcBorders>
                  <w:vAlign w:val="center"/>
                </w:tcPr>
                <w:p w14:paraId="547BC64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重点污染防治区</w:t>
                  </w:r>
                </w:p>
              </w:tc>
              <w:tc>
                <w:tcPr>
                  <w:tcW w:w="814" w:type="dxa"/>
                  <w:vAlign w:val="center"/>
                </w:tcPr>
                <w:p w14:paraId="2B7310B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w:t>
                  </w:r>
                </w:p>
              </w:tc>
              <w:tc>
                <w:tcPr>
                  <w:tcW w:w="3457" w:type="dxa"/>
                  <w:vAlign w:val="center"/>
                </w:tcPr>
                <w:p w14:paraId="78547A9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危险废物贮存间、原材料仓库等</w:t>
                  </w:r>
                </w:p>
              </w:tc>
              <w:tc>
                <w:tcPr>
                  <w:tcW w:w="1486" w:type="dxa"/>
                  <w:tcBorders>
                    <w:right w:val="nil"/>
                  </w:tcBorders>
                  <w:vAlign w:val="center"/>
                </w:tcPr>
                <w:p w14:paraId="5BF0E63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车间地面</w:t>
                  </w:r>
                </w:p>
              </w:tc>
            </w:tr>
            <w:tr w14:paraId="7C90A9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atLeast"/>
                <w:jc w:val="center"/>
              </w:trPr>
              <w:tc>
                <w:tcPr>
                  <w:tcW w:w="2156" w:type="dxa"/>
                  <w:tcBorders>
                    <w:left w:val="nil"/>
                    <w:bottom w:val="single" w:color="auto" w:sz="12" w:space="0"/>
                  </w:tcBorders>
                  <w:vAlign w:val="center"/>
                </w:tcPr>
                <w:p w14:paraId="2169B5DB">
                  <w:pPr>
                    <w:adjustRightInd w:val="0"/>
                    <w:snapToGrid w:val="0"/>
                    <w:spacing w:before="24" w:beforeLines="10" w:after="24" w:afterLines="10" w:line="240" w:lineRule="auto"/>
                    <w:jc w:val="center"/>
                    <w:rPr>
                      <w:color w:val="auto"/>
                      <w:kern w:val="0"/>
                      <w:sz w:val="21"/>
                      <w:szCs w:val="20"/>
                    </w:rPr>
                  </w:pPr>
                  <w:r>
                    <w:rPr>
                      <w:color w:val="auto"/>
                      <w:kern w:val="0"/>
                      <w:sz w:val="21"/>
                      <w:szCs w:val="20"/>
                    </w:rPr>
                    <w:t>一般污染防治区</w:t>
                  </w:r>
                </w:p>
              </w:tc>
              <w:tc>
                <w:tcPr>
                  <w:tcW w:w="814" w:type="dxa"/>
                  <w:tcBorders>
                    <w:bottom w:val="single" w:color="auto" w:sz="12" w:space="0"/>
                  </w:tcBorders>
                  <w:vAlign w:val="center"/>
                </w:tcPr>
                <w:p w14:paraId="6F7254DE">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2</w:t>
                  </w:r>
                </w:p>
              </w:tc>
              <w:tc>
                <w:tcPr>
                  <w:tcW w:w="3457" w:type="dxa"/>
                  <w:tcBorders>
                    <w:bottom w:val="single" w:color="auto" w:sz="12" w:space="0"/>
                  </w:tcBorders>
                  <w:vAlign w:val="center"/>
                </w:tcPr>
                <w:p w14:paraId="102EBF5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项目生产车间</w:t>
                  </w:r>
                </w:p>
              </w:tc>
              <w:tc>
                <w:tcPr>
                  <w:tcW w:w="1486" w:type="dxa"/>
                  <w:tcBorders>
                    <w:bottom w:val="single" w:color="auto" w:sz="12" w:space="0"/>
                    <w:right w:val="nil"/>
                  </w:tcBorders>
                  <w:vAlign w:val="center"/>
                </w:tcPr>
                <w:p w14:paraId="6C6F154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车间</w:t>
                  </w:r>
                  <w:r>
                    <w:rPr>
                      <w:color w:val="auto"/>
                      <w:kern w:val="0"/>
                      <w:sz w:val="21"/>
                      <w:szCs w:val="20"/>
                    </w:rPr>
                    <w:t>地面</w:t>
                  </w:r>
                </w:p>
              </w:tc>
            </w:tr>
          </w:tbl>
          <w:p w14:paraId="54D3AE41">
            <w:pPr>
              <w:ind w:firstLine="480" w:firstLineChars="200"/>
              <w:rPr>
                <w:rFonts w:cs="宋体"/>
                <w:color w:val="auto"/>
              </w:rPr>
            </w:pPr>
            <w:r>
              <w:rPr>
                <w:rFonts w:hint="eastAsia" w:cs="宋体"/>
                <w:color w:val="auto"/>
              </w:rPr>
              <w:t>（2）防渗要求</w:t>
            </w:r>
          </w:p>
          <w:p w14:paraId="57D0E6A1">
            <w:pPr>
              <w:ind w:firstLine="480" w:firstLineChars="200"/>
              <w:rPr>
                <w:rFonts w:cs="宋体"/>
                <w:color w:val="auto"/>
              </w:rPr>
            </w:pPr>
            <w:r>
              <w:rPr>
                <w:rFonts w:cs="宋体"/>
                <w:color w:val="auto"/>
              </w:rPr>
              <w:t>重点污染区防渗要求：根据《环境影响评价技术导则地下水环境》（HJ610-2016）的要求，重点防治区的防渗性能应等效黏土防渗层≥6.0m，渗透系数≤1.0×10</w:t>
            </w:r>
            <w:r>
              <w:rPr>
                <w:rFonts w:cs="宋体"/>
                <w:color w:val="auto"/>
                <w:vertAlign w:val="superscript"/>
              </w:rPr>
              <w:t>-7</w:t>
            </w:r>
            <w:r>
              <w:rPr>
                <w:rFonts w:cs="宋体"/>
                <w:color w:val="auto"/>
              </w:rPr>
              <w:t>cm/s。危险废物</w:t>
            </w:r>
            <w:r>
              <w:rPr>
                <w:rFonts w:hint="eastAsia" w:cs="宋体"/>
                <w:color w:val="auto"/>
              </w:rPr>
              <w:t>贮存间</w:t>
            </w:r>
            <w:r>
              <w:rPr>
                <w:rFonts w:cs="宋体"/>
                <w:color w:val="auto"/>
              </w:rPr>
              <w:t>重点防渗区应按照《危险废物污染防治技术政策》</w:t>
            </w:r>
            <w:r>
              <w:rPr>
                <w:rFonts w:hint="eastAsia" w:cs="宋体"/>
                <w:color w:val="auto"/>
              </w:rPr>
              <w:t>及</w:t>
            </w:r>
            <w:r>
              <w:rPr>
                <w:rFonts w:cs="宋体"/>
                <w:color w:val="auto"/>
              </w:rPr>
              <w:t>《危险废物贮存污染控制标准》</w:t>
            </w:r>
            <w:r>
              <w:rPr>
                <w:rFonts w:hint="eastAsia" w:cs="宋体"/>
                <w:color w:val="auto"/>
              </w:rPr>
              <w:t>（</w:t>
            </w:r>
            <w:r>
              <w:rPr>
                <w:rFonts w:cs="宋体"/>
                <w:color w:val="auto"/>
              </w:rPr>
              <w:t>GB18597-20</w:t>
            </w:r>
            <w:r>
              <w:rPr>
                <w:rFonts w:hint="eastAsia" w:cs="宋体"/>
                <w:color w:val="auto"/>
              </w:rPr>
              <w:t>23）</w:t>
            </w:r>
            <w:r>
              <w:rPr>
                <w:rFonts w:cs="宋体"/>
                <w:color w:val="auto"/>
              </w:rPr>
              <w:t>等危险废物处理的相关标准、法律法规的要求。</w:t>
            </w:r>
          </w:p>
          <w:p w14:paraId="042C815D">
            <w:pPr>
              <w:ind w:firstLine="480" w:firstLineChars="200"/>
              <w:rPr>
                <w:rFonts w:cs="宋体"/>
                <w:color w:val="auto"/>
              </w:rPr>
            </w:pPr>
            <w:r>
              <w:rPr>
                <w:rFonts w:hint="eastAsia" w:cs="宋体"/>
                <w:color w:val="auto"/>
              </w:rPr>
              <w:t>一般污染防治区防渗要求：</w:t>
            </w:r>
            <w:r>
              <w:rPr>
                <w:rFonts w:cs="宋体"/>
                <w:color w:val="auto"/>
              </w:rPr>
              <w:t>根据《环境影响评价技术导则地下水环境》（HJ610-2016）的要求，</w:t>
            </w:r>
            <w:r>
              <w:rPr>
                <w:rFonts w:hint="eastAsia" w:cs="宋体"/>
                <w:color w:val="auto"/>
              </w:rPr>
              <w:t>等效黏土防渗层Mb≥1.5m，K≤1.0×10</w:t>
            </w:r>
            <w:r>
              <w:rPr>
                <w:rFonts w:hint="eastAsia" w:cs="宋体"/>
                <w:color w:val="auto"/>
                <w:vertAlign w:val="superscript"/>
              </w:rPr>
              <w:t>-7</w:t>
            </w:r>
            <w:r>
              <w:rPr>
                <w:rFonts w:hint="eastAsia" w:cs="宋体"/>
                <w:color w:val="auto"/>
              </w:rPr>
              <w:t>cm/s；或参照《生活垃圾填埋场污染控制标准》（GB 16889-2008）执行。</w:t>
            </w:r>
          </w:p>
          <w:p w14:paraId="3A6B7C37">
            <w:pPr>
              <w:pStyle w:val="4"/>
              <w:ind w:firstLine="0" w:firstLineChars="0"/>
              <w:rPr>
                <w:color w:val="auto"/>
              </w:rPr>
            </w:pPr>
            <w:r>
              <w:rPr>
                <w:rFonts w:hint="eastAsia"/>
                <w:color w:val="auto"/>
              </w:rPr>
              <w:t>4.5.2监控措施</w:t>
            </w:r>
          </w:p>
          <w:p w14:paraId="488922FF">
            <w:pPr>
              <w:ind w:firstLine="480" w:firstLineChars="200"/>
              <w:rPr>
                <w:rFonts w:cs="宋体"/>
                <w:color w:val="auto"/>
              </w:rPr>
            </w:pPr>
            <w:r>
              <w:rPr>
                <w:rFonts w:hint="eastAsia" w:cs="宋体"/>
                <w:color w:val="auto"/>
              </w:rPr>
              <w:t>（1）项目危险废物贮存间等四周建设导流沟装置，防止危险废物等泄漏时四处扩散，并可</w:t>
            </w:r>
            <w:r>
              <w:rPr>
                <w:rFonts w:cs="宋体"/>
                <w:color w:val="auto"/>
              </w:rPr>
              <w:t>及时移除或者清理污染源</w:t>
            </w:r>
            <w:r>
              <w:rPr>
                <w:rFonts w:hint="eastAsia" w:cs="宋体"/>
                <w:color w:val="auto"/>
              </w:rPr>
              <w:t>；</w:t>
            </w:r>
          </w:p>
          <w:p w14:paraId="50106262">
            <w:pPr>
              <w:ind w:firstLine="480" w:firstLineChars="200"/>
              <w:rPr>
                <w:rFonts w:cs="宋体"/>
                <w:color w:val="auto"/>
              </w:rPr>
            </w:pPr>
            <w:r>
              <w:rPr>
                <w:rFonts w:hint="eastAsia" w:cs="宋体"/>
                <w:color w:val="auto"/>
              </w:rPr>
              <w:t>（2）建立健全环境管理和监测制度，保证各环保设施正常运转，同时强化风险防范意识，如遇环保设施不能正常运转，应立即停产检修；</w:t>
            </w:r>
          </w:p>
          <w:p w14:paraId="1F9B29F6">
            <w:pPr>
              <w:ind w:firstLine="480" w:firstLineChars="200"/>
              <w:rPr>
                <w:rFonts w:cs="宋体"/>
                <w:color w:val="auto"/>
              </w:rPr>
            </w:pPr>
            <w:r>
              <w:rPr>
                <w:rFonts w:hint="eastAsia" w:cs="宋体"/>
                <w:color w:val="auto"/>
              </w:rPr>
              <w:t>（3）若发生危险废物泄漏等，必要时委托有资质的单位对厂址周边地下水、土壤等进行跟踪监测，掌握厂址周边污染变化趋势。</w:t>
            </w:r>
          </w:p>
          <w:p w14:paraId="1EA58C79">
            <w:pPr>
              <w:ind w:firstLine="480" w:firstLineChars="200"/>
              <w:rPr>
                <w:rFonts w:cs="宋体"/>
                <w:color w:val="auto"/>
              </w:rPr>
            </w:pPr>
            <w:r>
              <w:rPr>
                <w:rFonts w:hint="eastAsia" w:cs="宋体"/>
                <w:color w:val="auto"/>
              </w:rPr>
              <w:t>（4）在今后的生产活动中，做好设备的维护、检修，杜绝跑、冒、滴、漏现象。同时，加强污染物产生主要环节的收集治理，加强厂区的安全防护、环境风险防范措施，以便及时发现事故隐患，及时采取有效的应对措施。</w:t>
            </w:r>
          </w:p>
          <w:p w14:paraId="500ACA15">
            <w:pPr>
              <w:ind w:firstLine="480" w:firstLineChars="200"/>
              <w:rPr>
                <w:rFonts w:cs="宋体"/>
                <w:color w:val="auto"/>
              </w:rPr>
            </w:pPr>
            <w:r>
              <w:rPr>
                <w:rFonts w:hint="eastAsia" w:cs="宋体"/>
                <w:color w:val="auto"/>
              </w:rPr>
              <w:t>（5）项目生产经营用地的用途变更或者在其土地使用权收回、转让前，应当由土地使用权人按照规定进行土壤污染状况调查。</w:t>
            </w:r>
          </w:p>
          <w:p w14:paraId="48F77673">
            <w:pPr>
              <w:pStyle w:val="4"/>
              <w:ind w:firstLine="0" w:firstLineChars="0"/>
              <w:rPr>
                <w:color w:val="auto"/>
              </w:rPr>
            </w:pPr>
            <w:r>
              <w:rPr>
                <w:color w:val="auto"/>
              </w:rPr>
              <w:t>4.</w:t>
            </w:r>
            <w:r>
              <w:rPr>
                <w:rFonts w:hint="eastAsia"/>
                <w:color w:val="auto"/>
              </w:rPr>
              <w:t>5</w:t>
            </w:r>
            <w:r>
              <w:rPr>
                <w:color w:val="auto"/>
              </w:rPr>
              <w:t>.</w:t>
            </w:r>
            <w:r>
              <w:rPr>
                <w:rFonts w:hint="eastAsia"/>
                <w:color w:val="auto"/>
              </w:rPr>
              <w:t>3</w:t>
            </w:r>
            <w:r>
              <w:rPr>
                <w:color w:val="auto"/>
              </w:rPr>
              <w:t>监测要求</w:t>
            </w:r>
          </w:p>
          <w:p w14:paraId="5887E60E">
            <w:pPr>
              <w:ind w:firstLine="480" w:firstLineChars="200"/>
              <w:rPr>
                <w:rFonts w:cs="宋体"/>
                <w:color w:val="auto"/>
              </w:rPr>
            </w:pPr>
            <w:r>
              <w:rPr>
                <w:rFonts w:cs="宋体"/>
                <w:color w:val="auto"/>
              </w:rPr>
              <w:t>根据《建设项目环境影响报告表编制技术指南</w:t>
            </w:r>
            <w:r>
              <w:rPr>
                <w:rFonts w:hint="eastAsia" w:cs="宋体"/>
                <w:color w:val="auto"/>
              </w:rPr>
              <w:t>（</w:t>
            </w:r>
            <w:r>
              <w:rPr>
                <w:rFonts w:cs="宋体"/>
                <w:color w:val="auto"/>
              </w:rPr>
              <w:t>污染影响类</w:t>
            </w:r>
            <w:r>
              <w:rPr>
                <w:rFonts w:hint="eastAsia" w:cs="宋体"/>
                <w:color w:val="auto"/>
              </w:rPr>
              <w:t>）（</w:t>
            </w:r>
            <w:r>
              <w:rPr>
                <w:rFonts w:cs="宋体"/>
                <w:color w:val="auto"/>
              </w:rPr>
              <w:t>试行</w:t>
            </w:r>
            <w:r>
              <w:rPr>
                <w:rFonts w:hint="eastAsia" w:cs="宋体"/>
                <w:color w:val="auto"/>
              </w:rPr>
              <w:t>）</w:t>
            </w:r>
            <w:r>
              <w:rPr>
                <w:rFonts w:cs="宋体"/>
                <w:color w:val="auto"/>
              </w:rPr>
              <w:t>》规定，</w:t>
            </w:r>
            <w:r>
              <w:rPr>
                <w:rFonts w:hint="eastAsia" w:cs="宋体"/>
                <w:color w:val="auto"/>
                <w:lang w:eastAsia="zh-CN"/>
              </w:rPr>
              <w:t>“</w:t>
            </w:r>
            <w:r>
              <w:rPr>
                <w:rFonts w:cs="宋体"/>
                <w:color w:val="auto"/>
              </w:rPr>
              <w:t>原则上不开展环境质量现状调查。建设项目存在土壤、地下水环境污染途径的，应结合污染源、保护目标分布情况开展现状调查以留作背景值</w:t>
            </w:r>
            <w:r>
              <w:rPr>
                <w:rFonts w:hint="eastAsia" w:cs="宋体"/>
                <w:color w:val="auto"/>
                <w:lang w:eastAsia="zh-CN"/>
              </w:rPr>
              <w:t>”</w:t>
            </w:r>
            <w:r>
              <w:rPr>
                <w:rFonts w:cs="宋体"/>
                <w:color w:val="auto"/>
              </w:rPr>
              <w:t>。</w:t>
            </w:r>
            <w:r>
              <w:rPr>
                <w:rFonts w:hint="eastAsia" w:cs="宋体"/>
                <w:color w:val="auto"/>
              </w:rPr>
              <w:t>根据《环境影响评价技术导则 地下水环境》（HJ610-2016）附录A，建设项目所属的地下水环境影响评价项目类别为：</w:t>
            </w:r>
            <w:r>
              <w:rPr>
                <w:color w:val="auto"/>
              </w:rPr>
              <w:t>Ⅳ</w:t>
            </w:r>
            <w:r>
              <w:rPr>
                <w:rFonts w:hint="eastAsia" w:cs="宋体"/>
                <w:color w:val="auto"/>
              </w:rPr>
              <w:t>类，详见表4.5-2；根据《环境影响评价技术导则 土壤环境（试行）》（HJ964-2018）附录A，本项目土壤环境影响评价项目类别为：</w:t>
            </w:r>
            <w:r>
              <w:rPr>
                <w:color w:val="auto"/>
              </w:rPr>
              <w:t>Ⅳ</w:t>
            </w:r>
            <w:r>
              <w:rPr>
                <w:rFonts w:hint="eastAsia" w:cs="宋体"/>
                <w:color w:val="auto"/>
              </w:rPr>
              <w:t>类，详见表4.5-3。</w:t>
            </w:r>
          </w:p>
          <w:p w14:paraId="70917D7A">
            <w:pPr>
              <w:adjustRightInd w:val="0"/>
              <w:snapToGrid w:val="0"/>
              <w:spacing w:line="240" w:lineRule="auto"/>
              <w:jc w:val="center"/>
              <w:rPr>
                <w:b/>
                <w:color w:val="auto"/>
                <w:kern w:val="0"/>
                <w:szCs w:val="20"/>
              </w:rPr>
            </w:pPr>
            <w:r>
              <w:rPr>
                <w:rFonts w:hint="eastAsia"/>
                <w:b/>
                <w:color w:val="auto"/>
                <w:kern w:val="0"/>
                <w:szCs w:val="20"/>
              </w:rPr>
              <w:t>表4.5-2  地下水环境影响评价行业分类表</w:t>
            </w:r>
          </w:p>
          <w:tbl>
            <w:tblPr>
              <w:tblStyle w:val="31"/>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4"/>
              <w:gridCol w:w="1595"/>
              <w:gridCol w:w="1595"/>
              <w:gridCol w:w="1595"/>
              <w:gridCol w:w="1595"/>
            </w:tblGrid>
            <w:tr w14:paraId="1C32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vMerge w:val="restart"/>
                  <w:tcBorders>
                    <w:top w:val="single" w:color="auto" w:sz="12" w:space="0"/>
                    <w:left w:val="nil"/>
                    <w:tl2br w:val="single" w:color="auto" w:sz="4" w:space="0"/>
                  </w:tcBorders>
                  <w:vAlign w:val="center"/>
                </w:tcPr>
                <w:p w14:paraId="18879BB9">
                  <w:pPr>
                    <w:adjustRightInd w:val="0"/>
                    <w:snapToGrid w:val="0"/>
                    <w:spacing w:before="24" w:beforeLines="10" w:after="24" w:afterLines="10" w:line="240" w:lineRule="auto"/>
                    <w:jc w:val="right"/>
                    <w:rPr>
                      <w:color w:val="auto"/>
                      <w:kern w:val="0"/>
                      <w:sz w:val="21"/>
                      <w:szCs w:val="20"/>
                    </w:rPr>
                  </w:pPr>
                  <w:r>
                    <w:rPr>
                      <w:rFonts w:hint="eastAsia"/>
                      <w:color w:val="auto"/>
                      <w:kern w:val="0"/>
                      <w:sz w:val="21"/>
                      <w:szCs w:val="20"/>
                    </w:rPr>
                    <w:t>环评类别</w:t>
                  </w:r>
                </w:p>
                <w:p w14:paraId="256DB8FD">
                  <w:pPr>
                    <w:adjustRightInd w:val="0"/>
                    <w:snapToGrid w:val="0"/>
                    <w:spacing w:before="24" w:beforeLines="10" w:after="24" w:afterLines="10" w:line="240" w:lineRule="auto"/>
                    <w:jc w:val="left"/>
                    <w:rPr>
                      <w:color w:val="auto"/>
                      <w:kern w:val="0"/>
                      <w:sz w:val="21"/>
                      <w:szCs w:val="20"/>
                    </w:rPr>
                  </w:pPr>
                  <w:r>
                    <w:rPr>
                      <w:rFonts w:hint="eastAsia"/>
                      <w:color w:val="auto"/>
                      <w:kern w:val="0"/>
                      <w:sz w:val="21"/>
                      <w:szCs w:val="20"/>
                    </w:rPr>
                    <w:t>行业类别</w:t>
                  </w:r>
                </w:p>
              </w:tc>
              <w:tc>
                <w:tcPr>
                  <w:tcW w:w="1595" w:type="dxa"/>
                  <w:vMerge w:val="restart"/>
                  <w:tcBorders>
                    <w:top w:val="single" w:color="auto" w:sz="12" w:space="0"/>
                  </w:tcBorders>
                  <w:vAlign w:val="center"/>
                </w:tcPr>
                <w:p w14:paraId="7D5E7EE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报告书</w:t>
                  </w:r>
                </w:p>
              </w:tc>
              <w:tc>
                <w:tcPr>
                  <w:tcW w:w="1595" w:type="dxa"/>
                  <w:vMerge w:val="restart"/>
                  <w:tcBorders>
                    <w:top w:val="single" w:color="auto" w:sz="12" w:space="0"/>
                  </w:tcBorders>
                  <w:vAlign w:val="center"/>
                </w:tcPr>
                <w:p w14:paraId="2D37383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报告表</w:t>
                  </w:r>
                </w:p>
              </w:tc>
              <w:tc>
                <w:tcPr>
                  <w:tcW w:w="3190" w:type="dxa"/>
                  <w:gridSpan w:val="2"/>
                  <w:tcBorders>
                    <w:top w:val="single" w:color="auto" w:sz="12" w:space="0"/>
                    <w:right w:val="nil"/>
                  </w:tcBorders>
                  <w:vAlign w:val="center"/>
                </w:tcPr>
                <w:p w14:paraId="3A7456C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地下水环境影响评价项目类别</w:t>
                  </w:r>
                </w:p>
              </w:tc>
            </w:tr>
            <w:tr w14:paraId="308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vMerge w:val="continue"/>
                  <w:tcBorders>
                    <w:left w:val="nil"/>
                  </w:tcBorders>
                  <w:vAlign w:val="center"/>
                </w:tcPr>
                <w:p w14:paraId="599E3B46">
                  <w:pPr>
                    <w:adjustRightInd w:val="0"/>
                    <w:snapToGrid w:val="0"/>
                    <w:spacing w:before="24" w:beforeLines="10" w:after="24" w:afterLines="10" w:line="240" w:lineRule="auto"/>
                    <w:jc w:val="center"/>
                    <w:rPr>
                      <w:color w:val="auto"/>
                      <w:kern w:val="0"/>
                      <w:sz w:val="21"/>
                      <w:szCs w:val="20"/>
                    </w:rPr>
                  </w:pPr>
                </w:p>
              </w:tc>
              <w:tc>
                <w:tcPr>
                  <w:tcW w:w="1595" w:type="dxa"/>
                  <w:vMerge w:val="continue"/>
                  <w:vAlign w:val="center"/>
                </w:tcPr>
                <w:p w14:paraId="2654D6FB">
                  <w:pPr>
                    <w:adjustRightInd w:val="0"/>
                    <w:snapToGrid w:val="0"/>
                    <w:spacing w:before="24" w:beforeLines="10" w:after="24" w:afterLines="10" w:line="240" w:lineRule="auto"/>
                    <w:jc w:val="center"/>
                    <w:rPr>
                      <w:color w:val="auto"/>
                      <w:kern w:val="0"/>
                      <w:sz w:val="21"/>
                      <w:szCs w:val="20"/>
                    </w:rPr>
                  </w:pPr>
                </w:p>
              </w:tc>
              <w:tc>
                <w:tcPr>
                  <w:tcW w:w="1595" w:type="dxa"/>
                  <w:vMerge w:val="continue"/>
                  <w:vAlign w:val="center"/>
                </w:tcPr>
                <w:p w14:paraId="1FC819E7">
                  <w:pPr>
                    <w:adjustRightInd w:val="0"/>
                    <w:snapToGrid w:val="0"/>
                    <w:spacing w:before="24" w:beforeLines="10" w:after="24" w:afterLines="10" w:line="240" w:lineRule="auto"/>
                    <w:jc w:val="center"/>
                    <w:rPr>
                      <w:color w:val="auto"/>
                      <w:kern w:val="0"/>
                      <w:sz w:val="21"/>
                      <w:szCs w:val="20"/>
                    </w:rPr>
                  </w:pPr>
                </w:p>
              </w:tc>
              <w:tc>
                <w:tcPr>
                  <w:tcW w:w="1595" w:type="dxa"/>
                  <w:vAlign w:val="center"/>
                </w:tcPr>
                <w:p w14:paraId="5A9667A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报告书</w:t>
                  </w:r>
                </w:p>
              </w:tc>
              <w:tc>
                <w:tcPr>
                  <w:tcW w:w="1595" w:type="dxa"/>
                  <w:tcBorders>
                    <w:right w:val="nil"/>
                  </w:tcBorders>
                  <w:shd w:val="clear" w:color="auto" w:fill="A4A4A4"/>
                  <w:vAlign w:val="center"/>
                </w:tcPr>
                <w:p w14:paraId="5713E02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报告表</w:t>
                  </w:r>
                </w:p>
              </w:tc>
            </w:tr>
            <w:tr w14:paraId="001E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74" w:type="dxa"/>
                  <w:gridSpan w:val="5"/>
                  <w:tcBorders>
                    <w:left w:val="nil"/>
                    <w:right w:val="nil"/>
                  </w:tcBorders>
                  <w:vAlign w:val="center"/>
                </w:tcPr>
                <w:p w14:paraId="746C7704">
                  <w:pPr>
                    <w:adjustRightInd w:val="0"/>
                    <w:snapToGrid w:val="0"/>
                    <w:spacing w:before="24" w:beforeLines="10" w:after="24" w:afterLines="10" w:line="240" w:lineRule="auto"/>
                    <w:jc w:val="left"/>
                    <w:rPr>
                      <w:color w:val="auto"/>
                      <w:kern w:val="0"/>
                      <w:sz w:val="21"/>
                      <w:szCs w:val="20"/>
                    </w:rPr>
                  </w:pPr>
                  <w:r>
                    <w:rPr>
                      <w:rFonts w:hint="eastAsia"/>
                      <w:color w:val="auto"/>
                      <w:kern w:val="0"/>
                      <w:sz w:val="21"/>
                      <w:szCs w:val="20"/>
                    </w:rPr>
                    <w:t>I金属制品</w:t>
                  </w:r>
                </w:p>
              </w:tc>
            </w:tr>
            <w:tr w14:paraId="5A22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tcBorders>
                    <w:left w:val="nil"/>
                  </w:tcBorders>
                  <w:vAlign w:val="center"/>
                </w:tcPr>
                <w:p w14:paraId="3A3B5DE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51、表面处理及热处理加工</w:t>
                  </w:r>
                </w:p>
              </w:tc>
              <w:tc>
                <w:tcPr>
                  <w:tcW w:w="1595" w:type="dxa"/>
                  <w:vAlign w:val="center"/>
                </w:tcPr>
                <w:p w14:paraId="128EDAB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有电镀工艺的；使用有机涂层的；有钝化工艺的热镀锌</w:t>
                  </w:r>
                </w:p>
              </w:tc>
              <w:tc>
                <w:tcPr>
                  <w:tcW w:w="1595" w:type="dxa"/>
                  <w:vAlign w:val="center"/>
                </w:tcPr>
                <w:p w14:paraId="0D6A48C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其他</w:t>
                  </w:r>
                </w:p>
              </w:tc>
              <w:tc>
                <w:tcPr>
                  <w:tcW w:w="1595" w:type="dxa"/>
                  <w:vAlign w:val="center"/>
                </w:tcPr>
                <w:p w14:paraId="41768BA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III类</w:t>
                  </w:r>
                </w:p>
              </w:tc>
              <w:tc>
                <w:tcPr>
                  <w:tcW w:w="1595" w:type="dxa"/>
                  <w:tcBorders>
                    <w:right w:val="nil"/>
                  </w:tcBorders>
                  <w:shd w:val="clear" w:color="auto" w:fill="A4A4A4"/>
                  <w:vAlign w:val="center"/>
                </w:tcPr>
                <w:p w14:paraId="7BD94B1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IV类</w:t>
                  </w:r>
                </w:p>
              </w:tc>
            </w:tr>
            <w:tr w14:paraId="1D69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74" w:type="dxa"/>
                  <w:gridSpan w:val="5"/>
                  <w:tcBorders>
                    <w:left w:val="nil"/>
                    <w:right w:val="nil"/>
                  </w:tcBorders>
                  <w:vAlign w:val="center"/>
                </w:tcPr>
                <w:p w14:paraId="6DFCFC56">
                  <w:pPr>
                    <w:adjustRightInd w:val="0"/>
                    <w:snapToGrid w:val="0"/>
                    <w:spacing w:before="24" w:beforeLines="10" w:after="24" w:afterLines="10" w:line="240" w:lineRule="auto"/>
                    <w:jc w:val="left"/>
                    <w:rPr>
                      <w:color w:val="auto"/>
                      <w:kern w:val="0"/>
                      <w:sz w:val="21"/>
                      <w:szCs w:val="20"/>
                    </w:rPr>
                  </w:pPr>
                  <w:r>
                    <w:rPr>
                      <w:rFonts w:hint="eastAsia"/>
                      <w:color w:val="auto"/>
                      <w:kern w:val="0"/>
                      <w:sz w:val="21"/>
                      <w:szCs w:val="20"/>
                    </w:rPr>
                    <w:t>N轻工</w:t>
                  </w:r>
                </w:p>
              </w:tc>
            </w:tr>
            <w:tr w14:paraId="5E7B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4" w:type="dxa"/>
                  <w:tcBorders>
                    <w:left w:val="nil"/>
                    <w:bottom w:val="single" w:color="auto" w:sz="12" w:space="0"/>
                  </w:tcBorders>
                  <w:vAlign w:val="center"/>
                </w:tcPr>
                <w:p w14:paraId="6F8969E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116、塑料制品制造</w:t>
                  </w:r>
                </w:p>
              </w:tc>
              <w:tc>
                <w:tcPr>
                  <w:tcW w:w="1595" w:type="dxa"/>
                  <w:tcBorders>
                    <w:bottom w:val="single" w:color="auto" w:sz="12" w:space="0"/>
                  </w:tcBorders>
                  <w:vAlign w:val="center"/>
                </w:tcPr>
                <w:p w14:paraId="05AFEA5B">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人造革、发泡胶等涉及有毒原材料的；有电镀工艺的</w:t>
                  </w:r>
                </w:p>
              </w:tc>
              <w:tc>
                <w:tcPr>
                  <w:tcW w:w="1595" w:type="dxa"/>
                  <w:tcBorders>
                    <w:bottom w:val="single" w:color="auto" w:sz="12" w:space="0"/>
                  </w:tcBorders>
                  <w:vAlign w:val="center"/>
                </w:tcPr>
                <w:p w14:paraId="48BE643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其他</w:t>
                  </w:r>
                </w:p>
              </w:tc>
              <w:tc>
                <w:tcPr>
                  <w:tcW w:w="1595" w:type="dxa"/>
                  <w:tcBorders>
                    <w:bottom w:val="single" w:color="auto" w:sz="12" w:space="0"/>
                  </w:tcBorders>
                  <w:vAlign w:val="center"/>
                </w:tcPr>
                <w:p w14:paraId="4B17BD44">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Ⅱ类</w:t>
                  </w:r>
                </w:p>
              </w:tc>
              <w:tc>
                <w:tcPr>
                  <w:tcW w:w="1595" w:type="dxa"/>
                  <w:tcBorders>
                    <w:bottom w:val="single" w:color="auto" w:sz="12" w:space="0"/>
                    <w:right w:val="nil"/>
                  </w:tcBorders>
                  <w:shd w:val="clear" w:color="auto" w:fill="A4A4A4"/>
                  <w:vAlign w:val="center"/>
                </w:tcPr>
                <w:p w14:paraId="68C4BC62">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IV类</w:t>
                  </w:r>
                </w:p>
              </w:tc>
            </w:tr>
          </w:tbl>
          <w:p w14:paraId="50FCF31C">
            <w:pPr>
              <w:adjustRightInd w:val="0"/>
              <w:snapToGrid w:val="0"/>
              <w:spacing w:line="240" w:lineRule="auto"/>
              <w:jc w:val="center"/>
              <w:rPr>
                <w:b/>
                <w:color w:val="auto"/>
                <w:kern w:val="0"/>
                <w:szCs w:val="20"/>
              </w:rPr>
            </w:pPr>
            <w:r>
              <w:rPr>
                <w:rFonts w:hint="eastAsia"/>
                <w:b/>
                <w:color w:val="auto"/>
                <w:kern w:val="0"/>
                <w:szCs w:val="20"/>
              </w:rPr>
              <w:t>表4.5-3  土壤环境影响评价行业分类表</w:t>
            </w:r>
          </w:p>
          <w:tbl>
            <w:tblPr>
              <w:tblStyle w:val="31"/>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230"/>
              <w:gridCol w:w="1532"/>
              <w:gridCol w:w="1532"/>
              <w:gridCol w:w="1532"/>
              <w:gridCol w:w="1534"/>
            </w:tblGrid>
            <w:tr w14:paraId="01ED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gridSpan w:val="2"/>
                  <w:vMerge w:val="restart"/>
                  <w:tcBorders>
                    <w:top w:val="single" w:color="auto" w:sz="12" w:space="0"/>
                    <w:left w:val="nil"/>
                  </w:tcBorders>
                  <w:vAlign w:val="center"/>
                </w:tcPr>
                <w:p w14:paraId="13074D3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行业类别</w:t>
                  </w:r>
                </w:p>
              </w:tc>
              <w:tc>
                <w:tcPr>
                  <w:tcW w:w="6130" w:type="dxa"/>
                  <w:gridSpan w:val="4"/>
                  <w:tcBorders>
                    <w:top w:val="single" w:color="auto" w:sz="12" w:space="0"/>
                    <w:right w:val="nil"/>
                  </w:tcBorders>
                  <w:vAlign w:val="center"/>
                </w:tcPr>
                <w:p w14:paraId="1A2B15B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项目类别</w:t>
                  </w:r>
                </w:p>
              </w:tc>
            </w:tr>
            <w:tr w14:paraId="709A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gridSpan w:val="2"/>
                  <w:vMerge w:val="continue"/>
                  <w:tcBorders>
                    <w:left w:val="nil"/>
                  </w:tcBorders>
                  <w:vAlign w:val="center"/>
                </w:tcPr>
                <w:p w14:paraId="7FB1130B">
                  <w:pPr>
                    <w:adjustRightInd w:val="0"/>
                    <w:snapToGrid w:val="0"/>
                    <w:spacing w:before="24" w:beforeLines="10" w:after="24" w:afterLines="10" w:line="240" w:lineRule="auto"/>
                    <w:jc w:val="center"/>
                    <w:rPr>
                      <w:color w:val="auto"/>
                      <w:kern w:val="0"/>
                      <w:sz w:val="21"/>
                      <w:szCs w:val="20"/>
                    </w:rPr>
                  </w:pPr>
                </w:p>
              </w:tc>
              <w:tc>
                <w:tcPr>
                  <w:tcW w:w="1532" w:type="dxa"/>
                  <w:vAlign w:val="center"/>
                </w:tcPr>
                <w:p w14:paraId="473481B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I类</w:t>
                  </w:r>
                </w:p>
              </w:tc>
              <w:tc>
                <w:tcPr>
                  <w:tcW w:w="1532" w:type="dxa"/>
                  <w:tcBorders>
                    <w:right w:val="single" w:color="auto" w:sz="4" w:space="0"/>
                  </w:tcBorders>
                  <w:vAlign w:val="center"/>
                </w:tcPr>
                <w:p w14:paraId="4461FA10">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II类</w:t>
                  </w:r>
                </w:p>
              </w:tc>
              <w:tc>
                <w:tcPr>
                  <w:tcW w:w="1532" w:type="dxa"/>
                  <w:tcBorders>
                    <w:left w:val="single" w:color="auto" w:sz="4" w:space="0"/>
                  </w:tcBorders>
                  <w:shd w:val="clear" w:color="auto" w:fill="A4A4A4"/>
                  <w:vAlign w:val="center"/>
                </w:tcPr>
                <w:p w14:paraId="7DC31FC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III类</w:t>
                  </w:r>
                </w:p>
              </w:tc>
              <w:tc>
                <w:tcPr>
                  <w:tcW w:w="1534" w:type="dxa"/>
                  <w:tcBorders>
                    <w:right w:val="nil"/>
                  </w:tcBorders>
                  <w:vAlign w:val="center"/>
                </w:tcPr>
                <w:p w14:paraId="41A84CE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IV类</w:t>
                  </w:r>
                </w:p>
              </w:tc>
            </w:tr>
            <w:tr w14:paraId="6507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left w:val="nil"/>
                    <w:bottom w:val="single" w:color="auto" w:sz="12" w:space="0"/>
                  </w:tcBorders>
                  <w:vAlign w:val="center"/>
                </w:tcPr>
                <w:p w14:paraId="00C6220F">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制造业</w:t>
                  </w:r>
                </w:p>
              </w:tc>
              <w:tc>
                <w:tcPr>
                  <w:tcW w:w="1230" w:type="dxa"/>
                  <w:tcBorders>
                    <w:bottom w:val="single" w:color="auto" w:sz="12" w:space="0"/>
                  </w:tcBorders>
                  <w:vAlign w:val="center"/>
                </w:tcPr>
                <w:p w14:paraId="4C1553D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设备制造、金属制品、汽车制造及其他用品制造</w:t>
                  </w:r>
                </w:p>
              </w:tc>
              <w:tc>
                <w:tcPr>
                  <w:tcW w:w="1532" w:type="dxa"/>
                  <w:tcBorders>
                    <w:bottom w:val="single" w:color="auto" w:sz="12" w:space="0"/>
                  </w:tcBorders>
                  <w:vAlign w:val="center"/>
                </w:tcPr>
                <w:p w14:paraId="693D65DF">
                  <w:pPr>
                    <w:adjustRightInd w:val="0"/>
                    <w:snapToGrid w:val="0"/>
                    <w:spacing w:before="24" w:beforeLines="10" w:after="24" w:afterLines="10" w:line="240" w:lineRule="auto"/>
                    <w:jc w:val="center"/>
                    <w:rPr>
                      <w:color w:val="auto"/>
                      <w:kern w:val="0"/>
                      <w:sz w:val="21"/>
                      <w:szCs w:val="20"/>
                    </w:rPr>
                  </w:pPr>
                  <w:r>
                    <w:rPr>
                      <w:color w:val="auto"/>
                      <w:kern w:val="0"/>
                      <w:sz w:val="21"/>
                      <w:szCs w:val="20"/>
                    </w:rPr>
                    <w:t>有电镀工艺的</w:t>
                  </w:r>
                  <w:r>
                    <w:rPr>
                      <w:rFonts w:hint="eastAsia"/>
                      <w:color w:val="auto"/>
                      <w:kern w:val="0"/>
                      <w:sz w:val="21"/>
                      <w:szCs w:val="20"/>
                    </w:rPr>
                    <w:t>；</w:t>
                  </w:r>
                  <w:r>
                    <w:rPr>
                      <w:color w:val="auto"/>
                      <w:kern w:val="0"/>
                      <w:sz w:val="21"/>
                      <w:szCs w:val="20"/>
                    </w:rPr>
                    <w:t>金属制品表面处理及热处理加工的</w:t>
                  </w:r>
                  <w:r>
                    <w:rPr>
                      <w:rFonts w:hint="eastAsia"/>
                      <w:color w:val="auto"/>
                      <w:kern w:val="0"/>
                      <w:sz w:val="21"/>
                      <w:szCs w:val="20"/>
                    </w:rPr>
                    <w:t>；</w:t>
                  </w:r>
                  <w:r>
                    <w:rPr>
                      <w:color w:val="auto"/>
                      <w:kern w:val="0"/>
                      <w:sz w:val="21"/>
                      <w:szCs w:val="20"/>
                    </w:rPr>
                    <w:t>使用有机涂层的</w:t>
                  </w:r>
                  <w:r>
                    <w:rPr>
                      <w:rFonts w:hint="eastAsia"/>
                      <w:color w:val="auto"/>
                      <w:kern w:val="0"/>
                      <w:sz w:val="21"/>
                      <w:szCs w:val="20"/>
                    </w:rPr>
                    <w:t>（</w:t>
                  </w:r>
                  <w:r>
                    <w:rPr>
                      <w:color w:val="auto"/>
                      <w:kern w:val="0"/>
                      <w:sz w:val="21"/>
                      <w:szCs w:val="20"/>
                    </w:rPr>
                    <w:t>喷粉、喷塑和电泳除外</w:t>
                  </w:r>
                  <w:r>
                    <w:rPr>
                      <w:rFonts w:hint="eastAsia"/>
                      <w:color w:val="auto"/>
                      <w:kern w:val="0"/>
                      <w:sz w:val="21"/>
                      <w:szCs w:val="20"/>
                    </w:rPr>
                    <w:t>）</w:t>
                  </w:r>
                  <w:r>
                    <w:rPr>
                      <w:color w:val="auto"/>
                      <w:kern w:val="0"/>
                      <w:sz w:val="21"/>
                      <w:szCs w:val="20"/>
                    </w:rPr>
                    <w:t>有钝化工艺的热镀锌</w:t>
                  </w:r>
                </w:p>
              </w:tc>
              <w:tc>
                <w:tcPr>
                  <w:tcW w:w="1532" w:type="dxa"/>
                  <w:tcBorders>
                    <w:bottom w:val="single" w:color="auto" w:sz="12" w:space="0"/>
                  </w:tcBorders>
                  <w:vAlign w:val="center"/>
                </w:tcPr>
                <w:p w14:paraId="737A055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有化学处理工艺的</w:t>
                  </w:r>
                </w:p>
              </w:tc>
              <w:tc>
                <w:tcPr>
                  <w:tcW w:w="1532" w:type="dxa"/>
                  <w:tcBorders>
                    <w:bottom w:val="single" w:color="auto" w:sz="12" w:space="0"/>
                  </w:tcBorders>
                  <w:shd w:val="clear" w:color="auto" w:fill="A4A4A4"/>
                  <w:vAlign w:val="center"/>
                </w:tcPr>
                <w:p w14:paraId="2B2C831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其他</w:t>
                  </w:r>
                </w:p>
              </w:tc>
              <w:tc>
                <w:tcPr>
                  <w:tcW w:w="1534" w:type="dxa"/>
                  <w:tcBorders>
                    <w:bottom w:val="single" w:color="auto" w:sz="12" w:space="0"/>
                    <w:right w:val="nil"/>
                  </w:tcBorders>
                  <w:vAlign w:val="center"/>
                </w:tcPr>
                <w:p w14:paraId="65AE267A">
                  <w:pPr>
                    <w:adjustRightInd w:val="0"/>
                    <w:snapToGrid w:val="0"/>
                    <w:spacing w:before="24" w:beforeLines="10" w:after="24" w:afterLines="10" w:line="240" w:lineRule="auto"/>
                    <w:jc w:val="center"/>
                    <w:rPr>
                      <w:color w:val="auto"/>
                      <w:kern w:val="0"/>
                      <w:sz w:val="21"/>
                      <w:szCs w:val="20"/>
                    </w:rPr>
                  </w:pPr>
                </w:p>
              </w:tc>
            </w:tr>
          </w:tbl>
          <w:p w14:paraId="5B654AF2">
            <w:pPr>
              <w:pStyle w:val="5"/>
              <w:ind w:firstLine="480"/>
              <w:rPr>
                <w:color w:val="auto"/>
              </w:rPr>
            </w:pPr>
            <w:r>
              <w:rPr>
                <w:rFonts w:hint="eastAsia"/>
                <w:color w:val="auto"/>
              </w:rPr>
              <w:t>本</w:t>
            </w:r>
            <w:r>
              <w:rPr>
                <w:color w:val="auto"/>
              </w:rPr>
              <w:t>项目位于</w:t>
            </w:r>
            <w:r>
              <w:rPr>
                <w:rFonts w:hint="eastAsia"/>
                <w:color w:val="auto"/>
              </w:rPr>
              <w:t>福建省闽侯县南屿镇智慧大道20号保利通信福州高新科技产业园13号楼</w:t>
            </w:r>
            <w:r>
              <w:rPr>
                <w:color w:val="auto"/>
              </w:rPr>
              <w:t>，根据现场勘查，周边以</w:t>
            </w:r>
            <w:r>
              <w:rPr>
                <w:rFonts w:hint="eastAsia"/>
                <w:color w:val="auto"/>
              </w:rPr>
              <w:t>工业企业</w:t>
            </w:r>
            <w:r>
              <w:rPr>
                <w:color w:val="auto"/>
              </w:rPr>
              <w:t>为主；项目周边地下水、土壤环境相对不敏感，采取有效的防渗措施后，项目对地下水、土壤环境影响很小，基本不存在土壤、地下水环境污染途径，因此，本评价不对项目地下水、土壤环境质量进行补充监测。</w:t>
            </w:r>
          </w:p>
          <w:p w14:paraId="57F911A9">
            <w:pPr>
              <w:pStyle w:val="3"/>
              <w:spacing w:before="0" w:after="0"/>
              <w:rPr>
                <w:color w:val="auto"/>
              </w:rPr>
            </w:pPr>
            <w:r>
              <w:rPr>
                <w:rFonts w:hint="eastAsia"/>
                <w:color w:val="auto"/>
              </w:rPr>
              <w:t>4.6运营期环境风险影响和保护措施</w:t>
            </w:r>
          </w:p>
          <w:p w14:paraId="092761E1">
            <w:pPr>
              <w:pStyle w:val="4"/>
              <w:ind w:firstLine="0" w:firstLineChars="0"/>
              <w:rPr>
                <w:color w:val="auto"/>
              </w:rPr>
            </w:pPr>
            <w:r>
              <w:rPr>
                <w:rFonts w:hint="eastAsia"/>
                <w:color w:val="auto"/>
              </w:rPr>
              <w:t>4.6.1风险调查</w:t>
            </w:r>
          </w:p>
          <w:p w14:paraId="46E2B447">
            <w:pPr>
              <w:ind w:firstLine="480" w:firstLineChars="200"/>
              <w:rPr>
                <w:rFonts w:cs="宋体"/>
                <w:color w:val="auto"/>
              </w:rPr>
            </w:pPr>
            <w:r>
              <w:rPr>
                <w:rFonts w:hint="eastAsia" w:cs="宋体"/>
                <w:color w:val="auto"/>
              </w:rPr>
              <w:t>项目原辅材料存在的危险物质主要为油性漆、固化剂、稀释剂等原料存放于原材料仓库；且该部分原料在非取用时为密闭包装状态。项目产生的危险废物暂存于危废贮存间。</w:t>
            </w:r>
          </w:p>
          <w:p w14:paraId="022AE2D6">
            <w:pPr>
              <w:ind w:firstLine="480" w:firstLineChars="200"/>
              <w:rPr>
                <w:rFonts w:cs="宋体"/>
                <w:color w:val="auto"/>
              </w:rPr>
            </w:pPr>
            <w:r>
              <w:rPr>
                <w:rFonts w:cs="宋体"/>
                <w:color w:val="auto"/>
                <w:lang w:val="zh-CN"/>
              </w:rPr>
              <w:t>根据</w:t>
            </w:r>
            <w:r>
              <w:rPr>
                <w:rFonts w:cs="宋体"/>
                <w:color w:val="auto"/>
              </w:rP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424CD374">
            <w:pPr>
              <w:jc w:val="center"/>
              <w:rPr>
                <w:rFonts w:cs="宋体"/>
                <w:color w:val="auto"/>
              </w:rPr>
            </w:pPr>
            <w:r>
              <w:rPr>
                <w:rFonts w:cs="宋体"/>
                <w:color w:val="auto"/>
              </w:rPr>
              <w:drawing>
                <wp:inline distT="0" distB="0" distL="114300" distR="114300">
                  <wp:extent cx="1903730" cy="464185"/>
                  <wp:effectExtent l="0" t="0" r="1270" b="12065"/>
                  <wp:docPr id="37" name="图片 3"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C:\Users\admin\AppData\Roaming\Tencent\Users\506048567\QQ\WinTemp\RichOle\`_O{@QX45~6E2EU4~BK~(ZR.png"/>
                          <pic:cNvPicPr>
                            <a:picLocks noChangeAspect="1"/>
                          </pic:cNvPicPr>
                        </pic:nvPicPr>
                        <pic:blipFill>
                          <a:blip r:embed="rId23" cstate="email"/>
                          <a:stretch>
                            <a:fillRect/>
                          </a:stretch>
                        </pic:blipFill>
                        <pic:spPr>
                          <a:xfrm>
                            <a:off x="0" y="0"/>
                            <a:ext cx="1903730" cy="464185"/>
                          </a:xfrm>
                          <a:prstGeom prst="rect">
                            <a:avLst/>
                          </a:prstGeom>
                          <a:noFill/>
                          <a:ln>
                            <a:noFill/>
                          </a:ln>
                        </pic:spPr>
                      </pic:pic>
                    </a:graphicData>
                  </a:graphic>
                </wp:inline>
              </w:drawing>
            </w:r>
          </w:p>
          <w:p w14:paraId="1858ED53">
            <w:pPr>
              <w:ind w:firstLine="480" w:firstLineChars="200"/>
              <w:rPr>
                <w:rFonts w:cs="宋体"/>
                <w:color w:val="auto"/>
              </w:rPr>
            </w:pPr>
            <w:r>
              <w:rPr>
                <w:rFonts w:cs="宋体"/>
                <w:color w:val="auto"/>
              </w:rPr>
              <w:t>式中：q</w:t>
            </w:r>
            <w:r>
              <w:rPr>
                <w:rFonts w:cs="宋体"/>
                <w:color w:val="auto"/>
                <w:vertAlign w:val="subscript"/>
              </w:rPr>
              <w:t>1</w:t>
            </w:r>
            <w:r>
              <w:rPr>
                <w:rFonts w:cs="宋体"/>
                <w:color w:val="auto"/>
              </w:rPr>
              <w:t>，q</w:t>
            </w:r>
            <w:r>
              <w:rPr>
                <w:rFonts w:cs="宋体"/>
                <w:color w:val="auto"/>
                <w:vertAlign w:val="subscript"/>
              </w:rPr>
              <w:t>2</w:t>
            </w:r>
            <w:r>
              <w:rPr>
                <w:rFonts w:cs="宋体"/>
                <w:color w:val="auto"/>
              </w:rPr>
              <w:t>，...，q</w:t>
            </w:r>
            <w:r>
              <w:rPr>
                <w:rFonts w:cs="宋体"/>
                <w:color w:val="auto"/>
                <w:vertAlign w:val="subscript"/>
              </w:rPr>
              <w:t>n</w:t>
            </w:r>
            <w:r>
              <w:rPr>
                <w:rFonts w:cs="宋体"/>
                <w:color w:val="auto"/>
              </w:rPr>
              <w:t>——每种风险物质的存在量，t；</w:t>
            </w:r>
          </w:p>
          <w:p w14:paraId="26954E03">
            <w:pPr>
              <w:ind w:firstLine="480" w:firstLineChars="200"/>
              <w:rPr>
                <w:rFonts w:cs="宋体"/>
                <w:color w:val="auto"/>
              </w:rPr>
            </w:pPr>
            <w:r>
              <w:rPr>
                <w:rFonts w:cs="宋体"/>
                <w:color w:val="auto"/>
              </w:rPr>
              <w:t>Q</w:t>
            </w:r>
            <w:r>
              <w:rPr>
                <w:rFonts w:cs="宋体"/>
                <w:color w:val="auto"/>
                <w:vertAlign w:val="subscript"/>
              </w:rPr>
              <w:t>1</w:t>
            </w:r>
            <w:r>
              <w:rPr>
                <w:rFonts w:cs="宋体"/>
                <w:color w:val="auto"/>
              </w:rPr>
              <w:t>，Q</w:t>
            </w:r>
            <w:r>
              <w:rPr>
                <w:rFonts w:cs="宋体"/>
                <w:color w:val="auto"/>
                <w:vertAlign w:val="subscript"/>
              </w:rPr>
              <w:t>2</w:t>
            </w:r>
            <w:r>
              <w:rPr>
                <w:rFonts w:cs="宋体"/>
                <w:color w:val="auto"/>
              </w:rPr>
              <w:t>，...，Q</w:t>
            </w:r>
            <w:r>
              <w:rPr>
                <w:rFonts w:cs="宋体"/>
                <w:color w:val="auto"/>
                <w:vertAlign w:val="subscript"/>
              </w:rPr>
              <w:t>n</w:t>
            </w:r>
            <w:r>
              <w:rPr>
                <w:rFonts w:cs="宋体"/>
                <w:color w:val="auto"/>
              </w:rPr>
              <w:t>——每种风险物质的临界量，t。</w:t>
            </w:r>
          </w:p>
          <w:p w14:paraId="48DEA028">
            <w:pPr>
              <w:ind w:firstLine="480" w:firstLineChars="200"/>
              <w:rPr>
                <w:rFonts w:cs="宋体"/>
                <w:color w:val="auto"/>
              </w:rPr>
            </w:pPr>
            <w:r>
              <w:rPr>
                <w:rFonts w:cs="宋体"/>
                <w:color w:val="auto"/>
              </w:rPr>
              <w:t>当Q＜1时，该项目环境风险潜势为</w:t>
            </w:r>
            <w:r>
              <w:rPr>
                <w:rFonts w:cs="宋体"/>
                <w:color w:val="auto"/>
              </w:rPr>
              <w:fldChar w:fldCharType="begin"/>
            </w:r>
            <w:r>
              <w:rPr>
                <w:rFonts w:cs="宋体"/>
                <w:color w:val="auto"/>
              </w:rPr>
              <w:instrText xml:space="preserve"> = 1 \* ROMAN </w:instrText>
            </w:r>
            <w:r>
              <w:rPr>
                <w:rFonts w:cs="宋体"/>
                <w:color w:val="auto"/>
              </w:rPr>
              <w:fldChar w:fldCharType="separate"/>
            </w:r>
            <w:r>
              <w:rPr>
                <w:rFonts w:cs="宋体"/>
                <w:color w:val="auto"/>
              </w:rPr>
              <w:t>I</w:t>
            </w:r>
            <w:r>
              <w:rPr>
                <w:rFonts w:cs="宋体"/>
                <w:color w:val="auto"/>
              </w:rPr>
              <w:fldChar w:fldCharType="end"/>
            </w:r>
            <w:r>
              <w:rPr>
                <w:rFonts w:cs="宋体"/>
                <w:color w:val="auto"/>
              </w:rPr>
              <w:t>。</w:t>
            </w:r>
          </w:p>
          <w:p w14:paraId="1FB2FAEC">
            <w:pPr>
              <w:ind w:firstLine="480" w:firstLineChars="200"/>
              <w:rPr>
                <w:rFonts w:cs="宋体"/>
                <w:color w:val="auto"/>
              </w:rPr>
            </w:pPr>
            <w:r>
              <w:rPr>
                <w:rFonts w:cs="宋体"/>
                <w:color w:val="auto"/>
              </w:rPr>
              <w:t>当Q≥1时，将Q值划分为：（1）1≤Q＜10；（2）10≤Q＜100；（3）Q≥100。</w:t>
            </w:r>
          </w:p>
          <w:p w14:paraId="3050E1CA">
            <w:pPr>
              <w:ind w:firstLine="480" w:firstLineChars="200"/>
              <w:rPr>
                <w:rFonts w:cs="宋体"/>
                <w:color w:val="auto"/>
              </w:rPr>
            </w:pPr>
            <w:r>
              <w:rPr>
                <w:rFonts w:cs="宋体"/>
                <w:color w:val="auto"/>
                <w:lang w:val="zh-CN"/>
              </w:rPr>
              <w:t>本项目涉及的危险物质情况及临界量比值详见表</w:t>
            </w:r>
            <w:r>
              <w:rPr>
                <w:rFonts w:cs="宋体"/>
                <w:color w:val="auto"/>
              </w:rPr>
              <w:t>4.</w:t>
            </w:r>
            <w:r>
              <w:rPr>
                <w:rFonts w:hint="eastAsia" w:cs="宋体"/>
                <w:color w:val="auto"/>
              </w:rPr>
              <w:t>6</w:t>
            </w:r>
            <w:r>
              <w:rPr>
                <w:rFonts w:cs="宋体"/>
                <w:color w:val="auto"/>
              </w:rPr>
              <w:t>-2</w:t>
            </w:r>
            <w:r>
              <w:rPr>
                <w:rFonts w:cs="宋体"/>
                <w:color w:val="auto"/>
                <w:lang w:val="zh-CN"/>
              </w:rPr>
              <w:t>。</w:t>
            </w:r>
          </w:p>
          <w:p w14:paraId="29F2C2BF">
            <w:pPr>
              <w:adjustRightInd w:val="0"/>
              <w:snapToGrid w:val="0"/>
              <w:spacing w:line="240" w:lineRule="auto"/>
              <w:jc w:val="center"/>
              <w:rPr>
                <w:b/>
                <w:color w:val="auto"/>
                <w:kern w:val="0"/>
                <w:szCs w:val="20"/>
              </w:rPr>
            </w:pPr>
            <w:r>
              <w:rPr>
                <w:rFonts w:hint="eastAsia"/>
                <w:b/>
                <w:color w:val="auto"/>
                <w:kern w:val="0"/>
                <w:szCs w:val="20"/>
              </w:rPr>
              <w:t>表4.6-2  危险物质储存情况及临界量比值</w:t>
            </w:r>
          </w:p>
          <w:tbl>
            <w:tblPr>
              <w:tblStyle w:val="31"/>
              <w:tblW w:w="799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172"/>
              <w:gridCol w:w="911"/>
              <w:gridCol w:w="773"/>
              <w:gridCol w:w="1096"/>
              <w:gridCol w:w="1396"/>
              <w:gridCol w:w="900"/>
              <w:gridCol w:w="1235"/>
            </w:tblGrid>
            <w:tr w14:paraId="0EBD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top w:val="single" w:color="auto" w:sz="12" w:space="0"/>
                    <w:left w:val="nil"/>
                  </w:tcBorders>
                  <w:vAlign w:val="center"/>
                </w:tcPr>
                <w:p w14:paraId="6125F459">
                  <w:pPr>
                    <w:adjustRightInd w:val="0"/>
                    <w:snapToGrid w:val="0"/>
                    <w:spacing w:before="24" w:beforeLines="10" w:after="24" w:afterLines="10" w:line="240" w:lineRule="auto"/>
                    <w:jc w:val="center"/>
                    <w:rPr>
                      <w:color w:val="auto"/>
                      <w:kern w:val="0"/>
                      <w:sz w:val="21"/>
                      <w:szCs w:val="20"/>
                    </w:rPr>
                  </w:pPr>
                  <w:r>
                    <w:rPr>
                      <w:color w:val="auto"/>
                      <w:kern w:val="0"/>
                      <w:sz w:val="21"/>
                      <w:szCs w:val="20"/>
                    </w:rPr>
                    <w:t>序号</w:t>
                  </w:r>
                </w:p>
              </w:tc>
              <w:tc>
                <w:tcPr>
                  <w:tcW w:w="1172" w:type="dxa"/>
                  <w:tcBorders>
                    <w:top w:val="single" w:color="auto" w:sz="12" w:space="0"/>
                  </w:tcBorders>
                  <w:vAlign w:val="center"/>
                </w:tcPr>
                <w:p w14:paraId="081BE7CE">
                  <w:pPr>
                    <w:adjustRightInd w:val="0"/>
                    <w:snapToGrid w:val="0"/>
                    <w:spacing w:before="24" w:beforeLines="10" w:after="24" w:afterLines="10" w:line="240" w:lineRule="auto"/>
                    <w:jc w:val="center"/>
                    <w:rPr>
                      <w:color w:val="auto"/>
                      <w:kern w:val="0"/>
                      <w:sz w:val="21"/>
                      <w:szCs w:val="20"/>
                    </w:rPr>
                  </w:pPr>
                  <w:r>
                    <w:rPr>
                      <w:color w:val="auto"/>
                      <w:kern w:val="0"/>
                      <w:sz w:val="21"/>
                      <w:szCs w:val="20"/>
                    </w:rPr>
                    <w:t>风险物质</w:t>
                  </w:r>
                </w:p>
              </w:tc>
              <w:tc>
                <w:tcPr>
                  <w:tcW w:w="911" w:type="dxa"/>
                  <w:tcBorders>
                    <w:top w:val="single" w:color="auto" w:sz="12" w:space="0"/>
                  </w:tcBorders>
                  <w:vAlign w:val="center"/>
                </w:tcPr>
                <w:p w14:paraId="31988BC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危险物质成分</w:t>
                  </w:r>
                </w:p>
              </w:tc>
              <w:tc>
                <w:tcPr>
                  <w:tcW w:w="773" w:type="dxa"/>
                  <w:tcBorders>
                    <w:top w:val="single" w:color="auto" w:sz="12" w:space="0"/>
                  </w:tcBorders>
                  <w:vAlign w:val="center"/>
                </w:tcPr>
                <w:p w14:paraId="4436FEC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成分含量</w:t>
                  </w:r>
                </w:p>
              </w:tc>
              <w:tc>
                <w:tcPr>
                  <w:tcW w:w="1096" w:type="dxa"/>
                  <w:tcBorders>
                    <w:top w:val="single" w:color="auto" w:sz="12" w:space="0"/>
                  </w:tcBorders>
                  <w:vAlign w:val="center"/>
                </w:tcPr>
                <w:p w14:paraId="0CD8D596">
                  <w:pPr>
                    <w:adjustRightInd w:val="0"/>
                    <w:snapToGrid w:val="0"/>
                    <w:spacing w:before="24" w:beforeLines="10" w:after="24" w:afterLines="10" w:line="240" w:lineRule="auto"/>
                    <w:jc w:val="center"/>
                    <w:rPr>
                      <w:color w:val="auto"/>
                      <w:kern w:val="0"/>
                      <w:sz w:val="21"/>
                      <w:szCs w:val="20"/>
                    </w:rPr>
                  </w:pPr>
                  <w:r>
                    <w:rPr>
                      <w:color w:val="auto"/>
                      <w:kern w:val="0"/>
                      <w:sz w:val="21"/>
                      <w:szCs w:val="20"/>
                    </w:rPr>
                    <w:t>最大贮存量/最大在线量</w:t>
                  </w:r>
                  <w:r>
                    <w:rPr>
                      <w:rFonts w:hint="eastAsia"/>
                      <w:color w:val="auto"/>
                      <w:kern w:val="0"/>
                      <w:sz w:val="21"/>
                      <w:szCs w:val="20"/>
                    </w:rPr>
                    <w:t>（t）</w:t>
                  </w:r>
                </w:p>
              </w:tc>
              <w:tc>
                <w:tcPr>
                  <w:tcW w:w="1396" w:type="dxa"/>
                  <w:tcBorders>
                    <w:top w:val="single" w:color="auto" w:sz="12" w:space="0"/>
                  </w:tcBorders>
                  <w:vAlign w:val="center"/>
                </w:tcPr>
                <w:p w14:paraId="7586A54B">
                  <w:pPr>
                    <w:adjustRightInd w:val="0"/>
                    <w:snapToGrid w:val="0"/>
                    <w:spacing w:before="24" w:beforeLines="10" w:after="24" w:afterLines="10" w:line="240" w:lineRule="auto"/>
                    <w:jc w:val="center"/>
                    <w:rPr>
                      <w:color w:val="auto"/>
                      <w:kern w:val="0"/>
                      <w:sz w:val="21"/>
                      <w:szCs w:val="20"/>
                    </w:rPr>
                  </w:pPr>
                  <w:r>
                    <w:rPr>
                      <w:color w:val="auto"/>
                      <w:kern w:val="0"/>
                      <w:sz w:val="21"/>
                      <w:szCs w:val="20"/>
                    </w:rPr>
                    <w:t>贮存位置</w:t>
                  </w:r>
                </w:p>
              </w:tc>
              <w:tc>
                <w:tcPr>
                  <w:tcW w:w="900" w:type="dxa"/>
                  <w:tcBorders>
                    <w:top w:val="single" w:color="auto" w:sz="12" w:space="0"/>
                  </w:tcBorders>
                  <w:vAlign w:val="center"/>
                </w:tcPr>
                <w:p w14:paraId="49802B3A">
                  <w:pPr>
                    <w:adjustRightInd w:val="0"/>
                    <w:snapToGrid w:val="0"/>
                    <w:spacing w:before="24" w:beforeLines="10" w:after="24" w:afterLines="10" w:line="240" w:lineRule="auto"/>
                    <w:jc w:val="center"/>
                    <w:rPr>
                      <w:color w:val="auto"/>
                      <w:kern w:val="0"/>
                      <w:sz w:val="21"/>
                      <w:szCs w:val="20"/>
                    </w:rPr>
                  </w:pPr>
                  <w:r>
                    <w:rPr>
                      <w:color w:val="auto"/>
                      <w:kern w:val="0"/>
                      <w:sz w:val="21"/>
                      <w:szCs w:val="20"/>
                    </w:rPr>
                    <w:t>临界量</w:t>
                  </w:r>
                  <w:r>
                    <w:rPr>
                      <w:rFonts w:hint="eastAsia"/>
                      <w:color w:val="auto"/>
                      <w:kern w:val="0"/>
                      <w:sz w:val="21"/>
                      <w:szCs w:val="20"/>
                    </w:rPr>
                    <w:t>（t）</w:t>
                  </w:r>
                </w:p>
              </w:tc>
              <w:tc>
                <w:tcPr>
                  <w:tcW w:w="1235" w:type="dxa"/>
                  <w:tcBorders>
                    <w:top w:val="single" w:color="auto" w:sz="12" w:space="0"/>
                    <w:right w:val="nil"/>
                  </w:tcBorders>
                  <w:vAlign w:val="center"/>
                </w:tcPr>
                <w:p w14:paraId="55072902">
                  <w:pPr>
                    <w:adjustRightInd w:val="0"/>
                    <w:snapToGrid w:val="0"/>
                    <w:spacing w:before="24" w:beforeLines="10" w:after="24" w:afterLines="10" w:line="240" w:lineRule="auto"/>
                    <w:jc w:val="center"/>
                    <w:rPr>
                      <w:color w:val="auto"/>
                      <w:kern w:val="0"/>
                      <w:sz w:val="21"/>
                      <w:szCs w:val="20"/>
                    </w:rPr>
                  </w:pPr>
                  <w:r>
                    <w:rPr>
                      <w:color w:val="auto"/>
                      <w:kern w:val="0"/>
                      <w:sz w:val="21"/>
                      <w:szCs w:val="20"/>
                    </w:rPr>
                    <w:t>临界量比值</w:t>
                  </w:r>
                </w:p>
              </w:tc>
            </w:tr>
            <w:tr w14:paraId="244B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08EF8322">
                  <w:pPr>
                    <w:adjustRightInd w:val="0"/>
                    <w:snapToGrid w:val="0"/>
                    <w:spacing w:before="24" w:beforeLines="10" w:after="24" w:afterLines="10" w:line="240" w:lineRule="auto"/>
                    <w:jc w:val="center"/>
                    <w:rPr>
                      <w:color w:val="auto"/>
                      <w:kern w:val="0"/>
                      <w:sz w:val="21"/>
                      <w:szCs w:val="20"/>
                    </w:rPr>
                  </w:pPr>
                  <w:r>
                    <w:rPr>
                      <w:color w:val="auto"/>
                      <w:kern w:val="0"/>
                      <w:sz w:val="21"/>
                      <w:szCs w:val="20"/>
                    </w:rPr>
                    <w:t>1</w:t>
                  </w:r>
                </w:p>
              </w:tc>
              <w:tc>
                <w:tcPr>
                  <w:tcW w:w="1172" w:type="dxa"/>
                  <w:vAlign w:val="center"/>
                </w:tcPr>
                <w:p w14:paraId="678652B7">
                  <w:pPr>
                    <w:widowControl/>
                    <w:spacing w:line="240" w:lineRule="auto"/>
                    <w:jc w:val="center"/>
                    <w:textAlignment w:val="center"/>
                    <w:rPr>
                      <w:color w:val="auto"/>
                      <w:kern w:val="0"/>
                      <w:sz w:val="21"/>
                      <w:szCs w:val="21"/>
                    </w:rPr>
                  </w:pPr>
                  <w:r>
                    <w:rPr>
                      <w:color w:val="auto"/>
                      <w:kern w:val="0"/>
                      <w:sz w:val="21"/>
                      <w:szCs w:val="21"/>
                      <w:lang w:bidi="ar"/>
                    </w:rPr>
                    <w:t>油漆</w:t>
                  </w:r>
                </w:p>
              </w:tc>
              <w:tc>
                <w:tcPr>
                  <w:tcW w:w="911" w:type="dxa"/>
                  <w:vAlign w:val="center"/>
                </w:tcPr>
                <w:p w14:paraId="27202C7F">
                  <w:pPr>
                    <w:widowControl/>
                    <w:jc w:val="center"/>
                    <w:textAlignment w:val="center"/>
                    <w:rPr>
                      <w:color w:val="auto"/>
                      <w:kern w:val="0"/>
                      <w:sz w:val="21"/>
                      <w:szCs w:val="21"/>
                    </w:rPr>
                  </w:pPr>
                  <w:r>
                    <w:rPr>
                      <w:color w:val="auto"/>
                      <w:kern w:val="0"/>
                      <w:sz w:val="21"/>
                      <w:szCs w:val="21"/>
                      <w:lang w:bidi="ar"/>
                    </w:rPr>
                    <w:t>/</w:t>
                  </w:r>
                </w:p>
              </w:tc>
              <w:tc>
                <w:tcPr>
                  <w:tcW w:w="773" w:type="dxa"/>
                  <w:vAlign w:val="center"/>
                </w:tcPr>
                <w:p w14:paraId="1857BAD6">
                  <w:pPr>
                    <w:widowControl/>
                    <w:jc w:val="center"/>
                    <w:textAlignment w:val="center"/>
                    <w:rPr>
                      <w:color w:val="auto"/>
                      <w:kern w:val="0"/>
                      <w:sz w:val="21"/>
                      <w:szCs w:val="21"/>
                    </w:rPr>
                  </w:pPr>
                  <w:r>
                    <w:rPr>
                      <w:color w:val="auto"/>
                      <w:kern w:val="0"/>
                      <w:sz w:val="21"/>
                      <w:szCs w:val="21"/>
                      <w:lang w:bidi="ar"/>
                    </w:rPr>
                    <w:t>/</w:t>
                  </w:r>
                </w:p>
              </w:tc>
              <w:tc>
                <w:tcPr>
                  <w:tcW w:w="1096" w:type="dxa"/>
                  <w:vAlign w:val="center"/>
                </w:tcPr>
                <w:p w14:paraId="78A76E25">
                  <w:pPr>
                    <w:widowControl/>
                    <w:jc w:val="center"/>
                    <w:textAlignment w:val="center"/>
                    <w:rPr>
                      <w:color w:val="auto"/>
                      <w:kern w:val="0"/>
                      <w:sz w:val="21"/>
                      <w:szCs w:val="21"/>
                    </w:rPr>
                  </w:pPr>
                  <w:r>
                    <w:rPr>
                      <w:color w:val="auto"/>
                      <w:kern w:val="0"/>
                      <w:sz w:val="21"/>
                      <w:szCs w:val="21"/>
                      <w:lang w:bidi="ar"/>
                    </w:rPr>
                    <w:t>0.1</w:t>
                  </w:r>
                </w:p>
              </w:tc>
              <w:tc>
                <w:tcPr>
                  <w:tcW w:w="1396" w:type="dxa"/>
                  <w:vAlign w:val="center"/>
                </w:tcPr>
                <w:p w14:paraId="4A396971">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178EF263">
                  <w:pPr>
                    <w:widowControl/>
                    <w:jc w:val="center"/>
                    <w:textAlignment w:val="center"/>
                    <w:rPr>
                      <w:color w:val="auto"/>
                      <w:kern w:val="0"/>
                      <w:sz w:val="21"/>
                      <w:szCs w:val="21"/>
                    </w:rPr>
                  </w:pPr>
                  <w:r>
                    <w:rPr>
                      <w:color w:val="auto"/>
                      <w:kern w:val="0"/>
                      <w:sz w:val="21"/>
                      <w:szCs w:val="21"/>
                      <w:lang w:bidi="ar"/>
                    </w:rPr>
                    <w:t>50</w:t>
                  </w:r>
                </w:p>
              </w:tc>
              <w:tc>
                <w:tcPr>
                  <w:tcW w:w="1235" w:type="dxa"/>
                  <w:tcBorders>
                    <w:right w:val="nil"/>
                  </w:tcBorders>
                  <w:vAlign w:val="center"/>
                </w:tcPr>
                <w:p w14:paraId="61F58DBD">
                  <w:pPr>
                    <w:widowControl/>
                    <w:jc w:val="center"/>
                    <w:textAlignment w:val="center"/>
                    <w:rPr>
                      <w:color w:val="auto"/>
                      <w:kern w:val="0"/>
                      <w:sz w:val="21"/>
                      <w:szCs w:val="21"/>
                    </w:rPr>
                  </w:pPr>
                  <w:r>
                    <w:rPr>
                      <w:color w:val="auto"/>
                      <w:kern w:val="0"/>
                      <w:sz w:val="21"/>
                      <w:szCs w:val="21"/>
                      <w:lang w:bidi="ar"/>
                    </w:rPr>
                    <w:t>0.002</w:t>
                  </w:r>
                </w:p>
              </w:tc>
            </w:tr>
            <w:tr w14:paraId="5BD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7EA0CD37">
                  <w:pPr>
                    <w:adjustRightInd w:val="0"/>
                    <w:snapToGrid w:val="0"/>
                    <w:spacing w:before="24" w:beforeLines="10" w:after="24" w:afterLines="10" w:line="240" w:lineRule="auto"/>
                    <w:jc w:val="center"/>
                    <w:rPr>
                      <w:color w:val="auto"/>
                      <w:kern w:val="0"/>
                      <w:sz w:val="21"/>
                      <w:szCs w:val="20"/>
                    </w:rPr>
                  </w:pPr>
                  <w:r>
                    <w:rPr>
                      <w:color w:val="auto"/>
                      <w:kern w:val="0"/>
                      <w:sz w:val="21"/>
                      <w:szCs w:val="20"/>
                    </w:rPr>
                    <w:t>2</w:t>
                  </w:r>
                </w:p>
              </w:tc>
              <w:tc>
                <w:tcPr>
                  <w:tcW w:w="1172" w:type="dxa"/>
                  <w:vAlign w:val="center"/>
                </w:tcPr>
                <w:p w14:paraId="79EDBBFA">
                  <w:pPr>
                    <w:widowControl/>
                    <w:spacing w:line="240" w:lineRule="auto"/>
                    <w:jc w:val="center"/>
                    <w:textAlignment w:val="center"/>
                    <w:rPr>
                      <w:color w:val="auto"/>
                      <w:kern w:val="0"/>
                      <w:sz w:val="21"/>
                      <w:szCs w:val="21"/>
                    </w:rPr>
                  </w:pPr>
                  <w:r>
                    <w:rPr>
                      <w:color w:val="auto"/>
                      <w:kern w:val="0"/>
                      <w:sz w:val="21"/>
                      <w:szCs w:val="21"/>
                      <w:lang w:bidi="ar"/>
                    </w:rPr>
                    <w:t>水性漆</w:t>
                  </w:r>
                </w:p>
              </w:tc>
              <w:tc>
                <w:tcPr>
                  <w:tcW w:w="911" w:type="dxa"/>
                  <w:vAlign w:val="center"/>
                </w:tcPr>
                <w:p w14:paraId="30514F8C">
                  <w:pPr>
                    <w:widowControl/>
                    <w:jc w:val="center"/>
                    <w:textAlignment w:val="center"/>
                    <w:rPr>
                      <w:color w:val="auto"/>
                      <w:kern w:val="0"/>
                      <w:sz w:val="21"/>
                      <w:szCs w:val="21"/>
                    </w:rPr>
                  </w:pPr>
                  <w:r>
                    <w:rPr>
                      <w:color w:val="auto"/>
                      <w:kern w:val="0"/>
                      <w:sz w:val="21"/>
                      <w:szCs w:val="21"/>
                      <w:lang w:bidi="ar"/>
                    </w:rPr>
                    <w:t>/</w:t>
                  </w:r>
                </w:p>
              </w:tc>
              <w:tc>
                <w:tcPr>
                  <w:tcW w:w="773" w:type="dxa"/>
                  <w:vAlign w:val="center"/>
                </w:tcPr>
                <w:p w14:paraId="3A656CBA">
                  <w:pPr>
                    <w:widowControl/>
                    <w:jc w:val="center"/>
                    <w:textAlignment w:val="center"/>
                    <w:rPr>
                      <w:color w:val="auto"/>
                      <w:kern w:val="0"/>
                      <w:sz w:val="21"/>
                      <w:szCs w:val="21"/>
                    </w:rPr>
                  </w:pPr>
                  <w:r>
                    <w:rPr>
                      <w:color w:val="auto"/>
                      <w:kern w:val="0"/>
                      <w:sz w:val="21"/>
                      <w:szCs w:val="21"/>
                      <w:lang w:bidi="ar"/>
                    </w:rPr>
                    <w:t>/</w:t>
                  </w:r>
                </w:p>
              </w:tc>
              <w:tc>
                <w:tcPr>
                  <w:tcW w:w="1096" w:type="dxa"/>
                  <w:vAlign w:val="center"/>
                </w:tcPr>
                <w:p w14:paraId="6008DE41">
                  <w:pPr>
                    <w:widowControl/>
                    <w:jc w:val="center"/>
                    <w:textAlignment w:val="center"/>
                    <w:rPr>
                      <w:color w:val="auto"/>
                      <w:kern w:val="0"/>
                      <w:sz w:val="21"/>
                      <w:szCs w:val="21"/>
                    </w:rPr>
                  </w:pPr>
                  <w:r>
                    <w:rPr>
                      <w:color w:val="auto"/>
                      <w:kern w:val="0"/>
                      <w:sz w:val="21"/>
                      <w:szCs w:val="21"/>
                      <w:lang w:bidi="ar"/>
                    </w:rPr>
                    <w:t>0.1</w:t>
                  </w:r>
                </w:p>
              </w:tc>
              <w:tc>
                <w:tcPr>
                  <w:tcW w:w="1396" w:type="dxa"/>
                  <w:vAlign w:val="center"/>
                </w:tcPr>
                <w:p w14:paraId="4F4356C7">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6564F119">
                  <w:pPr>
                    <w:widowControl/>
                    <w:jc w:val="center"/>
                    <w:textAlignment w:val="center"/>
                    <w:rPr>
                      <w:color w:val="auto"/>
                      <w:kern w:val="0"/>
                      <w:sz w:val="21"/>
                      <w:szCs w:val="21"/>
                    </w:rPr>
                  </w:pPr>
                  <w:r>
                    <w:rPr>
                      <w:color w:val="auto"/>
                      <w:kern w:val="0"/>
                      <w:sz w:val="21"/>
                      <w:szCs w:val="21"/>
                      <w:lang w:bidi="ar"/>
                    </w:rPr>
                    <w:t>50</w:t>
                  </w:r>
                </w:p>
              </w:tc>
              <w:tc>
                <w:tcPr>
                  <w:tcW w:w="1235" w:type="dxa"/>
                  <w:tcBorders>
                    <w:right w:val="nil"/>
                  </w:tcBorders>
                  <w:vAlign w:val="center"/>
                </w:tcPr>
                <w:p w14:paraId="6C823FFE">
                  <w:pPr>
                    <w:widowControl/>
                    <w:jc w:val="center"/>
                    <w:textAlignment w:val="center"/>
                    <w:rPr>
                      <w:color w:val="auto"/>
                      <w:kern w:val="0"/>
                      <w:sz w:val="21"/>
                      <w:szCs w:val="21"/>
                      <w:lang w:bidi="ar"/>
                    </w:rPr>
                  </w:pPr>
                  <w:r>
                    <w:rPr>
                      <w:color w:val="auto"/>
                      <w:kern w:val="0"/>
                      <w:sz w:val="21"/>
                      <w:szCs w:val="21"/>
                      <w:lang w:bidi="ar"/>
                    </w:rPr>
                    <w:t>0.002</w:t>
                  </w:r>
                </w:p>
              </w:tc>
            </w:tr>
            <w:tr w14:paraId="5AF2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6CCF8145">
                  <w:pPr>
                    <w:adjustRightInd w:val="0"/>
                    <w:snapToGrid w:val="0"/>
                    <w:spacing w:before="24" w:beforeLines="10" w:after="24" w:afterLines="10" w:line="240" w:lineRule="auto"/>
                    <w:jc w:val="center"/>
                    <w:rPr>
                      <w:color w:val="auto"/>
                      <w:kern w:val="0"/>
                      <w:sz w:val="21"/>
                      <w:szCs w:val="20"/>
                    </w:rPr>
                  </w:pPr>
                  <w:r>
                    <w:rPr>
                      <w:color w:val="auto"/>
                      <w:kern w:val="0"/>
                      <w:sz w:val="21"/>
                      <w:szCs w:val="20"/>
                    </w:rPr>
                    <w:t>3</w:t>
                  </w:r>
                </w:p>
              </w:tc>
              <w:tc>
                <w:tcPr>
                  <w:tcW w:w="1172" w:type="dxa"/>
                  <w:vAlign w:val="center"/>
                </w:tcPr>
                <w:p w14:paraId="6F9F1F83">
                  <w:pPr>
                    <w:widowControl/>
                    <w:spacing w:line="240" w:lineRule="auto"/>
                    <w:jc w:val="center"/>
                    <w:textAlignment w:val="center"/>
                    <w:rPr>
                      <w:color w:val="auto"/>
                      <w:kern w:val="0"/>
                      <w:sz w:val="21"/>
                      <w:szCs w:val="21"/>
                    </w:rPr>
                  </w:pPr>
                  <w:r>
                    <w:rPr>
                      <w:color w:val="auto"/>
                      <w:kern w:val="0"/>
                      <w:sz w:val="21"/>
                      <w:szCs w:val="21"/>
                      <w:lang w:bidi="ar"/>
                    </w:rPr>
                    <w:t>固化剂</w:t>
                  </w:r>
                </w:p>
              </w:tc>
              <w:tc>
                <w:tcPr>
                  <w:tcW w:w="911" w:type="dxa"/>
                  <w:vAlign w:val="center"/>
                </w:tcPr>
                <w:p w14:paraId="4688D0B6">
                  <w:pPr>
                    <w:widowControl/>
                    <w:jc w:val="center"/>
                    <w:textAlignment w:val="center"/>
                    <w:rPr>
                      <w:color w:val="auto"/>
                      <w:kern w:val="0"/>
                      <w:sz w:val="21"/>
                      <w:szCs w:val="21"/>
                      <w:lang w:bidi="ar"/>
                    </w:rPr>
                  </w:pPr>
                  <w:r>
                    <w:rPr>
                      <w:rFonts w:hint="eastAsia"/>
                      <w:color w:val="auto"/>
                      <w:kern w:val="0"/>
                      <w:sz w:val="21"/>
                      <w:szCs w:val="21"/>
                      <w:lang w:bidi="ar"/>
                    </w:rPr>
                    <w:t>二甲苯</w:t>
                  </w:r>
                </w:p>
              </w:tc>
              <w:tc>
                <w:tcPr>
                  <w:tcW w:w="773" w:type="dxa"/>
                  <w:vAlign w:val="center"/>
                </w:tcPr>
                <w:p w14:paraId="09BBB428">
                  <w:pPr>
                    <w:widowControl/>
                    <w:jc w:val="center"/>
                    <w:textAlignment w:val="center"/>
                    <w:rPr>
                      <w:color w:val="auto"/>
                      <w:kern w:val="0"/>
                      <w:sz w:val="21"/>
                      <w:szCs w:val="21"/>
                    </w:rPr>
                  </w:pPr>
                  <w:r>
                    <w:rPr>
                      <w:rFonts w:hint="eastAsia"/>
                      <w:color w:val="auto"/>
                      <w:kern w:val="0"/>
                      <w:sz w:val="21"/>
                      <w:szCs w:val="21"/>
                    </w:rPr>
                    <w:t>25%</w:t>
                  </w:r>
                </w:p>
              </w:tc>
              <w:tc>
                <w:tcPr>
                  <w:tcW w:w="1096" w:type="dxa"/>
                  <w:vAlign w:val="center"/>
                </w:tcPr>
                <w:p w14:paraId="00FB1470">
                  <w:pPr>
                    <w:widowControl/>
                    <w:jc w:val="center"/>
                    <w:textAlignment w:val="center"/>
                    <w:rPr>
                      <w:color w:val="auto"/>
                      <w:kern w:val="0"/>
                      <w:sz w:val="21"/>
                      <w:szCs w:val="21"/>
                    </w:rPr>
                  </w:pPr>
                  <w:r>
                    <w:rPr>
                      <w:color w:val="auto"/>
                      <w:kern w:val="0"/>
                      <w:sz w:val="21"/>
                      <w:szCs w:val="21"/>
                      <w:lang w:bidi="ar"/>
                    </w:rPr>
                    <w:t>0.0</w:t>
                  </w:r>
                  <w:r>
                    <w:rPr>
                      <w:rFonts w:hint="eastAsia"/>
                      <w:color w:val="auto"/>
                      <w:kern w:val="0"/>
                      <w:sz w:val="21"/>
                      <w:szCs w:val="21"/>
                      <w:lang w:bidi="ar"/>
                    </w:rPr>
                    <w:t>125</w:t>
                  </w:r>
                </w:p>
              </w:tc>
              <w:tc>
                <w:tcPr>
                  <w:tcW w:w="1396" w:type="dxa"/>
                  <w:vAlign w:val="center"/>
                </w:tcPr>
                <w:p w14:paraId="3B4BBF1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63EF9EBD">
                  <w:pPr>
                    <w:widowControl/>
                    <w:jc w:val="center"/>
                    <w:textAlignment w:val="center"/>
                    <w:rPr>
                      <w:color w:val="auto"/>
                      <w:kern w:val="0"/>
                      <w:sz w:val="21"/>
                      <w:szCs w:val="21"/>
                    </w:rPr>
                  </w:pPr>
                  <w:r>
                    <w:rPr>
                      <w:rFonts w:hint="eastAsia"/>
                      <w:color w:val="auto"/>
                      <w:kern w:val="0"/>
                      <w:sz w:val="21"/>
                      <w:szCs w:val="21"/>
                      <w:lang w:bidi="ar"/>
                    </w:rPr>
                    <w:t>10</w:t>
                  </w:r>
                </w:p>
              </w:tc>
              <w:tc>
                <w:tcPr>
                  <w:tcW w:w="1235" w:type="dxa"/>
                  <w:tcBorders>
                    <w:right w:val="nil"/>
                  </w:tcBorders>
                  <w:vAlign w:val="center"/>
                </w:tcPr>
                <w:p w14:paraId="7AA9B0D8">
                  <w:pPr>
                    <w:widowControl/>
                    <w:jc w:val="center"/>
                    <w:textAlignment w:val="center"/>
                    <w:rPr>
                      <w:color w:val="auto"/>
                      <w:kern w:val="0"/>
                      <w:sz w:val="21"/>
                      <w:szCs w:val="21"/>
                      <w:lang w:bidi="ar"/>
                    </w:rPr>
                  </w:pPr>
                  <w:r>
                    <w:rPr>
                      <w:color w:val="auto"/>
                      <w:kern w:val="0"/>
                      <w:sz w:val="21"/>
                      <w:szCs w:val="21"/>
                      <w:lang w:bidi="ar"/>
                    </w:rPr>
                    <w:t>0.00025</w:t>
                  </w:r>
                </w:p>
              </w:tc>
            </w:tr>
            <w:tr w14:paraId="3AD8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1906992C">
                  <w:pPr>
                    <w:adjustRightInd w:val="0"/>
                    <w:snapToGrid w:val="0"/>
                    <w:spacing w:before="24" w:beforeLines="10" w:after="24" w:afterLines="10" w:line="240" w:lineRule="auto"/>
                    <w:jc w:val="center"/>
                    <w:rPr>
                      <w:color w:val="auto"/>
                      <w:kern w:val="0"/>
                      <w:sz w:val="21"/>
                      <w:szCs w:val="20"/>
                    </w:rPr>
                  </w:pPr>
                  <w:r>
                    <w:rPr>
                      <w:color w:val="auto"/>
                      <w:kern w:val="0"/>
                      <w:sz w:val="21"/>
                      <w:szCs w:val="20"/>
                    </w:rPr>
                    <w:t>4</w:t>
                  </w:r>
                </w:p>
              </w:tc>
              <w:tc>
                <w:tcPr>
                  <w:tcW w:w="1172" w:type="dxa"/>
                  <w:vAlign w:val="center"/>
                </w:tcPr>
                <w:p w14:paraId="2D2EDA18">
                  <w:pPr>
                    <w:widowControl/>
                    <w:spacing w:line="240" w:lineRule="auto"/>
                    <w:jc w:val="center"/>
                    <w:textAlignment w:val="center"/>
                    <w:rPr>
                      <w:color w:val="auto"/>
                      <w:kern w:val="0"/>
                      <w:sz w:val="21"/>
                      <w:szCs w:val="21"/>
                    </w:rPr>
                  </w:pPr>
                  <w:r>
                    <w:rPr>
                      <w:color w:val="auto"/>
                      <w:kern w:val="0"/>
                      <w:sz w:val="21"/>
                      <w:szCs w:val="21"/>
                      <w:lang w:bidi="ar"/>
                    </w:rPr>
                    <w:t>稀释剂</w:t>
                  </w:r>
                </w:p>
              </w:tc>
              <w:tc>
                <w:tcPr>
                  <w:tcW w:w="911" w:type="dxa"/>
                  <w:vAlign w:val="center"/>
                </w:tcPr>
                <w:p w14:paraId="79718B87">
                  <w:pPr>
                    <w:widowControl/>
                    <w:jc w:val="center"/>
                    <w:textAlignment w:val="center"/>
                    <w:rPr>
                      <w:color w:val="auto"/>
                      <w:kern w:val="0"/>
                      <w:sz w:val="21"/>
                      <w:szCs w:val="21"/>
                      <w:lang w:bidi="ar"/>
                    </w:rPr>
                  </w:pPr>
                  <w:r>
                    <w:rPr>
                      <w:rFonts w:hint="eastAsia"/>
                      <w:color w:val="auto"/>
                      <w:kern w:val="0"/>
                      <w:sz w:val="21"/>
                      <w:szCs w:val="21"/>
                      <w:lang w:bidi="ar"/>
                    </w:rPr>
                    <w:t>二甲苯</w:t>
                  </w:r>
                </w:p>
              </w:tc>
              <w:tc>
                <w:tcPr>
                  <w:tcW w:w="773" w:type="dxa"/>
                  <w:vAlign w:val="center"/>
                </w:tcPr>
                <w:p w14:paraId="1402BED2">
                  <w:pPr>
                    <w:widowControl/>
                    <w:jc w:val="center"/>
                    <w:textAlignment w:val="center"/>
                    <w:rPr>
                      <w:color w:val="auto"/>
                      <w:kern w:val="0"/>
                      <w:sz w:val="21"/>
                      <w:szCs w:val="21"/>
                    </w:rPr>
                  </w:pPr>
                  <w:r>
                    <w:rPr>
                      <w:rFonts w:hint="eastAsia"/>
                      <w:color w:val="auto"/>
                      <w:kern w:val="0"/>
                      <w:sz w:val="21"/>
                      <w:szCs w:val="21"/>
                      <w:lang w:bidi="ar"/>
                    </w:rPr>
                    <w:t>35%</w:t>
                  </w:r>
                </w:p>
              </w:tc>
              <w:tc>
                <w:tcPr>
                  <w:tcW w:w="1096" w:type="dxa"/>
                  <w:vAlign w:val="center"/>
                </w:tcPr>
                <w:p w14:paraId="485F2CAB">
                  <w:pPr>
                    <w:widowControl/>
                    <w:jc w:val="center"/>
                    <w:textAlignment w:val="center"/>
                    <w:rPr>
                      <w:color w:val="auto"/>
                      <w:kern w:val="0"/>
                      <w:sz w:val="21"/>
                      <w:szCs w:val="21"/>
                    </w:rPr>
                  </w:pPr>
                  <w:r>
                    <w:rPr>
                      <w:color w:val="auto"/>
                      <w:kern w:val="0"/>
                      <w:sz w:val="21"/>
                      <w:szCs w:val="21"/>
                      <w:lang w:bidi="ar"/>
                    </w:rPr>
                    <w:t>0.</w:t>
                  </w:r>
                  <w:r>
                    <w:rPr>
                      <w:rFonts w:hint="eastAsia"/>
                      <w:color w:val="auto"/>
                      <w:kern w:val="0"/>
                      <w:sz w:val="21"/>
                      <w:szCs w:val="21"/>
                      <w:lang w:bidi="ar"/>
                    </w:rPr>
                    <w:t>07</w:t>
                  </w:r>
                </w:p>
              </w:tc>
              <w:tc>
                <w:tcPr>
                  <w:tcW w:w="1396" w:type="dxa"/>
                  <w:vAlign w:val="center"/>
                </w:tcPr>
                <w:p w14:paraId="064186A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1AD83334">
                  <w:pPr>
                    <w:widowControl/>
                    <w:jc w:val="center"/>
                    <w:textAlignment w:val="center"/>
                    <w:rPr>
                      <w:color w:val="auto"/>
                      <w:kern w:val="0"/>
                      <w:sz w:val="21"/>
                      <w:szCs w:val="21"/>
                    </w:rPr>
                  </w:pPr>
                  <w:r>
                    <w:rPr>
                      <w:rFonts w:hint="eastAsia"/>
                      <w:color w:val="auto"/>
                      <w:kern w:val="0"/>
                      <w:sz w:val="21"/>
                      <w:szCs w:val="21"/>
                      <w:lang w:bidi="ar"/>
                    </w:rPr>
                    <w:t>10</w:t>
                  </w:r>
                </w:p>
              </w:tc>
              <w:tc>
                <w:tcPr>
                  <w:tcW w:w="1235" w:type="dxa"/>
                  <w:tcBorders>
                    <w:right w:val="nil"/>
                  </w:tcBorders>
                  <w:vAlign w:val="center"/>
                </w:tcPr>
                <w:p w14:paraId="733106A3">
                  <w:pPr>
                    <w:widowControl/>
                    <w:jc w:val="center"/>
                    <w:textAlignment w:val="center"/>
                    <w:rPr>
                      <w:color w:val="auto"/>
                      <w:kern w:val="0"/>
                      <w:sz w:val="21"/>
                      <w:szCs w:val="21"/>
                    </w:rPr>
                  </w:pPr>
                  <w:r>
                    <w:rPr>
                      <w:color w:val="auto"/>
                      <w:kern w:val="0"/>
                      <w:sz w:val="21"/>
                      <w:szCs w:val="21"/>
                      <w:lang w:bidi="ar"/>
                    </w:rPr>
                    <w:t>0.0014</w:t>
                  </w:r>
                </w:p>
              </w:tc>
            </w:tr>
            <w:tr w14:paraId="0773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221731E6">
                  <w:pPr>
                    <w:adjustRightInd w:val="0"/>
                    <w:snapToGrid w:val="0"/>
                    <w:spacing w:before="24" w:beforeLines="10" w:after="24" w:afterLines="10" w:line="240" w:lineRule="auto"/>
                    <w:jc w:val="center"/>
                    <w:rPr>
                      <w:color w:val="auto"/>
                      <w:kern w:val="0"/>
                      <w:sz w:val="21"/>
                      <w:szCs w:val="20"/>
                    </w:rPr>
                  </w:pPr>
                  <w:r>
                    <w:rPr>
                      <w:color w:val="auto"/>
                      <w:kern w:val="0"/>
                      <w:sz w:val="21"/>
                      <w:szCs w:val="20"/>
                    </w:rPr>
                    <w:t>5</w:t>
                  </w:r>
                </w:p>
              </w:tc>
              <w:tc>
                <w:tcPr>
                  <w:tcW w:w="1172" w:type="dxa"/>
                  <w:vAlign w:val="center"/>
                </w:tcPr>
                <w:p w14:paraId="6EE1F9C0">
                  <w:pPr>
                    <w:widowControl/>
                    <w:spacing w:line="240" w:lineRule="auto"/>
                    <w:jc w:val="center"/>
                    <w:textAlignment w:val="center"/>
                    <w:rPr>
                      <w:color w:val="auto"/>
                      <w:kern w:val="0"/>
                      <w:sz w:val="21"/>
                      <w:szCs w:val="21"/>
                    </w:rPr>
                  </w:pPr>
                  <w:r>
                    <w:rPr>
                      <w:rFonts w:hint="eastAsia"/>
                      <w:color w:val="auto"/>
                      <w:kern w:val="0"/>
                      <w:sz w:val="21"/>
                      <w:szCs w:val="21"/>
                    </w:rPr>
                    <w:t>酒精</w:t>
                  </w:r>
                </w:p>
              </w:tc>
              <w:tc>
                <w:tcPr>
                  <w:tcW w:w="911" w:type="dxa"/>
                  <w:vAlign w:val="center"/>
                </w:tcPr>
                <w:p w14:paraId="6E37399A">
                  <w:pPr>
                    <w:widowControl/>
                    <w:jc w:val="center"/>
                    <w:textAlignment w:val="center"/>
                    <w:rPr>
                      <w:color w:val="auto"/>
                      <w:kern w:val="0"/>
                      <w:sz w:val="21"/>
                      <w:szCs w:val="21"/>
                      <w:lang w:bidi="ar"/>
                    </w:rPr>
                  </w:pPr>
                  <w:r>
                    <w:rPr>
                      <w:rFonts w:hint="eastAsia"/>
                      <w:color w:val="auto"/>
                      <w:kern w:val="0"/>
                      <w:sz w:val="21"/>
                      <w:szCs w:val="21"/>
                      <w:lang w:bidi="ar"/>
                    </w:rPr>
                    <w:t>乙醇</w:t>
                  </w:r>
                </w:p>
              </w:tc>
              <w:tc>
                <w:tcPr>
                  <w:tcW w:w="773" w:type="dxa"/>
                  <w:vAlign w:val="center"/>
                </w:tcPr>
                <w:p w14:paraId="57A9B6B7">
                  <w:pPr>
                    <w:widowControl/>
                    <w:jc w:val="center"/>
                    <w:textAlignment w:val="center"/>
                    <w:rPr>
                      <w:color w:val="auto"/>
                      <w:kern w:val="0"/>
                      <w:sz w:val="21"/>
                      <w:szCs w:val="21"/>
                    </w:rPr>
                  </w:pPr>
                  <w:r>
                    <w:rPr>
                      <w:rFonts w:hint="eastAsia"/>
                      <w:color w:val="auto"/>
                      <w:kern w:val="0"/>
                      <w:sz w:val="21"/>
                      <w:szCs w:val="21"/>
                      <w:lang w:bidi="ar"/>
                    </w:rPr>
                    <w:t>75%</w:t>
                  </w:r>
                </w:p>
              </w:tc>
              <w:tc>
                <w:tcPr>
                  <w:tcW w:w="1096" w:type="dxa"/>
                  <w:vAlign w:val="center"/>
                </w:tcPr>
                <w:p w14:paraId="24D3685E">
                  <w:pPr>
                    <w:widowControl/>
                    <w:jc w:val="center"/>
                    <w:textAlignment w:val="center"/>
                    <w:rPr>
                      <w:color w:val="auto"/>
                      <w:kern w:val="0"/>
                      <w:sz w:val="21"/>
                      <w:szCs w:val="21"/>
                    </w:rPr>
                  </w:pPr>
                  <w:r>
                    <w:rPr>
                      <w:color w:val="auto"/>
                      <w:kern w:val="0"/>
                      <w:sz w:val="21"/>
                      <w:szCs w:val="21"/>
                      <w:lang w:bidi="ar"/>
                    </w:rPr>
                    <w:t>0.000</w:t>
                  </w:r>
                  <w:r>
                    <w:rPr>
                      <w:rFonts w:hint="eastAsia"/>
                      <w:color w:val="auto"/>
                      <w:kern w:val="0"/>
                      <w:sz w:val="21"/>
                      <w:szCs w:val="21"/>
                      <w:lang w:bidi="ar"/>
                    </w:rPr>
                    <w:t>375</w:t>
                  </w:r>
                </w:p>
              </w:tc>
              <w:tc>
                <w:tcPr>
                  <w:tcW w:w="1396" w:type="dxa"/>
                  <w:vAlign w:val="center"/>
                </w:tcPr>
                <w:p w14:paraId="5D57A87A">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06E7315B">
                  <w:pPr>
                    <w:widowControl/>
                    <w:jc w:val="center"/>
                    <w:textAlignment w:val="center"/>
                    <w:rPr>
                      <w:color w:val="auto"/>
                      <w:kern w:val="0"/>
                      <w:sz w:val="21"/>
                      <w:szCs w:val="21"/>
                    </w:rPr>
                  </w:pPr>
                  <w:r>
                    <w:rPr>
                      <w:color w:val="auto"/>
                      <w:kern w:val="0"/>
                      <w:sz w:val="21"/>
                      <w:szCs w:val="21"/>
                      <w:lang w:bidi="ar"/>
                    </w:rPr>
                    <w:t>500</w:t>
                  </w:r>
                </w:p>
              </w:tc>
              <w:tc>
                <w:tcPr>
                  <w:tcW w:w="1235" w:type="dxa"/>
                  <w:tcBorders>
                    <w:right w:val="nil"/>
                  </w:tcBorders>
                  <w:vAlign w:val="center"/>
                </w:tcPr>
                <w:p w14:paraId="6E5D2C26">
                  <w:pPr>
                    <w:widowControl/>
                    <w:jc w:val="center"/>
                    <w:textAlignment w:val="center"/>
                    <w:rPr>
                      <w:color w:val="auto"/>
                      <w:kern w:val="0"/>
                      <w:sz w:val="21"/>
                      <w:szCs w:val="21"/>
                    </w:rPr>
                  </w:pPr>
                  <w:r>
                    <w:rPr>
                      <w:color w:val="auto"/>
                      <w:kern w:val="0"/>
                      <w:sz w:val="21"/>
                      <w:szCs w:val="21"/>
                      <w:lang w:bidi="ar"/>
                    </w:rPr>
                    <w:t>0.00000075</w:t>
                  </w:r>
                </w:p>
              </w:tc>
            </w:tr>
            <w:tr w14:paraId="0EBE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7A0A29F0">
                  <w:pPr>
                    <w:adjustRightInd w:val="0"/>
                    <w:snapToGrid w:val="0"/>
                    <w:spacing w:before="24" w:beforeLines="10" w:after="24" w:afterLines="10" w:line="240" w:lineRule="auto"/>
                    <w:jc w:val="center"/>
                    <w:rPr>
                      <w:color w:val="auto"/>
                      <w:kern w:val="0"/>
                      <w:sz w:val="21"/>
                      <w:szCs w:val="20"/>
                    </w:rPr>
                  </w:pPr>
                  <w:r>
                    <w:rPr>
                      <w:color w:val="auto"/>
                      <w:kern w:val="0"/>
                      <w:sz w:val="21"/>
                      <w:szCs w:val="20"/>
                    </w:rPr>
                    <w:t>6</w:t>
                  </w:r>
                </w:p>
              </w:tc>
              <w:tc>
                <w:tcPr>
                  <w:tcW w:w="1172" w:type="dxa"/>
                  <w:vAlign w:val="center"/>
                </w:tcPr>
                <w:p w14:paraId="72F7DC76">
                  <w:pPr>
                    <w:widowControl/>
                    <w:spacing w:line="240" w:lineRule="auto"/>
                    <w:jc w:val="center"/>
                    <w:textAlignment w:val="center"/>
                    <w:rPr>
                      <w:color w:val="auto"/>
                      <w:kern w:val="0"/>
                      <w:sz w:val="21"/>
                      <w:szCs w:val="21"/>
                    </w:rPr>
                  </w:pPr>
                  <w:r>
                    <w:rPr>
                      <w:color w:val="auto"/>
                      <w:kern w:val="0"/>
                      <w:sz w:val="21"/>
                      <w:szCs w:val="21"/>
                      <w:lang w:bidi="ar"/>
                    </w:rPr>
                    <w:t>玻璃胶</w:t>
                  </w:r>
                </w:p>
              </w:tc>
              <w:tc>
                <w:tcPr>
                  <w:tcW w:w="911" w:type="dxa"/>
                  <w:vAlign w:val="center"/>
                </w:tcPr>
                <w:p w14:paraId="29D199DF">
                  <w:pPr>
                    <w:widowControl/>
                    <w:jc w:val="center"/>
                    <w:textAlignment w:val="center"/>
                    <w:rPr>
                      <w:color w:val="auto"/>
                      <w:kern w:val="0"/>
                      <w:sz w:val="21"/>
                      <w:szCs w:val="21"/>
                      <w:lang w:bidi="ar"/>
                    </w:rPr>
                  </w:pPr>
                  <w:r>
                    <w:rPr>
                      <w:color w:val="auto"/>
                      <w:kern w:val="0"/>
                      <w:sz w:val="21"/>
                      <w:szCs w:val="21"/>
                      <w:lang w:bidi="ar"/>
                    </w:rPr>
                    <w:t>/</w:t>
                  </w:r>
                </w:p>
              </w:tc>
              <w:tc>
                <w:tcPr>
                  <w:tcW w:w="773" w:type="dxa"/>
                  <w:vAlign w:val="center"/>
                </w:tcPr>
                <w:p w14:paraId="6908D55A">
                  <w:pPr>
                    <w:widowControl/>
                    <w:jc w:val="center"/>
                    <w:textAlignment w:val="center"/>
                    <w:rPr>
                      <w:color w:val="auto"/>
                      <w:kern w:val="0"/>
                      <w:sz w:val="21"/>
                      <w:szCs w:val="21"/>
                    </w:rPr>
                  </w:pPr>
                  <w:r>
                    <w:rPr>
                      <w:color w:val="auto"/>
                      <w:kern w:val="0"/>
                      <w:sz w:val="21"/>
                      <w:szCs w:val="21"/>
                      <w:lang w:bidi="ar"/>
                    </w:rPr>
                    <w:t>/</w:t>
                  </w:r>
                </w:p>
              </w:tc>
              <w:tc>
                <w:tcPr>
                  <w:tcW w:w="1096" w:type="dxa"/>
                  <w:vAlign w:val="center"/>
                </w:tcPr>
                <w:p w14:paraId="12EDD9A1">
                  <w:pPr>
                    <w:widowControl/>
                    <w:jc w:val="center"/>
                    <w:textAlignment w:val="center"/>
                    <w:rPr>
                      <w:color w:val="auto"/>
                      <w:kern w:val="0"/>
                      <w:sz w:val="21"/>
                      <w:szCs w:val="21"/>
                    </w:rPr>
                  </w:pPr>
                  <w:r>
                    <w:rPr>
                      <w:color w:val="auto"/>
                      <w:kern w:val="0"/>
                      <w:sz w:val="21"/>
                      <w:szCs w:val="21"/>
                      <w:lang w:bidi="ar"/>
                    </w:rPr>
                    <w:t>0.2</w:t>
                  </w:r>
                </w:p>
              </w:tc>
              <w:tc>
                <w:tcPr>
                  <w:tcW w:w="1396" w:type="dxa"/>
                  <w:vAlign w:val="center"/>
                </w:tcPr>
                <w:p w14:paraId="49C2B999">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4E5700B1">
                  <w:pPr>
                    <w:widowControl/>
                    <w:jc w:val="center"/>
                    <w:textAlignment w:val="center"/>
                    <w:rPr>
                      <w:color w:val="auto"/>
                      <w:kern w:val="0"/>
                      <w:sz w:val="21"/>
                      <w:szCs w:val="21"/>
                    </w:rPr>
                  </w:pPr>
                  <w:r>
                    <w:rPr>
                      <w:color w:val="auto"/>
                      <w:kern w:val="0"/>
                      <w:sz w:val="21"/>
                      <w:szCs w:val="21"/>
                      <w:lang w:bidi="ar"/>
                    </w:rPr>
                    <w:t>100</w:t>
                  </w:r>
                </w:p>
              </w:tc>
              <w:tc>
                <w:tcPr>
                  <w:tcW w:w="1235" w:type="dxa"/>
                  <w:tcBorders>
                    <w:right w:val="nil"/>
                  </w:tcBorders>
                  <w:vAlign w:val="center"/>
                </w:tcPr>
                <w:p w14:paraId="7AC26588">
                  <w:pPr>
                    <w:widowControl/>
                    <w:jc w:val="center"/>
                    <w:textAlignment w:val="center"/>
                    <w:rPr>
                      <w:color w:val="auto"/>
                      <w:kern w:val="0"/>
                      <w:sz w:val="21"/>
                      <w:szCs w:val="21"/>
                    </w:rPr>
                  </w:pPr>
                  <w:r>
                    <w:rPr>
                      <w:color w:val="auto"/>
                      <w:kern w:val="0"/>
                      <w:sz w:val="21"/>
                      <w:szCs w:val="21"/>
                      <w:lang w:bidi="ar"/>
                    </w:rPr>
                    <w:t>0.002</w:t>
                  </w:r>
                </w:p>
              </w:tc>
            </w:tr>
            <w:tr w14:paraId="088F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2C16656B">
                  <w:pPr>
                    <w:adjustRightInd w:val="0"/>
                    <w:snapToGrid w:val="0"/>
                    <w:spacing w:before="24" w:beforeLines="10" w:after="24" w:afterLines="10" w:line="240" w:lineRule="auto"/>
                    <w:jc w:val="center"/>
                    <w:rPr>
                      <w:color w:val="auto"/>
                      <w:kern w:val="0"/>
                      <w:sz w:val="21"/>
                      <w:szCs w:val="20"/>
                    </w:rPr>
                  </w:pPr>
                  <w:r>
                    <w:rPr>
                      <w:color w:val="auto"/>
                      <w:kern w:val="0"/>
                      <w:sz w:val="21"/>
                      <w:szCs w:val="20"/>
                    </w:rPr>
                    <w:t>7</w:t>
                  </w:r>
                </w:p>
              </w:tc>
              <w:tc>
                <w:tcPr>
                  <w:tcW w:w="1172" w:type="dxa"/>
                  <w:vAlign w:val="center"/>
                </w:tcPr>
                <w:p w14:paraId="723D8AA4">
                  <w:pPr>
                    <w:widowControl/>
                    <w:spacing w:line="240" w:lineRule="auto"/>
                    <w:jc w:val="center"/>
                    <w:textAlignment w:val="center"/>
                    <w:rPr>
                      <w:color w:val="auto"/>
                      <w:kern w:val="0"/>
                      <w:sz w:val="21"/>
                      <w:szCs w:val="21"/>
                    </w:rPr>
                  </w:pPr>
                  <w:r>
                    <w:rPr>
                      <w:color w:val="auto"/>
                      <w:kern w:val="0"/>
                      <w:sz w:val="21"/>
                      <w:szCs w:val="21"/>
                      <w:lang w:bidi="ar"/>
                    </w:rPr>
                    <w:t>废机油</w:t>
                  </w:r>
                </w:p>
              </w:tc>
              <w:tc>
                <w:tcPr>
                  <w:tcW w:w="911" w:type="dxa"/>
                  <w:vAlign w:val="center"/>
                </w:tcPr>
                <w:p w14:paraId="3DFCAE70">
                  <w:pPr>
                    <w:widowControl/>
                    <w:jc w:val="center"/>
                    <w:textAlignment w:val="center"/>
                    <w:rPr>
                      <w:color w:val="auto"/>
                      <w:kern w:val="0"/>
                      <w:sz w:val="21"/>
                      <w:szCs w:val="21"/>
                      <w:lang w:bidi="ar"/>
                    </w:rPr>
                  </w:pPr>
                  <w:r>
                    <w:rPr>
                      <w:color w:val="auto"/>
                      <w:kern w:val="0"/>
                      <w:sz w:val="21"/>
                      <w:szCs w:val="21"/>
                      <w:lang w:bidi="ar"/>
                    </w:rPr>
                    <w:t>/</w:t>
                  </w:r>
                </w:p>
              </w:tc>
              <w:tc>
                <w:tcPr>
                  <w:tcW w:w="773" w:type="dxa"/>
                  <w:vAlign w:val="center"/>
                </w:tcPr>
                <w:p w14:paraId="21BCD814">
                  <w:pPr>
                    <w:widowControl/>
                    <w:jc w:val="center"/>
                    <w:textAlignment w:val="center"/>
                    <w:rPr>
                      <w:color w:val="auto"/>
                      <w:kern w:val="0"/>
                      <w:sz w:val="21"/>
                      <w:szCs w:val="21"/>
                    </w:rPr>
                  </w:pPr>
                  <w:r>
                    <w:rPr>
                      <w:color w:val="auto"/>
                      <w:kern w:val="0"/>
                      <w:sz w:val="21"/>
                      <w:szCs w:val="21"/>
                      <w:lang w:bidi="ar"/>
                    </w:rPr>
                    <w:t>/</w:t>
                  </w:r>
                </w:p>
              </w:tc>
              <w:tc>
                <w:tcPr>
                  <w:tcW w:w="1096" w:type="dxa"/>
                  <w:vAlign w:val="center"/>
                </w:tcPr>
                <w:p w14:paraId="64BA457D">
                  <w:pPr>
                    <w:widowControl/>
                    <w:jc w:val="center"/>
                    <w:textAlignment w:val="center"/>
                    <w:rPr>
                      <w:color w:val="auto"/>
                      <w:kern w:val="0"/>
                      <w:sz w:val="21"/>
                      <w:szCs w:val="21"/>
                    </w:rPr>
                  </w:pPr>
                  <w:r>
                    <w:rPr>
                      <w:color w:val="auto"/>
                      <w:kern w:val="0"/>
                      <w:sz w:val="21"/>
                      <w:szCs w:val="21"/>
                      <w:lang w:bidi="ar"/>
                    </w:rPr>
                    <w:t>0.01</w:t>
                  </w:r>
                </w:p>
              </w:tc>
              <w:tc>
                <w:tcPr>
                  <w:tcW w:w="1396" w:type="dxa"/>
                  <w:vAlign w:val="center"/>
                </w:tcPr>
                <w:p w14:paraId="5908BE86">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原材料仓库</w:t>
                  </w:r>
                </w:p>
              </w:tc>
              <w:tc>
                <w:tcPr>
                  <w:tcW w:w="900" w:type="dxa"/>
                  <w:vAlign w:val="center"/>
                </w:tcPr>
                <w:p w14:paraId="3F820D05">
                  <w:pPr>
                    <w:widowControl/>
                    <w:jc w:val="center"/>
                    <w:textAlignment w:val="center"/>
                    <w:rPr>
                      <w:color w:val="auto"/>
                      <w:kern w:val="0"/>
                      <w:sz w:val="21"/>
                      <w:szCs w:val="21"/>
                    </w:rPr>
                  </w:pPr>
                  <w:r>
                    <w:rPr>
                      <w:color w:val="auto"/>
                      <w:kern w:val="0"/>
                      <w:sz w:val="21"/>
                      <w:szCs w:val="21"/>
                      <w:lang w:bidi="ar"/>
                    </w:rPr>
                    <w:t>2500</w:t>
                  </w:r>
                </w:p>
              </w:tc>
              <w:tc>
                <w:tcPr>
                  <w:tcW w:w="1235" w:type="dxa"/>
                  <w:tcBorders>
                    <w:right w:val="nil"/>
                  </w:tcBorders>
                  <w:vAlign w:val="center"/>
                </w:tcPr>
                <w:p w14:paraId="7B3A59B2">
                  <w:pPr>
                    <w:widowControl/>
                    <w:jc w:val="center"/>
                    <w:textAlignment w:val="center"/>
                    <w:rPr>
                      <w:color w:val="auto"/>
                      <w:kern w:val="0"/>
                      <w:sz w:val="21"/>
                      <w:szCs w:val="21"/>
                      <w:lang w:bidi="ar"/>
                    </w:rPr>
                  </w:pPr>
                  <w:r>
                    <w:rPr>
                      <w:color w:val="auto"/>
                      <w:kern w:val="0"/>
                      <w:sz w:val="21"/>
                      <w:szCs w:val="21"/>
                      <w:lang w:bidi="ar"/>
                    </w:rPr>
                    <w:t>0.000004</w:t>
                  </w:r>
                </w:p>
              </w:tc>
            </w:tr>
            <w:tr w14:paraId="549F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16D85C81">
                  <w:pPr>
                    <w:adjustRightInd w:val="0"/>
                    <w:snapToGrid w:val="0"/>
                    <w:spacing w:before="24" w:beforeLines="10" w:after="24" w:afterLines="10" w:line="240" w:lineRule="auto"/>
                    <w:jc w:val="center"/>
                    <w:rPr>
                      <w:color w:val="auto"/>
                      <w:kern w:val="0"/>
                      <w:sz w:val="21"/>
                      <w:szCs w:val="20"/>
                    </w:rPr>
                  </w:pPr>
                  <w:r>
                    <w:rPr>
                      <w:color w:val="auto"/>
                      <w:kern w:val="0"/>
                      <w:sz w:val="21"/>
                      <w:szCs w:val="20"/>
                    </w:rPr>
                    <w:t>8</w:t>
                  </w:r>
                </w:p>
              </w:tc>
              <w:tc>
                <w:tcPr>
                  <w:tcW w:w="1172" w:type="dxa"/>
                  <w:vAlign w:val="center"/>
                </w:tcPr>
                <w:p w14:paraId="05618BF2">
                  <w:pPr>
                    <w:widowControl/>
                    <w:spacing w:line="240" w:lineRule="auto"/>
                    <w:jc w:val="center"/>
                    <w:textAlignment w:val="center"/>
                    <w:rPr>
                      <w:color w:val="auto"/>
                      <w:kern w:val="0"/>
                      <w:sz w:val="21"/>
                      <w:szCs w:val="21"/>
                    </w:rPr>
                  </w:pPr>
                  <w:r>
                    <w:rPr>
                      <w:color w:val="auto"/>
                      <w:kern w:val="0"/>
                      <w:sz w:val="21"/>
                      <w:szCs w:val="21"/>
                      <w:lang w:bidi="ar"/>
                    </w:rPr>
                    <w:t>废活性炭</w:t>
                  </w:r>
                </w:p>
              </w:tc>
              <w:tc>
                <w:tcPr>
                  <w:tcW w:w="911" w:type="dxa"/>
                  <w:vAlign w:val="center"/>
                </w:tcPr>
                <w:p w14:paraId="0A42768B">
                  <w:pPr>
                    <w:widowControl/>
                    <w:jc w:val="center"/>
                    <w:textAlignment w:val="center"/>
                    <w:rPr>
                      <w:color w:val="auto"/>
                      <w:kern w:val="0"/>
                      <w:sz w:val="21"/>
                      <w:szCs w:val="21"/>
                      <w:lang w:bidi="ar"/>
                    </w:rPr>
                  </w:pPr>
                  <w:r>
                    <w:rPr>
                      <w:color w:val="auto"/>
                      <w:kern w:val="0"/>
                      <w:sz w:val="21"/>
                      <w:szCs w:val="21"/>
                      <w:lang w:bidi="ar"/>
                    </w:rPr>
                    <w:t>/</w:t>
                  </w:r>
                </w:p>
              </w:tc>
              <w:tc>
                <w:tcPr>
                  <w:tcW w:w="773" w:type="dxa"/>
                  <w:vAlign w:val="center"/>
                </w:tcPr>
                <w:p w14:paraId="32CA6BBE">
                  <w:pPr>
                    <w:widowControl/>
                    <w:jc w:val="center"/>
                    <w:textAlignment w:val="center"/>
                    <w:rPr>
                      <w:color w:val="auto"/>
                      <w:kern w:val="0"/>
                      <w:sz w:val="21"/>
                      <w:szCs w:val="21"/>
                    </w:rPr>
                  </w:pPr>
                  <w:r>
                    <w:rPr>
                      <w:color w:val="auto"/>
                      <w:kern w:val="0"/>
                      <w:sz w:val="21"/>
                      <w:szCs w:val="21"/>
                      <w:lang w:bidi="ar"/>
                    </w:rPr>
                    <w:t>/</w:t>
                  </w:r>
                </w:p>
              </w:tc>
              <w:tc>
                <w:tcPr>
                  <w:tcW w:w="1096" w:type="dxa"/>
                  <w:vAlign w:val="center"/>
                </w:tcPr>
                <w:p w14:paraId="1A94292C">
                  <w:pPr>
                    <w:widowControl/>
                    <w:jc w:val="center"/>
                    <w:textAlignment w:val="center"/>
                    <w:rPr>
                      <w:color w:val="auto"/>
                      <w:kern w:val="0"/>
                      <w:sz w:val="21"/>
                      <w:szCs w:val="21"/>
                    </w:rPr>
                  </w:pPr>
                  <w:r>
                    <w:rPr>
                      <w:color w:val="auto"/>
                      <w:kern w:val="0"/>
                      <w:sz w:val="21"/>
                      <w:szCs w:val="21"/>
                      <w:lang w:bidi="ar"/>
                    </w:rPr>
                    <w:t>1</w:t>
                  </w:r>
                </w:p>
              </w:tc>
              <w:tc>
                <w:tcPr>
                  <w:tcW w:w="1396" w:type="dxa"/>
                  <w:vAlign w:val="center"/>
                </w:tcPr>
                <w:p w14:paraId="40FC4BF6">
                  <w:pPr>
                    <w:adjustRightInd w:val="0"/>
                    <w:snapToGrid w:val="0"/>
                    <w:spacing w:before="24" w:beforeLines="10" w:after="24" w:afterLines="10" w:line="240" w:lineRule="auto"/>
                    <w:jc w:val="center"/>
                    <w:rPr>
                      <w:color w:val="auto"/>
                      <w:kern w:val="0"/>
                      <w:sz w:val="21"/>
                      <w:szCs w:val="20"/>
                    </w:rPr>
                  </w:pPr>
                  <w:r>
                    <w:rPr>
                      <w:color w:val="auto"/>
                      <w:kern w:val="0"/>
                      <w:sz w:val="21"/>
                    </w:rPr>
                    <w:t>危废贮存间</w:t>
                  </w:r>
                </w:p>
              </w:tc>
              <w:tc>
                <w:tcPr>
                  <w:tcW w:w="900" w:type="dxa"/>
                  <w:vAlign w:val="center"/>
                </w:tcPr>
                <w:p w14:paraId="29FAE114">
                  <w:pPr>
                    <w:widowControl/>
                    <w:jc w:val="center"/>
                    <w:textAlignment w:val="center"/>
                    <w:rPr>
                      <w:color w:val="auto"/>
                      <w:kern w:val="0"/>
                      <w:sz w:val="21"/>
                      <w:szCs w:val="21"/>
                    </w:rPr>
                  </w:pPr>
                  <w:r>
                    <w:rPr>
                      <w:color w:val="auto"/>
                      <w:kern w:val="0"/>
                      <w:sz w:val="21"/>
                      <w:szCs w:val="21"/>
                      <w:lang w:bidi="ar"/>
                    </w:rPr>
                    <w:t>50</w:t>
                  </w:r>
                </w:p>
              </w:tc>
              <w:tc>
                <w:tcPr>
                  <w:tcW w:w="1235" w:type="dxa"/>
                  <w:tcBorders>
                    <w:right w:val="nil"/>
                  </w:tcBorders>
                  <w:vAlign w:val="center"/>
                </w:tcPr>
                <w:p w14:paraId="18998566">
                  <w:pPr>
                    <w:widowControl/>
                    <w:jc w:val="center"/>
                    <w:textAlignment w:val="center"/>
                    <w:rPr>
                      <w:color w:val="auto"/>
                      <w:kern w:val="0"/>
                      <w:sz w:val="21"/>
                      <w:szCs w:val="21"/>
                      <w:lang w:bidi="ar"/>
                    </w:rPr>
                  </w:pPr>
                  <w:r>
                    <w:rPr>
                      <w:color w:val="auto"/>
                      <w:kern w:val="0"/>
                      <w:sz w:val="21"/>
                      <w:szCs w:val="21"/>
                      <w:lang w:bidi="ar"/>
                    </w:rPr>
                    <w:t>0.02</w:t>
                  </w:r>
                </w:p>
              </w:tc>
            </w:tr>
            <w:tr w14:paraId="0DEB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000C1976">
                  <w:pPr>
                    <w:adjustRightInd w:val="0"/>
                    <w:snapToGrid w:val="0"/>
                    <w:spacing w:before="24" w:beforeLines="10" w:after="24" w:afterLines="10" w:line="240" w:lineRule="auto"/>
                    <w:jc w:val="center"/>
                    <w:rPr>
                      <w:color w:val="auto"/>
                      <w:kern w:val="0"/>
                      <w:sz w:val="21"/>
                      <w:szCs w:val="20"/>
                    </w:rPr>
                  </w:pPr>
                  <w:r>
                    <w:rPr>
                      <w:color w:val="auto"/>
                      <w:kern w:val="0"/>
                      <w:sz w:val="21"/>
                      <w:szCs w:val="20"/>
                    </w:rPr>
                    <w:t>9</w:t>
                  </w:r>
                </w:p>
              </w:tc>
              <w:tc>
                <w:tcPr>
                  <w:tcW w:w="1172" w:type="dxa"/>
                  <w:vAlign w:val="center"/>
                </w:tcPr>
                <w:p w14:paraId="6B3964E9">
                  <w:pPr>
                    <w:widowControl/>
                    <w:spacing w:line="240" w:lineRule="auto"/>
                    <w:jc w:val="center"/>
                    <w:textAlignment w:val="center"/>
                    <w:rPr>
                      <w:color w:val="auto"/>
                      <w:kern w:val="0"/>
                      <w:sz w:val="21"/>
                      <w:szCs w:val="21"/>
                    </w:rPr>
                  </w:pPr>
                  <w:r>
                    <w:rPr>
                      <w:color w:val="auto"/>
                      <w:kern w:val="0"/>
                      <w:sz w:val="21"/>
                      <w:szCs w:val="21"/>
                    </w:rPr>
                    <w:t>水帘柜废液</w:t>
                  </w:r>
                </w:p>
              </w:tc>
              <w:tc>
                <w:tcPr>
                  <w:tcW w:w="911" w:type="dxa"/>
                  <w:vAlign w:val="center"/>
                </w:tcPr>
                <w:p w14:paraId="13E11C76">
                  <w:pPr>
                    <w:jc w:val="center"/>
                    <w:rPr>
                      <w:color w:val="auto"/>
                      <w:position w:val="-10"/>
                      <w:sz w:val="21"/>
                      <w:szCs w:val="21"/>
                    </w:rPr>
                  </w:pPr>
                  <w:r>
                    <w:rPr>
                      <w:color w:val="auto"/>
                      <w:kern w:val="0"/>
                      <w:sz w:val="21"/>
                      <w:szCs w:val="21"/>
                      <w:lang w:bidi="ar"/>
                    </w:rPr>
                    <w:t>/</w:t>
                  </w:r>
                </w:p>
              </w:tc>
              <w:tc>
                <w:tcPr>
                  <w:tcW w:w="773" w:type="dxa"/>
                  <w:vAlign w:val="center"/>
                </w:tcPr>
                <w:p w14:paraId="3E0D85A7">
                  <w:pPr>
                    <w:jc w:val="center"/>
                    <w:rPr>
                      <w:color w:val="auto"/>
                      <w:position w:val="-10"/>
                      <w:sz w:val="21"/>
                      <w:szCs w:val="21"/>
                    </w:rPr>
                  </w:pPr>
                  <w:r>
                    <w:rPr>
                      <w:color w:val="auto"/>
                      <w:kern w:val="0"/>
                      <w:sz w:val="21"/>
                      <w:szCs w:val="21"/>
                      <w:lang w:bidi="ar"/>
                    </w:rPr>
                    <w:t>/</w:t>
                  </w:r>
                </w:p>
              </w:tc>
              <w:tc>
                <w:tcPr>
                  <w:tcW w:w="1096" w:type="dxa"/>
                  <w:vAlign w:val="center"/>
                </w:tcPr>
                <w:p w14:paraId="27CD26A5">
                  <w:pPr>
                    <w:widowControl/>
                    <w:jc w:val="center"/>
                    <w:textAlignment w:val="center"/>
                    <w:rPr>
                      <w:color w:val="auto"/>
                      <w:kern w:val="0"/>
                      <w:sz w:val="21"/>
                      <w:szCs w:val="21"/>
                    </w:rPr>
                  </w:pPr>
                  <w:r>
                    <w:rPr>
                      <w:rFonts w:hint="eastAsia"/>
                      <w:color w:val="auto"/>
                      <w:kern w:val="0"/>
                      <w:sz w:val="21"/>
                      <w:szCs w:val="21"/>
                      <w:lang w:bidi="ar"/>
                    </w:rPr>
                    <w:t>0.4</w:t>
                  </w:r>
                </w:p>
              </w:tc>
              <w:tc>
                <w:tcPr>
                  <w:tcW w:w="1396" w:type="dxa"/>
                  <w:vAlign w:val="center"/>
                </w:tcPr>
                <w:p w14:paraId="04504CA8">
                  <w:pPr>
                    <w:wordWrap w:val="0"/>
                    <w:topLinePunct/>
                    <w:jc w:val="center"/>
                    <w:rPr>
                      <w:color w:val="auto"/>
                      <w:kern w:val="0"/>
                      <w:sz w:val="21"/>
                    </w:rPr>
                  </w:pPr>
                  <w:r>
                    <w:rPr>
                      <w:color w:val="auto"/>
                      <w:kern w:val="0"/>
                      <w:sz w:val="21"/>
                    </w:rPr>
                    <w:t>危废贮存间</w:t>
                  </w:r>
                </w:p>
              </w:tc>
              <w:tc>
                <w:tcPr>
                  <w:tcW w:w="900" w:type="dxa"/>
                  <w:vAlign w:val="center"/>
                </w:tcPr>
                <w:p w14:paraId="17996BCD">
                  <w:pPr>
                    <w:widowControl/>
                    <w:jc w:val="center"/>
                    <w:textAlignment w:val="center"/>
                    <w:rPr>
                      <w:color w:val="auto"/>
                      <w:kern w:val="0"/>
                      <w:sz w:val="21"/>
                      <w:szCs w:val="21"/>
                    </w:rPr>
                  </w:pPr>
                  <w:r>
                    <w:rPr>
                      <w:color w:val="auto"/>
                      <w:kern w:val="0"/>
                      <w:sz w:val="21"/>
                      <w:szCs w:val="21"/>
                      <w:lang w:bidi="ar"/>
                    </w:rPr>
                    <w:t>50</w:t>
                  </w:r>
                </w:p>
              </w:tc>
              <w:tc>
                <w:tcPr>
                  <w:tcW w:w="1235" w:type="dxa"/>
                  <w:tcBorders>
                    <w:right w:val="nil"/>
                  </w:tcBorders>
                  <w:vAlign w:val="center"/>
                </w:tcPr>
                <w:p w14:paraId="73C955BC">
                  <w:pPr>
                    <w:widowControl/>
                    <w:jc w:val="center"/>
                    <w:textAlignment w:val="center"/>
                    <w:rPr>
                      <w:color w:val="auto"/>
                      <w:kern w:val="0"/>
                      <w:sz w:val="21"/>
                      <w:szCs w:val="21"/>
                    </w:rPr>
                  </w:pPr>
                  <w:r>
                    <w:rPr>
                      <w:color w:val="auto"/>
                      <w:kern w:val="0"/>
                      <w:sz w:val="21"/>
                      <w:szCs w:val="21"/>
                      <w:lang w:bidi="ar"/>
                    </w:rPr>
                    <w:t>0.0</w:t>
                  </w:r>
                  <w:r>
                    <w:rPr>
                      <w:rFonts w:hint="eastAsia"/>
                      <w:color w:val="auto"/>
                      <w:kern w:val="0"/>
                      <w:sz w:val="21"/>
                      <w:szCs w:val="21"/>
                      <w:lang w:bidi="ar"/>
                    </w:rPr>
                    <w:t>0</w:t>
                  </w:r>
                  <w:r>
                    <w:rPr>
                      <w:color w:val="auto"/>
                      <w:kern w:val="0"/>
                      <w:sz w:val="21"/>
                      <w:szCs w:val="21"/>
                      <w:lang w:bidi="ar"/>
                    </w:rPr>
                    <w:t>8</w:t>
                  </w:r>
                </w:p>
              </w:tc>
            </w:tr>
            <w:tr w14:paraId="5F3B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0D1E5D13">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10</w:t>
                  </w:r>
                </w:p>
              </w:tc>
              <w:tc>
                <w:tcPr>
                  <w:tcW w:w="1172" w:type="dxa"/>
                  <w:vAlign w:val="center"/>
                </w:tcPr>
                <w:p w14:paraId="60E56749">
                  <w:pPr>
                    <w:widowControl/>
                    <w:spacing w:line="240" w:lineRule="auto"/>
                    <w:jc w:val="center"/>
                    <w:textAlignment w:val="center"/>
                    <w:rPr>
                      <w:color w:val="auto"/>
                      <w:kern w:val="0"/>
                      <w:sz w:val="21"/>
                      <w:szCs w:val="21"/>
                      <w:lang w:bidi="ar"/>
                    </w:rPr>
                  </w:pPr>
                  <w:r>
                    <w:rPr>
                      <w:rFonts w:hint="eastAsia"/>
                      <w:color w:val="auto"/>
                      <w:kern w:val="0"/>
                      <w:sz w:val="21"/>
                      <w:szCs w:val="21"/>
                      <w:lang w:bidi="ar"/>
                    </w:rPr>
                    <w:t>漆渣</w:t>
                  </w:r>
                </w:p>
              </w:tc>
              <w:tc>
                <w:tcPr>
                  <w:tcW w:w="911" w:type="dxa"/>
                  <w:vAlign w:val="center"/>
                </w:tcPr>
                <w:p w14:paraId="5BB83D00">
                  <w:pPr>
                    <w:jc w:val="center"/>
                    <w:rPr>
                      <w:color w:val="auto"/>
                      <w:kern w:val="0"/>
                      <w:sz w:val="21"/>
                      <w:szCs w:val="21"/>
                      <w:lang w:bidi="ar"/>
                    </w:rPr>
                  </w:pPr>
                  <w:r>
                    <w:rPr>
                      <w:color w:val="auto"/>
                      <w:kern w:val="0"/>
                      <w:sz w:val="21"/>
                      <w:szCs w:val="21"/>
                      <w:lang w:bidi="ar"/>
                    </w:rPr>
                    <w:t>/</w:t>
                  </w:r>
                </w:p>
              </w:tc>
              <w:tc>
                <w:tcPr>
                  <w:tcW w:w="773" w:type="dxa"/>
                  <w:vAlign w:val="center"/>
                </w:tcPr>
                <w:p w14:paraId="46090EE7">
                  <w:pPr>
                    <w:jc w:val="center"/>
                    <w:rPr>
                      <w:color w:val="auto"/>
                      <w:kern w:val="0"/>
                      <w:sz w:val="21"/>
                      <w:szCs w:val="21"/>
                      <w:lang w:bidi="ar"/>
                    </w:rPr>
                  </w:pPr>
                  <w:r>
                    <w:rPr>
                      <w:color w:val="auto"/>
                      <w:kern w:val="0"/>
                      <w:sz w:val="21"/>
                      <w:szCs w:val="21"/>
                      <w:lang w:bidi="ar"/>
                    </w:rPr>
                    <w:t>/</w:t>
                  </w:r>
                </w:p>
              </w:tc>
              <w:tc>
                <w:tcPr>
                  <w:tcW w:w="1096" w:type="dxa"/>
                  <w:vAlign w:val="center"/>
                </w:tcPr>
                <w:p w14:paraId="648D8EF4">
                  <w:pPr>
                    <w:widowControl/>
                    <w:jc w:val="center"/>
                    <w:textAlignment w:val="center"/>
                    <w:rPr>
                      <w:color w:val="auto"/>
                      <w:kern w:val="0"/>
                      <w:sz w:val="21"/>
                      <w:szCs w:val="21"/>
                      <w:lang w:bidi="ar"/>
                    </w:rPr>
                  </w:pPr>
                  <w:r>
                    <w:rPr>
                      <w:rFonts w:hint="eastAsia"/>
                      <w:color w:val="auto"/>
                      <w:kern w:val="0"/>
                      <w:sz w:val="21"/>
                      <w:szCs w:val="21"/>
                      <w:lang w:bidi="ar"/>
                    </w:rPr>
                    <w:t>0.16</w:t>
                  </w:r>
                </w:p>
              </w:tc>
              <w:tc>
                <w:tcPr>
                  <w:tcW w:w="1396" w:type="dxa"/>
                  <w:vAlign w:val="center"/>
                </w:tcPr>
                <w:p w14:paraId="25B21B15">
                  <w:pPr>
                    <w:wordWrap w:val="0"/>
                    <w:topLinePunct/>
                    <w:jc w:val="center"/>
                    <w:rPr>
                      <w:color w:val="auto"/>
                      <w:kern w:val="0"/>
                      <w:sz w:val="21"/>
                    </w:rPr>
                  </w:pPr>
                  <w:r>
                    <w:rPr>
                      <w:color w:val="auto"/>
                      <w:kern w:val="0"/>
                      <w:sz w:val="21"/>
                    </w:rPr>
                    <w:t>危废贮存间</w:t>
                  </w:r>
                </w:p>
              </w:tc>
              <w:tc>
                <w:tcPr>
                  <w:tcW w:w="900" w:type="dxa"/>
                  <w:vAlign w:val="center"/>
                </w:tcPr>
                <w:p w14:paraId="3CC5B272">
                  <w:pPr>
                    <w:widowControl/>
                    <w:jc w:val="center"/>
                    <w:textAlignment w:val="center"/>
                    <w:rPr>
                      <w:color w:val="auto"/>
                      <w:kern w:val="0"/>
                      <w:sz w:val="21"/>
                      <w:szCs w:val="21"/>
                      <w:lang w:bidi="ar"/>
                    </w:rPr>
                  </w:pPr>
                  <w:r>
                    <w:rPr>
                      <w:color w:val="auto"/>
                      <w:kern w:val="0"/>
                      <w:sz w:val="21"/>
                      <w:szCs w:val="21"/>
                      <w:lang w:bidi="ar"/>
                    </w:rPr>
                    <w:t>50</w:t>
                  </w:r>
                </w:p>
              </w:tc>
              <w:tc>
                <w:tcPr>
                  <w:tcW w:w="1235" w:type="dxa"/>
                  <w:tcBorders>
                    <w:right w:val="nil"/>
                  </w:tcBorders>
                  <w:vAlign w:val="center"/>
                </w:tcPr>
                <w:p w14:paraId="075B93A3">
                  <w:pPr>
                    <w:widowControl/>
                    <w:jc w:val="center"/>
                    <w:textAlignment w:val="center"/>
                    <w:rPr>
                      <w:color w:val="auto"/>
                      <w:kern w:val="0"/>
                      <w:sz w:val="21"/>
                      <w:szCs w:val="21"/>
                      <w:lang w:bidi="ar"/>
                    </w:rPr>
                  </w:pPr>
                  <w:r>
                    <w:rPr>
                      <w:rFonts w:hint="eastAsia"/>
                      <w:color w:val="auto"/>
                      <w:kern w:val="0"/>
                      <w:sz w:val="21"/>
                      <w:szCs w:val="21"/>
                      <w:lang w:bidi="ar"/>
                    </w:rPr>
                    <w:t>0.0032</w:t>
                  </w:r>
                </w:p>
              </w:tc>
            </w:tr>
            <w:tr w14:paraId="53DB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0AC2D81D">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11</w:t>
                  </w:r>
                </w:p>
              </w:tc>
              <w:tc>
                <w:tcPr>
                  <w:tcW w:w="1172" w:type="dxa"/>
                  <w:vAlign w:val="center"/>
                </w:tcPr>
                <w:p w14:paraId="6FE982A9">
                  <w:pPr>
                    <w:widowControl/>
                    <w:spacing w:line="240" w:lineRule="auto"/>
                    <w:jc w:val="center"/>
                    <w:textAlignment w:val="center"/>
                    <w:rPr>
                      <w:color w:val="auto"/>
                      <w:kern w:val="0"/>
                      <w:sz w:val="21"/>
                      <w:szCs w:val="21"/>
                      <w:lang w:bidi="ar"/>
                    </w:rPr>
                  </w:pPr>
                  <w:r>
                    <w:rPr>
                      <w:rFonts w:hint="eastAsia"/>
                      <w:color w:val="auto"/>
                      <w:kern w:val="0"/>
                      <w:sz w:val="21"/>
                      <w:szCs w:val="21"/>
                      <w:lang w:bidi="ar"/>
                    </w:rPr>
                    <w:t>废原料桶</w:t>
                  </w:r>
                </w:p>
              </w:tc>
              <w:tc>
                <w:tcPr>
                  <w:tcW w:w="911" w:type="dxa"/>
                  <w:vAlign w:val="center"/>
                </w:tcPr>
                <w:p w14:paraId="6C467B16">
                  <w:pPr>
                    <w:jc w:val="center"/>
                    <w:rPr>
                      <w:color w:val="auto"/>
                      <w:kern w:val="0"/>
                      <w:sz w:val="21"/>
                      <w:szCs w:val="21"/>
                      <w:lang w:bidi="ar"/>
                    </w:rPr>
                  </w:pPr>
                  <w:r>
                    <w:rPr>
                      <w:color w:val="auto"/>
                      <w:kern w:val="0"/>
                      <w:sz w:val="21"/>
                      <w:szCs w:val="21"/>
                      <w:lang w:bidi="ar"/>
                    </w:rPr>
                    <w:t>/</w:t>
                  </w:r>
                </w:p>
              </w:tc>
              <w:tc>
                <w:tcPr>
                  <w:tcW w:w="773" w:type="dxa"/>
                  <w:vAlign w:val="center"/>
                </w:tcPr>
                <w:p w14:paraId="66ECF832">
                  <w:pPr>
                    <w:jc w:val="center"/>
                    <w:rPr>
                      <w:color w:val="auto"/>
                      <w:kern w:val="0"/>
                      <w:sz w:val="21"/>
                      <w:szCs w:val="21"/>
                      <w:lang w:bidi="ar"/>
                    </w:rPr>
                  </w:pPr>
                  <w:r>
                    <w:rPr>
                      <w:color w:val="auto"/>
                      <w:kern w:val="0"/>
                      <w:sz w:val="21"/>
                      <w:szCs w:val="21"/>
                      <w:lang w:bidi="ar"/>
                    </w:rPr>
                    <w:t>/</w:t>
                  </w:r>
                </w:p>
              </w:tc>
              <w:tc>
                <w:tcPr>
                  <w:tcW w:w="1096" w:type="dxa"/>
                  <w:vAlign w:val="center"/>
                </w:tcPr>
                <w:p w14:paraId="2BFA8416">
                  <w:pPr>
                    <w:widowControl/>
                    <w:jc w:val="center"/>
                    <w:textAlignment w:val="center"/>
                    <w:rPr>
                      <w:color w:val="auto"/>
                      <w:kern w:val="0"/>
                      <w:sz w:val="21"/>
                      <w:szCs w:val="21"/>
                      <w:lang w:bidi="ar"/>
                    </w:rPr>
                  </w:pPr>
                  <w:r>
                    <w:rPr>
                      <w:rFonts w:hint="eastAsia"/>
                      <w:color w:val="auto"/>
                      <w:kern w:val="0"/>
                      <w:sz w:val="21"/>
                      <w:szCs w:val="21"/>
                      <w:lang w:bidi="ar"/>
                    </w:rPr>
                    <w:t>0.04</w:t>
                  </w:r>
                </w:p>
              </w:tc>
              <w:tc>
                <w:tcPr>
                  <w:tcW w:w="1396" w:type="dxa"/>
                  <w:vAlign w:val="center"/>
                </w:tcPr>
                <w:p w14:paraId="44AA0560">
                  <w:pPr>
                    <w:wordWrap w:val="0"/>
                    <w:topLinePunct/>
                    <w:jc w:val="center"/>
                    <w:rPr>
                      <w:color w:val="auto"/>
                      <w:kern w:val="0"/>
                      <w:sz w:val="21"/>
                    </w:rPr>
                  </w:pPr>
                  <w:r>
                    <w:rPr>
                      <w:color w:val="auto"/>
                      <w:kern w:val="0"/>
                      <w:sz w:val="21"/>
                    </w:rPr>
                    <w:t>危废贮存间</w:t>
                  </w:r>
                </w:p>
              </w:tc>
              <w:tc>
                <w:tcPr>
                  <w:tcW w:w="900" w:type="dxa"/>
                  <w:vAlign w:val="center"/>
                </w:tcPr>
                <w:p w14:paraId="499D155B">
                  <w:pPr>
                    <w:widowControl/>
                    <w:jc w:val="center"/>
                    <w:textAlignment w:val="center"/>
                    <w:rPr>
                      <w:color w:val="auto"/>
                      <w:kern w:val="0"/>
                      <w:sz w:val="21"/>
                      <w:szCs w:val="21"/>
                    </w:rPr>
                  </w:pPr>
                  <w:r>
                    <w:rPr>
                      <w:color w:val="auto"/>
                      <w:kern w:val="0"/>
                      <w:sz w:val="21"/>
                      <w:szCs w:val="21"/>
                      <w:lang w:bidi="ar"/>
                    </w:rPr>
                    <w:t>50</w:t>
                  </w:r>
                </w:p>
              </w:tc>
              <w:tc>
                <w:tcPr>
                  <w:tcW w:w="1235" w:type="dxa"/>
                  <w:tcBorders>
                    <w:right w:val="nil"/>
                  </w:tcBorders>
                  <w:vAlign w:val="center"/>
                </w:tcPr>
                <w:p w14:paraId="2A4929F6">
                  <w:pPr>
                    <w:widowControl/>
                    <w:jc w:val="center"/>
                    <w:textAlignment w:val="center"/>
                    <w:rPr>
                      <w:color w:val="auto"/>
                      <w:kern w:val="0"/>
                      <w:sz w:val="21"/>
                      <w:szCs w:val="21"/>
                      <w:lang w:bidi="ar"/>
                    </w:rPr>
                  </w:pPr>
                  <w:r>
                    <w:rPr>
                      <w:color w:val="auto"/>
                      <w:kern w:val="0"/>
                      <w:sz w:val="21"/>
                      <w:szCs w:val="21"/>
                      <w:lang w:bidi="ar"/>
                    </w:rPr>
                    <w:t>0.0008</w:t>
                  </w:r>
                </w:p>
              </w:tc>
            </w:tr>
            <w:tr w14:paraId="6610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tcBorders>
                    <w:left w:val="nil"/>
                  </w:tcBorders>
                  <w:vAlign w:val="center"/>
                </w:tcPr>
                <w:p w14:paraId="2B326CDC">
                  <w:pPr>
                    <w:adjustRightInd w:val="0"/>
                    <w:snapToGrid w:val="0"/>
                    <w:spacing w:before="24" w:beforeLines="10" w:after="24" w:afterLines="10" w:line="240" w:lineRule="auto"/>
                    <w:jc w:val="center"/>
                    <w:rPr>
                      <w:color w:val="auto"/>
                      <w:kern w:val="0"/>
                      <w:sz w:val="21"/>
                      <w:szCs w:val="20"/>
                    </w:rPr>
                  </w:pPr>
                  <w:r>
                    <w:rPr>
                      <w:rFonts w:hint="eastAsia"/>
                      <w:color w:val="auto"/>
                      <w:kern w:val="0"/>
                      <w:sz w:val="21"/>
                      <w:szCs w:val="20"/>
                    </w:rPr>
                    <w:t>12</w:t>
                  </w:r>
                </w:p>
              </w:tc>
              <w:tc>
                <w:tcPr>
                  <w:tcW w:w="1172" w:type="dxa"/>
                  <w:vAlign w:val="center"/>
                </w:tcPr>
                <w:p w14:paraId="4886F1BD">
                  <w:pPr>
                    <w:widowControl/>
                    <w:spacing w:line="240" w:lineRule="auto"/>
                    <w:jc w:val="center"/>
                    <w:textAlignment w:val="center"/>
                    <w:rPr>
                      <w:color w:val="auto"/>
                      <w:kern w:val="0"/>
                      <w:sz w:val="21"/>
                      <w:szCs w:val="21"/>
                      <w:lang w:bidi="ar"/>
                    </w:rPr>
                  </w:pPr>
                  <w:r>
                    <w:rPr>
                      <w:rFonts w:hint="eastAsia"/>
                      <w:color w:val="auto"/>
                      <w:kern w:val="0"/>
                      <w:sz w:val="21"/>
                      <w:szCs w:val="21"/>
                      <w:lang w:bidi="ar"/>
                    </w:rPr>
                    <w:t>废过滤棉</w:t>
                  </w:r>
                </w:p>
              </w:tc>
              <w:tc>
                <w:tcPr>
                  <w:tcW w:w="911" w:type="dxa"/>
                  <w:vAlign w:val="center"/>
                </w:tcPr>
                <w:p w14:paraId="7BF4B3E0">
                  <w:pPr>
                    <w:jc w:val="center"/>
                    <w:rPr>
                      <w:color w:val="auto"/>
                      <w:kern w:val="0"/>
                      <w:sz w:val="21"/>
                      <w:szCs w:val="21"/>
                      <w:lang w:bidi="ar"/>
                    </w:rPr>
                  </w:pPr>
                  <w:r>
                    <w:rPr>
                      <w:color w:val="auto"/>
                      <w:kern w:val="0"/>
                      <w:sz w:val="21"/>
                      <w:szCs w:val="21"/>
                      <w:lang w:bidi="ar"/>
                    </w:rPr>
                    <w:t>/</w:t>
                  </w:r>
                </w:p>
              </w:tc>
              <w:tc>
                <w:tcPr>
                  <w:tcW w:w="773" w:type="dxa"/>
                  <w:vAlign w:val="center"/>
                </w:tcPr>
                <w:p w14:paraId="75A59EDE">
                  <w:pPr>
                    <w:jc w:val="center"/>
                    <w:rPr>
                      <w:color w:val="auto"/>
                      <w:kern w:val="0"/>
                      <w:sz w:val="21"/>
                      <w:szCs w:val="21"/>
                      <w:lang w:bidi="ar"/>
                    </w:rPr>
                  </w:pPr>
                  <w:r>
                    <w:rPr>
                      <w:color w:val="auto"/>
                      <w:kern w:val="0"/>
                      <w:sz w:val="21"/>
                      <w:szCs w:val="21"/>
                      <w:lang w:bidi="ar"/>
                    </w:rPr>
                    <w:t>/</w:t>
                  </w:r>
                </w:p>
              </w:tc>
              <w:tc>
                <w:tcPr>
                  <w:tcW w:w="1096" w:type="dxa"/>
                  <w:vAlign w:val="center"/>
                </w:tcPr>
                <w:p w14:paraId="6DCCACA6">
                  <w:pPr>
                    <w:widowControl/>
                    <w:jc w:val="center"/>
                    <w:textAlignment w:val="center"/>
                    <w:rPr>
                      <w:color w:val="auto"/>
                      <w:kern w:val="0"/>
                      <w:sz w:val="21"/>
                      <w:szCs w:val="21"/>
                      <w:lang w:bidi="ar"/>
                    </w:rPr>
                  </w:pPr>
                  <w:r>
                    <w:rPr>
                      <w:rFonts w:hint="eastAsia"/>
                      <w:color w:val="auto"/>
                      <w:kern w:val="0"/>
                      <w:sz w:val="21"/>
                      <w:szCs w:val="21"/>
                      <w:lang w:bidi="ar"/>
                    </w:rPr>
                    <w:t>0.008</w:t>
                  </w:r>
                </w:p>
              </w:tc>
              <w:tc>
                <w:tcPr>
                  <w:tcW w:w="1396" w:type="dxa"/>
                  <w:vAlign w:val="center"/>
                </w:tcPr>
                <w:p w14:paraId="60083BD6">
                  <w:pPr>
                    <w:wordWrap w:val="0"/>
                    <w:topLinePunct/>
                    <w:jc w:val="center"/>
                    <w:rPr>
                      <w:color w:val="auto"/>
                      <w:kern w:val="0"/>
                      <w:sz w:val="21"/>
                    </w:rPr>
                  </w:pPr>
                  <w:r>
                    <w:rPr>
                      <w:color w:val="auto"/>
                      <w:kern w:val="0"/>
                      <w:sz w:val="21"/>
                    </w:rPr>
                    <w:t>危废贮存间</w:t>
                  </w:r>
                </w:p>
              </w:tc>
              <w:tc>
                <w:tcPr>
                  <w:tcW w:w="900" w:type="dxa"/>
                  <w:vAlign w:val="center"/>
                </w:tcPr>
                <w:p w14:paraId="36EC715C">
                  <w:pPr>
                    <w:widowControl/>
                    <w:jc w:val="center"/>
                    <w:textAlignment w:val="center"/>
                    <w:rPr>
                      <w:color w:val="auto"/>
                      <w:kern w:val="0"/>
                      <w:sz w:val="21"/>
                      <w:szCs w:val="21"/>
                      <w:lang w:bidi="ar"/>
                    </w:rPr>
                  </w:pPr>
                  <w:r>
                    <w:rPr>
                      <w:color w:val="auto"/>
                      <w:kern w:val="0"/>
                      <w:sz w:val="21"/>
                      <w:szCs w:val="21"/>
                      <w:lang w:bidi="ar"/>
                    </w:rPr>
                    <w:t>50</w:t>
                  </w:r>
                </w:p>
              </w:tc>
              <w:tc>
                <w:tcPr>
                  <w:tcW w:w="1235" w:type="dxa"/>
                  <w:tcBorders>
                    <w:right w:val="nil"/>
                  </w:tcBorders>
                  <w:vAlign w:val="center"/>
                </w:tcPr>
                <w:p w14:paraId="27C5B07D">
                  <w:pPr>
                    <w:widowControl/>
                    <w:jc w:val="center"/>
                    <w:textAlignment w:val="center"/>
                    <w:rPr>
                      <w:color w:val="auto"/>
                      <w:kern w:val="0"/>
                      <w:sz w:val="21"/>
                      <w:szCs w:val="21"/>
                      <w:lang w:bidi="ar"/>
                    </w:rPr>
                  </w:pPr>
                  <w:r>
                    <w:rPr>
                      <w:color w:val="auto"/>
                      <w:kern w:val="0"/>
                      <w:sz w:val="21"/>
                      <w:szCs w:val="21"/>
                      <w:lang w:bidi="ar"/>
                    </w:rPr>
                    <w:t>0.00016</w:t>
                  </w:r>
                </w:p>
              </w:tc>
            </w:tr>
            <w:tr w14:paraId="2866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2" w:type="dxa"/>
                  <w:gridSpan w:val="7"/>
                  <w:tcBorders>
                    <w:left w:val="nil"/>
                    <w:bottom w:val="single" w:color="auto" w:sz="12" w:space="0"/>
                  </w:tcBorders>
                  <w:vAlign w:val="center"/>
                </w:tcPr>
                <w:p w14:paraId="1EFDA627">
                  <w:pPr>
                    <w:adjustRightInd w:val="0"/>
                    <w:snapToGrid w:val="0"/>
                    <w:spacing w:before="24" w:beforeLines="10" w:after="24" w:afterLines="10" w:line="240" w:lineRule="auto"/>
                    <w:jc w:val="center"/>
                    <w:rPr>
                      <w:color w:val="auto"/>
                      <w:kern w:val="0"/>
                      <w:sz w:val="21"/>
                      <w:szCs w:val="20"/>
                    </w:rPr>
                  </w:pPr>
                  <w:r>
                    <w:rPr>
                      <w:color w:val="auto"/>
                      <w:kern w:val="0"/>
                      <w:sz w:val="21"/>
                      <w:szCs w:val="20"/>
                    </w:rPr>
                    <w:t>总计</w:t>
                  </w:r>
                </w:p>
              </w:tc>
              <w:tc>
                <w:tcPr>
                  <w:tcW w:w="1235" w:type="dxa"/>
                  <w:tcBorders>
                    <w:bottom w:val="single" w:color="auto" w:sz="12" w:space="0"/>
                    <w:right w:val="nil"/>
                  </w:tcBorders>
                  <w:vAlign w:val="center"/>
                </w:tcPr>
                <w:p w14:paraId="03DBF585">
                  <w:pPr>
                    <w:adjustRightInd w:val="0"/>
                    <w:snapToGrid w:val="0"/>
                    <w:spacing w:before="24" w:beforeLines="10" w:after="24" w:afterLines="10" w:line="240" w:lineRule="auto"/>
                    <w:jc w:val="center"/>
                    <w:rPr>
                      <w:color w:val="auto"/>
                      <w:kern w:val="0"/>
                      <w:sz w:val="21"/>
                      <w:szCs w:val="20"/>
                    </w:rPr>
                  </w:pPr>
                  <w:r>
                    <w:rPr>
                      <w:color w:val="auto"/>
                      <w:kern w:val="0"/>
                      <w:sz w:val="21"/>
                      <w:szCs w:val="20"/>
                    </w:rPr>
                    <w:t>0.</w:t>
                  </w:r>
                  <w:r>
                    <w:rPr>
                      <w:rFonts w:hint="eastAsia"/>
                      <w:color w:val="auto"/>
                      <w:kern w:val="0"/>
                      <w:sz w:val="21"/>
                      <w:szCs w:val="20"/>
                    </w:rPr>
                    <w:t>03981</w:t>
                  </w:r>
                </w:p>
              </w:tc>
            </w:tr>
          </w:tbl>
          <w:p w14:paraId="068E1FC1">
            <w:pPr>
              <w:ind w:firstLine="480" w:firstLineChars="200"/>
              <w:rPr>
                <w:rFonts w:cs="宋体"/>
                <w:color w:val="auto"/>
              </w:rPr>
            </w:pPr>
            <w:r>
              <w:rPr>
                <w:rFonts w:hint="eastAsia" w:cs="宋体"/>
                <w:color w:val="auto"/>
              </w:rPr>
              <w:t>由表可知项目危险物质的临界量比值Q=0.03981＜1，项目环境风险潜势为</w:t>
            </w:r>
            <w:r>
              <w:rPr>
                <w:color w:val="auto"/>
              </w:rPr>
              <w:t>Ⅰ</w:t>
            </w:r>
            <w:r>
              <w:rPr>
                <w:rFonts w:hint="eastAsia" w:cs="宋体"/>
                <w:color w:val="auto"/>
              </w:rPr>
              <w:t>。</w:t>
            </w:r>
          </w:p>
          <w:p w14:paraId="1564EF41">
            <w:pPr>
              <w:pStyle w:val="4"/>
              <w:ind w:firstLine="0" w:firstLineChars="0"/>
              <w:rPr>
                <w:color w:val="auto"/>
              </w:rPr>
            </w:pPr>
            <w:r>
              <w:rPr>
                <w:rFonts w:hint="eastAsia"/>
                <w:color w:val="auto"/>
              </w:rPr>
              <w:t>4.6.2环境风险潜势初判</w:t>
            </w:r>
          </w:p>
          <w:p w14:paraId="5C3B56AB">
            <w:pPr>
              <w:ind w:firstLine="480" w:firstLineChars="200"/>
              <w:rPr>
                <w:rFonts w:cs="宋体"/>
                <w:color w:val="auto"/>
              </w:rPr>
            </w:pPr>
            <w:r>
              <w:rPr>
                <w:rFonts w:hint="eastAsia" w:cs="宋体"/>
                <w:color w:val="auto"/>
              </w:rPr>
              <w:t>根据《建设项目环境风险评价技术导则》（HJ 169-2018），环境风险评价工作等级划分详见下表4.6-3。</w:t>
            </w:r>
          </w:p>
          <w:p w14:paraId="674FA9DB">
            <w:pPr>
              <w:adjustRightInd w:val="0"/>
              <w:snapToGrid w:val="0"/>
              <w:spacing w:line="240" w:lineRule="auto"/>
              <w:jc w:val="center"/>
              <w:rPr>
                <w:b/>
                <w:color w:val="auto"/>
                <w:kern w:val="0"/>
                <w:szCs w:val="20"/>
              </w:rPr>
            </w:pPr>
            <w:r>
              <w:rPr>
                <w:rFonts w:hint="eastAsia"/>
                <w:b/>
                <w:color w:val="auto"/>
                <w:kern w:val="0"/>
                <w:szCs w:val="20"/>
              </w:rPr>
              <w:t>表4.6-3  评价工作等级划分</w:t>
            </w:r>
          </w:p>
          <w:tbl>
            <w:tblPr>
              <w:tblStyle w:val="30"/>
              <w:tblW w:w="7902"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63"/>
              <w:gridCol w:w="1303"/>
              <w:gridCol w:w="1653"/>
              <w:gridCol w:w="1654"/>
              <w:gridCol w:w="1229"/>
            </w:tblGrid>
            <w:tr w14:paraId="1CA2942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vAlign w:val="center"/>
                </w:tcPr>
                <w:p w14:paraId="76341CFC">
                  <w:pPr>
                    <w:adjustRightInd w:val="0"/>
                    <w:snapToGrid w:val="0"/>
                    <w:spacing w:line="240" w:lineRule="auto"/>
                    <w:jc w:val="center"/>
                    <w:rPr>
                      <w:bCs/>
                      <w:snapToGrid w:val="0"/>
                      <w:color w:val="auto"/>
                      <w:sz w:val="21"/>
                      <w:szCs w:val="21"/>
                    </w:rPr>
                  </w:pPr>
                  <w:r>
                    <w:rPr>
                      <w:bCs/>
                      <w:snapToGrid w:val="0"/>
                      <w:color w:val="auto"/>
                      <w:sz w:val="21"/>
                      <w:szCs w:val="21"/>
                    </w:rPr>
                    <w:t>环境风险潜势</w:t>
                  </w:r>
                </w:p>
              </w:tc>
              <w:tc>
                <w:tcPr>
                  <w:tcW w:w="1303" w:type="dxa"/>
                  <w:vAlign w:val="center"/>
                </w:tcPr>
                <w:p w14:paraId="4848D500">
                  <w:pPr>
                    <w:adjustRightInd w:val="0"/>
                    <w:snapToGrid w:val="0"/>
                    <w:spacing w:line="240" w:lineRule="auto"/>
                    <w:jc w:val="center"/>
                    <w:rPr>
                      <w:bCs/>
                      <w:snapToGrid w:val="0"/>
                      <w:color w:val="auto"/>
                      <w:sz w:val="21"/>
                      <w:szCs w:val="21"/>
                    </w:rPr>
                  </w:pPr>
                  <w:r>
                    <w:rPr>
                      <w:bCs/>
                      <w:snapToGrid w:val="0"/>
                      <w:color w:val="auto"/>
                      <w:sz w:val="21"/>
                      <w:szCs w:val="21"/>
                    </w:rPr>
                    <w:t>Ⅳ、Ⅳ+</w:t>
                  </w:r>
                </w:p>
              </w:tc>
              <w:tc>
                <w:tcPr>
                  <w:tcW w:w="1653" w:type="dxa"/>
                  <w:vAlign w:val="center"/>
                </w:tcPr>
                <w:p w14:paraId="2D2038BE">
                  <w:pPr>
                    <w:adjustRightInd w:val="0"/>
                    <w:snapToGrid w:val="0"/>
                    <w:spacing w:line="240" w:lineRule="auto"/>
                    <w:jc w:val="center"/>
                    <w:rPr>
                      <w:bCs/>
                      <w:snapToGrid w:val="0"/>
                      <w:color w:val="auto"/>
                      <w:sz w:val="21"/>
                      <w:szCs w:val="21"/>
                    </w:rPr>
                  </w:pPr>
                  <w:r>
                    <w:rPr>
                      <w:bCs/>
                      <w:snapToGrid w:val="0"/>
                      <w:color w:val="auto"/>
                      <w:sz w:val="21"/>
                      <w:szCs w:val="21"/>
                    </w:rPr>
                    <w:t>Ⅲ</w:t>
                  </w:r>
                </w:p>
              </w:tc>
              <w:tc>
                <w:tcPr>
                  <w:tcW w:w="1654" w:type="dxa"/>
                  <w:vAlign w:val="center"/>
                </w:tcPr>
                <w:p w14:paraId="482D9F66">
                  <w:pPr>
                    <w:adjustRightInd w:val="0"/>
                    <w:snapToGrid w:val="0"/>
                    <w:spacing w:line="240" w:lineRule="auto"/>
                    <w:jc w:val="center"/>
                    <w:rPr>
                      <w:bCs/>
                      <w:snapToGrid w:val="0"/>
                      <w:color w:val="auto"/>
                      <w:sz w:val="21"/>
                      <w:szCs w:val="21"/>
                    </w:rPr>
                  </w:pPr>
                  <w:r>
                    <w:rPr>
                      <w:bCs/>
                      <w:snapToGrid w:val="0"/>
                      <w:color w:val="auto"/>
                      <w:sz w:val="21"/>
                      <w:szCs w:val="21"/>
                    </w:rPr>
                    <w:t>Ⅱ</w:t>
                  </w:r>
                </w:p>
              </w:tc>
              <w:tc>
                <w:tcPr>
                  <w:tcW w:w="1229" w:type="dxa"/>
                  <w:vAlign w:val="center"/>
                </w:tcPr>
                <w:p w14:paraId="1948E5BF">
                  <w:pPr>
                    <w:adjustRightInd w:val="0"/>
                    <w:snapToGrid w:val="0"/>
                    <w:spacing w:line="240" w:lineRule="auto"/>
                    <w:jc w:val="center"/>
                    <w:rPr>
                      <w:bCs/>
                      <w:snapToGrid w:val="0"/>
                      <w:color w:val="auto"/>
                      <w:sz w:val="21"/>
                      <w:szCs w:val="21"/>
                    </w:rPr>
                  </w:pPr>
                  <w:r>
                    <w:rPr>
                      <w:bCs/>
                      <w:snapToGrid w:val="0"/>
                      <w:color w:val="auto"/>
                      <w:sz w:val="21"/>
                      <w:szCs w:val="21"/>
                    </w:rPr>
                    <w:t>Ⅰ</w:t>
                  </w:r>
                </w:p>
              </w:tc>
            </w:tr>
            <w:tr w14:paraId="6383C43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vAlign w:val="center"/>
                </w:tcPr>
                <w:p w14:paraId="24194AE5">
                  <w:pPr>
                    <w:adjustRightInd w:val="0"/>
                    <w:snapToGrid w:val="0"/>
                    <w:spacing w:line="240" w:lineRule="auto"/>
                    <w:jc w:val="center"/>
                    <w:rPr>
                      <w:bCs/>
                      <w:snapToGrid w:val="0"/>
                      <w:color w:val="auto"/>
                      <w:sz w:val="21"/>
                      <w:szCs w:val="21"/>
                    </w:rPr>
                  </w:pPr>
                  <w:r>
                    <w:rPr>
                      <w:bCs/>
                      <w:snapToGrid w:val="0"/>
                      <w:color w:val="auto"/>
                      <w:sz w:val="21"/>
                      <w:szCs w:val="21"/>
                    </w:rPr>
                    <w:t>评价工作等级</w:t>
                  </w:r>
                </w:p>
              </w:tc>
              <w:tc>
                <w:tcPr>
                  <w:tcW w:w="1303" w:type="dxa"/>
                  <w:vAlign w:val="center"/>
                </w:tcPr>
                <w:p w14:paraId="795B00AA">
                  <w:pPr>
                    <w:adjustRightInd w:val="0"/>
                    <w:snapToGrid w:val="0"/>
                    <w:spacing w:line="240" w:lineRule="auto"/>
                    <w:jc w:val="center"/>
                    <w:rPr>
                      <w:bCs/>
                      <w:snapToGrid w:val="0"/>
                      <w:color w:val="auto"/>
                      <w:sz w:val="21"/>
                      <w:szCs w:val="21"/>
                    </w:rPr>
                  </w:pPr>
                  <w:r>
                    <w:rPr>
                      <w:bCs/>
                      <w:snapToGrid w:val="0"/>
                      <w:color w:val="auto"/>
                      <w:sz w:val="21"/>
                      <w:szCs w:val="21"/>
                    </w:rPr>
                    <w:t>一</w:t>
                  </w:r>
                </w:p>
              </w:tc>
              <w:tc>
                <w:tcPr>
                  <w:tcW w:w="1653" w:type="dxa"/>
                  <w:vAlign w:val="center"/>
                </w:tcPr>
                <w:p w14:paraId="333572EB">
                  <w:pPr>
                    <w:adjustRightInd w:val="0"/>
                    <w:snapToGrid w:val="0"/>
                    <w:spacing w:line="240" w:lineRule="auto"/>
                    <w:jc w:val="center"/>
                    <w:rPr>
                      <w:bCs/>
                      <w:snapToGrid w:val="0"/>
                      <w:color w:val="auto"/>
                      <w:sz w:val="21"/>
                      <w:szCs w:val="21"/>
                    </w:rPr>
                  </w:pPr>
                  <w:r>
                    <w:rPr>
                      <w:bCs/>
                      <w:snapToGrid w:val="0"/>
                      <w:color w:val="auto"/>
                      <w:sz w:val="21"/>
                      <w:szCs w:val="21"/>
                    </w:rPr>
                    <w:t>二</w:t>
                  </w:r>
                </w:p>
              </w:tc>
              <w:tc>
                <w:tcPr>
                  <w:tcW w:w="1654" w:type="dxa"/>
                  <w:vAlign w:val="center"/>
                </w:tcPr>
                <w:p w14:paraId="24867046">
                  <w:pPr>
                    <w:adjustRightInd w:val="0"/>
                    <w:snapToGrid w:val="0"/>
                    <w:spacing w:line="240" w:lineRule="auto"/>
                    <w:jc w:val="center"/>
                    <w:rPr>
                      <w:bCs/>
                      <w:snapToGrid w:val="0"/>
                      <w:color w:val="auto"/>
                      <w:sz w:val="21"/>
                      <w:szCs w:val="21"/>
                    </w:rPr>
                  </w:pPr>
                  <w:r>
                    <w:rPr>
                      <w:bCs/>
                      <w:snapToGrid w:val="0"/>
                      <w:color w:val="auto"/>
                      <w:sz w:val="21"/>
                      <w:szCs w:val="21"/>
                    </w:rPr>
                    <w:t>三</w:t>
                  </w:r>
                </w:p>
              </w:tc>
              <w:tc>
                <w:tcPr>
                  <w:tcW w:w="1229" w:type="dxa"/>
                  <w:vAlign w:val="center"/>
                </w:tcPr>
                <w:p w14:paraId="548DEB2B">
                  <w:pPr>
                    <w:adjustRightInd w:val="0"/>
                    <w:snapToGrid w:val="0"/>
                    <w:spacing w:line="240" w:lineRule="auto"/>
                    <w:jc w:val="center"/>
                    <w:rPr>
                      <w:bCs/>
                      <w:snapToGrid w:val="0"/>
                      <w:color w:val="auto"/>
                      <w:sz w:val="21"/>
                      <w:szCs w:val="21"/>
                    </w:rPr>
                  </w:pPr>
                  <w:r>
                    <w:rPr>
                      <w:bCs/>
                      <w:snapToGrid w:val="0"/>
                      <w:color w:val="auto"/>
                      <w:sz w:val="21"/>
                      <w:szCs w:val="21"/>
                    </w:rPr>
                    <w:t>简单分析a</w:t>
                  </w:r>
                </w:p>
              </w:tc>
            </w:tr>
            <w:tr w14:paraId="57B6CBE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902" w:type="dxa"/>
                  <w:gridSpan w:val="5"/>
                  <w:vAlign w:val="center"/>
                </w:tcPr>
                <w:p w14:paraId="510C160D">
                  <w:pPr>
                    <w:adjustRightInd w:val="0"/>
                    <w:snapToGrid w:val="0"/>
                    <w:spacing w:line="240" w:lineRule="auto"/>
                    <w:rPr>
                      <w:bCs/>
                      <w:snapToGrid w:val="0"/>
                      <w:color w:val="auto"/>
                      <w:sz w:val="21"/>
                      <w:szCs w:val="21"/>
                    </w:rPr>
                  </w:pPr>
                  <w:r>
                    <w:rPr>
                      <w:bCs/>
                      <w:snapToGrid w:val="0"/>
                      <w:color w:val="auto"/>
                      <w:sz w:val="21"/>
                      <w:szCs w:val="21"/>
                    </w:rPr>
                    <w:t>a.是相对于详细评价工作内容而言，在描述危险物质、环境影响途径、环境危害后果、风险防范措施等方面给出定性的说明。</w:t>
                  </w:r>
                </w:p>
              </w:tc>
            </w:tr>
          </w:tbl>
          <w:p w14:paraId="1AB985A9">
            <w:pPr>
              <w:pStyle w:val="4"/>
              <w:ind w:firstLine="0" w:firstLineChars="0"/>
              <w:rPr>
                <w:color w:val="auto"/>
              </w:rPr>
            </w:pPr>
            <w:r>
              <w:rPr>
                <w:rFonts w:hint="eastAsia"/>
                <w:color w:val="auto"/>
              </w:rPr>
              <w:t>4.6.3环境风险识别</w:t>
            </w:r>
          </w:p>
          <w:p w14:paraId="5A4959F8">
            <w:pPr>
              <w:ind w:firstLine="480" w:firstLineChars="200"/>
              <w:rPr>
                <w:rFonts w:cs="宋体"/>
                <w:color w:val="auto"/>
              </w:rPr>
            </w:pPr>
            <w:r>
              <w:rPr>
                <w:rFonts w:cs="宋体"/>
                <w:color w:val="auto"/>
              </w:rPr>
              <w:t>本项目可能发生的事故主要有：</w:t>
            </w:r>
            <w:r>
              <w:rPr>
                <w:rFonts w:hint="eastAsia" w:cs="宋体"/>
                <w:color w:val="auto"/>
              </w:rPr>
              <w:t>火灾爆炸事故、废水事故性排放等。</w:t>
            </w:r>
            <w:r>
              <w:rPr>
                <w:rFonts w:cs="宋体"/>
                <w:color w:val="auto"/>
              </w:rPr>
              <w:t>根据风险识别，本项目主要存在的事故类型</w:t>
            </w:r>
            <w:r>
              <w:rPr>
                <w:rFonts w:hint="eastAsia" w:cs="宋体"/>
                <w:color w:val="auto"/>
              </w:rPr>
              <w:t>见表4.6-4。</w:t>
            </w:r>
          </w:p>
          <w:p w14:paraId="4B0D5410">
            <w:pPr>
              <w:pStyle w:val="36"/>
              <w:spacing w:before="0" w:after="0"/>
              <w:rPr>
                <w:color w:val="auto"/>
              </w:rPr>
            </w:pPr>
            <w:r>
              <w:rPr>
                <w:rFonts w:hint="eastAsia"/>
                <w:color w:val="auto"/>
              </w:rPr>
              <w:t>表4.6-4  环境风险因素识别一览表</w:t>
            </w:r>
          </w:p>
          <w:tbl>
            <w:tblPr>
              <w:tblStyle w:val="31"/>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105"/>
              <w:gridCol w:w="3137"/>
              <w:gridCol w:w="2170"/>
            </w:tblGrid>
            <w:tr w14:paraId="6581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top w:val="single" w:color="auto" w:sz="12" w:space="0"/>
                    <w:left w:val="nil"/>
                  </w:tcBorders>
                </w:tcPr>
                <w:p w14:paraId="595EC2E7">
                  <w:pPr>
                    <w:spacing w:line="288" w:lineRule="auto"/>
                    <w:jc w:val="center"/>
                    <w:rPr>
                      <w:rFonts w:cs="宋体"/>
                      <w:color w:val="auto"/>
                      <w:sz w:val="21"/>
                      <w:szCs w:val="21"/>
                    </w:rPr>
                  </w:pPr>
                  <w:r>
                    <w:rPr>
                      <w:rFonts w:hint="eastAsia" w:cs="宋体"/>
                      <w:color w:val="auto"/>
                      <w:sz w:val="21"/>
                      <w:szCs w:val="21"/>
                    </w:rPr>
                    <w:t>危险目标</w:t>
                  </w:r>
                </w:p>
              </w:tc>
              <w:tc>
                <w:tcPr>
                  <w:tcW w:w="1105" w:type="dxa"/>
                  <w:tcBorders>
                    <w:top w:val="single" w:color="auto" w:sz="12" w:space="0"/>
                  </w:tcBorders>
                </w:tcPr>
                <w:p w14:paraId="2367F0A3">
                  <w:pPr>
                    <w:spacing w:line="288" w:lineRule="auto"/>
                    <w:jc w:val="center"/>
                    <w:rPr>
                      <w:rFonts w:cs="宋体"/>
                      <w:color w:val="auto"/>
                      <w:sz w:val="21"/>
                      <w:szCs w:val="21"/>
                    </w:rPr>
                  </w:pPr>
                  <w:r>
                    <w:rPr>
                      <w:rFonts w:hint="eastAsia" w:cs="宋体"/>
                      <w:color w:val="auto"/>
                      <w:sz w:val="21"/>
                      <w:szCs w:val="21"/>
                    </w:rPr>
                    <w:t>事故类型</w:t>
                  </w:r>
                </w:p>
              </w:tc>
              <w:tc>
                <w:tcPr>
                  <w:tcW w:w="3137" w:type="dxa"/>
                  <w:tcBorders>
                    <w:top w:val="single" w:color="auto" w:sz="12" w:space="0"/>
                  </w:tcBorders>
                </w:tcPr>
                <w:p w14:paraId="65875316">
                  <w:pPr>
                    <w:spacing w:line="288" w:lineRule="auto"/>
                    <w:jc w:val="center"/>
                    <w:rPr>
                      <w:rFonts w:cs="宋体"/>
                      <w:color w:val="auto"/>
                      <w:sz w:val="21"/>
                      <w:szCs w:val="21"/>
                    </w:rPr>
                  </w:pPr>
                  <w:r>
                    <w:rPr>
                      <w:rFonts w:hint="eastAsia" w:cs="宋体"/>
                      <w:color w:val="auto"/>
                      <w:sz w:val="21"/>
                      <w:szCs w:val="21"/>
                    </w:rPr>
                    <w:t>事故引发原因</w:t>
                  </w:r>
                </w:p>
              </w:tc>
              <w:tc>
                <w:tcPr>
                  <w:tcW w:w="2170" w:type="dxa"/>
                  <w:tcBorders>
                    <w:top w:val="single" w:color="auto" w:sz="12" w:space="0"/>
                    <w:right w:val="nil"/>
                  </w:tcBorders>
                </w:tcPr>
                <w:p w14:paraId="138B63D6">
                  <w:pPr>
                    <w:spacing w:line="288" w:lineRule="auto"/>
                    <w:jc w:val="center"/>
                    <w:rPr>
                      <w:rFonts w:cs="宋体"/>
                      <w:color w:val="auto"/>
                      <w:sz w:val="21"/>
                      <w:szCs w:val="21"/>
                    </w:rPr>
                  </w:pPr>
                  <w:r>
                    <w:rPr>
                      <w:rFonts w:hint="eastAsia" w:cs="宋体"/>
                      <w:color w:val="auto"/>
                      <w:sz w:val="21"/>
                      <w:szCs w:val="21"/>
                    </w:rPr>
                    <w:t>环境事故后果</w:t>
                  </w:r>
                </w:p>
              </w:tc>
            </w:tr>
            <w:tr w14:paraId="0366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left w:val="nil"/>
                  </w:tcBorders>
                </w:tcPr>
                <w:p w14:paraId="40491D8C">
                  <w:pPr>
                    <w:spacing w:before="360" w:beforeLines="150" w:line="288" w:lineRule="auto"/>
                    <w:jc w:val="center"/>
                    <w:rPr>
                      <w:rFonts w:cs="宋体"/>
                      <w:color w:val="auto"/>
                      <w:sz w:val="21"/>
                      <w:szCs w:val="21"/>
                    </w:rPr>
                  </w:pPr>
                  <w:r>
                    <w:rPr>
                      <w:rFonts w:hint="eastAsia" w:cs="宋体"/>
                      <w:color w:val="auto"/>
                      <w:sz w:val="21"/>
                      <w:szCs w:val="21"/>
                    </w:rPr>
                    <w:t>废气处理措施</w:t>
                  </w:r>
                </w:p>
              </w:tc>
              <w:tc>
                <w:tcPr>
                  <w:tcW w:w="1105" w:type="dxa"/>
                </w:tcPr>
                <w:p w14:paraId="4FFF5202">
                  <w:pPr>
                    <w:spacing w:before="360" w:beforeLines="150" w:line="288" w:lineRule="auto"/>
                    <w:jc w:val="center"/>
                    <w:rPr>
                      <w:rFonts w:cs="宋体"/>
                      <w:color w:val="auto"/>
                      <w:sz w:val="21"/>
                      <w:szCs w:val="21"/>
                    </w:rPr>
                  </w:pPr>
                  <w:r>
                    <w:rPr>
                      <w:rFonts w:hint="eastAsia" w:cs="宋体"/>
                      <w:color w:val="auto"/>
                      <w:sz w:val="21"/>
                      <w:szCs w:val="21"/>
                    </w:rPr>
                    <w:t>事故排放</w:t>
                  </w:r>
                </w:p>
              </w:tc>
              <w:tc>
                <w:tcPr>
                  <w:tcW w:w="3137" w:type="dxa"/>
                </w:tcPr>
                <w:p w14:paraId="10FA01E1">
                  <w:pPr>
                    <w:spacing w:line="288" w:lineRule="auto"/>
                    <w:jc w:val="center"/>
                    <w:rPr>
                      <w:rFonts w:cs="宋体"/>
                      <w:color w:val="auto"/>
                      <w:sz w:val="21"/>
                      <w:szCs w:val="21"/>
                    </w:rPr>
                  </w:pPr>
                  <w:r>
                    <w:rPr>
                      <w:rFonts w:cs="宋体"/>
                      <w:color w:val="auto"/>
                      <w:sz w:val="21"/>
                      <w:szCs w:val="21"/>
                    </w:rPr>
                    <w:t>废气处理设施发生故障，废气未经处理后排放，会对周围的环境空气带来一定程度的不利影响</w:t>
                  </w:r>
                </w:p>
              </w:tc>
              <w:tc>
                <w:tcPr>
                  <w:tcW w:w="2170" w:type="dxa"/>
                  <w:tcBorders>
                    <w:right w:val="nil"/>
                  </w:tcBorders>
                </w:tcPr>
                <w:p w14:paraId="6226BE79">
                  <w:pPr>
                    <w:spacing w:before="240" w:beforeLines="100" w:line="288" w:lineRule="auto"/>
                    <w:jc w:val="center"/>
                    <w:rPr>
                      <w:rFonts w:cs="宋体"/>
                      <w:color w:val="auto"/>
                      <w:sz w:val="21"/>
                      <w:szCs w:val="21"/>
                    </w:rPr>
                  </w:pPr>
                  <w:r>
                    <w:rPr>
                      <w:rFonts w:hint="eastAsia" w:cs="宋体"/>
                      <w:color w:val="auto"/>
                      <w:sz w:val="21"/>
                      <w:szCs w:val="21"/>
                    </w:rPr>
                    <w:t>污染周边大气环境</w:t>
                  </w:r>
                </w:p>
              </w:tc>
            </w:tr>
            <w:tr w14:paraId="78E2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left w:val="nil"/>
                  </w:tcBorders>
                </w:tcPr>
                <w:p w14:paraId="7C5F9545">
                  <w:pPr>
                    <w:spacing w:before="360" w:beforeLines="150" w:line="288" w:lineRule="auto"/>
                    <w:jc w:val="center"/>
                    <w:rPr>
                      <w:rFonts w:cs="宋体"/>
                      <w:color w:val="auto"/>
                      <w:sz w:val="21"/>
                      <w:szCs w:val="21"/>
                    </w:rPr>
                  </w:pPr>
                  <w:r>
                    <w:rPr>
                      <w:rFonts w:hint="eastAsia" w:cs="宋体"/>
                      <w:color w:val="auto"/>
                      <w:sz w:val="21"/>
                      <w:szCs w:val="21"/>
                    </w:rPr>
                    <w:t>危废贮存间</w:t>
                  </w:r>
                </w:p>
              </w:tc>
              <w:tc>
                <w:tcPr>
                  <w:tcW w:w="1105" w:type="dxa"/>
                </w:tcPr>
                <w:p w14:paraId="79EE6250">
                  <w:pPr>
                    <w:spacing w:before="360" w:beforeLines="150" w:line="288" w:lineRule="auto"/>
                    <w:jc w:val="center"/>
                    <w:rPr>
                      <w:rFonts w:cs="宋体"/>
                      <w:color w:val="auto"/>
                      <w:sz w:val="21"/>
                      <w:szCs w:val="21"/>
                    </w:rPr>
                  </w:pPr>
                  <w:r>
                    <w:rPr>
                      <w:rFonts w:hint="eastAsia" w:cs="宋体"/>
                      <w:color w:val="auto"/>
                      <w:sz w:val="21"/>
                      <w:szCs w:val="21"/>
                    </w:rPr>
                    <w:t>泄漏</w:t>
                  </w:r>
                </w:p>
              </w:tc>
              <w:tc>
                <w:tcPr>
                  <w:tcW w:w="3137" w:type="dxa"/>
                </w:tcPr>
                <w:p w14:paraId="493E86C8">
                  <w:pPr>
                    <w:spacing w:line="288" w:lineRule="auto"/>
                    <w:jc w:val="center"/>
                    <w:rPr>
                      <w:rFonts w:cs="宋体"/>
                      <w:color w:val="auto"/>
                      <w:sz w:val="21"/>
                      <w:szCs w:val="21"/>
                    </w:rPr>
                  </w:pPr>
                  <w:r>
                    <w:rPr>
                      <w:rFonts w:cs="宋体"/>
                      <w:color w:val="auto"/>
                      <w:sz w:val="21"/>
                      <w:szCs w:val="21"/>
                    </w:rPr>
                    <w:t>装卸或存储过程中某些危险废物可能会发生泄漏污染地下水及土壤</w:t>
                  </w:r>
                </w:p>
              </w:tc>
              <w:tc>
                <w:tcPr>
                  <w:tcW w:w="2170" w:type="dxa"/>
                  <w:tcBorders>
                    <w:right w:val="nil"/>
                  </w:tcBorders>
                </w:tcPr>
                <w:p w14:paraId="7EC579E6">
                  <w:pPr>
                    <w:spacing w:before="240" w:beforeLines="100" w:line="288" w:lineRule="auto"/>
                    <w:jc w:val="center"/>
                    <w:rPr>
                      <w:rFonts w:cs="宋体"/>
                      <w:color w:val="auto"/>
                      <w:sz w:val="21"/>
                      <w:szCs w:val="21"/>
                    </w:rPr>
                  </w:pPr>
                  <w:r>
                    <w:rPr>
                      <w:rFonts w:hint="eastAsia" w:cs="宋体"/>
                      <w:color w:val="auto"/>
                      <w:sz w:val="21"/>
                      <w:szCs w:val="21"/>
                    </w:rPr>
                    <w:t>污染地下水及土壤</w:t>
                  </w:r>
                </w:p>
              </w:tc>
            </w:tr>
            <w:tr w14:paraId="3CEA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534" w:type="dxa"/>
                  <w:tcBorders>
                    <w:left w:val="nil"/>
                  </w:tcBorders>
                </w:tcPr>
                <w:p w14:paraId="2050CD5D">
                  <w:pPr>
                    <w:spacing w:before="240" w:beforeLines="100" w:line="288" w:lineRule="auto"/>
                    <w:jc w:val="center"/>
                    <w:rPr>
                      <w:rFonts w:cs="宋体"/>
                      <w:color w:val="auto"/>
                      <w:sz w:val="21"/>
                      <w:szCs w:val="21"/>
                    </w:rPr>
                  </w:pPr>
                  <w:r>
                    <w:rPr>
                      <w:rFonts w:hint="eastAsia" w:cs="宋体"/>
                      <w:color w:val="auto"/>
                      <w:sz w:val="21"/>
                      <w:szCs w:val="21"/>
                    </w:rPr>
                    <w:t>生产车间、原材料仓库</w:t>
                  </w:r>
                </w:p>
              </w:tc>
              <w:tc>
                <w:tcPr>
                  <w:tcW w:w="1105" w:type="dxa"/>
                </w:tcPr>
                <w:p w14:paraId="56E3240D">
                  <w:pPr>
                    <w:spacing w:before="240" w:beforeLines="100" w:line="288" w:lineRule="auto"/>
                    <w:jc w:val="center"/>
                    <w:rPr>
                      <w:rFonts w:cs="宋体"/>
                      <w:color w:val="auto"/>
                      <w:sz w:val="21"/>
                      <w:szCs w:val="21"/>
                    </w:rPr>
                  </w:pPr>
                  <w:r>
                    <w:rPr>
                      <w:rFonts w:hint="eastAsia" w:cs="宋体"/>
                      <w:color w:val="auto"/>
                      <w:sz w:val="21"/>
                      <w:szCs w:val="21"/>
                    </w:rPr>
                    <w:t>泄漏</w:t>
                  </w:r>
                </w:p>
              </w:tc>
              <w:tc>
                <w:tcPr>
                  <w:tcW w:w="3137" w:type="dxa"/>
                </w:tcPr>
                <w:p w14:paraId="62EAFA8F">
                  <w:pPr>
                    <w:spacing w:before="240" w:beforeLines="100" w:line="288" w:lineRule="auto"/>
                    <w:jc w:val="center"/>
                    <w:rPr>
                      <w:rFonts w:cs="宋体"/>
                      <w:color w:val="auto"/>
                      <w:sz w:val="21"/>
                      <w:szCs w:val="21"/>
                    </w:rPr>
                  </w:pPr>
                  <w:r>
                    <w:rPr>
                      <w:rFonts w:cs="宋体"/>
                      <w:color w:val="auto"/>
                      <w:sz w:val="21"/>
                      <w:szCs w:val="21"/>
                    </w:rPr>
                    <w:t>若原料包装不密，容易引起化学品泄漏</w:t>
                  </w:r>
                </w:p>
              </w:tc>
              <w:tc>
                <w:tcPr>
                  <w:tcW w:w="2170" w:type="dxa"/>
                  <w:tcBorders>
                    <w:right w:val="nil"/>
                  </w:tcBorders>
                </w:tcPr>
                <w:p w14:paraId="6B9B391B">
                  <w:pPr>
                    <w:spacing w:line="288" w:lineRule="auto"/>
                    <w:jc w:val="center"/>
                    <w:rPr>
                      <w:rFonts w:cs="宋体"/>
                      <w:color w:val="auto"/>
                      <w:sz w:val="21"/>
                      <w:szCs w:val="21"/>
                    </w:rPr>
                  </w:pPr>
                  <w:r>
                    <w:rPr>
                      <w:rFonts w:cs="宋体"/>
                      <w:color w:val="auto"/>
                      <w:sz w:val="21"/>
                      <w:szCs w:val="21"/>
                    </w:rPr>
                    <w:t>燃烧产生的烟气逸散到大气对环境造成影响</w:t>
                  </w:r>
                </w:p>
              </w:tc>
            </w:tr>
            <w:tr w14:paraId="08C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Borders>
                    <w:left w:val="nil"/>
                    <w:bottom w:val="single" w:color="auto" w:sz="12" w:space="0"/>
                  </w:tcBorders>
                </w:tcPr>
                <w:p w14:paraId="1354D4C7">
                  <w:pPr>
                    <w:spacing w:line="288" w:lineRule="auto"/>
                    <w:jc w:val="center"/>
                    <w:rPr>
                      <w:rFonts w:cs="宋体"/>
                      <w:color w:val="auto"/>
                      <w:sz w:val="21"/>
                      <w:szCs w:val="21"/>
                    </w:rPr>
                  </w:pPr>
                  <w:r>
                    <w:rPr>
                      <w:rFonts w:hint="eastAsia" w:cs="宋体"/>
                      <w:color w:val="auto"/>
                      <w:sz w:val="21"/>
                      <w:szCs w:val="21"/>
                    </w:rPr>
                    <w:t>火灾、爆炸次生、伴生影响</w:t>
                  </w:r>
                </w:p>
              </w:tc>
              <w:tc>
                <w:tcPr>
                  <w:tcW w:w="1105" w:type="dxa"/>
                  <w:tcBorders>
                    <w:bottom w:val="single" w:color="auto" w:sz="12" w:space="0"/>
                  </w:tcBorders>
                </w:tcPr>
                <w:p w14:paraId="3873814D">
                  <w:pPr>
                    <w:spacing w:line="288" w:lineRule="auto"/>
                    <w:jc w:val="center"/>
                    <w:rPr>
                      <w:rFonts w:cs="宋体"/>
                      <w:color w:val="auto"/>
                      <w:sz w:val="21"/>
                      <w:szCs w:val="21"/>
                    </w:rPr>
                  </w:pPr>
                  <w:r>
                    <w:rPr>
                      <w:rFonts w:hint="eastAsia" w:cs="宋体"/>
                      <w:color w:val="auto"/>
                      <w:sz w:val="21"/>
                      <w:szCs w:val="21"/>
                    </w:rPr>
                    <w:t>火灾事故</w:t>
                  </w:r>
                </w:p>
              </w:tc>
              <w:tc>
                <w:tcPr>
                  <w:tcW w:w="3137" w:type="dxa"/>
                  <w:tcBorders>
                    <w:bottom w:val="single" w:color="auto" w:sz="12" w:space="0"/>
                  </w:tcBorders>
                </w:tcPr>
                <w:p w14:paraId="42344ADA">
                  <w:pPr>
                    <w:spacing w:line="288" w:lineRule="auto"/>
                    <w:jc w:val="center"/>
                    <w:rPr>
                      <w:rFonts w:cs="宋体"/>
                      <w:color w:val="auto"/>
                      <w:sz w:val="21"/>
                      <w:szCs w:val="21"/>
                    </w:rPr>
                  </w:pPr>
                  <w:r>
                    <w:rPr>
                      <w:rFonts w:cs="宋体"/>
                      <w:color w:val="auto"/>
                      <w:sz w:val="21"/>
                      <w:szCs w:val="21"/>
                    </w:rPr>
                    <w:t>原辅材料在车间内遇明火或者高热容易重火灾事故</w:t>
                  </w:r>
                </w:p>
              </w:tc>
              <w:tc>
                <w:tcPr>
                  <w:tcW w:w="2170" w:type="dxa"/>
                  <w:tcBorders>
                    <w:bottom w:val="single" w:color="auto" w:sz="12" w:space="0"/>
                    <w:right w:val="nil"/>
                  </w:tcBorders>
                </w:tcPr>
                <w:p w14:paraId="6B286BE7">
                  <w:pPr>
                    <w:spacing w:line="288" w:lineRule="auto"/>
                    <w:jc w:val="center"/>
                    <w:rPr>
                      <w:rFonts w:cs="宋体"/>
                      <w:color w:val="auto"/>
                      <w:sz w:val="21"/>
                      <w:szCs w:val="21"/>
                    </w:rPr>
                  </w:pPr>
                  <w:r>
                    <w:rPr>
                      <w:rFonts w:hint="eastAsia" w:cs="宋体"/>
                      <w:color w:val="auto"/>
                      <w:sz w:val="21"/>
                      <w:szCs w:val="21"/>
                    </w:rPr>
                    <w:t>消防废水可能污染周边地表水</w:t>
                  </w:r>
                </w:p>
              </w:tc>
            </w:tr>
          </w:tbl>
          <w:p w14:paraId="5936FAE8">
            <w:pPr>
              <w:pStyle w:val="4"/>
              <w:ind w:firstLine="0" w:firstLineChars="0"/>
              <w:rPr>
                <w:color w:val="auto"/>
              </w:rPr>
            </w:pPr>
            <w:r>
              <w:rPr>
                <w:rFonts w:hint="eastAsia"/>
                <w:color w:val="auto"/>
              </w:rPr>
              <w:t>4.6.4环境风险分析</w:t>
            </w:r>
          </w:p>
          <w:p w14:paraId="2D4483D4">
            <w:pPr>
              <w:ind w:firstLine="482" w:firstLineChars="200"/>
              <w:rPr>
                <w:rFonts w:cs="宋体"/>
                <w:b/>
                <w:bCs/>
                <w:color w:val="auto"/>
              </w:rPr>
            </w:pPr>
            <w:r>
              <w:rPr>
                <w:rFonts w:cs="宋体"/>
                <w:b/>
                <w:bCs/>
                <w:color w:val="auto"/>
              </w:rPr>
              <w:t>（1）</w:t>
            </w:r>
            <w:r>
              <w:rPr>
                <w:rFonts w:hint="eastAsia" w:cs="宋体"/>
                <w:b/>
                <w:bCs/>
                <w:color w:val="auto"/>
              </w:rPr>
              <w:t>化学品</w:t>
            </w:r>
            <w:r>
              <w:rPr>
                <w:rFonts w:cs="宋体"/>
                <w:b/>
                <w:bCs/>
                <w:color w:val="auto"/>
              </w:rPr>
              <w:t>泄漏后果分析</w:t>
            </w:r>
          </w:p>
          <w:p w14:paraId="388224EC">
            <w:pPr>
              <w:ind w:firstLine="480" w:firstLineChars="200"/>
              <w:rPr>
                <w:rFonts w:cs="宋体"/>
                <w:color w:val="auto"/>
              </w:rPr>
            </w:pPr>
            <w:r>
              <w:rPr>
                <w:rFonts w:cs="宋体"/>
                <w:color w:val="auto"/>
              </w:rPr>
              <w:t>由于</w:t>
            </w:r>
            <w:r>
              <w:rPr>
                <w:rFonts w:hint="eastAsia" w:cs="宋体"/>
                <w:color w:val="auto"/>
              </w:rPr>
              <w:t>设备</w:t>
            </w:r>
            <w:r>
              <w:rPr>
                <w:rFonts w:cs="宋体"/>
                <w:color w:val="auto"/>
              </w:rPr>
              <w:t>失灵</w:t>
            </w:r>
            <w:r>
              <w:rPr>
                <w:rFonts w:hint="eastAsia" w:cs="宋体"/>
                <w:color w:val="auto"/>
              </w:rPr>
              <w:t>、原辅材料转运</w:t>
            </w:r>
            <w:r>
              <w:rPr>
                <w:rFonts w:cs="宋体"/>
                <w:color w:val="auto"/>
              </w:rPr>
              <w:t>操作失误等原因都可造成</w:t>
            </w:r>
            <w:r>
              <w:rPr>
                <w:rFonts w:hint="eastAsia" w:cs="宋体"/>
                <w:color w:val="auto"/>
              </w:rPr>
              <w:t>化学品</w:t>
            </w:r>
            <w:r>
              <w:rPr>
                <w:rFonts w:cs="宋体"/>
                <w:color w:val="auto"/>
              </w:rPr>
              <w:t>泄漏事故，造成项目周围的大气烃类污染。发生</w:t>
            </w:r>
            <w:r>
              <w:rPr>
                <w:rFonts w:hint="eastAsia" w:cs="宋体"/>
                <w:color w:val="auto"/>
              </w:rPr>
              <w:t>化学品</w:t>
            </w:r>
            <w:r>
              <w:rPr>
                <w:rFonts w:cs="宋体"/>
                <w:color w:val="auto"/>
              </w:rPr>
              <w:t>泄漏时，由于</w:t>
            </w:r>
            <w:r>
              <w:rPr>
                <w:rFonts w:hint="eastAsia" w:cs="宋体"/>
                <w:color w:val="auto"/>
              </w:rPr>
              <w:t>味道</w:t>
            </w:r>
            <w:r>
              <w:rPr>
                <w:rFonts w:cs="宋体"/>
                <w:color w:val="auto"/>
              </w:rPr>
              <w:t>比较容易发现，若采取必要措施就可将污染控制在</w:t>
            </w:r>
            <w:r>
              <w:rPr>
                <w:rFonts w:hint="eastAsia" w:cs="宋体"/>
                <w:color w:val="auto"/>
              </w:rPr>
              <w:t>泄漏的</w:t>
            </w:r>
            <w:r>
              <w:rPr>
                <w:rFonts w:cs="宋体"/>
                <w:color w:val="auto"/>
              </w:rPr>
              <w:t>局部区域，不致形成大面积的区域性污染。</w:t>
            </w:r>
          </w:p>
          <w:p w14:paraId="73CF4175">
            <w:pPr>
              <w:ind w:firstLine="482" w:firstLineChars="200"/>
              <w:rPr>
                <w:rFonts w:cs="宋体"/>
                <w:b/>
                <w:bCs/>
                <w:color w:val="auto"/>
              </w:rPr>
            </w:pPr>
            <w:r>
              <w:rPr>
                <w:rFonts w:cs="宋体"/>
                <w:b/>
                <w:bCs/>
                <w:color w:val="auto"/>
              </w:rPr>
              <w:t>（2）火灾、爆炸后果分析</w:t>
            </w:r>
          </w:p>
          <w:p w14:paraId="710F0988">
            <w:pPr>
              <w:ind w:firstLine="480" w:firstLineChars="200"/>
              <w:rPr>
                <w:rFonts w:cs="宋体"/>
                <w:color w:val="auto"/>
              </w:rPr>
            </w:pPr>
            <w:r>
              <w:rPr>
                <w:rFonts w:hint="eastAsia" w:cs="宋体"/>
                <w:color w:val="auto"/>
              </w:rPr>
              <w:t>化学品</w:t>
            </w:r>
            <w:r>
              <w:rPr>
                <w:rFonts w:cs="宋体"/>
                <w:color w:val="auto"/>
              </w:rPr>
              <w:t>泄漏后一旦发生火灾、爆炸事故，对</w:t>
            </w:r>
            <w:r>
              <w:rPr>
                <w:rFonts w:hint="eastAsia" w:cs="宋体"/>
                <w:color w:val="auto"/>
              </w:rPr>
              <w:t>生产</w:t>
            </w:r>
            <w:r>
              <w:rPr>
                <w:rFonts w:cs="宋体"/>
                <w:color w:val="auto"/>
              </w:rPr>
              <w:t>区域、现场工作人员和过往车辆将产生较为严重的损害。通过类比分析，发生火灾爆炸后，其影响范围相对主要集中在</w:t>
            </w:r>
            <w:r>
              <w:rPr>
                <w:rFonts w:hint="eastAsia" w:cs="宋体"/>
                <w:color w:val="auto"/>
              </w:rPr>
              <w:t>厂</w:t>
            </w:r>
            <w:r>
              <w:rPr>
                <w:rFonts w:cs="宋体"/>
                <w:color w:val="auto"/>
              </w:rPr>
              <w:t>内，也可能会危害周围的居民，应制定紧急预案，保证危害半径内的居民、重要设施得到迅速救助、撤离或保护。</w:t>
            </w:r>
          </w:p>
          <w:p w14:paraId="68ED9320">
            <w:pPr>
              <w:ind w:firstLine="480" w:firstLineChars="200"/>
              <w:rPr>
                <w:rFonts w:cs="宋体"/>
                <w:color w:val="auto"/>
              </w:rPr>
            </w:pPr>
            <w:r>
              <w:rPr>
                <w:rFonts w:cs="宋体"/>
                <w:color w:val="auto"/>
              </w:rPr>
              <w:t>火灾热辐射影响主要在</w:t>
            </w:r>
            <w:r>
              <w:rPr>
                <w:rFonts w:hint="eastAsia" w:cs="宋体"/>
                <w:color w:val="auto"/>
              </w:rPr>
              <w:t>厂</w:t>
            </w:r>
            <w:r>
              <w:rPr>
                <w:rFonts w:cs="宋体"/>
                <w:color w:val="auto"/>
              </w:rPr>
              <w:t>区范围，而火灾燃烧过程中同时会伴生大量的烟尘、CO、SO</w:t>
            </w:r>
            <w:r>
              <w:rPr>
                <w:rFonts w:cs="宋体"/>
                <w:color w:val="auto"/>
                <w:vertAlign w:val="subscript"/>
              </w:rPr>
              <w:t>2</w:t>
            </w:r>
            <w:r>
              <w:rPr>
                <w:rFonts w:cs="宋体"/>
                <w:color w:val="auto"/>
              </w:rPr>
              <w:t>和NO</w:t>
            </w:r>
            <w:r>
              <w:rPr>
                <w:rFonts w:cs="宋体"/>
                <w:color w:val="auto"/>
                <w:vertAlign w:val="subscript"/>
              </w:rPr>
              <w:t>2</w:t>
            </w:r>
            <w:r>
              <w:rPr>
                <w:rFonts w:cs="宋体"/>
                <w:color w:val="auto"/>
              </w:rPr>
              <w:t>等污染物，将对周围大气环境产生影响。由于</w:t>
            </w:r>
            <w:r>
              <w:rPr>
                <w:rFonts w:hint="eastAsia" w:cs="宋体"/>
                <w:color w:val="auto"/>
              </w:rPr>
              <w:t>生产设备</w:t>
            </w:r>
            <w:r>
              <w:rPr>
                <w:rFonts w:cs="宋体"/>
                <w:color w:val="auto"/>
              </w:rPr>
              <w:t>发生火灾和爆炸后，急剧燃烧所需的供氧量不足，属于典型的不完全燃烧，燃烧过程中产生的CO量很大。污染物影响范围较大，一般都到了几百米以外，尤其是有风的条件下，污染范围更广。</w:t>
            </w:r>
          </w:p>
          <w:p w14:paraId="7D32220A">
            <w:pPr>
              <w:ind w:firstLine="480" w:firstLineChars="200"/>
              <w:rPr>
                <w:rFonts w:cs="宋体"/>
                <w:color w:val="auto"/>
              </w:rPr>
            </w:pPr>
            <w:r>
              <w:rPr>
                <w:rFonts w:cs="宋体"/>
                <w:color w:val="auto"/>
              </w:rPr>
              <w:t>故在发生着火事故的情况下可能出现大面积的严重污染。本</w:t>
            </w:r>
            <w:r>
              <w:rPr>
                <w:rFonts w:hint="eastAsia" w:cs="宋体"/>
                <w:color w:val="auto"/>
              </w:rPr>
              <w:t>厂区</w:t>
            </w:r>
            <w:r>
              <w:rPr>
                <w:rFonts w:cs="宋体"/>
                <w:color w:val="auto"/>
              </w:rPr>
              <w:t>的平面设计符合《城镇燃气设计规范》（GB50028-2006）等设计规范中的相关规定，建设方还应该采取严密的防范措施，严防事故的发生，同时应该制定详尽的事故应急预案，确保一旦发生事故可以行之有效的办法进行处理。则项目发生火灾、爆炸的危害程度可得到控制。</w:t>
            </w:r>
          </w:p>
          <w:p w14:paraId="0750DDA9">
            <w:pPr>
              <w:pStyle w:val="4"/>
              <w:ind w:firstLine="0" w:firstLineChars="0"/>
              <w:rPr>
                <w:color w:val="auto"/>
              </w:rPr>
            </w:pPr>
            <w:bookmarkStart w:id="6" w:name="_Toc10994"/>
            <w:bookmarkStart w:id="7" w:name="_Toc22839"/>
            <w:bookmarkStart w:id="8" w:name="_Toc9435"/>
            <w:bookmarkStart w:id="9" w:name="_Toc8122"/>
            <w:bookmarkStart w:id="10" w:name="_Toc25083"/>
            <w:r>
              <w:rPr>
                <w:color w:val="auto"/>
              </w:rPr>
              <w:t>4.6.</w:t>
            </w:r>
            <w:r>
              <w:rPr>
                <w:rFonts w:hint="eastAsia"/>
                <w:color w:val="auto"/>
              </w:rPr>
              <w:t>5</w:t>
            </w:r>
            <w:r>
              <w:rPr>
                <w:color w:val="auto"/>
              </w:rPr>
              <w:t>环境风险防范措施和事故应急措施</w:t>
            </w:r>
            <w:bookmarkEnd w:id="6"/>
            <w:bookmarkEnd w:id="7"/>
            <w:bookmarkEnd w:id="8"/>
            <w:bookmarkEnd w:id="9"/>
            <w:bookmarkEnd w:id="10"/>
          </w:p>
          <w:p w14:paraId="445451F8">
            <w:pPr>
              <w:ind w:firstLine="482" w:firstLineChars="200"/>
              <w:rPr>
                <w:rFonts w:cs="宋体"/>
                <w:b/>
                <w:bCs/>
                <w:color w:val="auto"/>
              </w:rPr>
            </w:pPr>
            <w:r>
              <w:rPr>
                <w:rFonts w:cs="宋体"/>
                <w:b/>
                <w:bCs/>
                <w:color w:val="auto"/>
              </w:rPr>
              <w:t>（1）火灾、爆炸的防控措施</w:t>
            </w:r>
          </w:p>
          <w:p w14:paraId="71D96C0F">
            <w:pPr>
              <w:ind w:firstLine="480" w:firstLineChars="200"/>
              <w:rPr>
                <w:rFonts w:cs="宋体"/>
                <w:color w:val="auto"/>
              </w:rPr>
            </w:pPr>
            <w:r>
              <w:rPr>
                <w:rFonts w:cs="宋体"/>
                <w:color w:val="auto"/>
              </w:rPr>
              <w:t>①设置应急物资准备条件：如消防沙堆、干粉灭火器、灭火毯等消防器具，事故一旦发生可立即利用上述设备，将事故造成的影响降至最低。要定期对消防设施进行检查和维护保养，确保消防设施完好有效。</w:t>
            </w:r>
          </w:p>
          <w:p w14:paraId="3D137AE7">
            <w:pPr>
              <w:ind w:firstLine="480" w:firstLineChars="200"/>
              <w:rPr>
                <w:rFonts w:cs="宋体"/>
                <w:color w:val="auto"/>
              </w:rPr>
            </w:pPr>
            <w:r>
              <w:rPr>
                <w:rFonts w:cs="宋体"/>
                <w:color w:val="auto"/>
              </w:rPr>
              <w:t>②加强安全检查，实行以防火为中心的安全管理。</w:t>
            </w:r>
            <w:r>
              <w:rPr>
                <w:rFonts w:hint="eastAsia" w:cs="宋体"/>
                <w:color w:val="auto"/>
              </w:rPr>
              <w:t>危险化学品仓库、生产设备</w:t>
            </w:r>
            <w:r>
              <w:rPr>
                <w:rFonts w:cs="宋体"/>
                <w:color w:val="auto"/>
              </w:rPr>
              <w:t>周围要坚决杜绝明火，及时清理厂区内可燃杂物，保持消防通道畅通。特别要注意防止电火花引起火灾及爆炸。同时做好检查记录，发现问题和隐患及时进行整改。</w:t>
            </w:r>
          </w:p>
          <w:p w14:paraId="2F5EC8B6">
            <w:pPr>
              <w:ind w:firstLine="480" w:firstLineChars="200"/>
              <w:rPr>
                <w:rFonts w:cs="宋体"/>
                <w:color w:val="auto"/>
              </w:rPr>
            </w:pPr>
            <w:r>
              <w:rPr>
                <w:rFonts w:cs="宋体"/>
                <w:color w:val="auto"/>
              </w:rPr>
              <w:t>③加强预案制定和演练。为加强对事故的有效控制，降低事故危害程度，公司制定完备的应急救援预案。并针对跑冒、泄漏制定</w:t>
            </w:r>
            <w:r>
              <w:rPr>
                <w:rFonts w:hint="eastAsia" w:cs="宋体"/>
                <w:color w:val="auto"/>
                <w:lang w:eastAsia="zh-CN"/>
              </w:rPr>
              <w:t>“</w:t>
            </w:r>
            <w:r>
              <w:rPr>
                <w:rFonts w:cs="宋体"/>
                <w:color w:val="auto"/>
              </w:rPr>
              <w:t>污染控制应急救援措施</w:t>
            </w:r>
            <w:r>
              <w:rPr>
                <w:rFonts w:hint="eastAsia" w:cs="宋体"/>
                <w:color w:val="auto"/>
                <w:lang w:eastAsia="zh-CN"/>
              </w:rPr>
              <w:t>”</w:t>
            </w:r>
            <w:r>
              <w:rPr>
                <w:rFonts w:cs="宋体"/>
                <w:color w:val="auto"/>
              </w:rPr>
              <w:t>。</w:t>
            </w:r>
          </w:p>
          <w:p w14:paraId="6246AAF5">
            <w:pPr>
              <w:ind w:firstLine="480" w:firstLineChars="200"/>
              <w:rPr>
                <w:rFonts w:cs="宋体"/>
                <w:color w:val="auto"/>
              </w:rPr>
            </w:pPr>
            <w:r>
              <w:rPr>
                <w:rFonts w:cs="宋体"/>
                <w:color w:val="auto"/>
              </w:rPr>
              <w:t>④加强对公司职工的教育培训，实行上岗证制度，增强职工风险意识，提高事故自救能力，制定和强化各种安全管理、安全运营的规程，减少人为风险事故（如误操作）的发生。</w:t>
            </w:r>
          </w:p>
          <w:p w14:paraId="4C1965B9">
            <w:pPr>
              <w:ind w:firstLine="482" w:firstLineChars="200"/>
              <w:rPr>
                <w:rFonts w:cs="宋体"/>
                <w:b/>
                <w:bCs/>
                <w:color w:val="auto"/>
              </w:rPr>
            </w:pPr>
            <w:r>
              <w:rPr>
                <w:rFonts w:cs="宋体"/>
                <w:b/>
                <w:bCs/>
                <w:color w:val="auto"/>
              </w:rPr>
              <w:t>（2）危化品储运安全防范措施</w:t>
            </w:r>
          </w:p>
          <w:p w14:paraId="0560598E">
            <w:pPr>
              <w:ind w:firstLine="480" w:firstLineChars="200"/>
              <w:rPr>
                <w:rFonts w:cs="宋体"/>
                <w:color w:val="auto"/>
              </w:rPr>
            </w:pPr>
            <w:r>
              <w:rPr>
                <w:rFonts w:cs="宋体"/>
                <w:color w:val="auto"/>
              </w:rPr>
              <w:t>本项目的危险化学品根据用途和类型不同，分别贮存。项目应严格</w:t>
            </w:r>
            <w:r>
              <w:rPr>
                <w:rFonts w:hint="eastAsia" w:cs="宋体"/>
                <w:color w:val="auto"/>
              </w:rPr>
              <w:t>按照</w:t>
            </w:r>
            <w:r>
              <w:rPr>
                <w:rFonts w:cs="宋体"/>
                <w:color w:val="auto"/>
              </w:rPr>
              <w:t>《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5C584CEA">
            <w:pPr>
              <w:ind w:firstLine="480" w:firstLineChars="200"/>
              <w:rPr>
                <w:rFonts w:cs="宋体"/>
                <w:color w:val="auto"/>
              </w:rPr>
            </w:pPr>
            <w:r>
              <w:rPr>
                <w:rFonts w:cs="宋体"/>
                <w:color w:val="auto"/>
              </w:rPr>
              <w:t>项目原料储存需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w:t>
            </w:r>
            <w:r>
              <w:rPr>
                <w:rFonts w:hint="eastAsia" w:cs="宋体"/>
                <w:color w:val="auto"/>
              </w:rPr>
              <w:t>；</w:t>
            </w:r>
            <w:r>
              <w:rPr>
                <w:rFonts w:cs="宋体"/>
                <w:color w:val="auto"/>
              </w:rPr>
              <w:t>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w:t>
            </w:r>
            <w:r>
              <w:rPr>
                <w:rFonts w:hint="eastAsia" w:cs="宋体"/>
                <w:color w:val="auto"/>
              </w:rPr>
              <w:t>地区</w:t>
            </w:r>
            <w:r>
              <w:rPr>
                <w:rFonts w:cs="宋体"/>
                <w:color w:val="auto"/>
              </w:rPr>
              <w:t>停留；危险化学品的运输、押运人员，应配置合格的防护器材。建设单位在储运过程中应小心谨慎，熟知每种物料的性质和储运注意事项。</w:t>
            </w:r>
          </w:p>
          <w:p w14:paraId="428B8CEB">
            <w:pPr>
              <w:ind w:firstLine="482" w:firstLineChars="200"/>
              <w:rPr>
                <w:rFonts w:cs="宋体"/>
                <w:b/>
                <w:bCs/>
                <w:color w:val="auto"/>
              </w:rPr>
            </w:pPr>
            <w:r>
              <w:rPr>
                <w:rFonts w:hint="eastAsia" w:cs="宋体"/>
                <w:b/>
                <w:bCs/>
                <w:color w:val="auto"/>
              </w:rPr>
              <w:t>（3）原材料仓库建设要求</w:t>
            </w:r>
          </w:p>
          <w:p w14:paraId="7EA9DA06">
            <w:pPr>
              <w:ind w:firstLine="480" w:firstLineChars="200"/>
              <w:rPr>
                <w:rFonts w:cs="宋体"/>
                <w:color w:val="auto"/>
              </w:rPr>
            </w:pPr>
            <w:r>
              <w:rPr>
                <w:rFonts w:hint="eastAsia" w:cs="宋体"/>
                <w:color w:val="auto"/>
              </w:rPr>
              <w:t>本项目原材料仓库的建设应参考《危险化学品经营企业安全技术基本》（GB18265-2019）和《建筑设计防火规范》的建设要求，原材料仓库应防潮、平整、坚实、易于清扫，采用不发生火花的地面，采用防腐材料，减少火灾隐患。项目采用的有机溶剂，都具有挥发性，因此原材料仓库需设置防液体流散措施和通风设备。</w:t>
            </w:r>
          </w:p>
          <w:p w14:paraId="551E2365">
            <w:pPr>
              <w:pStyle w:val="3"/>
              <w:spacing w:before="0" w:after="0"/>
              <w:rPr>
                <w:color w:val="auto"/>
              </w:rPr>
            </w:pPr>
            <w:r>
              <w:rPr>
                <w:rFonts w:hint="eastAsia"/>
                <w:color w:val="auto"/>
              </w:rPr>
              <w:t>4.7环保投资估算</w:t>
            </w:r>
          </w:p>
          <w:p w14:paraId="0040C66B">
            <w:pPr>
              <w:ind w:firstLine="480" w:firstLineChars="200"/>
              <w:rPr>
                <w:rFonts w:cs="宋体"/>
                <w:color w:val="auto"/>
              </w:rPr>
            </w:pPr>
            <w:r>
              <w:rPr>
                <w:rFonts w:hint="eastAsia" w:cs="宋体"/>
                <w:color w:val="auto"/>
              </w:rPr>
              <w:t>本项目环保措施包括废水、废气、噪声治理措施、固体废物收集场所等。具体见表4.7-1。</w:t>
            </w:r>
          </w:p>
          <w:p w14:paraId="0B573E41">
            <w:pPr>
              <w:pStyle w:val="36"/>
              <w:spacing w:before="0" w:after="0"/>
              <w:rPr>
                <w:color w:val="auto"/>
              </w:rPr>
            </w:pPr>
            <w:r>
              <w:rPr>
                <w:rFonts w:hint="eastAsia"/>
                <w:color w:val="auto"/>
              </w:rPr>
              <w:t>表4.7-1  环保投资估算</w:t>
            </w:r>
          </w:p>
          <w:tbl>
            <w:tblPr>
              <w:tblStyle w:val="3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87"/>
              <w:gridCol w:w="5725"/>
              <w:gridCol w:w="912"/>
            </w:tblGrid>
            <w:tr w14:paraId="7A5B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Borders>
                    <w:top w:val="single" w:color="auto" w:sz="12" w:space="0"/>
                    <w:left w:val="nil"/>
                  </w:tcBorders>
                  <w:vAlign w:val="center"/>
                </w:tcPr>
                <w:p w14:paraId="2CFC08EC">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序号</w:t>
                  </w:r>
                </w:p>
              </w:tc>
              <w:tc>
                <w:tcPr>
                  <w:tcW w:w="887" w:type="dxa"/>
                  <w:tcBorders>
                    <w:top w:val="single" w:color="auto" w:sz="12" w:space="0"/>
                  </w:tcBorders>
                  <w:vAlign w:val="center"/>
                </w:tcPr>
                <w:p w14:paraId="5BEF203F">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污染源</w:t>
                  </w:r>
                </w:p>
              </w:tc>
              <w:tc>
                <w:tcPr>
                  <w:tcW w:w="5725" w:type="dxa"/>
                  <w:tcBorders>
                    <w:top w:val="single" w:color="auto" w:sz="12" w:space="0"/>
                  </w:tcBorders>
                  <w:vAlign w:val="center"/>
                </w:tcPr>
                <w:p w14:paraId="7FB4FAE8">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措施</w:t>
                  </w:r>
                </w:p>
              </w:tc>
              <w:tc>
                <w:tcPr>
                  <w:tcW w:w="912" w:type="dxa"/>
                  <w:tcBorders>
                    <w:top w:val="single" w:color="auto" w:sz="12" w:space="0"/>
                    <w:right w:val="nil"/>
                  </w:tcBorders>
                  <w:vAlign w:val="center"/>
                </w:tcPr>
                <w:p w14:paraId="5D0A974E">
                  <w:pPr>
                    <w:adjustRightInd w:val="0"/>
                    <w:snapToGrid w:val="0"/>
                    <w:spacing w:before="24" w:beforeLines="10" w:after="24" w:afterLines="10" w:line="240" w:lineRule="auto"/>
                    <w:ind w:right="-19" w:rightChars="-8"/>
                    <w:jc w:val="center"/>
                    <w:rPr>
                      <w:color w:val="auto"/>
                      <w:kern w:val="0"/>
                      <w:sz w:val="21"/>
                      <w:szCs w:val="21"/>
                    </w:rPr>
                  </w:pPr>
                  <w:r>
                    <w:rPr>
                      <w:rFonts w:hint="eastAsia"/>
                      <w:color w:val="auto"/>
                      <w:kern w:val="0"/>
                      <w:sz w:val="21"/>
                      <w:szCs w:val="21"/>
                    </w:rPr>
                    <w:t>投资</w:t>
                  </w:r>
                </w:p>
              </w:tc>
            </w:tr>
            <w:tr w14:paraId="3BD5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Borders>
                    <w:left w:val="nil"/>
                  </w:tcBorders>
                  <w:vAlign w:val="center"/>
                </w:tcPr>
                <w:p w14:paraId="23CE8CC6">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1</w:t>
                  </w:r>
                </w:p>
              </w:tc>
              <w:tc>
                <w:tcPr>
                  <w:tcW w:w="887" w:type="dxa"/>
                  <w:vAlign w:val="center"/>
                </w:tcPr>
                <w:p w14:paraId="45FB522F">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废水</w:t>
                  </w:r>
                </w:p>
              </w:tc>
              <w:tc>
                <w:tcPr>
                  <w:tcW w:w="5725" w:type="dxa"/>
                  <w:vAlign w:val="center"/>
                </w:tcPr>
                <w:p w14:paraId="558CAF23">
                  <w:pPr>
                    <w:pStyle w:val="40"/>
                    <w:rPr>
                      <w:color w:val="auto"/>
                      <w:sz w:val="21"/>
                      <w:szCs w:val="21"/>
                    </w:rPr>
                  </w:pPr>
                  <w:r>
                    <w:rPr>
                      <w:rFonts w:hint="eastAsia"/>
                      <w:color w:val="auto"/>
                      <w:kern w:val="2"/>
                      <w:sz w:val="21"/>
                      <w:szCs w:val="21"/>
                    </w:rPr>
                    <w:t>职工生活污水经化粪池预处理</w:t>
                  </w:r>
                  <w:r>
                    <w:rPr>
                      <w:color w:val="auto"/>
                      <w:kern w:val="2"/>
                      <w:sz w:val="21"/>
                      <w:szCs w:val="21"/>
                    </w:rPr>
                    <w:t>后</w:t>
                  </w:r>
                  <w:r>
                    <w:rPr>
                      <w:rFonts w:hint="eastAsia"/>
                      <w:color w:val="auto"/>
                      <w:kern w:val="2"/>
                      <w:sz w:val="21"/>
                      <w:szCs w:val="21"/>
                    </w:rPr>
                    <w:t>，经</w:t>
                  </w:r>
                  <w:r>
                    <w:rPr>
                      <w:color w:val="auto"/>
                      <w:kern w:val="2"/>
                      <w:sz w:val="21"/>
                      <w:szCs w:val="21"/>
                    </w:rPr>
                    <w:t>市政污水管网</w:t>
                  </w:r>
                  <w:r>
                    <w:rPr>
                      <w:rFonts w:hint="eastAsia"/>
                      <w:color w:val="auto"/>
                      <w:kern w:val="2"/>
                      <w:sz w:val="21"/>
                      <w:szCs w:val="21"/>
                    </w:rPr>
                    <w:t>进</w:t>
                  </w:r>
                  <w:r>
                    <w:rPr>
                      <w:color w:val="auto"/>
                      <w:kern w:val="2"/>
                      <w:sz w:val="21"/>
                      <w:szCs w:val="21"/>
                    </w:rPr>
                    <w:t>入</w:t>
                  </w:r>
                  <w:r>
                    <w:rPr>
                      <w:rFonts w:hint="eastAsia"/>
                      <w:color w:val="auto"/>
                      <w:kern w:val="2"/>
                      <w:sz w:val="21"/>
                      <w:szCs w:val="21"/>
                    </w:rPr>
                    <w:t>大学城污水处理厂集中</w:t>
                  </w:r>
                  <w:r>
                    <w:rPr>
                      <w:color w:val="auto"/>
                      <w:sz w:val="21"/>
                      <w:szCs w:val="21"/>
                    </w:rPr>
                    <w:t>处理</w:t>
                  </w:r>
                </w:p>
              </w:tc>
              <w:tc>
                <w:tcPr>
                  <w:tcW w:w="912" w:type="dxa"/>
                  <w:tcBorders>
                    <w:right w:val="nil"/>
                  </w:tcBorders>
                  <w:vAlign w:val="center"/>
                </w:tcPr>
                <w:p w14:paraId="1127B84B">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0万元</w:t>
                  </w:r>
                </w:p>
              </w:tc>
            </w:tr>
            <w:tr w14:paraId="5921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66" w:type="dxa"/>
                  <w:tcBorders>
                    <w:left w:val="nil"/>
                  </w:tcBorders>
                  <w:vAlign w:val="center"/>
                </w:tcPr>
                <w:p w14:paraId="175666C8">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2</w:t>
                  </w:r>
                </w:p>
              </w:tc>
              <w:tc>
                <w:tcPr>
                  <w:tcW w:w="887" w:type="dxa"/>
                  <w:vAlign w:val="center"/>
                </w:tcPr>
                <w:p w14:paraId="68B1C7D7">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废气</w:t>
                  </w:r>
                </w:p>
              </w:tc>
              <w:tc>
                <w:tcPr>
                  <w:tcW w:w="5725" w:type="dxa"/>
                  <w:vAlign w:val="center"/>
                </w:tcPr>
                <w:p w14:paraId="074C845C">
                  <w:pPr>
                    <w:wordWrap w:val="0"/>
                    <w:adjustRightInd w:val="0"/>
                    <w:snapToGrid w:val="0"/>
                    <w:spacing w:before="24" w:beforeLines="10" w:after="24" w:afterLines="10" w:line="240" w:lineRule="auto"/>
                    <w:rPr>
                      <w:color w:val="auto"/>
                      <w:kern w:val="0"/>
                      <w:sz w:val="21"/>
                      <w:szCs w:val="21"/>
                    </w:rPr>
                  </w:pPr>
                  <w:r>
                    <w:rPr>
                      <w:rFonts w:hint="eastAsia"/>
                      <w:color w:val="auto"/>
                      <w:kern w:val="0"/>
                      <w:sz w:val="21"/>
                      <w:szCs w:val="21"/>
                    </w:rPr>
                    <w:t>（1）有机废气</w:t>
                  </w:r>
                </w:p>
                <w:p w14:paraId="1D7E7D90">
                  <w:pPr>
                    <w:wordWrap w:val="0"/>
                    <w:adjustRightInd w:val="0"/>
                    <w:snapToGrid w:val="0"/>
                    <w:spacing w:before="24" w:beforeLines="10" w:after="24" w:afterLines="10" w:line="240" w:lineRule="auto"/>
                    <w:rPr>
                      <w:color w:val="auto"/>
                      <w:kern w:val="0"/>
                      <w:sz w:val="21"/>
                      <w:szCs w:val="21"/>
                    </w:rPr>
                  </w:pPr>
                  <w:r>
                    <w:rPr>
                      <w:color w:val="auto"/>
                      <w:kern w:val="0"/>
                      <w:sz w:val="21"/>
                      <w:szCs w:val="21"/>
                    </w:rPr>
                    <w:t>①本项目调漆、喷漆、烤漆工序均为密闭作业，漆雾（颗粒物）首先通过水帘柜（水幕洗涤）进行捕集，残余漆雾和有机废气通过密闭车间负压收集，经</w:t>
                  </w:r>
                  <w:r>
                    <w:rPr>
                      <w:rFonts w:hint="eastAsia"/>
                      <w:color w:val="auto"/>
                      <w:kern w:val="0"/>
                      <w:sz w:val="21"/>
                      <w:szCs w:val="21"/>
                      <w:lang w:eastAsia="zh-CN"/>
                    </w:rPr>
                    <w:t>“</w:t>
                  </w:r>
                  <w:r>
                    <w:rPr>
                      <w:color w:val="auto"/>
                      <w:kern w:val="0"/>
                      <w:sz w:val="21"/>
                      <w:szCs w:val="21"/>
                    </w:rPr>
                    <w:t>干式过滤+二级活性炭吸附装置</w:t>
                  </w:r>
                  <w:r>
                    <w:rPr>
                      <w:rFonts w:hint="eastAsia"/>
                      <w:color w:val="auto"/>
                      <w:kern w:val="0"/>
                      <w:sz w:val="21"/>
                      <w:szCs w:val="21"/>
                      <w:lang w:eastAsia="zh-CN"/>
                    </w:rPr>
                    <w:t>”</w:t>
                  </w:r>
                  <w:r>
                    <w:rPr>
                      <w:color w:val="auto"/>
                      <w:kern w:val="0"/>
                      <w:sz w:val="21"/>
                      <w:szCs w:val="21"/>
                    </w:rPr>
                    <w:t>，处理达标后的废气通过一根22m高的排气筒（DA001）排放。</w:t>
                  </w:r>
                </w:p>
                <w:p w14:paraId="18A3C360">
                  <w:pPr>
                    <w:wordWrap w:val="0"/>
                    <w:adjustRightInd w:val="0"/>
                    <w:snapToGrid w:val="0"/>
                    <w:spacing w:before="24" w:beforeLines="10" w:after="24" w:afterLines="10" w:line="240" w:lineRule="auto"/>
                    <w:rPr>
                      <w:color w:val="auto"/>
                      <w:kern w:val="0"/>
                      <w:sz w:val="21"/>
                      <w:szCs w:val="21"/>
                    </w:rPr>
                  </w:pPr>
                  <w:r>
                    <w:rPr>
                      <w:color w:val="auto"/>
                      <w:kern w:val="0"/>
                      <w:sz w:val="21"/>
                      <w:szCs w:val="21"/>
                    </w:rPr>
                    <w:t>②本项目UV打印及其设备清洁工序为密闭车间，产生的有机废气由密闭车间负压收集，由1套</w:t>
                  </w:r>
                  <w:r>
                    <w:rPr>
                      <w:rFonts w:hint="eastAsia"/>
                      <w:color w:val="auto"/>
                      <w:kern w:val="0"/>
                      <w:sz w:val="21"/>
                      <w:szCs w:val="21"/>
                      <w:lang w:eastAsia="zh-CN"/>
                    </w:rPr>
                    <w:t>“</w:t>
                  </w:r>
                  <w:r>
                    <w:rPr>
                      <w:color w:val="auto"/>
                      <w:kern w:val="0"/>
                      <w:sz w:val="21"/>
                      <w:szCs w:val="21"/>
                    </w:rPr>
                    <w:t>干式过滤+二级活性炭吸附</w:t>
                  </w:r>
                  <w:r>
                    <w:rPr>
                      <w:rFonts w:hint="eastAsia"/>
                      <w:color w:val="auto"/>
                      <w:kern w:val="0"/>
                      <w:sz w:val="21"/>
                      <w:szCs w:val="21"/>
                      <w:lang w:eastAsia="zh-CN"/>
                    </w:rPr>
                    <w:t>”</w:t>
                  </w:r>
                  <w:r>
                    <w:rPr>
                      <w:color w:val="auto"/>
                      <w:kern w:val="0"/>
                      <w:sz w:val="21"/>
                      <w:szCs w:val="21"/>
                    </w:rPr>
                    <w:t>废气处理装置处理，废气处理后通过22m排气筒（DA001）达标排放。</w:t>
                  </w:r>
                </w:p>
                <w:p w14:paraId="5D8AE6FB">
                  <w:pPr>
                    <w:wordWrap w:val="0"/>
                    <w:adjustRightInd w:val="0"/>
                    <w:snapToGrid w:val="0"/>
                    <w:spacing w:before="24" w:beforeLines="10" w:after="24" w:afterLines="10" w:line="240" w:lineRule="auto"/>
                    <w:rPr>
                      <w:color w:val="auto"/>
                      <w:kern w:val="0"/>
                      <w:sz w:val="21"/>
                      <w:szCs w:val="21"/>
                    </w:rPr>
                  </w:pPr>
                  <w:r>
                    <w:rPr>
                      <w:color w:val="auto"/>
                      <w:kern w:val="0"/>
                      <w:sz w:val="21"/>
                      <w:szCs w:val="21"/>
                    </w:rPr>
                    <w:t>③本项目热压、组装工序产生的有机废气较少，瞬间产生的浓度较低，不易收集，经过车间通风无组织排放即可达标。</w:t>
                  </w:r>
                </w:p>
                <w:p w14:paraId="34CC125C">
                  <w:pPr>
                    <w:wordWrap w:val="0"/>
                    <w:adjustRightInd w:val="0"/>
                    <w:snapToGrid w:val="0"/>
                    <w:spacing w:before="24" w:beforeLines="10" w:after="24" w:afterLines="10" w:line="240" w:lineRule="auto"/>
                    <w:rPr>
                      <w:color w:val="auto"/>
                      <w:kern w:val="0"/>
                      <w:sz w:val="21"/>
                      <w:szCs w:val="21"/>
                    </w:rPr>
                  </w:pPr>
                  <w:r>
                    <w:rPr>
                      <w:color w:val="auto"/>
                      <w:kern w:val="0"/>
                      <w:sz w:val="21"/>
                      <w:szCs w:val="21"/>
                    </w:rPr>
                    <w:t>（2）粉尘</w:t>
                  </w:r>
                </w:p>
                <w:p w14:paraId="13E931D6">
                  <w:pPr>
                    <w:wordWrap w:val="0"/>
                    <w:adjustRightInd w:val="0"/>
                    <w:snapToGrid w:val="0"/>
                    <w:spacing w:before="24" w:beforeLines="10" w:after="24" w:afterLines="10" w:line="240" w:lineRule="auto"/>
                    <w:rPr>
                      <w:color w:val="auto"/>
                      <w:kern w:val="0"/>
                      <w:sz w:val="21"/>
                      <w:szCs w:val="21"/>
                    </w:rPr>
                  </w:pPr>
                  <w:r>
                    <w:rPr>
                      <w:color w:val="auto"/>
                      <w:kern w:val="0"/>
                      <w:sz w:val="21"/>
                      <w:szCs w:val="21"/>
                    </w:rPr>
                    <w:t>①PVC板材、亚克力板材雕刻、切割粉</w:t>
                  </w:r>
                  <w:r>
                    <w:rPr>
                      <w:rFonts w:hint="eastAsia"/>
                      <w:color w:val="auto"/>
                      <w:kern w:val="0"/>
                      <w:sz w:val="21"/>
                      <w:szCs w:val="21"/>
                      <w:lang w:val="en-US" w:eastAsia="zh-CN"/>
                    </w:rPr>
                    <w:t>尘</w:t>
                  </w:r>
                  <w:r>
                    <w:rPr>
                      <w:color w:val="auto"/>
                      <w:kern w:val="0"/>
                      <w:sz w:val="21"/>
                      <w:szCs w:val="21"/>
                    </w:rPr>
                    <w:t>经集气罩收集，由布袋除尘器处理后通过22m排气筒（DA002）达标排放。</w:t>
                  </w:r>
                </w:p>
                <w:p w14:paraId="74298D1F">
                  <w:pPr>
                    <w:wordWrap w:val="0"/>
                    <w:adjustRightInd w:val="0"/>
                    <w:snapToGrid w:val="0"/>
                    <w:spacing w:before="24" w:beforeLines="10" w:after="24" w:afterLines="10" w:line="240" w:lineRule="auto"/>
                    <w:rPr>
                      <w:color w:val="auto"/>
                      <w:kern w:val="0"/>
                      <w:sz w:val="21"/>
                      <w:szCs w:val="21"/>
                    </w:rPr>
                  </w:pPr>
                  <w:r>
                    <w:rPr>
                      <w:color w:val="auto"/>
                      <w:kern w:val="0"/>
                      <w:sz w:val="21"/>
                      <w:szCs w:val="21"/>
                    </w:rPr>
                    <w:t>②焊接烟尘通过移动式焊烟净化器净化处理后，以无组织形式在厂区内排放。</w:t>
                  </w:r>
                </w:p>
                <w:p w14:paraId="7917C8CE">
                  <w:pPr>
                    <w:wordWrap w:val="0"/>
                    <w:adjustRightInd w:val="0"/>
                    <w:snapToGrid w:val="0"/>
                    <w:spacing w:before="24" w:beforeLines="10" w:after="24" w:afterLines="10" w:line="240" w:lineRule="auto"/>
                    <w:rPr>
                      <w:color w:val="auto"/>
                      <w:kern w:val="0"/>
                      <w:sz w:val="21"/>
                      <w:szCs w:val="21"/>
                    </w:rPr>
                  </w:pPr>
                  <w:r>
                    <w:rPr>
                      <w:color w:val="auto"/>
                      <w:kern w:val="0"/>
                      <w:sz w:val="21"/>
                      <w:szCs w:val="21"/>
                    </w:rPr>
                    <w:t>③</w:t>
                  </w:r>
                  <w:r>
                    <w:rPr>
                      <w:rFonts w:hint="eastAsia"/>
                      <w:color w:val="auto"/>
                      <w:kern w:val="0"/>
                      <w:sz w:val="21"/>
                      <w:szCs w:val="21"/>
                      <w:lang w:val="en-US" w:eastAsia="zh-CN"/>
                    </w:rPr>
                    <w:t>金属板材切割粉尘</w:t>
                  </w:r>
                  <w:r>
                    <w:rPr>
                      <w:color w:val="auto"/>
                      <w:kern w:val="0"/>
                      <w:sz w:val="21"/>
                      <w:szCs w:val="21"/>
                    </w:rPr>
                    <w:t>经集气罩收集，由布袋除尘器处理后通过22m排气筒（DA002）达标排放。</w:t>
                  </w:r>
                </w:p>
              </w:tc>
              <w:tc>
                <w:tcPr>
                  <w:tcW w:w="912" w:type="dxa"/>
                  <w:tcBorders>
                    <w:right w:val="nil"/>
                  </w:tcBorders>
                  <w:vAlign w:val="center"/>
                </w:tcPr>
                <w:p w14:paraId="207F926E">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30万元</w:t>
                  </w:r>
                </w:p>
              </w:tc>
            </w:tr>
            <w:tr w14:paraId="6130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Borders>
                    <w:left w:val="nil"/>
                  </w:tcBorders>
                  <w:vAlign w:val="center"/>
                </w:tcPr>
                <w:p w14:paraId="6CEFB4F9">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3</w:t>
                  </w:r>
                </w:p>
              </w:tc>
              <w:tc>
                <w:tcPr>
                  <w:tcW w:w="887" w:type="dxa"/>
                  <w:vAlign w:val="center"/>
                </w:tcPr>
                <w:p w14:paraId="42FEB782">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噪声</w:t>
                  </w:r>
                </w:p>
              </w:tc>
              <w:tc>
                <w:tcPr>
                  <w:tcW w:w="5725" w:type="dxa"/>
                  <w:vAlign w:val="center"/>
                </w:tcPr>
                <w:p w14:paraId="40D2C43A">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优先选用先进、低噪声设备；对高噪声设备采取减振基础、安装减振垫圈等减震措施；对各类机械设备定期检修、维护，防止设备异常噪声产生；优化平面布局，合理布置高噪声设备于远离声环境敏感点位置</w:t>
                  </w:r>
                </w:p>
              </w:tc>
              <w:tc>
                <w:tcPr>
                  <w:tcW w:w="912" w:type="dxa"/>
                  <w:tcBorders>
                    <w:right w:val="nil"/>
                  </w:tcBorders>
                  <w:vAlign w:val="center"/>
                </w:tcPr>
                <w:p w14:paraId="70BEC247">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5万元</w:t>
                  </w:r>
                </w:p>
              </w:tc>
            </w:tr>
            <w:tr w14:paraId="2DE4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tcBorders>
                    <w:left w:val="nil"/>
                  </w:tcBorders>
                  <w:vAlign w:val="center"/>
                </w:tcPr>
                <w:p w14:paraId="0DC213F9">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4</w:t>
                  </w:r>
                </w:p>
              </w:tc>
              <w:tc>
                <w:tcPr>
                  <w:tcW w:w="887" w:type="dxa"/>
                  <w:vAlign w:val="center"/>
                </w:tcPr>
                <w:p w14:paraId="6984F725">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固体废物</w:t>
                  </w:r>
                </w:p>
              </w:tc>
              <w:tc>
                <w:tcPr>
                  <w:tcW w:w="5725" w:type="dxa"/>
                  <w:vAlign w:val="center"/>
                </w:tcPr>
                <w:p w14:paraId="2D0A2F6B">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一般工业固体废物定期外售给其他企业综合利用；设置垃圾桶存放生活垃圾，并委托环卫部门定期清运；危险废物存放于危险废物贮存间，定期委托有处置危险废物资质的单位处置</w:t>
                  </w:r>
                </w:p>
              </w:tc>
              <w:tc>
                <w:tcPr>
                  <w:tcW w:w="912" w:type="dxa"/>
                  <w:tcBorders>
                    <w:right w:val="nil"/>
                  </w:tcBorders>
                  <w:vAlign w:val="center"/>
                </w:tcPr>
                <w:p w14:paraId="7AC9E1B3">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15万元</w:t>
                  </w:r>
                </w:p>
              </w:tc>
            </w:tr>
            <w:tr w14:paraId="475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8" w:type="dxa"/>
                  <w:gridSpan w:val="3"/>
                  <w:tcBorders>
                    <w:left w:val="nil"/>
                    <w:bottom w:val="single" w:color="auto" w:sz="12" w:space="0"/>
                  </w:tcBorders>
                  <w:vAlign w:val="center"/>
                </w:tcPr>
                <w:p w14:paraId="3627660B">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合计</w:t>
                  </w:r>
                </w:p>
              </w:tc>
              <w:tc>
                <w:tcPr>
                  <w:tcW w:w="912" w:type="dxa"/>
                  <w:tcBorders>
                    <w:bottom w:val="single" w:color="auto" w:sz="12" w:space="0"/>
                    <w:right w:val="nil"/>
                  </w:tcBorders>
                  <w:vAlign w:val="center"/>
                </w:tcPr>
                <w:p w14:paraId="208271E4">
                  <w:pPr>
                    <w:adjustRightInd w:val="0"/>
                    <w:snapToGrid w:val="0"/>
                    <w:spacing w:before="24" w:beforeLines="10" w:after="24" w:afterLines="10" w:line="240" w:lineRule="auto"/>
                    <w:jc w:val="center"/>
                    <w:rPr>
                      <w:color w:val="auto"/>
                      <w:kern w:val="0"/>
                      <w:sz w:val="21"/>
                      <w:szCs w:val="21"/>
                    </w:rPr>
                  </w:pPr>
                  <w:r>
                    <w:rPr>
                      <w:rFonts w:hint="eastAsia"/>
                      <w:color w:val="auto"/>
                      <w:kern w:val="0"/>
                      <w:sz w:val="21"/>
                      <w:szCs w:val="21"/>
                    </w:rPr>
                    <w:t>50万元</w:t>
                  </w:r>
                </w:p>
              </w:tc>
            </w:tr>
          </w:tbl>
          <w:p w14:paraId="131E9EAF">
            <w:pPr>
              <w:pStyle w:val="5"/>
              <w:ind w:firstLine="480"/>
              <w:rPr>
                <w:color w:val="auto"/>
              </w:rPr>
            </w:pPr>
          </w:p>
        </w:tc>
      </w:tr>
    </w:tbl>
    <w:p w14:paraId="3F6167C6">
      <w:pPr>
        <w:pStyle w:val="6"/>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6D6F006">
      <w:pPr>
        <w:pStyle w:val="2"/>
        <w:spacing w:before="0" w:after="0" w:line="360" w:lineRule="auto"/>
        <w:ind w:left="0" w:firstLine="0"/>
        <w:jc w:val="center"/>
        <w:rPr>
          <w:b w:val="0"/>
          <w:bCs w:val="0"/>
          <w:color w:val="auto"/>
        </w:rPr>
      </w:pPr>
      <w:bookmarkStart w:id="11" w:name="_Toc1654"/>
      <w:bookmarkStart w:id="12" w:name="_Toc12951"/>
      <w:r>
        <w:rPr>
          <w:b w:val="0"/>
          <w:bCs w:val="0"/>
          <w:color w:val="auto"/>
        </w:rPr>
        <w:t>五、</w:t>
      </w:r>
      <w:bookmarkStart w:id="13" w:name="_Hlk54167917"/>
      <w:r>
        <w:rPr>
          <w:b w:val="0"/>
          <w:bCs w:val="0"/>
          <w:color w:val="auto"/>
        </w:rPr>
        <w:t>环境保护措施监督检查清单</w:t>
      </w:r>
      <w:bookmarkEnd w:id="11"/>
      <w:bookmarkEnd w:id="12"/>
      <w:bookmarkEnd w:id="13"/>
    </w:p>
    <w:tbl>
      <w:tblPr>
        <w:tblStyle w:val="30"/>
        <w:tblW w:w="90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423"/>
        <w:gridCol w:w="1193"/>
        <w:gridCol w:w="1446"/>
        <w:gridCol w:w="2122"/>
        <w:gridCol w:w="2702"/>
      </w:tblGrid>
      <w:tr w14:paraId="0EC1F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tcBorders>
              <w:tl2br w:val="single" w:color="auto" w:sz="4" w:space="0"/>
            </w:tcBorders>
          </w:tcPr>
          <w:p w14:paraId="4EC2C888">
            <w:pPr>
              <w:adjustRightInd w:val="0"/>
              <w:snapToGrid w:val="0"/>
              <w:spacing w:line="340" w:lineRule="exact"/>
              <w:ind w:firstLine="420" w:firstLineChars="200"/>
              <w:jc w:val="left"/>
              <w:rPr>
                <w:color w:val="auto"/>
                <w:sz w:val="21"/>
                <w:szCs w:val="21"/>
                <w:lang w:val="en-GB"/>
              </w:rPr>
            </w:pPr>
            <w:r>
              <w:rPr>
                <w:color w:val="auto"/>
                <w:sz w:val="21"/>
                <w:szCs w:val="21"/>
                <w:lang w:val="en-GB"/>
              </w:rPr>
              <w:t>内容</w:t>
            </w:r>
          </w:p>
          <w:p w14:paraId="2193E5A5">
            <w:pPr>
              <w:adjustRightInd w:val="0"/>
              <w:snapToGrid w:val="0"/>
              <w:spacing w:line="340" w:lineRule="exact"/>
              <w:jc w:val="left"/>
              <w:rPr>
                <w:color w:val="auto"/>
                <w:sz w:val="21"/>
                <w:szCs w:val="21"/>
                <w:lang w:val="en-GB"/>
              </w:rPr>
            </w:pPr>
            <w:r>
              <w:rPr>
                <w:color w:val="auto"/>
                <w:sz w:val="21"/>
                <w:szCs w:val="21"/>
                <w:lang w:val="en-GB"/>
              </w:rPr>
              <w:t>要素</w:t>
            </w:r>
          </w:p>
        </w:tc>
        <w:tc>
          <w:tcPr>
            <w:tcW w:w="1616" w:type="dxa"/>
            <w:gridSpan w:val="2"/>
            <w:vAlign w:val="center"/>
          </w:tcPr>
          <w:p w14:paraId="41DDB56C">
            <w:pPr>
              <w:adjustRightInd w:val="0"/>
              <w:snapToGrid w:val="0"/>
              <w:spacing w:line="340" w:lineRule="exact"/>
              <w:jc w:val="center"/>
              <w:rPr>
                <w:color w:val="auto"/>
                <w:sz w:val="21"/>
                <w:szCs w:val="21"/>
                <w:lang w:val="en-GB"/>
              </w:rPr>
            </w:pPr>
            <w:r>
              <w:rPr>
                <w:color w:val="auto"/>
                <w:sz w:val="21"/>
                <w:szCs w:val="21"/>
                <w:lang w:val="en-GB"/>
              </w:rPr>
              <w:t>排放口</w:t>
            </w:r>
            <w:r>
              <w:rPr>
                <w:rFonts w:hint="eastAsia"/>
                <w:color w:val="auto"/>
                <w:sz w:val="21"/>
                <w:szCs w:val="21"/>
              </w:rPr>
              <w:t>（</w:t>
            </w:r>
            <w:r>
              <w:rPr>
                <w:color w:val="auto"/>
                <w:sz w:val="21"/>
                <w:szCs w:val="21"/>
                <w:lang w:val="en-GB"/>
              </w:rPr>
              <w:t>编号、名称</w:t>
            </w:r>
            <w:r>
              <w:rPr>
                <w:rFonts w:hint="eastAsia"/>
                <w:color w:val="auto"/>
                <w:sz w:val="21"/>
                <w:szCs w:val="21"/>
              </w:rPr>
              <w:t>）</w:t>
            </w:r>
            <w:r>
              <w:rPr>
                <w:color w:val="auto"/>
                <w:sz w:val="21"/>
                <w:szCs w:val="21"/>
                <w:lang w:val="en-GB"/>
              </w:rPr>
              <w:t>/污染源</w:t>
            </w:r>
          </w:p>
        </w:tc>
        <w:tc>
          <w:tcPr>
            <w:tcW w:w="1446" w:type="dxa"/>
            <w:vAlign w:val="center"/>
          </w:tcPr>
          <w:p w14:paraId="7185B8D6">
            <w:pPr>
              <w:adjustRightInd w:val="0"/>
              <w:snapToGrid w:val="0"/>
              <w:spacing w:line="340" w:lineRule="exact"/>
              <w:jc w:val="center"/>
              <w:rPr>
                <w:color w:val="auto"/>
                <w:sz w:val="21"/>
                <w:szCs w:val="21"/>
                <w:lang w:val="en-GB"/>
              </w:rPr>
            </w:pPr>
            <w:r>
              <w:rPr>
                <w:color w:val="auto"/>
                <w:sz w:val="21"/>
                <w:szCs w:val="21"/>
                <w:lang w:val="en-GB"/>
              </w:rPr>
              <w:t>污染物项目</w:t>
            </w:r>
          </w:p>
        </w:tc>
        <w:tc>
          <w:tcPr>
            <w:tcW w:w="2122" w:type="dxa"/>
            <w:vAlign w:val="center"/>
          </w:tcPr>
          <w:p w14:paraId="3210EA52">
            <w:pPr>
              <w:adjustRightInd w:val="0"/>
              <w:snapToGrid w:val="0"/>
              <w:spacing w:line="340" w:lineRule="exact"/>
              <w:jc w:val="center"/>
              <w:rPr>
                <w:color w:val="auto"/>
                <w:sz w:val="21"/>
                <w:szCs w:val="21"/>
                <w:lang w:val="en-GB"/>
              </w:rPr>
            </w:pPr>
            <w:r>
              <w:rPr>
                <w:color w:val="auto"/>
                <w:sz w:val="21"/>
                <w:szCs w:val="21"/>
                <w:lang w:val="en-GB"/>
              </w:rPr>
              <w:t>环境保护措施</w:t>
            </w:r>
          </w:p>
        </w:tc>
        <w:tc>
          <w:tcPr>
            <w:tcW w:w="2702" w:type="dxa"/>
            <w:vAlign w:val="center"/>
          </w:tcPr>
          <w:p w14:paraId="4DFA19F0">
            <w:pPr>
              <w:adjustRightInd w:val="0"/>
              <w:snapToGrid w:val="0"/>
              <w:spacing w:line="340" w:lineRule="exact"/>
              <w:jc w:val="center"/>
              <w:rPr>
                <w:color w:val="auto"/>
                <w:sz w:val="21"/>
                <w:szCs w:val="21"/>
                <w:lang w:val="en-GB"/>
              </w:rPr>
            </w:pPr>
            <w:r>
              <w:rPr>
                <w:color w:val="auto"/>
                <w:sz w:val="21"/>
                <w:szCs w:val="21"/>
                <w:lang w:val="en-GB"/>
              </w:rPr>
              <w:t>执行标准</w:t>
            </w:r>
          </w:p>
        </w:tc>
      </w:tr>
      <w:tr w14:paraId="45327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9" w:type="dxa"/>
            <w:vMerge w:val="restart"/>
            <w:vAlign w:val="center"/>
          </w:tcPr>
          <w:p w14:paraId="423A6E57">
            <w:pPr>
              <w:adjustRightInd w:val="0"/>
              <w:snapToGrid w:val="0"/>
              <w:spacing w:line="340" w:lineRule="exact"/>
              <w:jc w:val="left"/>
              <w:rPr>
                <w:color w:val="auto"/>
                <w:sz w:val="21"/>
                <w:szCs w:val="21"/>
                <w:lang w:val="en-GB"/>
              </w:rPr>
            </w:pPr>
            <w:r>
              <w:rPr>
                <w:color w:val="auto"/>
                <w:sz w:val="21"/>
                <w:szCs w:val="21"/>
                <w:lang w:val="en-GB"/>
              </w:rPr>
              <w:t>大气环境</w:t>
            </w:r>
          </w:p>
        </w:tc>
        <w:tc>
          <w:tcPr>
            <w:tcW w:w="423" w:type="dxa"/>
            <w:vMerge w:val="restart"/>
            <w:vAlign w:val="center"/>
          </w:tcPr>
          <w:p w14:paraId="56A7E01D">
            <w:pPr>
              <w:adjustRightInd w:val="0"/>
              <w:snapToGrid w:val="0"/>
              <w:spacing w:line="240" w:lineRule="auto"/>
              <w:jc w:val="center"/>
              <w:rPr>
                <w:color w:val="auto"/>
                <w:sz w:val="21"/>
                <w:szCs w:val="21"/>
              </w:rPr>
            </w:pPr>
            <w:r>
              <w:rPr>
                <w:rFonts w:hint="eastAsia"/>
                <w:color w:val="auto"/>
                <w:sz w:val="21"/>
                <w:szCs w:val="21"/>
              </w:rPr>
              <w:t>有组织</w:t>
            </w:r>
          </w:p>
        </w:tc>
        <w:tc>
          <w:tcPr>
            <w:tcW w:w="1193" w:type="dxa"/>
            <w:vMerge w:val="restart"/>
            <w:vAlign w:val="center"/>
          </w:tcPr>
          <w:p w14:paraId="014D9094">
            <w:pPr>
              <w:adjustRightInd w:val="0"/>
              <w:snapToGrid w:val="0"/>
              <w:spacing w:line="240" w:lineRule="auto"/>
              <w:jc w:val="center"/>
              <w:rPr>
                <w:color w:val="auto"/>
                <w:sz w:val="21"/>
                <w:szCs w:val="21"/>
              </w:rPr>
            </w:pPr>
            <w:r>
              <w:rPr>
                <w:color w:val="auto"/>
                <w:sz w:val="21"/>
                <w:szCs w:val="21"/>
              </w:rPr>
              <w:t>排放口（DA001）</w:t>
            </w:r>
          </w:p>
        </w:tc>
        <w:tc>
          <w:tcPr>
            <w:tcW w:w="1446" w:type="dxa"/>
            <w:vAlign w:val="center"/>
          </w:tcPr>
          <w:p w14:paraId="17B041A7">
            <w:pPr>
              <w:adjustRightInd w:val="0"/>
              <w:snapToGrid w:val="0"/>
              <w:spacing w:line="240" w:lineRule="auto"/>
              <w:jc w:val="center"/>
              <w:rPr>
                <w:color w:val="auto"/>
                <w:sz w:val="21"/>
                <w:szCs w:val="21"/>
              </w:rPr>
            </w:pPr>
            <w:r>
              <w:rPr>
                <w:color w:val="auto"/>
                <w:sz w:val="21"/>
                <w:szCs w:val="21"/>
              </w:rPr>
              <w:t>非甲烷总烃</w:t>
            </w:r>
            <w:r>
              <w:rPr>
                <w:rFonts w:hint="eastAsia"/>
                <w:color w:val="auto"/>
                <w:sz w:val="21"/>
                <w:szCs w:val="21"/>
              </w:rPr>
              <w:t>、乙酸乙酯与乙酸丁酯合计、二甲苯</w:t>
            </w:r>
          </w:p>
        </w:tc>
        <w:tc>
          <w:tcPr>
            <w:tcW w:w="2122" w:type="dxa"/>
            <w:vMerge w:val="restart"/>
            <w:vAlign w:val="center"/>
          </w:tcPr>
          <w:p w14:paraId="5FD36CDF">
            <w:pPr>
              <w:adjustRightInd w:val="0"/>
              <w:snapToGrid w:val="0"/>
              <w:spacing w:line="240" w:lineRule="auto"/>
              <w:jc w:val="center"/>
              <w:rPr>
                <w:color w:val="auto"/>
                <w:sz w:val="21"/>
                <w:szCs w:val="21"/>
              </w:rPr>
            </w:pPr>
            <w:r>
              <w:rPr>
                <w:color w:val="auto"/>
                <w:sz w:val="21"/>
                <w:szCs w:val="21"/>
              </w:rPr>
              <w:t>漆雾（颗粒物）首先通过水帘柜（水幕洗涤）进行捕集，残余漆雾和有机废气通过密闭车间负压收集，经</w:t>
            </w:r>
            <w:r>
              <w:rPr>
                <w:rFonts w:hint="eastAsia"/>
                <w:color w:val="auto"/>
                <w:sz w:val="21"/>
                <w:szCs w:val="21"/>
                <w:lang w:eastAsia="zh-CN"/>
              </w:rPr>
              <w:t>“</w:t>
            </w:r>
            <w:r>
              <w:rPr>
                <w:color w:val="auto"/>
                <w:sz w:val="21"/>
                <w:szCs w:val="21"/>
              </w:rPr>
              <w:t>干式过滤+二级活性炭吸附装置</w:t>
            </w:r>
            <w:r>
              <w:rPr>
                <w:rFonts w:hint="eastAsia"/>
                <w:color w:val="auto"/>
                <w:sz w:val="21"/>
                <w:szCs w:val="21"/>
                <w:lang w:eastAsia="zh-CN"/>
              </w:rPr>
              <w:t>”（</w:t>
            </w:r>
            <w:r>
              <w:rPr>
                <w:rFonts w:hint="eastAsia"/>
                <w:color w:val="auto"/>
                <w:sz w:val="21"/>
                <w:szCs w:val="21"/>
                <w:lang w:val="en-US" w:eastAsia="zh-CN"/>
              </w:rPr>
              <w:t>风机风量10000m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w:t>
            </w:r>
            <w:r>
              <w:rPr>
                <w:color w:val="auto"/>
                <w:sz w:val="21"/>
                <w:szCs w:val="21"/>
              </w:rPr>
              <w:t>，处理达标后的废气通过一根22m高的排气筒（DA001）排放</w:t>
            </w:r>
          </w:p>
        </w:tc>
        <w:tc>
          <w:tcPr>
            <w:tcW w:w="2702" w:type="dxa"/>
            <w:vAlign w:val="center"/>
          </w:tcPr>
          <w:p w14:paraId="4D049E1C">
            <w:pPr>
              <w:adjustRightInd w:val="0"/>
              <w:snapToGrid w:val="0"/>
              <w:spacing w:line="240" w:lineRule="auto"/>
              <w:jc w:val="center"/>
              <w:rPr>
                <w:color w:val="auto"/>
                <w:sz w:val="21"/>
                <w:szCs w:val="21"/>
              </w:rPr>
            </w:pPr>
            <w:r>
              <w:rPr>
                <w:color w:val="auto"/>
                <w:sz w:val="21"/>
                <w:szCs w:val="21"/>
              </w:rPr>
              <w:t>《工业涂装工序挥发性有机物排放标准》（DB35/1783-2018）</w:t>
            </w:r>
            <w:r>
              <w:rPr>
                <w:rFonts w:hint="eastAsia"/>
                <w:color w:val="auto"/>
                <w:sz w:val="21"/>
                <w:szCs w:val="21"/>
              </w:rPr>
              <w:t>（非甲烷总烃≤7.18kg/h；乙酸乙酯与乙酸丁酯合计≤2.66kg/h；二甲苯≤1.6kg/h）</w:t>
            </w:r>
          </w:p>
        </w:tc>
      </w:tr>
      <w:tr w14:paraId="208E6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9" w:type="dxa"/>
            <w:vMerge w:val="continue"/>
            <w:vAlign w:val="center"/>
          </w:tcPr>
          <w:p w14:paraId="3C8BC068">
            <w:pPr>
              <w:adjustRightInd w:val="0"/>
              <w:snapToGrid w:val="0"/>
              <w:spacing w:line="340" w:lineRule="exact"/>
              <w:jc w:val="left"/>
              <w:rPr>
                <w:color w:val="auto"/>
                <w:sz w:val="21"/>
                <w:szCs w:val="21"/>
                <w:lang w:val="en-GB"/>
              </w:rPr>
            </w:pPr>
          </w:p>
        </w:tc>
        <w:tc>
          <w:tcPr>
            <w:tcW w:w="423" w:type="dxa"/>
            <w:vMerge w:val="continue"/>
            <w:vAlign w:val="center"/>
          </w:tcPr>
          <w:p w14:paraId="58613217">
            <w:pPr>
              <w:adjustRightInd w:val="0"/>
              <w:snapToGrid w:val="0"/>
              <w:spacing w:line="240" w:lineRule="auto"/>
              <w:jc w:val="center"/>
              <w:rPr>
                <w:color w:val="auto"/>
                <w:sz w:val="21"/>
                <w:szCs w:val="21"/>
              </w:rPr>
            </w:pPr>
          </w:p>
        </w:tc>
        <w:tc>
          <w:tcPr>
            <w:tcW w:w="1193" w:type="dxa"/>
            <w:vMerge w:val="continue"/>
            <w:vAlign w:val="center"/>
          </w:tcPr>
          <w:p w14:paraId="23CB942B">
            <w:pPr>
              <w:adjustRightInd w:val="0"/>
              <w:snapToGrid w:val="0"/>
              <w:spacing w:line="240" w:lineRule="auto"/>
              <w:jc w:val="center"/>
              <w:rPr>
                <w:color w:val="auto"/>
                <w:sz w:val="21"/>
                <w:szCs w:val="21"/>
              </w:rPr>
            </w:pPr>
          </w:p>
        </w:tc>
        <w:tc>
          <w:tcPr>
            <w:tcW w:w="1446" w:type="dxa"/>
            <w:vAlign w:val="center"/>
          </w:tcPr>
          <w:p w14:paraId="53FFFA1B">
            <w:pPr>
              <w:adjustRightInd w:val="0"/>
              <w:snapToGrid w:val="0"/>
              <w:spacing w:line="240" w:lineRule="auto"/>
              <w:jc w:val="center"/>
              <w:rPr>
                <w:color w:val="auto"/>
                <w:sz w:val="21"/>
                <w:szCs w:val="21"/>
              </w:rPr>
            </w:pPr>
            <w:r>
              <w:rPr>
                <w:rFonts w:hint="eastAsia"/>
                <w:color w:val="auto"/>
                <w:sz w:val="21"/>
                <w:szCs w:val="21"/>
              </w:rPr>
              <w:t>漆雾（颗粒物）</w:t>
            </w:r>
          </w:p>
        </w:tc>
        <w:tc>
          <w:tcPr>
            <w:tcW w:w="2122" w:type="dxa"/>
            <w:vMerge w:val="continue"/>
            <w:vAlign w:val="center"/>
          </w:tcPr>
          <w:p w14:paraId="1E2AB866">
            <w:pPr>
              <w:adjustRightInd w:val="0"/>
              <w:snapToGrid w:val="0"/>
              <w:spacing w:line="240" w:lineRule="auto"/>
              <w:jc w:val="center"/>
              <w:rPr>
                <w:color w:val="auto"/>
                <w:sz w:val="21"/>
                <w:szCs w:val="21"/>
              </w:rPr>
            </w:pPr>
          </w:p>
        </w:tc>
        <w:tc>
          <w:tcPr>
            <w:tcW w:w="2702" w:type="dxa"/>
            <w:vAlign w:val="center"/>
          </w:tcPr>
          <w:p w14:paraId="67F0EBAE">
            <w:pPr>
              <w:adjustRightInd w:val="0"/>
              <w:snapToGrid w:val="0"/>
              <w:spacing w:line="240" w:lineRule="auto"/>
              <w:jc w:val="center"/>
              <w:rPr>
                <w:color w:val="auto"/>
                <w:sz w:val="21"/>
                <w:szCs w:val="21"/>
              </w:rPr>
            </w:pPr>
            <w:r>
              <w:rPr>
                <w:color w:val="auto"/>
                <w:sz w:val="21"/>
                <w:szCs w:val="21"/>
              </w:rPr>
              <w:t>《大气污染物综合排放标准》（GB16297-1996）中表2二级标准</w:t>
            </w:r>
            <w:r>
              <w:rPr>
                <w:rFonts w:hint="eastAsia"/>
                <w:color w:val="auto"/>
                <w:sz w:val="21"/>
                <w:szCs w:val="21"/>
              </w:rPr>
              <w:t>（颗粒物≤120mg/m</w:t>
            </w:r>
            <w:r>
              <w:rPr>
                <w:rFonts w:hint="eastAsia"/>
                <w:color w:val="auto"/>
                <w:sz w:val="21"/>
                <w:szCs w:val="21"/>
                <w:vertAlign w:val="superscript"/>
              </w:rPr>
              <w:t>3</w:t>
            </w:r>
            <w:r>
              <w:rPr>
                <w:rFonts w:hint="eastAsia"/>
                <w:color w:val="auto"/>
                <w:sz w:val="21"/>
                <w:szCs w:val="21"/>
              </w:rPr>
              <w:t>、排放速率≤9.32kg/h）</w:t>
            </w:r>
          </w:p>
        </w:tc>
      </w:tr>
      <w:tr w14:paraId="3182F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9" w:type="dxa"/>
            <w:vMerge w:val="continue"/>
            <w:vAlign w:val="center"/>
          </w:tcPr>
          <w:p w14:paraId="1349A3DF">
            <w:pPr>
              <w:adjustRightInd w:val="0"/>
              <w:snapToGrid w:val="0"/>
              <w:spacing w:line="340" w:lineRule="exact"/>
              <w:jc w:val="left"/>
              <w:rPr>
                <w:color w:val="auto"/>
                <w:sz w:val="21"/>
                <w:szCs w:val="21"/>
                <w:lang w:val="en-GB"/>
              </w:rPr>
            </w:pPr>
          </w:p>
        </w:tc>
        <w:tc>
          <w:tcPr>
            <w:tcW w:w="423" w:type="dxa"/>
            <w:vMerge w:val="continue"/>
            <w:vAlign w:val="center"/>
          </w:tcPr>
          <w:p w14:paraId="0B2070EA">
            <w:pPr>
              <w:adjustRightInd w:val="0"/>
              <w:snapToGrid w:val="0"/>
              <w:spacing w:line="240" w:lineRule="auto"/>
              <w:jc w:val="center"/>
              <w:rPr>
                <w:color w:val="auto"/>
                <w:sz w:val="21"/>
                <w:szCs w:val="21"/>
              </w:rPr>
            </w:pPr>
          </w:p>
        </w:tc>
        <w:tc>
          <w:tcPr>
            <w:tcW w:w="1193" w:type="dxa"/>
            <w:vAlign w:val="center"/>
          </w:tcPr>
          <w:p w14:paraId="76987EBF">
            <w:pPr>
              <w:adjustRightInd w:val="0"/>
              <w:snapToGrid w:val="0"/>
              <w:spacing w:line="240" w:lineRule="auto"/>
              <w:jc w:val="center"/>
              <w:rPr>
                <w:color w:val="auto"/>
                <w:sz w:val="21"/>
                <w:szCs w:val="21"/>
              </w:rPr>
            </w:pPr>
            <w:r>
              <w:rPr>
                <w:color w:val="auto"/>
                <w:sz w:val="21"/>
                <w:szCs w:val="21"/>
              </w:rPr>
              <w:t>排放口（DA00</w:t>
            </w:r>
            <w:r>
              <w:rPr>
                <w:rFonts w:hint="eastAsia"/>
                <w:color w:val="auto"/>
                <w:sz w:val="21"/>
                <w:szCs w:val="21"/>
              </w:rPr>
              <w:t>2</w:t>
            </w:r>
            <w:r>
              <w:rPr>
                <w:color w:val="auto"/>
                <w:sz w:val="21"/>
                <w:szCs w:val="21"/>
              </w:rPr>
              <w:t>）</w:t>
            </w:r>
          </w:p>
        </w:tc>
        <w:tc>
          <w:tcPr>
            <w:tcW w:w="1446" w:type="dxa"/>
            <w:vAlign w:val="center"/>
          </w:tcPr>
          <w:p w14:paraId="53435900">
            <w:pPr>
              <w:adjustRightInd w:val="0"/>
              <w:snapToGrid w:val="0"/>
              <w:spacing w:line="240" w:lineRule="auto"/>
              <w:jc w:val="center"/>
              <w:rPr>
                <w:color w:val="auto"/>
                <w:sz w:val="21"/>
                <w:szCs w:val="21"/>
              </w:rPr>
            </w:pPr>
            <w:r>
              <w:rPr>
                <w:rFonts w:hint="eastAsia"/>
                <w:color w:val="auto"/>
                <w:sz w:val="21"/>
                <w:szCs w:val="21"/>
              </w:rPr>
              <w:t>颗粒物</w:t>
            </w:r>
          </w:p>
        </w:tc>
        <w:tc>
          <w:tcPr>
            <w:tcW w:w="2122" w:type="dxa"/>
            <w:vAlign w:val="center"/>
          </w:tcPr>
          <w:p w14:paraId="59BA3954">
            <w:pPr>
              <w:adjustRightInd w:val="0"/>
              <w:snapToGrid w:val="0"/>
              <w:spacing w:line="240" w:lineRule="auto"/>
              <w:jc w:val="center"/>
              <w:rPr>
                <w:color w:val="auto"/>
                <w:sz w:val="21"/>
                <w:szCs w:val="21"/>
              </w:rPr>
            </w:pPr>
            <w:r>
              <w:rPr>
                <w:rFonts w:hint="eastAsia"/>
                <w:bCs/>
                <w:color w:val="auto"/>
                <w:sz w:val="21"/>
                <w:szCs w:val="21"/>
              </w:rPr>
              <w:t>PVC板材、亚克力板材</w:t>
            </w:r>
            <w:r>
              <w:rPr>
                <w:color w:val="auto"/>
                <w:spacing w:val="-3"/>
                <w:sz w:val="21"/>
                <w:szCs w:val="21"/>
              </w:rPr>
              <w:t>雕刻</w:t>
            </w:r>
            <w:r>
              <w:rPr>
                <w:rFonts w:hint="eastAsia"/>
                <w:color w:val="auto"/>
                <w:spacing w:val="-3"/>
                <w:sz w:val="21"/>
                <w:szCs w:val="21"/>
              </w:rPr>
              <w:t>、切割</w:t>
            </w:r>
            <w:r>
              <w:rPr>
                <w:color w:val="auto"/>
                <w:spacing w:val="-3"/>
                <w:sz w:val="21"/>
                <w:szCs w:val="21"/>
              </w:rPr>
              <w:t>粉尘</w:t>
            </w:r>
            <w:r>
              <w:rPr>
                <w:rFonts w:hint="eastAsia"/>
                <w:color w:val="auto"/>
                <w:spacing w:val="-3"/>
                <w:sz w:val="21"/>
                <w:szCs w:val="21"/>
                <w:lang w:eastAsia="zh-CN"/>
              </w:rPr>
              <w:t>，</w:t>
            </w:r>
            <w:r>
              <w:rPr>
                <w:rFonts w:hint="eastAsia"/>
                <w:color w:val="auto"/>
                <w:spacing w:val="-3"/>
                <w:sz w:val="21"/>
                <w:szCs w:val="21"/>
                <w:lang w:val="en-US" w:eastAsia="zh-CN"/>
              </w:rPr>
              <w:t>金属板材切割粉尘</w:t>
            </w:r>
            <w:r>
              <w:rPr>
                <w:color w:val="auto"/>
                <w:spacing w:val="-3"/>
                <w:sz w:val="21"/>
                <w:szCs w:val="21"/>
              </w:rPr>
              <w:t>经</w:t>
            </w:r>
            <w:r>
              <w:rPr>
                <w:rFonts w:hint="eastAsia"/>
                <w:color w:val="auto"/>
                <w:spacing w:val="-3"/>
                <w:sz w:val="21"/>
                <w:szCs w:val="21"/>
              </w:rPr>
              <w:t>集气罩收集，由布袋除尘器</w:t>
            </w:r>
            <w:r>
              <w:rPr>
                <w:rFonts w:hint="eastAsia"/>
                <w:color w:val="auto"/>
                <w:sz w:val="21"/>
                <w:szCs w:val="21"/>
                <w:lang w:eastAsia="zh-CN"/>
              </w:rPr>
              <w:t>（</w:t>
            </w:r>
            <w:r>
              <w:rPr>
                <w:rFonts w:hint="eastAsia"/>
                <w:color w:val="auto"/>
                <w:sz w:val="21"/>
                <w:szCs w:val="21"/>
                <w:lang w:val="en-US" w:eastAsia="zh-CN"/>
              </w:rPr>
              <w:t>风机风量10000m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pacing w:val="-3"/>
                <w:sz w:val="21"/>
                <w:szCs w:val="21"/>
              </w:rPr>
              <w:t>处理后通过22m排气筒（DA002）达标排放</w:t>
            </w:r>
          </w:p>
        </w:tc>
        <w:tc>
          <w:tcPr>
            <w:tcW w:w="2702" w:type="dxa"/>
            <w:vAlign w:val="center"/>
          </w:tcPr>
          <w:p w14:paraId="58362DAC">
            <w:pPr>
              <w:adjustRightInd w:val="0"/>
              <w:snapToGrid w:val="0"/>
              <w:spacing w:line="240" w:lineRule="auto"/>
              <w:jc w:val="center"/>
              <w:rPr>
                <w:color w:val="auto"/>
                <w:sz w:val="21"/>
                <w:szCs w:val="21"/>
              </w:rPr>
            </w:pPr>
            <w:r>
              <w:rPr>
                <w:color w:val="auto"/>
                <w:sz w:val="21"/>
                <w:szCs w:val="21"/>
              </w:rPr>
              <w:t>《大气污染物综合排放标准》（GB16297-1996）中表2二级标准</w:t>
            </w:r>
            <w:r>
              <w:rPr>
                <w:rFonts w:hint="eastAsia"/>
                <w:color w:val="auto"/>
                <w:sz w:val="21"/>
                <w:szCs w:val="21"/>
              </w:rPr>
              <w:t>（颗粒物≤120mg/m</w:t>
            </w:r>
            <w:r>
              <w:rPr>
                <w:rFonts w:hint="eastAsia"/>
                <w:color w:val="auto"/>
                <w:sz w:val="21"/>
                <w:szCs w:val="21"/>
                <w:vertAlign w:val="superscript"/>
              </w:rPr>
              <w:t>3</w:t>
            </w:r>
            <w:r>
              <w:rPr>
                <w:rFonts w:hint="eastAsia"/>
                <w:color w:val="auto"/>
                <w:sz w:val="21"/>
                <w:szCs w:val="21"/>
              </w:rPr>
              <w:t>、排放速率≤9.32kg/h）</w:t>
            </w:r>
          </w:p>
        </w:tc>
      </w:tr>
      <w:tr w14:paraId="2987A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39" w:type="dxa"/>
            <w:vMerge w:val="continue"/>
            <w:vAlign w:val="center"/>
          </w:tcPr>
          <w:p w14:paraId="0858FA31">
            <w:pPr>
              <w:adjustRightInd w:val="0"/>
              <w:snapToGrid w:val="0"/>
              <w:spacing w:line="340" w:lineRule="exact"/>
              <w:jc w:val="left"/>
              <w:rPr>
                <w:color w:val="auto"/>
                <w:sz w:val="21"/>
                <w:szCs w:val="21"/>
                <w:lang w:val="en-GB"/>
              </w:rPr>
            </w:pPr>
          </w:p>
        </w:tc>
        <w:tc>
          <w:tcPr>
            <w:tcW w:w="423" w:type="dxa"/>
            <w:vMerge w:val="restart"/>
            <w:vAlign w:val="center"/>
          </w:tcPr>
          <w:p w14:paraId="5882D4E2">
            <w:pPr>
              <w:adjustRightInd w:val="0"/>
              <w:snapToGrid w:val="0"/>
              <w:spacing w:line="240" w:lineRule="auto"/>
              <w:jc w:val="center"/>
              <w:rPr>
                <w:color w:val="auto"/>
                <w:sz w:val="21"/>
                <w:szCs w:val="21"/>
              </w:rPr>
            </w:pPr>
            <w:r>
              <w:rPr>
                <w:rFonts w:hint="eastAsia"/>
                <w:color w:val="auto"/>
                <w:sz w:val="21"/>
                <w:szCs w:val="21"/>
              </w:rPr>
              <w:t>无组织</w:t>
            </w:r>
          </w:p>
        </w:tc>
        <w:tc>
          <w:tcPr>
            <w:tcW w:w="1193" w:type="dxa"/>
            <w:vAlign w:val="center"/>
          </w:tcPr>
          <w:p w14:paraId="2E2DCCF3">
            <w:pPr>
              <w:adjustRightInd w:val="0"/>
              <w:snapToGrid w:val="0"/>
              <w:spacing w:line="240" w:lineRule="auto"/>
              <w:jc w:val="center"/>
              <w:rPr>
                <w:color w:val="auto"/>
                <w:sz w:val="21"/>
                <w:szCs w:val="21"/>
              </w:rPr>
            </w:pPr>
            <w:r>
              <w:rPr>
                <w:rFonts w:hint="eastAsia"/>
                <w:color w:val="auto"/>
                <w:sz w:val="21"/>
                <w:szCs w:val="21"/>
              </w:rPr>
              <w:t>焊接烟尘</w:t>
            </w:r>
          </w:p>
        </w:tc>
        <w:tc>
          <w:tcPr>
            <w:tcW w:w="1446" w:type="dxa"/>
            <w:vAlign w:val="center"/>
          </w:tcPr>
          <w:p w14:paraId="2E1C60DE">
            <w:pPr>
              <w:pStyle w:val="40"/>
              <w:rPr>
                <w:color w:val="auto"/>
                <w:sz w:val="21"/>
                <w:szCs w:val="21"/>
              </w:rPr>
            </w:pPr>
            <w:r>
              <w:rPr>
                <w:rFonts w:hint="eastAsia"/>
                <w:color w:val="auto"/>
                <w:sz w:val="21"/>
                <w:szCs w:val="21"/>
              </w:rPr>
              <w:t>颗粒物</w:t>
            </w:r>
          </w:p>
        </w:tc>
        <w:tc>
          <w:tcPr>
            <w:tcW w:w="2122" w:type="dxa"/>
            <w:vMerge w:val="restart"/>
            <w:vAlign w:val="center"/>
          </w:tcPr>
          <w:p w14:paraId="11BCEF48">
            <w:pPr>
              <w:pStyle w:val="40"/>
              <w:rPr>
                <w:color w:val="auto"/>
                <w:sz w:val="21"/>
                <w:szCs w:val="21"/>
              </w:rPr>
            </w:pPr>
            <w:r>
              <w:rPr>
                <w:rFonts w:hint="eastAsia"/>
                <w:color w:val="auto"/>
                <w:sz w:val="21"/>
                <w:szCs w:val="21"/>
              </w:rPr>
              <w:t>车间密闭，减少对外界大气环境造成影响</w:t>
            </w:r>
          </w:p>
        </w:tc>
        <w:tc>
          <w:tcPr>
            <w:tcW w:w="2702" w:type="dxa"/>
            <w:vMerge w:val="restart"/>
            <w:vAlign w:val="center"/>
          </w:tcPr>
          <w:p w14:paraId="18344D57">
            <w:pPr>
              <w:pStyle w:val="40"/>
              <w:rPr>
                <w:color w:val="auto"/>
                <w:sz w:val="21"/>
                <w:szCs w:val="21"/>
              </w:rPr>
            </w:pPr>
            <w:r>
              <w:rPr>
                <w:color w:val="auto"/>
                <w:sz w:val="21"/>
                <w:szCs w:val="21"/>
              </w:rPr>
              <w:t>《大气污染物综合排放标准》（GB16297-1996）中表2无组织排放监控浓度限值</w:t>
            </w:r>
            <w:r>
              <w:rPr>
                <w:rFonts w:hint="eastAsia"/>
                <w:color w:val="auto"/>
                <w:sz w:val="21"/>
                <w:szCs w:val="21"/>
              </w:rPr>
              <w:t>颗粒物≤1.0mg/m</w:t>
            </w:r>
            <w:r>
              <w:rPr>
                <w:rFonts w:hint="eastAsia"/>
                <w:color w:val="auto"/>
                <w:sz w:val="21"/>
                <w:szCs w:val="21"/>
                <w:vertAlign w:val="superscript"/>
              </w:rPr>
              <w:t>3</w:t>
            </w:r>
            <w:r>
              <w:rPr>
                <w:rFonts w:hint="eastAsia"/>
                <w:color w:val="auto"/>
                <w:sz w:val="21"/>
                <w:szCs w:val="21"/>
              </w:rPr>
              <w:t>）</w:t>
            </w:r>
          </w:p>
        </w:tc>
      </w:tr>
      <w:tr w14:paraId="4154A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39" w:type="dxa"/>
            <w:vMerge w:val="continue"/>
            <w:vAlign w:val="center"/>
          </w:tcPr>
          <w:p w14:paraId="553342E1">
            <w:pPr>
              <w:adjustRightInd w:val="0"/>
              <w:snapToGrid w:val="0"/>
              <w:spacing w:line="340" w:lineRule="exact"/>
              <w:jc w:val="left"/>
              <w:rPr>
                <w:color w:val="auto"/>
                <w:sz w:val="21"/>
                <w:szCs w:val="21"/>
                <w:lang w:val="en-GB"/>
              </w:rPr>
            </w:pPr>
          </w:p>
        </w:tc>
        <w:tc>
          <w:tcPr>
            <w:tcW w:w="423" w:type="dxa"/>
            <w:vMerge w:val="continue"/>
            <w:vAlign w:val="center"/>
          </w:tcPr>
          <w:p w14:paraId="2A9995D8">
            <w:pPr>
              <w:adjustRightInd w:val="0"/>
              <w:snapToGrid w:val="0"/>
              <w:spacing w:line="240" w:lineRule="auto"/>
              <w:jc w:val="center"/>
              <w:rPr>
                <w:color w:val="auto"/>
                <w:sz w:val="21"/>
                <w:szCs w:val="21"/>
              </w:rPr>
            </w:pPr>
          </w:p>
        </w:tc>
        <w:tc>
          <w:tcPr>
            <w:tcW w:w="1193" w:type="dxa"/>
            <w:vAlign w:val="center"/>
          </w:tcPr>
          <w:p w14:paraId="61164CB8">
            <w:pPr>
              <w:adjustRightInd w:val="0"/>
              <w:snapToGrid w:val="0"/>
              <w:spacing w:line="240" w:lineRule="auto"/>
              <w:jc w:val="center"/>
              <w:rPr>
                <w:color w:val="auto"/>
                <w:sz w:val="21"/>
                <w:szCs w:val="21"/>
              </w:rPr>
            </w:pPr>
            <w:r>
              <w:rPr>
                <w:rFonts w:hint="eastAsia"/>
                <w:color w:val="auto"/>
                <w:sz w:val="21"/>
                <w:szCs w:val="21"/>
              </w:rPr>
              <w:t>布袋除尘</w:t>
            </w:r>
          </w:p>
        </w:tc>
        <w:tc>
          <w:tcPr>
            <w:tcW w:w="1446" w:type="dxa"/>
            <w:vAlign w:val="center"/>
          </w:tcPr>
          <w:p w14:paraId="2F8A1319">
            <w:pPr>
              <w:pStyle w:val="40"/>
              <w:rPr>
                <w:color w:val="auto"/>
                <w:sz w:val="21"/>
                <w:szCs w:val="21"/>
              </w:rPr>
            </w:pPr>
            <w:r>
              <w:rPr>
                <w:rFonts w:hint="eastAsia"/>
                <w:color w:val="auto"/>
                <w:sz w:val="21"/>
                <w:szCs w:val="21"/>
              </w:rPr>
              <w:t>颗粒物</w:t>
            </w:r>
          </w:p>
        </w:tc>
        <w:tc>
          <w:tcPr>
            <w:tcW w:w="2122" w:type="dxa"/>
            <w:vMerge w:val="continue"/>
            <w:vAlign w:val="center"/>
          </w:tcPr>
          <w:p w14:paraId="5F0B8145">
            <w:pPr>
              <w:pStyle w:val="40"/>
              <w:rPr>
                <w:color w:val="auto"/>
                <w:sz w:val="21"/>
                <w:szCs w:val="21"/>
              </w:rPr>
            </w:pPr>
          </w:p>
        </w:tc>
        <w:tc>
          <w:tcPr>
            <w:tcW w:w="2702" w:type="dxa"/>
            <w:vMerge w:val="continue"/>
            <w:vAlign w:val="center"/>
          </w:tcPr>
          <w:p w14:paraId="576B1014">
            <w:pPr>
              <w:pStyle w:val="40"/>
              <w:rPr>
                <w:color w:val="auto"/>
                <w:sz w:val="21"/>
                <w:szCs w:val="21"/>
              </w:rPr>
            </w:pPr>
          </w:p>
        </w:tc>
      </w:tr>
      <w:tr w14:paraId="0910D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39" w:type="dxa"/>
            <w:vMerge w:val="continue"/>
            <w:vAlign w:val="center"/>
          </w:tcPr>
          <w:p w14:paraId="6838BEDB">
            <w:pPr>
              <w:adjustRightInd w:val="0"/>
              <w:snapToGrid w:val="0"/>
              <w:spacing w:line="340" w:lineRule="exact"/>
              <w:jc w:val="left"/>
              <w:rPr>
                <w:color w:val="auto"/>
                <w:sz w:val="21"/>
                <w:szCs w:val="21"/>
                <w:lang w:val="en-GB"/>
              </w:rPr>
            </w:pPr>
          </w:p>
        </w:tc>
        <w:tc>
          <w:tcPr>
            <w:tcW w:w="423" w:type="dxa"/>
            <w:vMerge w:val="continue"/>
            <w:vAlign w:val="center"/>
          </w:tcPr>
          <w:p w14:paraId="63FED702">
            <w:pPr>
              <w:adjustRightInd w:val="0"/>
              <w:snapToGrid w:val="0"/>
              <w:spacing w:line="240" w:lineRule="auto"/>
              <w:jc w:val="center"/>
              <w:rPr>
                <w:color w:val="auto"/>
                <w:sz w:val="21"/>
                <w:szCs w:val="21"/>
              </w:rPr>
            </w:pPr>
          </w:p>
        </w:tc>
        <w:tc>
          <w:tcPr>
            <w:tcW w:w="1193" w:type="dxa"/>
            <w:vMerge w:val="restart"/>
            <w:vAlign w:val="center"/>
          </w:tcPr>
          <w:p w14:paraId="428B66CE">
            <w:pPr>
              <w:pStyle w:val="40"/>
              <w:rPr>
                <w:color w:val="auto"/>
                <w:sz w:val="21"/>
                <w:szCs w:val="21"/>
              </w:rPr>
            </w:pPr>
            <w:r>
              <w:rPr>
                <w:rFonts w:hint="eastAsia"/>
                <w:color w:val="auto"/>
                <w:sz w:val="21"/>
                <w:szCs w:val="21"/>
              </w:rPr>
              <w:t>厂界/生产车间</w:t>
            </w:r>
          </w:p>
          <w:p w14:paraId="78F3C912">
            <w:pPr>
              <w:adjustRightInd w:val="0"/>
              <w:snapToGrid w:val="0"/>
              <w:spacing w:line="240" w:lineRule="auto"/>
              <w:jc w:val="center"/>
              <w:rPr>
                <w:color w:val="auto"/>
                <w:sz w:val="21"/>
                <w:szCs w:val="21"/>
              </w:rPr>
            </w:pPr>
          </w:p>
        </w:tc>
        <w:tc>
          <w:tcPr>
            <w:tcW w:w="1446" w:type="dxa"/>
            <w:vAlign w:val="center"/>
          </w:tcPr>
          <w:p w14:paraId="3B75A862">
            <w:pPr>
              <w:pStyle w:val="40"/>
              <w:rPr>
                <w:color w:val="auto"/>
                <w:sz w:val="21"/>
                <w:szCs w:val="21"/>
              </w:rPr>
            </w:pPr>
            <w:r>
              <w:rPr>
                <w:rFonts w:hint="eastAsia"/>
                <w:color w:val="auto"/>
                <w:sz w:val="21"/>
                <w:szCs w:val="21"/>
              </w:rPr>
              <w:t>非甲烷总烃</w:t>
            </w:r>
          </w:p>
        </w:tc>
        <w:tc>
          <w:tcPr>
            <w:tcW w:w="2122" w:type="dxa"/>
            <w:vMerge w:val="continue"/>
            <w:vAlign w:val="center"/>
          </w:tcPr>
          <w:p w14:paraId="2BC9805C">
            <w:pPr>
              <w:pStyle w:val="40"/>
              <w:rPr>
                <w:color w:val="auto"/>
                <w:sz w:val="21"/>
                <w:szCs w:val="21"/>
              </w:rPr>
            </w:pPr>
          </w:p>
        </w:tc>
        <w:tc>
          <w:tcPr>
            <w:tcW w:w="2702" w:type="dxa"/>
            <w:vMerge w:val="restart"/>
            <w:vAlign w:val="center"/>
          </w:tcPr>
          <w:p w14:paraId="6C4E0B35">
            <w:pPr>
              <w:pStyle w:val="40"/>
              <w:rPr>
                <w:color w:val="auto"/>
                <w:sz w:val="21"/>
                <w:szCs w:val="21"/>
              </w:rPr>
            </w:pPr>
            <w:r>
              <w:rPr>
                <w:color w:val="auto"/>
                <w:sz w:val="21"/>
                <w:szCs w:val="21"/>
              </w:rPr>
              <w:t>《工业涂装工序挥发性有机物排放标准》（DB35/1783-2018）表4限值</w:t>
            </w:r>
            <w:r>
              <w:rPr>
                <w:rFonts w:hint="eastAsia"/>
                <w:color w:val="auto"/>
                <w:sz w:val="21"/>
                <w:szCs w:val="21"/>
              </w:rPr>
              <w:t>企业边界监控点浓度限值（非甲烷总烃≤2.0mg/m</w:t>
            </w:r>
            <w:r>
              <w:rPr>
                <w:rFonts w:hint="eastAsia"/>
                <w:color w:val="auto"/>
                <w:sz w:val="21"/>
                <w:szCs w:val="21"/>
                <w:vertAlign w:val="superscript"/>
              </w:rPr>
              <w:t>3</w:t>
            </w:r>
            <w:r>
              <w:rPr>
                <w:rFonts w:hint="eastAsia"/>
                <w:color w:val="auto"/>
                <w:sz w:val="21"/>
                <w:szCs w:val="21"/>
              </w:rPr>
              <w:t>；二甲苯≤0.2mg/m</w:t>
            </w:r>
            <w:r>
              <w:rPr>
                <w:rFonts w:hint="eastAsia"/>
                <w:color w:val="auto"/>
                <w:sz w:val="21"/>
                <w:szCs w:val="21"/>
                <w:vertAlign w:val="superscript"/>
              </w:rPr>
              <w:t>3</w:t>
            </w:r>
            <w:r>
              <w:rPr>
                <w:rFonts w:hint="eastAsia"/>
                <w:color w:val="auto"/>
                <w:sz w:val="21"/>
                <w:szCs w:val="21"/>
              </w:rPr>
              <w:t>；乙酸乙酯≤1.0mg/m</w:t>
            </w:r>
            <w:r>
              <w:rPr>
                <w:rFonts w:hint="eastAsia"/>
                <w:color w:val="auto"/>
                <w:sz w:val="21"/>
                <w:szCs w:val="21"/>
                <w:vertAlign w:val="superscript"/>
              </w:rPr>
              <w:t>3</w:t>
            </w:r>
            <w:r>
              <w:rPr>
                <w:rFonts w:hint="eastAsia"/>
                <w:color w:val="auto"/>
                <w:sz w:val="21"/>
                <w:szCs w:val="21"/>
              </w:rPr>
              <w:t>）</w:t>
            </w:r>
          </w:p>
        </w:tc>
      </w:tr>
      <w:tr w14:paraId="235FE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39" w:type="dxa"/>
            <w:vMerge w:val="continue"/>
            <w:vAlign w:val="center"/>
          </w:tcPr>
          <w:p w14:paraId="66E8ECA6">
            <w:pPr>
              <w:pStyle w:val="40"/>
              <w:rPr>
                <w:color w:val="auto"/>
              </w:rPr>
            </w:pPr>
          </w:p>
        </w:tc>
        <w:tc>
          <w:tcPr>
            <w:tcW w:w="423" w:type="dxa"/>
            <w:vMerge w:val="continue"/>
            <w:vAlign w:val="center"/>
          </w:tcPr>
          <w:p w14:paraId="10CB92B2">
            <w:pPr>
              <w:pStyle w:val="40"/>
              <w:rPr>
                <w:color w:val="auto"/>
              </w:rPr>
            </w:pPr>
          </w:p>
        </w:tc>
        <w:tc>
          <w:tcPr>
            <w:tcW w:w="1193" w:type="dxa"/>
            <w:vMerge w:val="continue"/>
            <w:vAlign w:val="center"/>
          </w:tcPr>
          <w:p w14:paraId="6CC769D6">
            <w:pPr>
              <w:pStyle w:val="40"/>
              <w:rPr>
                <w:color w:val="auto"/>
              </w:rPr>
            </w:pPr>
          </w:p>
        </w:tc>
        <w:tc>
          <w:tcPr>
            <w:tcW w:w="1446" w:type="dxa"/>
            <w:vAlign w:val="center"/>
          </w:tcPr>
          <w:p w14:paraId="39343945">
            <w:pPr>
              <w:pStyle w:val="40"/>
              <w:rPr>
                <w:color w:val="auto"/>
                <w:sz w:val="21"/>
                <w:szCs w:val="21"/>
              </w:rPr>
            </w:pPr>
            <w:r>
              <w:rPr>
                <w:rFonts w:hint="eastAsia"/>
                <w:color w:val="auto"/>
                <w:sz w:val="21"/>
                <w:szCs w:val="21"/>
              </w:rPr>
              <w:t>二甲苯</w:t>
            </w:r>
          </w:p>
        </w:tc>
        <w:tc>
          <w:tcPr>
            <w:tcW w:w="2122" w:type="dxa"/>
            <w:vMerge w:val="continue"/>
            <w:vAlign w:val="center"/>
          </w:tcPr>
          <w:p w14:paraId="2385CFBB">
            <w:pPr>
              <w:pStyle w:val="40"/>
              <w:rPr>
                <w:color w:val="auto"/>
                <w:sz w:val="21"/>
                <w:szCs w:val="21"/>
              </w:rPr>
            </w:pPr>
          </w:p>
        </w:tc>
        <w:tc>
          <w:tcPr>
            <w:tcW w:w="2702" w:type="dxa"/>
            <w:vMerge w:val="continue"/>
            <w:vAlign w:val="center"/>
          </w:tcPr>
          <w:p w14:paraId="5F7EED3B">
            <w:pPr>
              <w:pStyle w:val="40"/>
              <w:rPr>
                <w:color w:val="auto"/>
                <w:sz w:val="21"/>
                <w:szCs w:val="21"/>
              </w:rPr>
            </w:pPr>
          </w:p>
        </w:tc>
      </w:tr>
      <w:tr w14:paraId="07D4E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39" w:type="dxa"/>
            <w:vMerge w:val="continue"/>
            <w:vAlign w:val="center"/>
          </w:tcPr>
          <w:p w14:paraId="31633D1D">
            <w:pPr>
              <w:pStyle w:val="40"/>
              <w:rPr>
                <w:color w:val="auto"/>
                <w:sz w:val="21"/>
                <w:szCs w:val="21"/>
              </w:rPr>
            </w:pPr>
          </w:p>
        </w:tc>
        <w:tc>
          <w:tcPr>
            <w:tcW w:w="423" w:type="dxa"/>
            <w:vMerge w:val="continue"/>
            <w:vAlign w:val="center"/>
          </w:tcPr>
          <w:p w14:paraId="472C53E2">
            <w:pPr>
              <w:pStyle w:val="40"/>
              <w:rPr>
                <w:color w:val="auto"/>
                <w:sz w:val="21"/>
                <w:szCs w:val="21"/>
              </w:rPr>
            </w:pPr>
          </w:p>
        </w:tc>
        <w:tc>
          <w:tcPr>
            <w:tcW w:w="1193" w:type="dxa"/>
            <w:vMerge w:val="continue"/>
            <w:vAlign w:val="center"/>
          </w:tcPr>
          <w:p w14:paraId="0A9AD07C">
            <w:pPr>
              <w:pStyle w:val="40"/>
              <w:rPr>
                <w:color w:val="auto"/>
                <w:sz w:val="21"/>
                <w:szCs w:val="21"/>
              </w:rPr>
            </w:pPr>
          </w:p>
        </w:tc>
        <w:tc>
          <w:tcPr>
            <w:tcW w:w="1446" w:type="dxa"/>
            <w:vAlign w:val="center"/>
          </w:tcPr>
          <w:p w14:paraId="703CCE2E">
            <w:pPr>
              <w:pStyle w:val="40"/>
              <w:rPr>
                <w:color w:val="auto"/>
                <w:sz w:val="21"/>
                <w:szCs w:val="21"/>
              </w:rPr>
            </w:pPr>
            <w:r>
              <w:rPr>
                <w:color w:val="auto"/>
                <w:sz w:val="21"/>
                <w:szCs w:val="21"/>
              </w:rPr>
              <w:t>乙酸乙酯与乙酸丁酯合计</w:t>
            </w:r>
          </w:p>
        </w:tc>
        <w:tc>
          <w:tcPr>
            <w:tcW w:w="2122" w:type="dxa"/>
            <w:vMerge w:val="continue"/>
            <w:vAlign w:val="center"/>
          </w:tcPr>
          <w:p w14:paraId="67BEB032">
            <w:pPr>
              <w:pStyle w:val="40"/>
              <w:rPr>
                <w:color w:val="auto"/>
                <w:sz w:val="21"/>
                <w:szCs w:val="21"/>
              </w:rPr>
            </w:pPr>
          </w:p>
        </w:tc>
        <w:tc>
          <w:tcPr>
            <w:tcW w:w="2702" w:type="dxa"/>
            <w:vMerge w:val="continue"/>
            <w:vAlign w:val="center"/>
          </w:tcPr>
          <w:p w14:paraId="197A672D">
            <w:pPr>
              <w:pStyle w:val="40"/>
              <w:rPr>
                <w:color w:val="auto"/>
                <w:sz w:val="21"/>
                <w:szCs w:val="21"/>
              </w:rPr>
            </w:pPr>
          </w:p>
        </w:tc>
      </w:tr>
      <w:tr w14:paraId="3B8E2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1139" w:type="dxa"/>
            <w:vMerge w:val="continue"/>
            <w:vAlign w:val="center"/>
          </w:tcPr>
          <w:p w14:paraId="0E2AE52E">
            <w:pPr>
              <w:adjustRightInd w:val="0"/>
              <w:snapToGrid w:val="0"/>
              <w:spacing w:line="340" w:lineRule="exact"/>
              <w:jc w:val="left"/>
              <w:rPr>
                <w:color w:val="auto"/>
                <w:sz w:val="21"/>
                <w:szCs w:val="21"/>
                <w:lang w:val="en-GB"/>
              </w:rPr>
            </w:pPr>
          </w:p>
        </w:tc>
        <w:tc>
          <w:tcPr>
            <w:tcW w:w="423" w:type="dxa"/>
            <w:vMerge w:val="continue"/>
            <w:vAlign w:val="center"/>
          </w:tcPr>
          <w:p w14:paraId="1EA6BFF9">
            <w:pPr>
              <w:adjustRightInd w:val="0"/>
              <w:snapToGrid w:val="0"/>
              <w:spacing w:line="240" w:lineRule="auto"/>
              <w:jc w:val="center"/>
              <w:rPr>
                <w:color w:val="auto"/>
                <w:sz w:val="21"/>
                <w:szCs w:val="21"/>
              </w:rPr>
            </w:pPr>
          </w:p>
        </w:tc>
        <w:tc>
          <w:tcPr>
            <w:tcW w:w="1193" w:type="dxa"/>
            <w:vAlign w:val="center"/>
          </w:tcPr>
          <w:p w14:paraId="7E1F7803">
            <w:pPr>
              <w:pStyle w:val="40"/>
              <w:rPr>
                <w:color w:val="auto"/>
                <w:sz w:val="21"/>
                <w:szCs w:val="21"/>
              </w:rPr>
            </w:pPr>
            <w:r>
              <w:rPr>
                <w:rFonts w:hint="eastAsia"/>
                <w:color w:val="auto"/>
                <w:sz w:val="21"/>
                <w:szCs w:val="21"/>
              </w:rPr>
              <w:t>厂区内/生产车间</w:t>
            </w:r>
          </w:p>
        </w:tc>
        <w:tc>
          <w:tcPr>
            <w:tcW w:w="1446" w:type="dxa"/>
            <w:vAlign w:val="center"/>
          </w:tcPr>
          <w:p w14:paraId="184C1303">
            <w:pPr>
              <w:pStyle w:val="40"/>
              <w:rPr>
                <w:color w:val="auto"/>
                <w:sz w:val="21"/>
                <w:szCs w:val="21"/>
              </w:rPr>
            </w:pPr>
            <w:r>
              <w:rPr>
                <w:rFonts w:hint="eastAsia"/>
                <w:color w:val="auto"/>
                <w:sz w:val="21"/>
                <w:szCs w:val="21"/>
              </w:rPr>
              <w:t>VOCs（以非甲烷总烃计）</w:t>
            </w:r>
          </w:p>
        </w:tc>
        <w:tc>
          <w:tcPr>
            <w:tcW w:w="2122" w:type="dxa"/>
            <w:vMerge w:val="continue"/>
            <w:vAlign w:val="center"/>
          </w:tcPr>
          <w:p w14:paraId="398220BF">
            <w:pPr>
              <w:pStyle w:val="40"/>
              <w:rPr>
                <w:color w:val="auto"/>
                <w:sz w:val="21"/>
                <w:szCs w:val="21"/>
              </w:rPr>
            </w:pPr>
          </w:p>
        </w:tc>
        <w:tc>
          <w:tcPr>
            <w:tcW w:w="2702" w:type="dxa"/>
            <w:vAlign w:val="center"/>
          </w:tcPr>
          <w:p w14:paraId="502F243D">
            <w:pPr>
              <w:pStyle w:val="40"/>
              <w:rPr>
                <w:color w:val="auto"/>
                <w:sz w:val="21"/>
                <w:szCs w:val="21"/>
              </w:rPr>
            </w:pPr>
            <w:r>
              <w:rPr>
                <w:rFonts w:hint="eastAsia"/>
                <w:color w:val="auto"/>
                <w:sz w:val="21"/>
                <w:szCs w:val="21"/>
              </w:rPr>
              <w:t>《挥发性有机物无组织排放控制标准》（GB37822-2019）中附录A表A.1无组织排放限值，监控点处1h平均浓度值≤10mg/m</w:t>
            </w:r>
            <w:r>
              <w:rPr>
                <w:rFonts w:hint="eastAsia"/>
                <w:color w:val="auto"/>
                <w:sz w:val="21"/>
                <w:szCs w:val="21"/>
                <w:vertAlign w:val="superscript"/>
              </w:rPr>
              <w:t>3</w:t>
            </w:r>
            <w:r>
              <w:rPr>
                <w:rFonts w:hint="eastAsia"/>
                <w:color w:val="auto"/>
                <w:sz w:val="21"/>
                <w:szCs w:val="21"/>
              </w:rPr>
              <w:t>；</w:t>
            </w:r>
            <w:r>
              <w:rPr>
                <w:color w:val="auto"/>
                <w:sz w:val="21"/>
              </w:rPr>
              <w:t>《工业涂装工序挥发性有机物排放标准》（DB35/1783-2018）表3</w:t>
            </w:r>
            <w:r>
              <w:rPr>
                <w:rFonts w:hint="eastAsia"/>
                <w:color w:val="auto"/>
                <w:sz w:val="21"/>
              </w:rPr>
              <w:t>厂区内监控点浓度限值，</w:t>
            </w:r>
            <w:r>
              <w:rPr>
                <w:rFonts w:hint="eastAsia"/>
                <w:color w:val="auto"/>
                <w:sz w:val="21"/>
                <w:szCs w:val="21"/>
              </w:rPr>
              <w:t>非甲烷总烃≤8.0mg/m</w:t>
            </w:r>
            <w:r>
              <w:rPr>
                <w:rFonts w:hint="eastAsia"/>
                <w:color w:val="auto"/>
                <w:sz w:val="21"/>
                <w:szCs w:val="21"/>
                <w:vertAlign w:val="superscript"/>
              </w:rPr>
              <w:t>3</w:t>
            </w:r>
          </w:p>
        </w:tc>
      </w:tr>
      <w:tr w14:paraId="6174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5723FB57">
            <w:pPr>
              <w:adjustRightInd w:val="0"/>
              <w:snapToGrid w:val="0"/>
              <w:spacing w:line="240" w:lineRule="auto"/>
              <w:jc w:val="center"/>
              <w:rPr>
                <w:color w:val="auto"/>
                <w:sz w:val="21"/>
                <w:szCs w:val="21"/>
                <w:lang w:val="en-GB"/>
              </w:rPr>
            </w:pPr>
            <w:r>
              <w:rPr>
                <w:color w:val="auto"/>
                <w:sz w:val="21"/>
                <w:szCs w:val="21"/>
                <w:lang w:val="en-GB"/>
              </w:rPr>
              <w:t>地表水</w:t>
            </w:r>
          </w:p>
          <w:p w14:paraId="1A6E178B">
            <w:pPr>
              <w:adjustRightInd w:val="0"/>
              <w:snapToGrid w:val="0"/>
              <w:spacing w:line="240" w:lineRule="auto"/>
              <w:jc w:val="center"/>
              <w:rPr>
                <w:color w:val="auto"/>
                <w:sz w:val="21"/>
                <w:szCs w:val="21"/>
                <w:lang w:val="en-GB"/>
              </w:rPr>
            </w:pPr>
            <w:r>
              <w:rPr>
                <w:color w:val="auto"/>
                <w:sz w:val="21"/>
                <w:szCs w:val="21"/>
                <w:lang w:val="en-GB"/>
              </w:rPr>
              <w:t>环境</w:t>
            </w:r>
          </w:p>
        </w:tc>
        <w:tc>
          <w:tcPr>
            <w:tcW w:w="1616" w:type="dxa"/>
            <w:gridSpan w:val="2"/>
            <w:vAlign w:val="center"/>
          </w:tcPr>
          <w:p w14:paraId="0C89E84C">
            <w:pPr>
              <w:adjustRightInd w:val="0"/>
              <w:snapToGrid w:val="0"/>
              <w:spacing w:line="240" w:lineRule="auto"/>
              <w:jc w:val="center"/>
              <w:rPr>
                <w:color w:val="auto"/>
                <w:sz w:val="21"/>
                <w:szCs w:val="21"/>
              </w:rPr>
            </w:pPr>
            <w:r>
              <w:rPr>
                <w:color w:val="auto"/>
                <w:sz w:val="21"/>
                <w:szCs w:val="21"/>
              </w:rPr>
              <w:t>生活污水排放</w:t>
            </w:r>
            <w:r>
              <w:rPr>
                <w:rFonts w:hint="eastAsia"/>
                <w:color w:val="auto"/>
                <w:sz w:val="21"/>
                <w:szCs w:val="21"/>
              </w:rPr>
              <w:t>口</w:t>
            </w:r>
            <w:r>
              <w:rPr>
                <w:color w:val="auto"/>
                <w:sz w:val="21"/>
                <w:szCs w:val="21"/>
              </w:rPr>
              <w:t>（DW00</w:t>
            </w:r>
            <w:r>
              <w:rPr>
                <w:rFonts w:hint="eastAsia"/>
                <w:color w:val="auto"/>
                <w:sz w:val="21"/>
                <w:szCs w:val="21"/>
              </w:rPr>
              <w:t>1</w:t>
            </w:r>
            <w:r>
              <w:rPr>
                <w:color w:val="auto"/>
                <w:sz w:val="21"/>
                <w:szCs w:val="21"/>
              </w:rPr>
              <w:t>）/生活污水</w:t>
            </w:r>
          </w:p>
        </w:tc>
        <w:tc>
          <w:tcPr>
            <w:tcW w:w="1446" w:type="dxa"/>
            <w:vAlign w:val="center"/>
          </w:tcPr>
          <w:p w14:paraId="21A152F3">
            <w:pPr>
              <w:adjustRightInd w:val="0"/>
              <w:snapToGrid w:val="0"/>
              <w:spacing w:line="240" w:lineRule="auto"/>
              <w:jc w:val="center"/>
              <w:rPr>
                <w:color w:val="auto"/>
                <w:sz w:val="21"/>
                <w:szCs w:val="21"/>
              </w:rPr>
            </w:pPr>
            <w:r>
              <w:rPr>
                <w:rFonts w:hint="eastAsia"/>
                <w:color w:val="auto"/>
                <w:sz w:val="21"/>
                <w:szCs w:val="21"/>
              </w:rPr>
              <w:t>pH、</w:t>
            </w:r>
            <w:r>
              <w:rPr>
                <w:color w:val="auto"/>
                <w:sz w:val="21"/>
                <w:szCs w:val="21"/>
              </w:rPr>
              <w:t>COD</w:t>
            </w:r>
            <w:r>
              <w:rPr>
                <w:rFonts w:hint="eastAsia"/>
                <w:color w:val="auto"/>
                <w:sz w:val="21"/>
                <w:szCs w:val="21"/>
                <w:vertAlign w:val="subscript"/>
              </w:rPr>
              <w:t>Cr</w:t>
            </w:r>
            <w:r>
              <w:rPr>
                <w:color w:val="auto"/>
                <w:sz w:val="21"/>
                <w:szCs w:val="21"/>
              </w:rPr>
              <w:t>、BOD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w:t>
            </w:r>
          </w:p>
        </w:tc>
        <w:tc>
          <w:tcPr>
            <w:tcW w:w="2122" w:type="dxa"/>
            <w:vAlign w:val="center"/>
          </w:tcPr>
          <w:p w14:paraId="44F7F59D">
            <w:pPr>
              <w:adjustRightInd w:val="0"/>
              <w:snapToGrid w:val="0"/>
              <w:spacing w:line="240" w:lineRule="auto"/>
              <w:jc w:val="center"/>
              <w:rPr>
                <w:color w:val="auto"/>
                <w:sz w:val="21"/>
                <w:szCs w:val="21"/>
              </w:rPr>
            </w:pPr>
            <w:r>
              <w:rPr>
                <w:rFonts w:hint="eastAsia"/>
                <w:color w:val="auto"/>
                <w:sz w:val="21"/>
                <w:szCs w:val="21"/>
              </w:rPr>
              <w:t>职工生活污水经化粪池预处理</w:t>
            </w:r>
            <w:r>
              <w:rPr>
                <w:color w:val="auto"/>
                <w:sz w:val="21"/>
                <w:szCs w:val="21"/>
              </w:rPr>
              <w:t>后</w:t>
            </w:r>
            <w:r>
              <w:rPr>
                <w:rFonts w:hint="eastAsia"/>
                <w:color w:val="auto"/>
                <w:sz w:val="21"/>
                <w:szCs w:val="21"/>
              </w:rPr>
              <w:t>，经</w:t>
            </w:r>
            <w:r>
              <w:rPr>
                <w:color w:val="auto"/>
                <w:sz w:val="21"/>
                <w:szCs w:val="21"/>
              </w:rPr>
              <w:t>市政污水管网</w:t>
            </w:r>
            <w:r>
              <w:rPr>
                <w:rFonts w:hint="eastAsia"/>
                <w:color w:val="auto"/>
                <w:sz w:val="21"/>
                <w:szCs w:val="21"/>
              </w:rPr>
              <w:t>进</w:t>
            </w:r>
            <w:r>
              <w:rPr>
                <w:color w:val="auto"/>
                <w:sz w:val="21"/>
                <w:szCs w:val="21"/>
              </w:rPr>
              <w:t>入</w:t>
            </w:r>
            <w:r>
              <w:rPr>
                <w:rFonts w:hint="eastAsia"/>
                <w:color w:val="auto"/>
                <w:sz w:val="21"/>
                <w:szCs w:val="21"/>
              </w:rPr>
              <w:t>大学城污水处理厂集中</w:t>
            </w:r>
            <w:r>
              <w:rPr>
                <w:color w:val="auto"/>
                <w:sz w:val="21"/>
                <w:szCs w:val="21"/>
              </w:rPr>
              <w:t>处理</w:t>
            </w:r>
          </w:p>
        </w:tc>
        <w:tc>
          <w:tcPr>
            <w:tcW w:w="2702" w:type="dxa"/>
            <w:vAlign w:val="center"/>
          </w:tcPr>
          <w:p w14:paraId="779670DB">
            <w:pPr>
              <w:adjustRightInd w:val="0"/>
              <w:snapToGrid w:val="0"/>
              <w:spacing w:line="240" w:lineRule="auto"/>
              <w:jc w:val="center"/>
              <w:rPr>
                <w:color w:val="auto"/>
                <w:sz w:val="21"/>
                <w:szCs w:val="21"/>
              </w:rPr>
            </w:pPr>
            <w:r>
              <w:rPr>
                <w:color w:val="auto"/>
                <w:sz w:val="21"/>
                <w:szCs w:val="21"/>
              </w:rPr>
              <w:t>《污水综合排放标准》（GB8978-1996）表4中三级标准（其中氨氮执行</w:t>
            </w:r>
            <w:r>
              <w:rPr>
                <w:color w:val="auto"/>
                <w:kern w:val="0"/>
                <w:sz w:val="21"/>
                <w:szCs w:val="21"/>
              </w:rPr>
              <w:t>《污水排入城镇下水道水质标准》（GB/T31962-2015）</w:t>
            </w:r>
            <w:r>
              <w:rPr>
                <w:color w:val="auto"/>
                <w:sz w:val="21"/>
                <w:szCs w:val="21"/>
              </w:rPr>
              <w:t>表1中B级标准限值）</w:t>
            </w:r>
            <w:r>
              <w:rPr>
                <w:rFonts w:hint="eastAsia"/>
                <w:color w:val="auto"/>
                <w:sz w:val="21"/>
                <w:szCs w:val="21"/>
              </w:rPr>
              <w:t>）（</w:t>
            </w:r>
            <w:r>
              <w:rPr>
                <w:color w:val="auto"/>
                <w:sz w:val="21"/>
                <w:szCs w:val="21"/>
              </w:rPr>
              <w:t>COD≤</w:t>
            </w:r>
            <w:r>
              <w:rPr>
                <w:rFonts w:hint="eastAsia"/>
                <w:color w:val="auto"/>
                <w:sz w:val="21"/>
                <w:szCs w:val="21"/>
              </w:rPr>
              <w:t>500mg/L，</w:t>
            </w:r>
            <w:r>
              <w:rPr>
                <w:color w:val="auto"/>
                <w:sz w:val="21"/>
                <w:szCs w:val="21"/>
              </w:rPr>
              <w:t>BOD</w:t>
            </w:r>
            <w:r>
              <w:rPr>
                <w:color w:val="auto"/>
                <w:sz w:val="21"/>
                <w:szCs w:val="21"/>
                <w:vertAlign w:val="subscript"/>
              </w:rPr>
              <w:t>5</w:t>
            </w:r>
            <w:r>
              <w:rPr>
                <w:color w:val="auto"/>
                <w:sz w:val="21"/>
                <w:szCs w:val="21"/>
              </w:rPr>
              <w:t>≤</w:t>
            </w:r>
            <w:r>
              <w:rPr>
                <w:rFonts w:hint="eastAsia"/>
                <w:color w:val="auto"/>
                <w:sz w:val="21"/>
                <w:szCs w:val="21"/>
              </w:rPr>
              <w:t>300mg/L，</w:t>
            </w:r>
            <w:r>
              <w:rPr>
                <w:color w:val="auto"/>
                <w:sz w:val="21"/>
                <w:szCs w:val="21"/>
              </w:rPr>
              <w:t>SS≤</w:t>
            </w:r>
            <w:r>
              <w:rPr>
                <w:rFonts w:hint="eastAsia"/>
                <w:color w:val="auto"/>
                <w:sz w:val="21"/>
                <w:szCs w:val="21"/>
              </w:rPr>
              <w:t>400mg/L，</w:t>
            </w:r>
            <w:r>
              <w:rPr>
                <w:color w:val="auto"/>
                <w:sz w:val="21"/>
                <w:szCs w:val="21"/>
              </w:rPr>
              <w:t>NH</w:t>
            </w:r>
            <w:r>
              <w:rPr>
                <w:color w:val="auto"/>
                <w:sz w:val="21"/>
                <w:szCs w:val="21"/>
                <w:vertAlign w:val="subscript"/>
              </w:rPr>
              <w:t>3</w:t>
            </w:r>
            <w:r>
              <w:rPr>
                <w:color w:val="auto"/>
                <w:sz w:val="21"/>
                <w:szCs w:val="21"/>
              </w:rPr>
              <w:t>-N≤</w:t>
            </w:r>
            <w:r>
              <w:rPr>
                <w:rFonts w:hint="eastAsia"/>
                <w:color w:val="auto"/>
                <w:sz w:val="21"/>
                <w:szCs w:val="21"/>
              </w:rPr>
              <w:t>45mg/L）</w:t>
            </w:r>
          </w:p>
        </w:tc>
      </w:tr>
      <w:tr w14:paraId="1685F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4E4C8008">
            <w:pPr>
              <w:adjustRightInd w:val="0"/>
              <w:snapToGrid w:val="0"/>
              <w:spacing w:line="240" w:lineRule="auto"/>
              <w:jc w:val="center"/>
              <w:rPr>
                <w:color w:val="auto"/>
                <w:sz w:val="21"/>
                <w:szCs w:val="21"/>
                <w:lang w:val="en-GB"/>
              </w:rPr>
            </w:pPr>
            <w:r>
              <w:rPr>
                <w:color w:val="auto"/>
                <w:sz w:val="21"/>
                <w:szCs w:val="21"/>
                <w:lang w:val="en-GB"/>
              </w:rPr>
              <w:t>声环境</w:t>
            </w:r>
          </w:p>
        </w:tc>
        <w:tc>
          <w:tcPr>
            <w:tcW w:w="1616" w:type="dxa"/>
            <w:gridSpan w:val="2"/>
            <w:vAlign w:val="center"/>
          </w:tcPr>
          <w:p w14:paraId="67D88D45">
            <w:pPr>
              <w:adjustRightInd w:val="0"/>
              <w:snapToGrid w:val="0"/>
              <w:spacing w:line="240" w:lineRule="auto"/>
              <w:jc w:val="center"/>
              <w:rPr>
                <w:color w:val="auto"/>
                <w:sz w:val="21"/>
                <w:szCs w:val="21"/>
              </w:rPr>
            </w:pPr>
            <w:r>
              <w:rPr>
                <w:color w:val="auto"/>
                <w:sz w:val="21"/>
                <w:szCs w:val="21"/>
                <w:lang w:val="en-GB"/>
              </w:rPr>
              <w:t>厂界</w:t>
            </w:r>
            <w:r>
              <w:rPr>
                <w:rFonts w:hint="eastAsia"/>
                <w:color w:val="auto"/>
                <w:sz w:val="21"/>
                <w:szCs w:val="21"/>
              </w:rPr>
              <w:t>噪声</w:t>
            </w:r>
          </w:p>
        </w:tc>
        <w:tc>
          <w:tcPr>
            <w:tcW w:w="1446" w:type="dxa"/>
            <w:vAlign w:val="center"/>
          </w:tcPr>
          <w:p w14:paraId="79B06C26">
            <w:pPr>
              <w:adjustRightInd w:val="0"/>
              <w:snapToGrid w:val="0"/>
              <w:spacing w:line="240" w:lineRule="auto"/>
              <w:jc w:val="left"/>
              <w:rPr>
                <w:color w:val="auto"/>
                <w:sz w:val="21"/>
                <w:szCs w:val="21"/>
                <w:lang w:val="en-GB"/>
              </w:rPr>
            </w:pPr>
            <w:r>
              <w:rPr>
                <w:color w:val="auto"/>
                <w:sz w:val="21"/>
                <w:szCs w:val="21"/>
                <w:lang w:val="en-GB"/>
              </w:rPr>
              <w:t>等效A声级</w:t>
            </w:r>
          </w:p>
        </w:tc>
        <w:tc>
          <w:tcPr>
            <w:tcW w:w="2122" w:type="dxa"/>
            <w:vAlign w:val="center"/>
          </w:tcPr>
          <w:p w14:paraId="0031F714">
            <w:pPr>
              <w:adjustRightInd w:val="0"/>
              <w:snapToGrid w:val="0"/>
              <w:spacing w:line="240" w:lineRule="auto"/>
              <w:jc w:val="center"/>
              <w:rPr>
                <w:color w:val="auto"/>
                <w:sz w:val="21"/>
                <w:szCs w:val="21"/>
                <w:lang w:val="en-GB"/>
              </w:rPr>
            </w:pPr>
            <w:r>
              <w:rPr>
                <w:color w:val="auto"/>
                <w:sz w:val="21"/>
                <w:szCs w:val="21"/>
                <w:lang w:val="en-GB"/>
              </w:rPr>
              <w:t>优先选用先进、低噪声设备；对高噪声设备采取减振基础、安装减振垫圈等减震措施；对各类机械设备定期检修、维护，防止设备异常噪声产生；优化平面布局，合理布置高噪声设备于远离声环境敏感点位置，通过距离衰减减少声环境影响，夜间不生产</w:t>
            </w:r>
          </w:p>
        </w:tc>
        <w:tc>
          <w:tcPr>
            <w:tcW w:w="2702" w:type="dxa"/>
            <w:vAlign w:val="center"/>
          </w:tcPr>
          <w:p w14:paraId="17E064C1">
            <w:pPr>
              <w:adjustRightInd w:val="0"/>
              <w:snapToGrid w:val="0"/>
              <w:spacing w:line="240" w:lineRule="auto"/>
              <w:jc w:val="center"/>
              <w:rPr>
                <w:color w:val="auto"/>
                <w:sz w:val="21"/>
                <w:szCs w:val="21"/>
              </w:rPr>
            </w:pPr>
            <w:r>
              <w:rPr>
                <w:color w:val="auto"/>
                <w:sz w:val="21"/>
                <w:szCs w:val="21"/>
                <w:lang w:val="en-GB"/>
              </w:rPr>
              <w:t>满足《工业企业厂界环境噪声排放标准》</w:t>
            </w:r>
            <w:r>
              <w:rPr>
                <w:color w:val="auto"/>
                <w:kern w:val="0"/>
                <w:sz w:val="21"/>
                <w:szCs w:val="21"/>
              </w:rPr>
              <w:t>（</w:t>
            </w:r>
            <w:r>
              <w:rPr>
                <w:color w:val="auto"/>
                <w:sz w:val="21"/>
                <w:szCs w:val="21"/>
                <w:lang w:val="en-GB"/>
              </w:rPr>
              <w:t>GB12348-2008</w:t>
            </w:r>
            <w:r>
              <w:rPr>
                <w:rFonts w:hint="eastAsia"/>
                <w:color w:val="auto"/>
                <w:sz w:val="21"/>
                <w:szCs w:val="21"/>
              </w:rPr>
              <w:t>）</w:t>
            </w:r>
            <w:r>
              <w:rPr>
                <w:color w:val="auto"/>
                <w:sz w:val="21"/>
                <w:szCs w:val="21"/>
                <w:lang w:val="en-GB"/>
              </w:rPr>
              <w:t>中</w:t>
            </w:r>
            <w:r>
              <w:rPr>
                <w:rFonts w:hint="eastAsia"/>
                <w:color w:val="auto"/>
                <w:sz w:val="21"/>
                <w:szCs w:val="21"/>
              </w:rPr>
              <w:t>3</w:t>
            </w:r>
            <w:r>
              <w:rPr>
                <w:color w:val="auto"/>
                <w:sz w:val="21"/>
                <w:szCs w:val="21"/>
              </w:rPr>
              <w:t>类标准</w:t>
            </w:r>
            <w:r>
              <w:rPr>
                <w:rFonts w:hint="eastAsia"/>
                <w:color w:val="auto"/>
                <w:sz w:val="21"/>
                <w:szCs w:val="21"/>
              </w:rPr>
              <w:t>（</w:t>
            </w:r>
            <w:r>
              <w:rPr>
                <w:color w:val="auto"/>
                <w:sz w:val="21"/>
                <w:szCs w:val="21"/>
                <w:lang w:val="en-GB"/>
              </w:rPr>
              <w:t>昼间</w:t>
            </w:r>
            <w:r>
              <w:rPr>
                <w:rFonts w:hint="eastAsia"/>
                <w:color w:val="auto"/>
                <w:sz w:val="21"/>
                <w:szCs w:val="21"/>
              </w:rPr>
              <w:t>噪声</w:t>
            </w:r>
            <w:r>
              <w:rPr>
                <w:color w:val="auto"/>
                <w:sz w:val="21"/>
                <w:szCs w:val="21"/>
                <w:lang w:val="en-GB"/>
              </w:rPr>
              <w:t>≤</w:t>
            </w:r>
            <w:r>
              <w:rPr>
                <w:color w:val="auto"/>
                <w:sz w:val="21"/>
                <w:szCs w:val="21"/>
              </w:rPr>
              <w:t>6</w:t>
            </w:r>
            <w:r>
              <w:rPr>
                <w:rFonts w:hint="eastAsia"/>
                <w:color w:val="auto"/>
                <w:sz w:val="21"/>
                <w:szCs w:val="21"/>
              </w:rPr>
              <w:t>5</w:t>
            </w:r>
            <w:r>
              <w:rPr>
                <w:color w:val="auto"/>
                <w:sz w:val="21"/>
                <w:szCs w:val="21"/>
                <w:lang w:val="en-GB"/>
              </w:rPr>
              <w:t>dB(A)</w:t>
            </w:r>
            <w:r>
              <w:rPr>
                <w:rFonts w:hint="eastAsia"/>
                <w:color w:val="auto"/>
                <w:sz w:val="21"/>
                <w:szCs w:val="21"/>
                <w:lang w:val="en-GB"/>
              </w:rPr>
              <w:t>）</w:t>
            </w:r>
          </w:p>
        </w:tc>
      </w:tr>
      <w:tr w14:paraId="388FD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2BD0688B">
            <w:pPr>
              <w:adjustRightInd w:val="0"/>
              <w:snapToGrid w:val="0"/>
              <w:spacing w:line="240" w:lineRule="auto"/>
              <w:jc w:val="center"/>
              <w:rPr>
                <w:color w:val="auto"/>
                <w:sz w:val="21"/>
                <w:szCs w:val="21"/>
                <w:lang w:val="en-GB"/>
              </w:rPr>
            </w:pPr>
            <w:r>
              <w:rPr>
                <w:color w:val="auto"/>
                <w:sz w:val="21"/>
                <w:szCs w:val="21"/>
                <w:lang w:val="en-GB"/>
              </w:rPr>
              <w:t>电磁辐射</w:t>
            </w:r>
          </w:p>
        </w:tc>
        <w:tc>
          <w:tcPr>
            <w:tcW w:w="1616" w:type="dxa"/>
            <w:gridSpan w:val="2"/>
            <w:vAlign w:val="center"/>
          </w:tcPr>
          <w:p w14:paraId="7547672E">
            <w:pPr>
              <w:adjustRightInd w:val="0"/>
              <w:snapToGrid w:val="0"/>
              <w:spacing w:line="240" w:lineRule="auto"/>
              <w:jc w:val="center"/>
              <w:rPr>
                <w:color w:val="auto"/>
                <w:sz w:val="21"/>
                <w:szCs w:val="21"/>
              </w:rPr>
            </w:pPr>
            <w:r>
              <w:rPr>
                <w:color w:val="auto"/>
                <w:sz w:val="21"/>
                <w:szCs w:val="21"/>
                <w:lang w:val="en-GB"/>
              </w:rPr>
              <w:t>/</w:t>
            </w:r>
          </w:p>
        </w:tc>
        <w:tc>
          <w:tcPr>
            <w:tcW w:w="1446" w:type="dxa"/>
            <w:vAlign w:val="center"/>
          </w:tcPr>
          <w:p w14:paraId="4F4E3517">
            <w:pPr>
              <w:adjustRightInd w:val="0"/>
              <w:snapToGrid w:val="0"/>
              <w:spacing w:line="240" w:lineRule="auto"/>
              <w:jc w:val="center"/>
              <w:rPr>
                <w:color w:val="auto"/>
                <w:sz w:val="21"/>
                <w:szCs w:val="21"/>
              </w:rPr>
            </w:pPr>
            <w:r>
              <w:rPr>
                <w:color w:val="auto"/>
                <w:sz w:val="21"/>
                <w:szCs w:val="21"/>
                <w:lang w:val="en-GB"/>
              </w:rPr>
              <w:t>/</w:t>
            </w:r>
          </w:p>
        </w:tc>
        <w:tc>
          <w:tcPr>
            <w:tcW w:w="2122" w:type="dxa"/>
            <w:vAlign w:val="center"/>
          </w:tcPr>
          <w:p w14:paraId="0657840F">
            <w:pPr>
              <w:adjustRightInd w:val="0"/>
              <w:snapToGrid w:val="0"/>
              <w:spacing w:line="240" w:lineRule="auto"/>
              <w:jc w:val="center"/>
              <w:rPr>
                <w:color w:val="auto"/>
                <w:sz w:val="21"/>
                <w:szCs w:val="21"/>
              </w:rPr>
            </w:pPr>
            <w:r>
              <w:rPr>
                <w:color w:val="auto"/>
                <w:sz w:val="21"/>
                <w:szCs w:val="21"/>
                <w:lang w:val="en-GB"/>
              </w:rPr>
              <w:t>/</w:t>
            </w:r>
          </w:p>
        </w:tc>
        <w:tc>
          <w:tcPr>
            <w:tcW w:w="2702" w:type="dxa"/>
            <w:vAlign w:val="center"/>
          </w:tcPr>
          <w:p w14:paraId="6671D89D">
            <w:pPr>
              <w:adjustRightInd w:val="0"/>
              <w:snapToGrid w:val="0"/>
              <w:spacing w:line="240" w:lineRule="auto"/>
              <w:jc w:val="center"/>
              <w:rPr>
                <w:color w:val="auto"/>
                <w:sz w:val="21"/>
                <w:szCs w:val="21"/>
              </w:rPr>
            </w:pPr>
            <w:r>
              <w:rPr>
                <w:color w:val="auto"/>
                <w:sz w:val="21"/>
                <w:szCs w:val="21"/>
                <w:lang w:val="en-GB"/>
              </w:rPr>
              <w:t>/</w:t>
            </w:r>
          </w:p>
        </w:tc>
      </w:tr>
      <w:tr w14:paraId="39219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restart"/>
            <w:vAlign w:val="center"/>
          </w:tcPr>
          <w:p w14:paraId="0209D4D8">
            <w:pPr>
              <w:keepLines/>
              <w:widowControl/>
              <w:spacing w:line="240" w:lineRule="auto"/>
              <w:jc w:val="center"/>
              <w:rPr>
                <w:color w:val="auto"/>
                <w:sz w:val="21"/>
                <w:szCs w:val="21"/>
                <w:lang w:val="en-GB"/>
              </w:rPr>
            </w:pPr>
            <w:r>
              <w:rPr>
                <w:color w:val="auto"/>
                <w:sz w:val="21"/>
                <w:szCs w:val="21"/>
                <w:lang w:val="en-GB"/>
              </w:rPr>
              <w:t>固体</w:t>
            </w:r>
          </w:p>
          <w:p w14:paraId="4E370F80">
            <w:pPr>
              <w:keepLines/>
              <w:widowControl/>
              <w:spacing w:line="240" w:lineRule="auto"/>
              <w:jc w:val="center"/>
              <w:rPr>
                <w:color w:val="auto"/>
                <w:sz w:val="21"/>
                <w:szCs w:val="21"/>
                <w:lang w:val="en-GB"/>
              </w:rPr>
            </w:pPr>
            <w:r>
              <w:rPr>
                <w:color w:val="auto"/>
                <w:sz w:val="21"/>
                <w:szCs w:val="21"/>
                <w:lang w:val="en-GB"/>
              </w:rPr>
              <w:t>废物</w:t>
            </w:r>
          </w:p>
        </w:tc>
        <w:tc>
          <w:tcPr>
            <w:tcW w:w="1616" w:type="dxa"/>
            <w:gridSpan w:val="2"/>
            <w:vMerge w:val="restart"/>
            <w:vAlign w:val="center"/>
          </w:tcPr>
          <w:p w14:paraId="315A81B6">
            <w:pPr>
              <w:adjustRightInd w:val="0"/>
              <w:snapToGrid w:val="0"/>
              <w:spacing w:line="240" w:lineRule="auto"/>
              <w:jc w:val="center"/>
              <w:rPr>
                <w:color w:val="auto"/>
                <w:sz w:val="21"/>
                <w:szCs w:val="21"/>
              </w:rPr>
            </w:pPr>
            <w:r>
              <w:rPr>
                <w:rFonts w:hint="eastAsia"/>
                <w:color w:val="auto"/>
                <w:sz w:val="21"/>
                <w:szCs w:val="21"/>
              </w:rPr>
              <w:t>生产过程</w:t>
            </w:r>
          </w:p>
        </w:tc>
        <w:tc>
          <w:tcPr>
            <w:tcW w:w="1446" w:type="dxa"/>
            <w:vAlign w:val="center"/>
          </w:tcPr>
          <w:p w14:paraId="782EF649">
            <w:pPr>
              <w:adjustRightInd w:val="0"/>
              <w:snapToGrid w:val="0"/>
              <w:spacing w:line="240" w:lineRule="auto"/>
              <w:jc w:val="center"/>
              <w:rPr>
                <w:color w:val="auto"/>
                <w:sz w:val="21"/>
                <w:szCs w:val="21"/>
              </w:rPr>
            </w:pPr>
            <w:r>
              <w:rPr>
                <w:rFonts w:hint="eastAsia"/>
                <w:color w:val="auto"/>
                <w:sz w:val="21"/>
                <w:szCs w:val="21"/>
              </w:rPr>
              <w:t>废包装材料</w:t>
            </w:r>
          </w:p>
        </w:tc>
        <w:tc>
          <w:tcPr>
            <w:tcW w:w="2122" w:type="dxa"/>
            <w:vMerge w:val="restart"/>
            <w:vAlign w:val="center"/>
          </w:tcPr>
          <w:p w14:paraId="3CAB4030">
            <w:pPr>
              <w:adjustRightInd w:val="0"/>
              <w:snapToGrid w:val="0"/>
              <w:spacing w:line="240" w:lineRule="auto"/>
              <w:jc w:val="center"/>
              <w:rPr>
                <w:color w:val="auto"/>
                <w:sz w:val="21"/>
                <w:szCs w:val="21"/>
                <w:lang w:val="en-GB"/>
              </w:rPr>
            </w:pPr>
            <w:r>
              <w:rPr>
                <w:color w:val="auto"/>
                <w:sz w:val="21"/>
                <w:szCs w:val="21"/>
              </w:rPr>
              <w:t>收集后出售给回收企业综合利用</w:t>
            </w:r>
          </w:p>
        </w:tc>
        <w:tc>
          <w:tcPr>
            <w:tcW w:w="2702" w:type="dxa"/>
            <w:vMerge w:val="restart"/>
            <w:vAlign w:val="center"/>
          </w:tcPr>
          <w:p w14:paraId="10CA3A0C">
            <w:pPr>
              <w:adjustRightInd w:val="0"/>
              <w:snapToGrid w:val="0"/>
              <w:spacing w:line="240" w:lineRule="auto"/>
              <w:jc w:val="center"/>
              <w:rPr>
                <w:color w:val="auto"/>
                <w:sz w:val="21"/>
                <w:szCs w:val="21"/>
                <w:lang w:val="en-GB"/>
              </w:rPr>
            </w:pPr>
            <w:r>
              <w:rPr>
                <w:color w:val="auto"/>
                <w:sz w:val="21"/>
                <w:szCs w:val="21"/>
                <w:lang w:val="en-GB"/>
              </w:rPr>
              <w:t>一般固废贮存执行《一般工业固体废物贮存和填埋场污染控制标准》（GB18599-2020）相关要求</w:t>
            </w:r>
          </w:p>
        </w:tc>
      </w:tr>
      <w:tr w14:paraId="3A2DE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57F2EFC4">
            <w:pPr>
              <w:adjustRightInd w:val="0"/>
              <w:snapToGrid w:val="0"/>
              <w:spacing w:line="240" w:lineRule="auto"/>
              <w:jc w:val="left"/>
              <w:rPr>
                <w:color w:val="auto"/>
              </w:rPr>
            </w:pPr>
          </w:p>
        </w:tc>
        <w:tc>
          <w:tcPr>
            <w:tcW w:w="1616" w:type="dxa"/>
            <w:gridSpan w:val="2"/>
            <w:vMerge w:val="continue"/>
            <w:vAlign w:val="center"/>
          </w:tcPr>
          <w:p w14:paraId="1DE51D5A">
            <w:pPr>
              <w:adjustRightInd w:val="0"/>
              <w:snapToGrid w:val="0"/>
              <w:spacing w:line="240" w:lineRule="auto"/>
              <w:jc w:val="center"/>
              <w:rPr>
                <w:color w:val="auto"/>
                <w:sz w:val="21"/>
                <w:szCs w:val="21"/>
              </w:rPr>
            </w:pPr>
          </w:p>
        </w:tc>
        <w:tc>
          <w:tcPr>
            <w:tcW w:w="1446" w:type="dxa"/>
            <w:vAlign w:val="center"/>
          </w:tcPr>
          <w:p w14:paraId="79A3D5CA">
            <w:pPr>
              <w:adjustRightInd w:val="0"/>
              <w:snapToGrid w:val="0"/>
              <w:spacing w:line="240" w:lineRule="auto"/>
              <w:jc w:val="center"/>
              <w:rPr>
                <w:color w:val="auto"/>
                <w:sz w:val="21"/>
                <w:szCs w:val="21"/>
              </w:rPr>
            </w:pPr>
            <w:r>
              <w:rPr>
                <w:rFonts w:hint="eastAsia"/>
                <w:color w:val="auto"/>
                <w:sz w:val="21"/>
                <w:szCs w:val="21"/>
              </w:rPr>
              <w:t>废边角料</w:t>
            </w:r>
          </w:p>
        </w:tc>
        <w:tc>
          <w:tcPr>
            <w:tcW w:w="2122" w:type="dxa"/>
            <w:vMerge w:val="continue"/>
            <w:vAlign w:val="center"/>
          </w:tcPr>
          <w:p w14:paraId="1D4DAD42">
            <w:pPr>
              <w:adjustRightInd w:val="0"/>
              <w:snapToGrid w:val="0"/>
              <w:spacing w:line="240" w:lineRule="auto"/>
              <w:jc w:val="center"/>
              <w:rPr>
                <w:color w:val="auto"/>
                <w:sz w:val="21"/>
                <w:szCs w:val="21"/>
              </w:rPr>
            </w:pPr>
          </w:p>
        </w:tc>
        <w:tc>
          <w:tcPr>
            <w:tcW w:w="2702" w:type="dxa"/>
            <w:vMerge w:val="continue"/>
            <w:vAlign w:val="center"/>
          </w:tcPr>
          <w:p w14:paraId="47FC6EA7">
            <w:pPr>
              <w:adjustRightInd w:val="0"/>
              <w:snapToGrid w:val="0"/>
              <w:spacing w:line="240" w:lineRule="auto"/>
              <w:jc w:val="center"/>
              <w:rPr>
                <w:color w:val="auto"/>
                <w:sz w:val="21"/>
                <w:szCs w:val="21"/>
                <w:lang w:val="en-GB"/>
              </w:rPr>
            </w:pPr>
          </w:p>
        </w:tc>
      </w:tr>
      <w:tr w14:paraId="6CE10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0E008E94">
            <w:pPr>
              <w:adjustRightInd w:val="0"/>
              <w:snapToGrid w:val="0"/>
              <w:spacing w:line="240" w:lineRule="auto"/>
              <w:jc w:val="left"/>
              <w:rPr>
                <w:color w:val="auto"/>
                <w:sz w:val="21"/>
                <w:szCs w:val="21"/>
                <w:lang w:val="en-GB"/>
              </w:rPr>
            </w:pPr>
          </w:p>
        </w:tc>
        <w:tc>
          <w:tcPr>
            <w:tcW w:w="1616" w:type="dxa"/>
            <w:gridSpan w:val="2"/>
            <w:vMerge w:val="continue"/>
            <w:vAlign w:val="center"/>
          </w:tcPr>
          <w:p w14:paraId="466A8900">
            <w:pPr>
              <w:adjustRightInd w:val="0"/>
              <w:snapToGrid w:val="0"/>
              <w:spacing w:line="240" w:lineRule="auto"/>
              <w:jc w:val="center"/>
              <w:rPr>
                <w:color w:val="auto"/>
                <w:sz w:val="21"/>
                <w:szCs w:val="21"/>
              </w:rPr>
            </w:pPr>
          </w:p>
        </w:tc>
        <w:tc>
          <w:tcPr>
            <w:tcW w:w="1446" w:type="dxa"/>
            <w:vAlign w:val="center"/>
          </w:tcPr>
          <w:p w14:paraId="0016988D">
            <w:pPr>
              <w:adjustRightInd w:val="0"/>
              <w:snapToGrid w:val="0"/>
              <w:spacing w:line="240" w:lineRule="auto"/>
              <w:jc w:val="center"/>
              <w:rPr>
                <w:color w:val="auto"/>
                <w:sz w:val="21"/>
                <w:szCs w:val="21"/>
              </w:rPr>
            </w:pPr>
            <w:r>
              <w:rPr>
                <w:rFonts w:hint="eastAsia"/>
                <w:color w:val="auto"/>
                <w:sz w:val="21"/>
                <w:szCs w:val="21"/>
              </w:rPr>
              <w:t>除尘器收集粉尘</w:t>
            </w:r>
          </w:p>
        </w:tc>
        <w:tc>
          <w:tcPr>
            <w:tcW w:w="2122" w:type="dxa"/>
            <w:vMerge w:val="continue"/>
            <w:vAlign w:val="center"/>
          </w:tcPr>
          <w:p w14:paraId="7DE6FAA3">
            <w:pPr>
              <w:adjustRightInd w:val="0"/>
              <w:snapToGrid w:val="0"/>
              <w:spacing w:line="240" w:lineRule="auto"/>
              <w:jc w:val="center"/>
              <w:rPr>
                <w:color w:val="auto"/>
                <w:sz w:val="21"/>
                <w:szCs w:val="21"/>
                <w:lang w:val="en-GB"/>
              </w:rPr>
            </w:pPr>
          </w:p>
        </w:tc>
        <w:tc>
          <w:tcPr>
            <w:tcW w:w="2702" w:type="dxa"/>
            <w:vMerge w:val="continue"/>
            <w:vAlign w:val="center"/>
          </w:tcPr>
          <w:p w14:paraId="212A3FDF">
            <w:pPr>
              <w:adjustRightInd w:val="0"/>
              <w:snapToGrid w:val="0"/>
              <w:spacing w:line="240" w:lineRule="auto"/>
              <w:jc w:val="center"/>
              <w:rPr>
                <w:color w:val="auto"/>
                <w:sz w:val="21"/>
                <w:szCs w:val="21"/>
                <w:lang w:val="en-GB"/>
              </w:rPr>
            </w:pPr>
          </w:p>
        </w:tc>
      </w:tr>
      <w:tr w14:paraId="3FEE7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105BDA91">
            <w:pPr>
              <w:adjustRightInd w:val="0"/>
              <w:snapToGrid w:val="0"/>
              <w:spacing w:line="240" w:lineRule="auto"/>
              <w:jc w:val="left"/>
              <w:rPr>
                <w:color w:val="auto"/>
                <w:sz w:val="21"/>
                <w:szCs w:val="21"/>
                <w:lang w:val="en-GB"/>
              </w:rPr>
            </w:pPr>
          </w:p>
        </w:tc>
        <w:tc>
          <w:tcPr>
            <w:tcW w:w="1616" w:type="dxa"/>
            <w:gridSpan w:val="2"/>
            <w:vAlign w:val="center"/>
          </w:tcPr>
          <w:p w14:paraId="2EDCA40D">
            <w:pPr>
              <w:adjustRightInd w:val="0"/>
              <w:snapToGrid w:val="0"/>
              <w:spacing w:line="240" w:lineRule="auto"/>
              <w:jc w:val="center"/>
              <w:rPr>
                <w:color w:val="auto"/>
                <w:sz w:val="21"/>
                <w:szCs w:val="21"/>
              </w:rPr>
            </w:pPr>
            <w:r>
              <w:rPr>
                <w:color w:val="auto"/>
                <w:sz w:val="21"/>
                <w:szCs w:val="21"/>
              </w:rPr>
              <w:t>职工生活</w:t>
            </w:r>
          </w:p>
        </w:tc>
        <w:tc>
          <w:tcPr>
            <w:tcW w:w="1446" w:type="dxa"/>
            <w:vAlign w:val="center"/>
          </w:tcPr>
          <w:p w14:paraId="618E431D">
            <w:pPr>
              <w:adjustRightInd w:val="0"/>
              <w:snapToGrid w:val="0"/>
              <w:spacing w:line="240" w:lineRule="auto"/>
              <w:jc w:val="center"/>
              <w:rPr>
                <w:color w:val="auto"/>
                <w:sz w:val="21"/>
                <w:szCs w:val="21"/>
              </w:rPr>
            </w:pPr>
            <w:r>
              <w:rPr>
                <w:color w:val="auto"/>
                <w:sz w:val="21"/>
                <w:szCs w:val="21"/>
              </w:rPr>
              <w:t>生活垃圾</w:t>
            </w:r>
          </w:p>
        </w:tc>
        <w:tc>
          <w:tcPr>
            <w:tcW w:w="2122" w:type="dxa"/>
            <w:vAlign w:val="center"/>
          </w:tcPr>
          <w:p w14:paraId="29B198D0">
            <w:pPr>
              <w:adjustRightInd w:val="0"/>
              <w:snapToGrid w:val="0"/>
              <w:spacing w:line="240" w:lineRule="auto"/>
              <w:jc w:val="center"/>
              <w:rPr>
                <w:color w:val="auto"/>
                <w:sz w:val="21"/>
                <w:szCs w:val="21"/>
                <w:lang w:val="en-GB"/>
              </w:rPr>
            </w:pPr>
            <w:r>
              <w:rPr>
                <w:color w:val="auto"/>
                <w:sz w:val="21"/>
                <w:szCs w:val="21"/>
              </w:rPr>
              <w:t>环卫部门统一清运</w:t>
            </w:r>
          </w:p>
        </w:tc>
        <w:tc>
          <w:tcPr>
            <w:tcW w:w="2702" w:type="dxa"/>
            <w:vAlign w:val="center"/>
          </w:tcPr>
          <w:p w14:paraId="1D401EE8">
            <w:pPr>
              <w:adjustRightInd w:val="0"/>
              <w:snapToGrid w:val="0"/>
              <w:spacing w:line="240" w:lineRule="auto"/>
              <w:jc w:val="center"/>
              <w:rPr>
                <w:color w:val="auto"/>
                <w:sz w:val="21"/>
                <w:szCs w:val="21"/>
                <w:lang w:val="en-GB"/>
              </w:rPr>
            </w:pPr>
            <w:r>
              <w:rPr>
                <w:color w:val="auto"/>
                <w:sz w:val="21"/>
                <w:szCs w:val="21"/>
                <w:lang w:val="en-GB"/>
              </w:rPr>
              <w:t>《中华人民共和国固体废物污染环境防治法》（2020年4月29日修订版）《城市环境卫生设施规划标准》（GB/T50337-2018）</w:t>
            </w:r>
          </w:p>
        </w:tc>
      </w:tr>
      <w:tr w14:paraId="6FBC1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3B80743F">
            <w:pPr>
              <w:adjustRightInd w:val="0"/>
              <w:snapToGrid w:val="0"/>
              <w:spacing w:line="240" w:lineRule="auto"/>
              <w:jc w:val="left"/>
              <w:rPr>
                <w:color w:val="auto"/>
                <w:sz w:val="21"/>
                <w:szCs w:val="21"/>
                <w:lang w:val="en-GB"/>
              </w:rPr>
            </w:pPr>
          </w:p>
        </w:tc>
        <w:tc>
          <w:tcPr>
            <w:tcW w:w="1616" w:type="dxa"/>
            <w:gridSpan w:val="2"/>
            <w:vMerge w:val="restart"/>
            <w:vAlign w:val="center"/>
          </w:tcPr>
          <w:p w14:paraId="49F86416">
            <w:pPr>
              <w:adjustRightInd w:val="0"/>
              <w:snapToGrid w:val="0"/>
              <w:spacing w:line="240" w:lineRule="auto"/>
              <w:jc w:val="center"/>
              <w:rPr>
                <w:color w:val="auto"/>
                <w:sz w:val="21"/>
                <w:szCs w:val="21"/>
              </w:rPr>
            </w:pPr>
            <w:r>
              <w:rPr>
                <w:color w:val="auto"/>
                <w:sz w:val="21"/>
                <w:szCs w:val="21"/>
              </w:rPr>
              <w:t>废气治理</w:t>
            </w:r>
          </w:p>
        </w:tc>
        <w:tc>
          <w:tcPr>
            <w:tcW w:w="1446" w:type="dxa"/>
            <w:vAlign w:val="center"/>
          </w:tcPr>
          <w:p w14:paraId="5924799B">
            <w:pPr>
              <w:adjustRightInd w:val="0"/>
              <w:snapToGrid w:val="0"/>
              <w:spacing w:line="240" w:lineRule="auto"/>
              <w:jc w:val="center"/>
              <w:rPr>
                <w:color w:val="auto"/>
                <w:sz w:val="21"/>
                <w:szCs w:val="21"/>
              </w:rPr>
            </w:pPr>
            <w:r>
              <w:rPr>
                <w:color w:val="auto"/>
                <w:sz w:val="21"/>
                <w:szCs w:val="21"/>
              </w:rPr>
              <w:t>废活性炭</w:t>
            </w:r>
          </w:p>
        </w:tc>
        <w:tc>
          <w:tcPr>
            <w:tcW w:w="2122" w:type="dxa"/>
            <w:vMerge w:val="restart"/>
            <w:vAlign w:val="center"/>
          </w:tcPr>
          <w:p w14:paraId="675A1270">
            <w:pPr>
              <w:adjustRightInd w:val="0"/>
              <w:snapToGrid w:val="0"/>
              <w:spacing w:line="240" w:lineRule="auto"/>
              <w:jc w:val="center"/>
              <w:rPr>
                <w:color w:val="auto"/>
                <w:sz w:val="21"/>
                <w:szCs w:val="21"/>
                <w:lang w:val="en-GB"/>
              </w:rPr>
            </w:pPr>
            <w:r>
              <w:rPr>
                <w:rFonts w:hint="eastAsia"/>
                <w:color w:val="auto"/>
                <w:sz w:val="21"/>
                <w:szCs w:val="21"/>
                <w:lang w:val="en-US" w:eastAsia="zh-CN"/>
              </w:rPr>
              <w:t>废活性炭计划每两个月更换一次，危险废物</w:t>
            </w:r>
            <w:r>
              <w:rPr>
                <w:color w:val="auto"/>
                <w:sz w:val="21"/>
                <w:szCs w:val="21"/>
                <w:lang w:val="en-GB"/>
              </w:rPr>
              <w:t>妥善收集后存放于危险废物贮存间中，定期委托有危废处置资质单位进行处理</w:t>
            </w:r>
          </w:p>
        </w:tc>
        <w:tc>
          <w:tcPr>
            <w:tcW w:w="2702" w:type="dxa"/>
            <w:vMerge w:val="restart"/>
            <w:vAlign w:val="center"/>
          </w:tcPr>
          <w:p w14:paraId="05823872">
            <w:pPr>
              <w:adjustRightInd w:val="0"/>
              <w:snapToGrid w:val="0"/>
              <w:spacing w:line="240" w:lineRule="auto"/>
              <w:jc w:val="center"/>
              <w:rPr>
                <w:color w:val="auto"/>
                <w:sz w:val="21"/>
                <w:szCs w:val="21"/>
                <w:lang w:val="en-GB"/>
              </w:rPr>
            </w:pPr>
            <w:r>
              <w:rPr>
                <w:color w:val="auto"/>
                <w:sz w:val="21"/>
                <w:szCs w:val="21"/>
                <w:lang w:val="en-GB"/>
              </w:rPr>
              <w:t>危险废物控制执行《危险废物贮存污染控制标准》（GB18597-2023）《危险废物收集贮存运输技术规范》（HJ2025-2012）</w:t>
            </w:r>
          </w:p>
        </w:tc>
      </w:tr>
      <w:tr w14:paraId="7A97E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1D5DF27D">
            <w:pPr>
              <w:adjustRightInd w:val="0"/>
              <w:snapToGrid w:val="0"/>
              <w:spacing w:line="240" w:lineRule="auto"/>
              <w:jc w:val="left"/>
              <w:rPr>
                <w:color w:val="auto"/>
                <w:sz w:val="21"/>
                <w:szCs w:val="21"/>
                <w:lang w:val="en-GB"/>
              </w:rPr>
            </w:pPr>
          </w:p>
        </w:tc>
        <w:tc>
          <w:tcPr>
            <w:tcW w:w="1616" w:type="dxa"/>
            <w:gridSpan w:val="2"/>
            <w:vMerge w:val="continue"/>
            <w:vAlign w:val="center"/>
          </w:tcPr>
          <w:p w14:paraId="382C627A">
            <w:pPr>
              <w:adjustRightInd w:val="0"/>
              <w:snapToGrid w:val="0"/>
              <w:spacing w:line="240" w:lineRule="auto"/>
              <w:jc w:val="center"/>
              <w:rPr>
                <w:color w:val="auto"/>
                <w:sz w:val="21"/>
                <w:szCs w:val="21"/>
              </w:rPr>
            </w:pPr>
          </w:p>
        </w:tc>
        <w:tc>
          <w:tcPr>
            <w:tcW w:w="1446" w:type="dxa"/>
            <w:vAlign w:val="center"/>
          </w:tcPr>
          <w:p w14:paraId="19CABD96">
            <w:pPr>
              <w:adjustRightInd w:val="0"/>
              <w:snapToGrid w:val="0"/>
              <w:spacing w:line="240" w:lineRule="auto"/>
              <w:jc w:val="center"/>
              <w:rPr>
                <w:color w:val="auto"/>
                <w:sz w:val="21"/>
                <w:szCs w:val="21"/>
              </w:rPr>
            </w:pPr>
            <w:r>
              <w:rPr>
                <w:rFonts w:hint="eastAsia"/>
                <w:color w:val="auto"/>
                <w:sz w:val="21"/>
                <w:szCs w:val="21"/>
              </w:rPr>
              <w:t>废过滤棉</w:t>
            </w:r>
          </w:p>
        </w:tc>
        <w:tc>
          <w:tcPr>
            <w:tcW w:w="2122" w:type="dxa"/>
            <w:vMerge w:val="continue"/>
            <w:vAlign w:val="center"/>
          </w:tcPr>
          <w:p w14:paraId="11D7E01D">
            <w:pPr>
              <w:adjustRightInd w:val="0"/>
              <w:snapToGrid w:val="0"/>
              <w:spacing w:line="240" w:lineRule="auto"/>
              <w:jc w:val="center"/>
              <w:rPr>
                <w:color w:val="auto"/>
                <w:sz w:val="21"/>
                <w:szCs w:val="21"/>
                <w:lang w:val="en-GB"/>
              </w:rPr>
            </w:pPr>
          </w:p>
        </w:tc>
        <w:tc>
          <w:tcPr>
            <w:tcW w:w="2702" w:type="dxa"/>
            <w:vMerge w:val="continue"/>
            <w:vAlign w:val="center"/>
          </w:tcPr>
          <w:p w14:paraId="21BD69FD">
            <w:pPr>
              <w:adjustRightInd w:val="0"/>
              <w:snapToGrid w:val="0"/>
              <w:spacing w:line="240" w:lineRule="auto"/>
              <w:jc w:val="center"/>
              <w:rPr>
                <w:color w:val="auto"/>
                <w:sz w:val="21"/>
                <w:szCs w:val="21"/>
                <w:lang w:val="en-GB"/>
              </w:rPr>
            </w:pPr>
          </w:p>
        </w:tc>
      </w:tr>
      <w:tr w14:paraId="31EC4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301C672F">
            <w:pPr>
              <w:adjustRightInd w:val="0"/>
              <w:snapToGrid w:val="0"/>
              <w:spacing w:line="240" w:lineRule="auto"/>
              <w:jc w:val="left"/>
              <w:rPr>
                <w:color w:val="auto"/>
                <w:sz w:val="21"/>
                <w:szCs w:val="21"/>
                <w:lang w:val="en-GB"/>
              </w:rPr>
            </w:pPr>
          </w:p>
        </w:tc>
        <w:tc>
          <w:tcPr>
            <w:tcW w:w="1616" w:type="dxa"/>
            <w:gridSpan w:val="2"/>
            <w:vMerge w:val="restart"/>
            <w:vAlign w:val="center"/>
          </w:tcPr>
          <w:p w14:paraId="4CAF3A55">
            <w:pPr>
              <w:adjustRightInd w:val="0"/>
              <w:snapToGrid w:val="0"/>
              <w:spacing w:line="240" w:lineRule="auto"/>
              <w:jc w:val="center"/>
              <w:rPr>
                <w:color w:val="auto"/>
                <w:sz w:val="21"/>
                <w:szCs w:val="21"/>
              </w:rPr>
            </w:pPr>
            <w:r>
              <w:rPr>
                <w:rFonts w:hint="eastAsia"/>
                <w:color w:val="auto"/>
                <w:sz w:val="21"/>
                <w:szCs w:val="21"/>
              </w:rPr>
              <w:t>喷漆</w:t>
            </w:r>
          </w:p>
        </w:tc>
        <w:tc>
          <w:tcPr>
            <w:tcW w:w="1446" w:type="dxa"/>
            <w:vAlign w:val="center"/>
          </w:tcPr>
          <w:p w14:paraId="795DBAEC">
            <w:pPr>
              <w:adjustRightInd w:val="0"/>
              <w:snapToGrid w:val="0"/>
              <w:spacing w:line="240" w:lineRule="auto"/>
              <w:jc w:val="center"/>
              <w:rPr>
                <w:color w:val="auto"/>
                <w:sz w:val="21"/>
                <w:szCs w:val="21"/>
              </w:rPr>
            </w:pPr>
            <w:r>
              <w:rPr>
                <w:rFonts w:hint="eastAsia"/>
                <w:color w:val="auto"/>
                <w:sz w:val="21"/>
                <w:szCs w:val="21"/>
              </w:rPr>
              <w:t>水帘柜废水</w:t>
            </w:r>
          </w:p>
        </w:tc>
        <w:tc>
          <w:tcPr>
            <w:tcW w:w="2122" w:type="dxa"/>
            <w:vMerge w:val="continue"/>
            <w:vAlign w:val="center"/>
          </w:tcPr>
          <w:p w14:paraId="1BD8ED18">
            <w:pPr>
              <w:adjustRightInd w:val="0"/>
              <w:snapToGrid w:val="0"/>
              <w:spacing w:line="240" w:lineRule="auto"/>
              <w:jc w:val="center"/>
              <w:rPr>
                <w:color w:val="auto"/>
                <w:sz w:val="21"/>
                <w:szCs w:val="21"/>
                <w:lang w:val="en-GB"/>
              </w:rPr>
            </w:pPr>
          </w:p>
        </w:tc>
        <w:tc>
          <w:tcPr>
            <w:tcW w:w="2702" w:type="dxa"/>
            <w:vMerge w:val="continue"/>
            <w:vAlign w:val="center"/>
          </w:tcPr>
          <w:p w14:paraId="6C0C60D9">
            <w:pPr>
              <w:adjustRightInd w:val="0"/>
              <w:snapToGrid w:val="0"/>
              <w:spacing w:line="240" w:lineRule="auto"/>
              <w:jc w:val="center"/>
              <w:rPr>
                <w:color w:val="auto"/>
                <w:sz w:val="21"/>
                <w:szCs w:val="21"/>
                <w:lang w:val="en-GB"/>
              </w:rPr>
            </w:pPr>
          </w:p>
        </w:tc>
      </w:tr>
      <w:tr w14:paraId="23A1B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509FED79">
            <w:pPr>
              <w:adjustRightInd w:val="0"/>
              <w:snapToGrid w:val="0"/>
              <w:spacing w:line="240" w:lineRule="auto"/>
              <w:jc w:val="left"/>
              <w:rPr>
                <w:color w:val="auto"/>
                <w:sz w:val="21"/>
                <w:szCs w:val="21"/>
                <w:lang w:val="en-GB"/>
              </w:rPr>
            </w:pPr>
          </w:p>
        </w:tc>
        <w:tc>
          <w:tcPr>
            <w:tcW w:w="1616" w:type="dxa"/>
            <w:gridSpan w:val="2"/>
            <w:vMerge w:val="continue"/>
            <w:vAlign w:val="center"/>
          </w:tcPr>
          <w:p w14:paraId="226619D2">
            <w:pPr>
              <w:adjustRightInd w:val="0"/>
              <w:snapToGrid w:val="0"/>
              <w:spacing w:line="240" w:lineRule="auto"/>
              <w:jc w:val="center"/>
              <w:rPr>
                <w:color w:val="auto"/>
                <w:sz w:val="21"/>
                <w:szCs w:val="21"/>
              </w:rPr>
            </w:pPr>
          </w:p>
        </w:tc>
        <w:tc>
          <w:tcPr>
            <w:tcW w:w="1446" w:type="dxa"/>
            <w:vAlign w:val="center"/>
          </w:tcPr>
          <w:p w14:paraId="41F93F1E">
            <w:pPr>
              <w:adjustRightInd w:val="0"/>
              <w:snapToGrid w:val="0"/>
              <w:spacing w:line="240" w:lineRule="auto"/>
              <w:jc w:val="center"/>
              <w:rPr>
                <w:color w:val="auto"/>
                <w:sz w:val="21"/>
                <w:szCs w:val="21"/>
              </w:rPr>
            </w:pPr>
            <w:r>
              <w:rPr>
                <w:rFonts w:hint="eastAsia"/>
                <w:color w:val="auto"/>
                <w:sz w:val="21"/>
                <w:szCs w:val="21"/>
              </w:rPr>
              <w:t>漆渣</w:t>
            </w:r>
          </w:p>
        </w:tc>
        <w:tc>
          <w:tcPr>
            <w:tcW w:w="2122" w:type="dxa"/>
            <w:vMerge w:val="continue"/>
            <w:vAlign w:val="center"/>
          </w:tcPr>
          <w:p w14:paraId="11F733B9">
            <w:pPr>
              <w:adjustRightInd w:val="0"/>
              <w:snapToGrid w:val="0"/>
              <w:spacing w:line="240" w:lineRule="auto"/>
              <w:jc w:val="center"/>
              <w:rPr>
                <w:color w:val="auto"/>
                <w:sz w:val="21"/>
                <w:szCs w:val="21"/>
                <w:lang w:val="en-GB"/>
              </w:rPr>
            </w:pPr>
          </w:p>
        </w:tc>
        <w:tc>
          <w:tcPr>
            <w:tcW w:w="2702" w:type="dxa"/>
            <w:vMerge w:val="continue"/>
            <w:vAlign w:val="center"/>
          </w:tcPr>
          <w:p w14:paraId="5388012B">
            <w:pPr>
              <w:adjustRightInd w:val="0"/>
              <w:snapToGrid w:val="0"/>
              <w:spacing w:line="240" w:lineRule="auto"/>
              <w:jc w:val="center"/>
              <w:rPr>
                <w:color w:val="auto"/>
                <w:sz w:val="21"/>
                <w:szCs w:val="21"/>
                <w:lang w:val="en-GB"/>
              </w:rPr>
            </w:pPr>
          </w:p>
        </w:tc>
      </w:tr>
      <w:tr w14:paraId="4DCFC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0E8E8899">
            <w:pPr>
              <w:adjustRightInd w:val="0"/>
              <w:snapToGrid w:val="0"/>
              <w:spacing w:line="240" w:lineRule="auto"/>
              <w:jc w:val="left"/>
              <w:rPr>
                <w:color w:val="auto"/>
                <w:sz w:val="21"/>
                <w:szCs w:val="21"/>
                <w:lang w:val="en-GB"/>
              </w:rPr>
            </w:pPr>
          </w:p>
        </w:tc>
        <w:tc>
          <w:tcPr>
            <w:tcW w:w="1616" w:type="dxa"/>
            <w:gridSpan w:val="2"/>
            <w:vAlign w:val="center"/>
          </w:tcPr>
          <w:p w14:paraId="0D1B1A85">
            <w:pPr>
              <w:adjustRightInd w:val="0"/>
              <w:snapToGrid w:val="0"/>
              <w:spacing w:line="240" w:lineRule="auto"/>
              <w:jc w:val="center"/>
              <w:rPr>
                <w:color w:val="auto"/>
                <w:sz w:val="21"/>
                <w:szCs w:val="21"/>
              </w:rPr>
            </w:pPr>
            <w:r>
              <w:rPr>
                <w:rFonts w:hint="eastAsia"/>
                <w:color w:val="auto"/>
                <w:sz w:val="21"/>
                <w:szCs w:val="21"/>
              </w:rPr>
              <w:t>设备检修、维护</w:t>
            </w:r>
          </w:p>
        </w:tc>
        <w:tc>
          <w:tcPr>
            <w:tcW w:w="1446" w:type="dxa"/>
            <w:vAlign w:val="center"/>
          </w:tcPr>
          <w:p w14:paraId="63D517FC">
            <w:pPr>
              <w:adjustRightInd w:val="0"/>
              <w:snapToGrid w:val="0"/>
              <w:spacing w:line="240" w:lineRule="auto"/>
              <w:jc w:val="center"/>
              <w:rPr>
                <w:color w:val="auto"/>
                <w:sz w:val="21"/>
                <w:szCs w:val="21"/>
              </w:rPr>
            </w:pPr>
            <w:r>
              <w:rPr>
                <w:rFonts w:hint="eastAsia"/>
                <w:color w:val="auto"/>
                <w:sz w:val="21"/>
                <w:szCs w:val="21"/>
              </w:rPr>
              <w:t>废机油</w:t>
            </w:r>
          </w:p>
        </w:tc>
        <w:tc>
          <w:tcPr>
            <w:tcW w:w="2122" w:type="dxa"/>
            <w:vMerge w:val="continue"/>
            <w:vAlign w:val="center"/>
          </w:tcPr>
          <w:p w14:paraId="01061D2E">
            <w:pPr>
              <w:adjustRightInd w:val="0"/>
              <w:snapToGrid w:val="0"/>
              <w:spacing w:line="240" w:lineRule="auto"/>
              <w:jc w:val="center"/>
              <w:rPr>
                <w:color w:val="auto"/>
                <w:sz w:val="21"/>
                <w:szCs w:val="21"/>
                <w:lang w:val="en-GB"/>
              </w:rPr>
            </w:pPr>
          </w:p>
        </w:tc>
        <w:tc>
          <w:tcPr>
            <w:tcW w:w="2702" w:type="dxa"/>
            <w:vMerge w:val="continue"/>
            <w:vAlign w:val="center"/>
          </w:tcPr>
          <w:p w14:paraId="629A2023">
            <w:pPr>
              <w:adjustRightInd w:val="0"/>
              <w:snapToGrid w:val="0"/>
              <w:spacing w:line="240" w:lineRule="auto"/>
              <w:jc w:val="center"/>
              <w:rPr>
                <w:color w:val="auto"/>
                <w:sz w:val="21"/>
                <w:szCs w:val="21"/>
                <w:lang w:val="en-GB"/>
              </w:rPr>
            </w:pPr>
          </w:p>
        </w:tc>
      </w:tr>
      <w:tr w14:paraId="73181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139" w:type="dxa"/>
            <w:vMerge w:val="continue"/>
            <w:vAlign w:val="center"/>
          </w:tcPr>
          <w:p w14:paraId="364F4C8F">
            <w:pPr>
              <w:adjustRightInd w:val="0"/>
              <w:snapToGrid w:val="0"/>
              <w:spacing w:line="240" w:lineRule="auto"/>
              <w:jc w:val="left"/>
              <w:rPr>
                <w:color w:val="auto"/>
                <w:sz w:val="21"/>
                <w:szCs w:val="21"/>
                <w:lang w:val="en-GB"/>
              </w:rPr>
            </w:pPr>
          </w:p>
        </w:tc>
        <w:tc>
          <w:tcPr>
            <w:tcW w:w="1616" w:type="dxa"/>
            <w:gridSpan w:val="2"/>
            <w:vAlign w:val="center"/>
          </w:tcPr>
          <w:p w14:paraId="1B38CAEA">
            <w:pPr>
              <w:adjustRightInd w:val="0"/>
              <w:snapToGrid w:val="0"/>
              <w:spacing w:line="240" w:lineRule="auto"/>
              <w:jc w:val="center"/>
              <w:rPr>
                <w:color w:val="auto"/>
                <w:sz w:val="21"/>
                <w:szCs w:val="21"/>
              </w:rPr>
            </w:pPr>
            <w:r>
              <w:rPr>
                <w:color w:val="auto"/>
                <w:sz w:val="21"/>
                <w:szCs w:val="21"/>
              </w:rPr>
              <w:t>/</w:t>
            </w:r>
          </w:p>
        </w:tc>
        <w:tc>
          <w:tcPr>
            <w:tcW w:w="1446" w:type="dxa"/>
            <w:vAlign w:val="center"/>
          </w:tcPr>
          <w:p w14:paraId="6CCD38FD">
            <w:pPr>
              <w:adjustRightInd w:val="0"/>
              <w:snapToGrid w:val="0"/>
              <w:spacing w:line="240" w:lineRule="auto"/>
              <w:jc w:val="center"/>
              <w:rPr>
                <w:color w:val="auto"/>
                <w:sz w:val="21"/>
                <w:szCs w:val="21"/>
              </w:rPr>
            </w:pPr>
            <w:r>
              <w:rPr>
                <w:color w:val="auto"/>
                <w:sz w:val="21"/>
                <w:szCs w:val="21"/>
              </w:rPr>
              <w:t>废</w:t>
            </w:r>
            <w:r>
              <w:rPr>
                <w:rFonts w:hint="eastAsia"/>
                <w:color w:val="auto"/>
                <w:sz w:val="21"/>
                <w:szCs w:val="21"/>
              </w:rPr>
              <w:t>原料桶</w:t>
            </w:r>
          </w:p>
        </w:tc>
        <w:tc>
          <w:tcPr>
            <w:tcW w:w="2122" w:type="dxa"/>
            <w:vMerge w:val="continue"/>
            <w:vAlign w:val="center"/>
          </w:tcPr>
          <w:p w14:paraId="181034C7">
            <w:pPr>
              <w:adjustRightInd w:val="0"/>
              <w:snapToGrid w:val="0"/>
              <w:spacing w:line="240" w:lineRule="auto"/>
              <w:jc w:val="center"/>
              <w:rPr>
                <w:color w:val="auto"/>
                <w:sz w:val="21"/>
                <w:szCs w:val="21"/>
                <w:lang w:val="en-GB"/>
              </w:rPr>
            </w:pPr>
          </w:p>
        </w:tc>
        <w:tc>
          <w:tcPr>
            <w:tcW w:w="2702" w:type="dxa"/>
            <w:vMerge w:val="continue"/>
            <w:vAlign w:val="center"/>
          </w:tcPr>
          <w:p w14:paraId="40C57B4D">
            <w:pPr>
              <w:adjustRightInd w:val="0"/>
              <w:snapToGrid w:val="0"/>
              <w:spacing w:line="240" w:lineRule="auto"/>
              <w:jc w:val="center"/>
              <w:rPr>
                <w:color w:val="auto"/>
                <w:sz w:val="21"/>
                <w:szCs w:val="21"/>
                <w:lang w:val="en-GB"/>
              </w:rPr>
            </w:pPr>
          </w:p>
        </w:tc>
      </w:tr>
      <w:tr w14:paraId="1135A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7F42D3F6">
            <w:pPr>
              <w:adjustRightInd w:val="0"/>
              <w:snapToGrid w:val="0"/>
              <w:spacing w:line="240" w:lineRule="auto"/>
              <w:jc w:val="center"/>
              <w:rPr>
                <w:color w:val="auto"/>
                <w:sz w:val="21"/>
                <w:szCs w:val="21"/>
                <w:lang w:val="en-GB"/>
              </w:rPr>
            </w:pPr>
            <w:r>
              <w:rPr>
                <w:color w:val="auto"/>
                <w:sz w:val="21"/>
                <w:szCs w:val="21"/>
                <w:lang w:val="en-GB"/>
              </w:rPr>
              <w:t>土壤及地下水污染防治措施</w:t>
            </w:r>
          </w:p>
        </w:tc>
        <w:tc>
          <w:tcPr>
            <w:tcW w:w="7886" w:type="dxa"/>
            <w:gridSpan w:val="5"/>
            <w:vAlign w:val="center"/>
          </w:tcPr>
          <w:p w14:paraId="41CA83F8">
            <w:pPr>
              <w:adjustRightInd w:val="0"/>
              <w:snapToGrid w:val="0"/>
              <w:spacing w:line="240" w:lineRule="auto"/>
              <w:jc w:val="center"/>
              <w:rPr>
                <w:color w:val="auto"/>
                <w:sz w:val="21"/>
                <w:szCs w:val="21"/>
              </w:rPr>
            </w:pPr>
            <w:r>
              <w:rPr>
                <w:color w:val="auto"/>
                <w:sz w:val="21"/>
                <w:szCs w:val="21"/>
              </w:rPr>
              <w:t>合理进行防渗区域划分，</w:t>
            </w:r>
            <w:r>
              <w:rPr>
                <w:rFonts w:hint="eastAsia"/>
                <w:color w:val="auto"/>
                <w:sz w:val="21"/>
                <w:szCs w:val="21"/>
              </w:rPr>
              <w:t>危废贮存间</w:t>
            </w:r>
            <w:r>
              <w:rPr>
                <w:color w:val="auto"/>
                <w:sz w:val="21"/>
                <w:szCs w:val="21"/>
              </w:rPr>
              <w:t>四周设置导流沟，地面采取防渗，按重点污染区防渗要求进行建设；一般工业固废间、项目生产车间等按一般污染区防渗要求进行建设，且具有防雨、防渗、防风、防晒等功能</w:t>
            </w:r>
            <w:r>
              <w:rPr>
                <w:rFonts w:hint="eastAsia"/>
                <w:color w:val="auto"/>
                <w:sz w:val="21"/>
                <w:szCs w:val="21"/>
              </w:rPr>
              <w:t>。</w:t>
            </w:r>
          </w:p>
        </w:tc>
      </w:tr>
      <w:tr w14:paraId="2B86D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5273FE40">
            <w:pPr>
              <w:adjustRightInd w:val="0"/>
              <w:snapToGrid w:val="0"/>
              <w:spacing w:line="240" w:lineRule="auto"/>
              <w:jc w:val="center"/>
              <w:rPr>
                <w:color w:val="auto"/>
                <w:sz w:val="21"/>
                <w:szCs w:val="21"/>
                <w:lang w:val="en-GB"/>
              </w:rPr>
            </w:pPr>
            <w:r>
              <w:rPr>
                <w:color w:val="auto"/>
                <w:sz w:val="21"/>
                <w:szCs w:val="21"/>
                <w:lang w:val="en-GB"/>
              </w:rPr>
              <w:t>生态保护措施</w:t>
            </w:r>
          </w:p>
        </w:tc>
        <w:tc>
          <w:tcPr>
            <w:tcW w:w="7886" w:type="dxa"/>
            <w:gridSpan w:val="5"/>
            <w:vAlign w:val="center"/>
          </w:tcPr>
          <w:p w14:paraId="46EDCAB8">
            <w:pPr>
              <w:adjustRightInd w:val="0"/>
              <w:snapToGrid w:val="0"/>
              <w:spacing w:line="240" w:lineRule="auto"/>
              <w:jc w:val="center"/>
              <w:rPr>
                <w:color w:val="auto"/>
                <w:sz w:val="21"/>
                <w:szCs w:val="21"/>
              </w:rPr>
            </w:pPr>
            <w:r>
              <w:rPr>
                <w:color w:val="auto"/>
                <w:sz w:val="21"/>
                <w:szCs w:val="21"/>
              </w:rPr>
              <w:t>无</w:t>
            </w:r>
          </w:p>
        </w:tc>
      </w:tr>
      <w:tr w14:paraId="7B339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6FDEA849">
            <w:pPr>
              <w:adjustRightInd w:val="0"/>
              <w:snapToGrid w:val="0"/>
              <w:spacing w:line="240" w:lineRule="auto"/>
              <w:jc w:val="center"/>
              <w:rPr>
                <w:color w:val="auto"/>
                <w:sz w:val="21"/>
                <w:szCs w:val="21"/>
                <w:lang w:val="en-GB"/>
              </w:rPr>
            </w:pPr>
            <w:r>
              <w:rPr>
                <w:color w:val="auto"/>
                <w:sz w:val="21"/>
                <w:szCs w:val="21"/>
                <w:lang w:val="en-GB"/>
              </w:rPr>
              <w:t>环境风险</w:t>
            </w:r>
          </w:p>
          <w:p w14:paraId="4BEADC2C">
            <w:pPr>
              <w:adjustRightInd w:val="0"/>
              <w:snapToGrid w:val="0"/>
              <w:spacing w:line="240" w:lineRule="auto"/>
              <w:jc w:val="center"/>
              <w:rPr>
                <w:color w:val="auto"/>
                <w:sz w:val="21"/>
                <w:szCs w:val="21"/>
                <w:lang w:val="en-GB"/>
              </w:rPr>
            </w:pPr>
            <w:r>
              <w:rPr>
                <w:color w:val="auto"/>
                <w:sz w:val="21"/>
                <w:szCs w:val="21"/>
                <w:lang w:val="en-GB"/>
              </w:rPr>
              <w:t>防范措施</w:t>
            </w:r>
          </w:p>
        </w:tc>
        <w:tc>
          <w:tcPr>
            <w:tcW w:w="7886" w:type="dxa"/>
            <w:gridSpan w:val="5"/>
            <w:vAlign w:val="center"/>
          </w:tcPr>
          <w:p w14:paraId="0C0D744E">
            <w:pPr>
              <w:adjustRightInd w:val="0"/>
              <w:snapToGrid w:val="0"/>
              <w:spacing w:line="240" w:lineRule="auto"/>
              <w:jc w:val="left"/>
              <w:rPr>
                <w:color w:val="auto"/>
                <w:sz w:val="21"/>
                <w:szCs w:val="21"/>
              </w:rPr>
            </w:pPr>
            <w:r>
              <w:rPr>
                <w:rFonts w:hint="eastAsia"/>
                <w:color w:val="auto"/>
                <w:sz w:val="21"/>
                <w:szCs w:val="21"/>
              </w:rPr>
              <w:t>危废贮存间</w:t>
            </w:r>
            <w:r>
              <w:rPr>
                <w:color w:val="auto"/>
                <w:sz w:val="21"/>
                <w:szCs w:val="21"/>
              </w:rPr>
              <w:t>四周设置导流沟，地面采取防渗、设置围堰等风险防范措施；厂区内严禁烟火，严格动火审批制度；配备相应的堵漏材料</w:t>
            </w:r>
            <w:r>
              <w:rPr>
                <w:rFonts w:hint="eastAsia"/>
                <w:color w:val="auto"/>
                <w:sz w:val="21"/>
                <w:szCs w:val="21"/>
              </w:rPr>
              <w:t>（</w:t>
            </w:r>
            <w:r>
              <w:rPr>
                <w:color w:val="auto"/>
                <w:sz w:val="21"/>
                <w:szCs w:val="21"/>
              </w:rPr>
              <w:t>砂袋、吸油毡等</w:t>
            </w:r>
            <w:r>
              <w:rPr>
                <w:rFonts w:hint="eastAsia"/>
                <w:color w:val="auto"/>
                <w:sz w:val="21"/>
                <w:szCs w:val="21"/>
              </w:rPr>
              <w:t>）。</w:t>
            </w:r>
          </w:p>
        </w:tc>
      </w:tr>
      <w:tr w14:paraId="4AF9E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9" w:type="dxa"/>
            <w:vAlign w:val="center"/>
          </w:tcPr>
          <w:p w14:paraId="048915BF">
            <w:pPr>
              <w:adjustRightInd w:val="0"/>
              <w:snapToGrid w:val="0"/>
              <w:spacing w:line="240" w:lineRule="auto"/>
              <w:jc w:val="left"/>
              <w:rPr>
                <w:color w:val="auto"/>
                <w:sz w:val="21"/>
                <w:szCs w:val="21"/>
                <w:lang w:val="en-GB"/>
              </w:rPr>
            </w:pPr>
            <w:r>
              <w:rPr>
                <w:color w:val="auto"/>
                <w:sz w:val="21"/>
                <w:szCs w:val="21"/>
                <w:lang w:val="en-GB"/>
              </w:rPr>
              <w:t>其他环境</w:t>
            </w:r>
          </w:p>
          <w:p w14:paraId="1A13E5A1">
            <w:pPr>
              <w:adjustRightInd w:val="0"/>
              <w:snapToGrid w:val="0"/>
              <w:spacing w:line="240" w:lineRule="auto"/>
              <w:jc w:val="left"/>
              <w:rPr>
                <w:color w:val="auto"/>
                <w:sz w:val="21"/>
                <w:szCs w:val="21"/>
                <w:lang w:val="en-GB"/>
              </w:rPr>
            </w:pPr>
            <w:r>
              <w:rPr>
                <w:color w:val="auto"/>
                <w:sz w:val="21"/>
                <w:szCs w:val="21"/>
                <w:lang w:val="en-GB"/>
              </w:rPr>
              <w:t>管理要求</w:t>
            </w:r>
          </w:p>
        </w:tc>
        <w:tc>
          <w:tcPr>
            <w:tcW w:w="7886" w:type="dxa"/>
            <w:gridSpan w:val="5"/>
            <w:vAlign w:val="center"/>
          </w:tcPr>
          <w:p w14:paraId="085D0F88">
            <w:pPr>
              <w:tabs>
                <w:tab w:val="left" w:pos="2586"/>
              </w:tabs>
              <w:adjustRightInd w:val="0"/>
              <w:snapToGrid w:val="0"/>
              <w:spacing w:line="288" w:lineRule="auto"/>
              <w:ind w:firstLine="422" w:firstLineChars="200"/>
              <w:jc w:val="left"/>
              <w:rPr>
                <w:b/>
                <w:bCs/>
                <w:color w:val="auto"/>
                <w:sz w:val="21"/>
                <w:szCs w:val="21"/>
              </w:rPr>
            </w:pPr>
            <w:r>
              <w:rPr>
                <w:b/>
                <w:bCs/>
                <w:color w:val="auto"/>
                <w:sz w:val="21"/>
                <w:szCs w:val="21"/>
              </w:rPr>
              <w:t>（1）排污口规范管理</w:t>
            </w:r>
          </w:p>
          <w:p w14:paraId="7529972A">
            <w:pPr>
              <w:adjustRightInd w:val="0"/>
              <w:snapToGrid w:val="0"/>
              <w:spacing w:line="288" w:lineRule="auto"/>
              <w:ind w:firstLine="420" w:firstLineChars="200"/>
              <w:jc w:val="left"/>
              <w:rPr>
                <w:color w:val="auto"/>
                <w:sz w:val="21"/>
                <w:szCs w:val="21"/>
              </w:rPr>
            </w:pPr>
            <w:r>
              <w:rPr>
                <w:color w:val="auto"/>
                <w:sz w:val="21"/>
                <w:szCs w:val="21"/>
              </w:rPr>
              <w:t>各污染源排放口应设置专项图标，执行《环境保护图形标志—排放口</w:t>
            </w:r>
            <w:r>
              <w:rPr>
                <w:rFonts w:hint="eastAsia"/>
                <w:color w:val="auto"/>
                <w:sz w:val="21"/>
                <w:szCs w:val="21"/>
              </w:rPr>
              <w:t>（</w:t>
            </w:r>
            <w:r>
              <w:rPr>
                <w:color w:val="auto"/>
                <w:sz w:val="21"/>
                <w:szCs w:val="21"/>
              </w:rPr>
              <w:t>源</w:t>
            </w:r>
            <w:r>
              <w:rPr>
                <w:rFonts w:hint="eastAsia"/>
                <w:color w:val="auto"/>
                <w:sz w:val="21"/>
                <w:szCs w:val="21"/>
              </w:rPr>
              <w:t>）</w:t>
            </w:r>
            <w:r>
              <w:rPr>
                <w:color w:val="auto"/>
                <w:sz w:val="21"/>
                <w:szCs w:val="21"/>
              </w:rPr>
              <w:t>》</w:t>
            </w:r>
            <w:r>
              <w:rPr>
                <w:color w:val="auto"/>
                <w:kern w:val="0"/>
                <w:sz w:val="21"/>
                <w:szCs w:val="21"/>
              </w:rPr>
              <w:t>（</w:t>
            </w:r>
            <w:r>
              <w:rPr>
                <w:color w:val="auto"/>
                <w:sz w:val="21"/>
                <w:szCs w:val="21"/>
              </w:rPr>
              <w:t>GB15563.1-1995</w:t>
            </w:r>
            <w:r>
              <w:rPr>
                <w:rFonts w:hint="eastAsia"/>
                <w:color w:val="auto"/>
                <w:sz w:val="21"/>
                <w:szCs w:val="21"/>
              </w:rPr>
              <w:t>）</w:t>
            </w:r>
            <w:r>
              <w:rPr>
                <w:color w:val="auto"/>
                <w:sz w:val="21"/>
                <w:szCs w:val="21"/>
              </w:rPr>
              <w:t>，要求各排放口</w:t>
            </w:r>
            <w:r>
              <w:rPr>
                <w:color w:val="auto"/>
                <w:kern w:val="0"/>
                <w:sz w:val="21"/>
                <w:szCs w:val="21"/>
              </w:rPr>
              <w:t>（</w:t>
            </w:r>
            <w:r>
              <w:rPr>
                <w:color w:val="auto"/>
                <w:sz w:val="21"/>
                <w:szCs w:val="21"/>
              </w:rPr>
              <w:t>源</w:t>
            </w:r>
            <w:r>
              <w:rPr>
                <w:rFonts w:hint="eastAsia"/>
                <w:color w:val="auto"/>
                <w:sz w:val="21"/>
                <w:szCs w:val="21"/>
              </w:rPr>
              <w:t>）</w:t>
            </w:r>
            <w:r>
              <w:rPr>
                <w:color w:val="auto"/>
                <w:sz w:val="21"/>
                <w:szCs w:val="21"/>
              </w:rPr>
              <w:t>提示标志形状采用正方形边框，背景颜色采用绿色，图形颜色采用白色。标志牌应设在与之功能相应的醒目处，并保持清晰、完整，具体详见表5.1-1。</w:t>
            </w:r>
          </w:p>
          <w:p w14:paraId="57992064">
            <w:pPr>
              <w:spacing w:before="120" w:beforeLines="50" w:line="240" w:lineRule="auto"/>
              <w:jc w:val="center"/>
              <w:rPr>
                <w:b/>
                <w:bCs/>
                <w:color w:val="auto"/>
                <w:sz w:val="21"/>
                <w:szCs w:val="21"/>
                <w:lang w:bidi="ar"/>
              </w:rPr>
            </w:pPr>
            <w:r>
              <w:rPr>
                <w:b/>
                <w:bCs/>
                <w:color w:val="auto"/>
                <w:sz w:val="21"/>
                <w:szCs w:val="21"/>
                <w:lang w:bidi="ar"/>
              </w:rPr>
              <w:t>表5.1-1  排污口图形符号</w:t>
            </w:r>
            <w:r>
              <w:rPr>
                <w:rFonts w:hint="eastAsia"/>
                <w:b/>
                <w:bCs/>
                <w:color w:val="auto"/>
                <w:sz w:val="21"/>
                <w:szCs w:val="21"/>
                <w:lang w:bidi="ar"/>
              </w:rPr>
              <w:t>（</w:t>
            </w:r>
            <w:r>
              <w:rPr>
                <w:b/>
                <w:bCs/>
                <w:color w:val="auto"/>
                <w:sz w:val="21"/>
                <w:szCs w:val="21"/>
                <w:lang w:bidi="ar"/>
              </w:rPr>
              <w:t>提示标志</w:t>
            </w:r>
            <w:r>
              <w:rPr>
                <w:rFonts w:hint="eastAsia"/>
                <w:b/>
                <w:bCs/>
                <w:color w:val="auto"/>
                <w:sz w:val="21"/>
                <w:szCs w:val="21"/>
                <w:lang w:bidi="ar"/>
              </w:rPr>
              <w:t>）</w:t>
            </w:r>
            <w:r>
              <w:rPr>
                <w:b/>
                <w:bCs/>
                <w:color w:val="auto"/>
                <w:sz w:val="21"/>
                <w:szCs w:val="21"/>
                <w:lang w:bidi="ar"/>
              </w:rPr>
              <w:t>一览表</w:t>
            </w:r>
          </w:p>
          <w:tbl>
            <w:tblPr>
              <w:tblStyle w:val="30"/>
              <w:tblW w:w="7688"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1"/>
              <w:gridCol w:w="1554"/>
              <w:gridCol w:w="1464"/>
              <w:gridCol w:w="1644"/>
              <w:gridCol w:w="1465"/>
            </w:tblGrid>
            <w:tr w14:paraId="239288A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12" w:space="0"/>
                    <w:left w:val="nil"/>
                    <w:bottom w:val="single" w:color="auto" w:sz="6" w:space="0"/>
                    <w:right w:val="single" w:color="auto" w:sz="6" w:space="0"/>
                    <w:tl2br w:val="single" w:color="auto" w:sz="4" w:space="0"/>
                  </w:tcBorders>
                  <w:vAlign w:val="center"/>
                </w:tcPr>
                <w:p w14:paraId="287C792B">
                  <w:pPr>
                    <w:adjustRightInd w:val="0"/>
                    <w:snapToGrid w:val="0"/>
                    <w:spacing w:line="240" w:lineRule="auto"/>
                    <w:jc w:val="center"/>
                    <w:rPr>
                      <w:color w:val="auto"/>
                      <w:sz w:val="21"/>
                      <w:szCs w:val="21"/>
                      <w:lang w:val="en-GB"/>
                    </w:rPr>
                  </w:pPr>
                  <w:r>
                    <w:rPr>
                      <w:color w:val="auto"/>
                      <w:sz w:val="21"/>
                      <w:szCs w:val="21"/>
                      <w:lang w:val="en-GB"/>
                    </w:rPr>
                    <w:t xml:space="preserve">    排放部位</w:t>
                  </w:r>
                </w:p>
                <w:p w14:paraId="4A411C1F">
                  <w:pPr>
                    <w:adjustRightInd w:val="0"/>
                    <w:snapToGrid w:val="0"/>
                    <w:spacing w:line="240" w:lineRule="auto"/>
                    <w:rPr>
                      <w:color w:val="auto"/>
                      <w:sz w:val="21"/>
                      <w:szCs w:val="21"/>
                      <w:lang w:val="en-GB"/>
                    </w:rPr>
                  </w:pPr>
                  <w:r>
                    <w:rPr>
                      <w:color w:val="auto"/>
                      <w:sz w:val="21"/>
                      <w:szCs w:val="21"/>
                      <w:lang w:val="en-GB"/>
                    </w:rPr>
                    <w:t>项目</w:t>
                  </w:r>
                </w:p>
              </w:tc>
              <w:tc>
                <w:tcPr>
                  <w:tcW w:w="1010" w:type="pct"/>
                  <w:tcBorders>
                    <w:top w:val="single" w:color="auto" w:sz="12" w:space="0"/>
                    <w:left w:val="single" w:color="auto" w:sz="6" w:space="0"/>
                    <w:bottom w:val="single" w:color="auto" w:sz="6" w:space="0"/>
                    <w:right w:val="single" w:color="auto" w:sz="6" w:space="0"/>
                  </w:tcBorders>
                  <w:vAlign w:val="center"/>
                </w:tcPr>
                <w:p w14:paraId="3EE09F43">
                  <w:pPr>
                    <w:adjustRightInd w:val="0"/>
                    <w:snapToGrid w:val="0"/>
                    <w:spacing w:line="240" w:lineRule="auto"/>
                    <w:jc w:val="center"/>
                    <w:rPr>
                      <w:color w:val="auto"/>
                      <w:sz w:val="21"/>
                      <w:szCs w:val="21"/>
                      <w:lang w:val="en-GB"/>
                    </w:rPr>
                  </w:pPr>
                  <w:r>
                    <w:rPr>
                      <w:color w:val="auto"/>
                      <w:sz w:val="21"/>
                      <w:szCs w:val="21"/>
                      <w:lang w:val="en-GB"/>
                    </w:rPr>
                    <w:t>废气排放口</w:t>
                  </w:r>
                </w:p>
              </w:tc>
              <w:tc>
                <w:tcPr>
                  <w:tcW w:w="952" w:type="pct"/>
                  <w:tcBorders>
                    <w:top w:val="single" w:color="auto" w:sz="12" w:space="0"/>
                    <w:left w:val="single" w:color="auto" w:sz="6" w:space="0"/>
                    <w:bottom w:val="single" w:color="auto" w:sz="6" w:space="0"/>
                    <w:right w:val="single" w:color="auto" w:sz="6" w:space="0"/>
                  </w:tcBorders>
                  <w:vAlign w:val="center"/>
                </w:tcPr>
                <w:p w14:paraId="4A4AAA8D">
                  <w:pPr>
                    <w:adjustRightInd w:val="0"/>
                    <w:snapToGrid w:val="0"/>
                    <w:spacing w:line="240" w:lineRule="auto"/>
                    <w:jc w:val="center"/>
                    <w:rPr>
                      <w:color w:val="auto"/>
                      <w:sz w:val="21"/>
                      <w:szCs w:val="21"/>
                      <w:lang w:val="en-GB"/>
                    </w:rPr>
                  </w:pPr>
                  <w:r>
                    <w:rPr>
                      <w:color w:val="auto"/>
                      <w:sz w:val="21"/>
                      <w:szCs w:val="21"/>
                      <w:lang w:val="en-GB"/>
                    </w:rPr>
                    <w:t>噪声排放源</w:t>
                  </w:r>
                </w:p>
              </w:tc>
              <w:tc>
                <w:tcPr>
                  <w:tcW w:w="1068" w:type="pct"/>
                  <w:tcBorders>
                    <w:top w:val="single" w:color="auto" w:sz="12" w:space="0"/>
                    <w:left w:val="single" w:color="auto" w:sz="6" w:space="0"/>
                    <w:bottom w:val="single" w:color="auto" w:sz="6" w:space="0"/>
                    <w:right w:val="nil"/>
                  </w:tcBorders>
                  <w:vAlign w:val="center"/>
                </w:tcPr>
                <w:p w14:paraId="2D7DBB91">
                  <w:pPr>
                    <w:adjustRightInd w:val="0"/>
                    <w:snapToGrid w:val="0"/>
                    <w:spacing w:line="240" w:lineRule="auto"/>
                    <w:jc w:val="center"/>
                    <w:rPr>
                      <w:color w:val="auto"/>
                      <w:sz w:val="21"/>
                      <w:szCs w:val="21"/>
                      <w:lang w:val="en-GB"/>
                    </w:rPr>
                  </w:pPr>
                  <w:r>
                    <w:rPr>
                      <w:color w:val="auto"/>
                      <w:sz w:val="21"/>
                      <w:szCs w:val="21"/>
                      <w:lang w:val="en-GB"/>
                    </w:rPr>
                    <w:t>一般性固废</w:t>
                  </w:r>
                </w:p>
              </w:tc>
              <w:tc>
                <w:tcPr>
                  <w:tcW w:w="952" w:type="pct"/>
                  <w:tcBorders>
                    <w:top w:val="single" w:color="auto" w:sz="12" w:space="0"/>
                    <w:left w:val="single" w:color="auto" w:sz="6" w:space="0"/>
                    <w:bottom w:val="single" w:color="auto" w:sz="6" w:space="0"/>
                    <w:right w:val="nil"/>
                  </w:tcBorders>
                  <w:vAlign w:val="center"/>
                </w:tcPr>
                <w:p w14:paraId="4B916312">
                  <w:pPr>
                    <w:adjustRightInd w:val="0"/>
                    <w:snapToGrid w:val="0"/>
                    <w:spacing w:line="240" w:lineRule="auto"/>
                    <w:jc w:val="center"/>
                    <w:rPr>
                      <w:color w:val="auto"/>
                      <w:sz w:val="21"/>
                      <w:szCs w:val="21"/>
                    </w:rPr>
                  </w:pPr>
                  <w:r>
                    <w:rPr>
                      <w:rFonts w:hint="eastAsia"/>
                      <w:color w:val="auto"/>
                      <w:sz w:val="21"/>
                      <w:szCs w:val="21"/>
                    </w:rPr>
                    <w:t>危险废物</w:t>
                  </w:r>
                </w:p>
              </w:tc>
            </w:tr>
            <w:tr w14:paraId="66AA03B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352" w:hRule="atLeast"/>
                <w:jc w:val="center"/>
              </w:trPr>
              <w:tc>
                <w:tcPr>
                  <w:tcW w:w="1015" w:type="pct"/>
                  <w:tcBorders>
                    <w:top w:val="single" w:color="auto" w:sz="6" w:space="0"/>
                    <w:left w:val="nil"/>
                    <w:bottom w:val="single" w:color="auto" w:sz="6" w:space="0"/>
                    <w:right w:val="single" w:color="auto" w:sz="6" w:space="0"/>
                  </w:tcBorders>
                  <w:vAlign w:val="center"/>
                </w:tcPr>
                <w:p w14:paraId="479028DB">
                  <w:pPr>
                    <w:adjustRightInd w:val="0"/>
                    <w:snapToGrid w:val="0"/>
                    <w:spacing w:line="240" w:lineRule="auto"/>
                    <w:jc w:val="center"/>
                    <w:rPr>
                      <w:color w:val="auto"/>
                      <w:sz w:val="21"/>
                      <w:szCs w:val="21"/>
                      <w:lang w:val="en-GB"/>
                    </w:rPr>
                  </w:pPr>
                  <w:r>
                    <w:rPr>
                      <w:color w:val="auto"/>
                      <w:sz w:val="21"/>
                      <w:szCs w:val="21"/>
                      <w:lang w:val="en-GB"/>
                    </w:rPr>
                    <w:t>图形符号</w:t>
                  </w:r>
                </w:p>
              </w:tc>
              <w:tc>
                <w:tcPr>
                  <w:tcW w:w="1010" w:type="pct"/>
                  <w:tcBorders>
                    <w:top w:val="single" w:color="auto" w:sz="6" w:space="0"/>
                    <w:left w:val="single" w:color="auto" w:sz="6" w:space="0"/>
                    <w:bottom w:val="single" w:color="auto" w:sz="6" w:space="0"/>
                    <w:right w:val="single" w:color="auto" w:sz="6" w:space="0"/>
                  </w:tcBorders>
                  <w:vAlign w:val="center"/>
                </w:tcPr>
                <w:p w14:paraId="007C4562">
                  <w:pPr>
                    <w:adjustRightInd w:val="0"/>
                    <w:snapToGrid w:val="0"/>
                    <w:spacing w:line="240" w:lineRule="auto"/>
                    <w:rPr>
                      <w:color w:val="auto"/>
                      <w:sz w:val="21"/>
                      <w:szCs w:val="21"/>
                      <w:lang w:val="en-GB"/>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53340</wp:posOffset>
                            </wp:positionV>
                            <wp:extent cx="914400" cy="914400"/>
                            <wp:effectExtent l="0" t="0" r="0" b="0"/>
                            <wp:wrapNone/>
                            <wp:docPr id="2" name="文本框 2"/>
                            <wp:cNvGraphicFramePr/>
                            <a:graphic xmlns:a="http://schemas.openxmlformats.org/drawingml/2006/main">
                              <a:graphicData uri="http://schemas.microsoft.com/office/word/2010/wordprocessingShape">
                                <wps:wsp>
                                  <wps:cNvSpPr txBox="1"/>
                                  <wps:spPr>
                                    <a:xfrm>
                                      <a:off x="2842895" y="199517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84619">
                                        <w:r>
                                          <w:rPr>
                                            <w:sz w:val="21"/>
                                            <w:szCs w:val="21"/>
                                          </w:rPr>
                                          <w:drawing>
                                            <wp:inline distT="0" distB="0" distL="114300" distR="114300">
                                              <wp:extent cx="720090" cy="720090"/>
                                              <wp:effectExtent l="0" t="0" r="3810" b="3810"/>
                                              <wp:docPr id="3" name="图片 4288" descr="点击看大图及详细资料"/>
                                              <wp:cNvGraphicFramePr/>
                                              <a:graphic xmlns:a="http://schemas.openxmlformats.org/drawingml/2006/main">
                                                <a:graphicData uri="http://schemas.openxmlformats.org/drawingml/2006/picture">
                                                  <pic:pic xmlns:pic="http://schemas.openxmlformats.org/drawingml/2006/picture">
                                                    <pic:nvPicPr>
                                                      <pic:cNvPr id="3" name="图片 4288" descr="点击看大图及详细资料"/>
                                                      <pic:cNvPicPr/>
                                                    </pic:nvPicPr>
                                                    <pic:blipFill>
                                                      <a:blip r:embed="rId24"/>
                                                      <a:stretch>
                                                        <a:fillRect/>
                                                      </a:stretch>
                                                    </pic:blipFill>
                                                    <pic:spPr>
                                                      <a:xfrm>
                                                        <a:off x="0" y="0"/>
                                                        <a:ext cx="720090"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4.2pt;height:72pt;width:72pt;z-index:251659264;mso-width-relative:page;mso-height-relative:page;" filled="f" stroked="f" coordsize="21600,21600" o:gfxdata="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PVuStoAAAAIAQAADwAAAAAAAAABACAAAAAi&#10;AAAAZHJzL2Rvd25yZXYueG1sUEsBAhQAFAAAAAgAh07iQIgBo5FBAgAAcQQAAA4AAAAAAAAAAQAg&#10;AAAAKQEAAGRycy9lMm9Eb2MueG1sUEsFBgAAAAAGAAYAWQEAANwFAAAAAA==&#10;">
                            <v:fill on="f" focussize="0,0"/>
                            <v:stroke on="f" weight="0.5pt"/>
                            <v:imagedata o:title=""/>
                            <o:lock v:ext="edit" aspectratio="f"/>
                            <v:textbox>
                              <w:txbxContent>
                                <w:p w14:paraId="5C284619">
                                  <w:r>
                                    <w:rPr>
                                      <w:sz w:val="21"/>
                                      <w:szCs w:val="21"/>
                                    </w:rPr>
                                    <w:drawing>
                                      <wp:inline distT="0" distB="0" distL="114300" distR="114300">
                                        <wp:extent cx="720090" cy="720090"/>
                                        <wp:effectExtent l="0" t="0" r="3810" b="3810"/>
                                        <wp:docPr id="3" name="图片 4288" descr="点击看大图及详细资料"/>
                                        <wp:cNvGraphicFramePr/>
                                        <a:graphic xmlns:a="http://schemas.openxmlformats.org/drawingml/2006/main">
                                          <a:graphicData uri="http://schemas.openxmlformats.org/drawingml/2006/picture">
                                            <pic:pic xmlns:pic="http://schemas.openxmlformats.org/drawingml/2006/picture">
                                              <pic:nvPicPr>
                                                <pic:cNvPr id="3" name="图片 4288" descr="点击看大图及详细资料"/>
                                                <pic:cNvPicPr/>
                                              </pic:nvPicPr>
                                              <pic:blipFill>
                                                <a:blip r:embed="rId24"/>
                                                <a:stretch>
                                                  <a:fillRect/>
                                                </a:stretch>
                                              </pic:blipFill>
                                              <pic:spPr>
                                                <a:xfrm>
                                                  <a:off x="0" y="0"/>
                                                  <a:ext cx="720090" cy="720090"/>
                                                </a:xfrm>
                                                <a:prstGeom prst="rect">
                                                  <a:avLst/>
                                                </a:prstGeom>
                                                <a:noFill/>
                                                <a:ln>
                                                  <a:noFill/>
                                                </a:ln>
                                              </pic:spPr>
                                            </pic:pic>
                                          </a:graphicData>
                                        </a:graphic>
                                      </wp:inline>
                                    </w:drawing>
                                  </w:r>
                                </w:p>
                              </w:txbxContent>
                            </v:textbox>
                          </v:shape>
                        </w:pict>
                      </mc:Fallback>
                    </mc:AlternateContent>
                  </w:r>
                </w:p>
              </w:tc>
              <w:tc>
                <w:tcPr>
                  <w:tcW w:w="952" w:type="pct"/>
                  <w:tcBorders>
                    <w:top w:val="single" w:color="auto" w:sz="6" w:space="0"/>
                    <w:left w:val="single" w:color="auto" w:sz="6" w:space="0"/>
                    <w:bottom w:val="single" w:color="auto" w:sz="6" w:space="0"/>
                    <w:right w:val="single" w:color="auto" w:sz="6" w:space="0"/>
                  </w:tcBorders>
                  <w:vAlign w:val="center"/>
                </w:tcPr>
                <w:p w14:paraId="3A7E82B0">
                  <w:pPr>
                    <w:adjustRightInd w:val="0"/>
                    <w:snapToGrid w:val="0"/>
                    <w:spacing w:line="240" w:lineRule="auto"/>
                    <w:jc w:val="center"/>
                    <w:rPr>
                      <w:color w:val="auto"/>
                      <w:sz w:val="21"/>
                      <w:szCs w:val="21"/>
                      <w:lang w:val="en-GB"/>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64770</wp:posOffset>
                            </wp:positionV>
                            <wp:extent cx="914400" cy="7975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214DF">
                                        <w:r>
                                          <w:rPr>
                                            <w:sz w:val="21"/>
                                            <w:szCs w:val="21"/>
                                          </w:rPr>
                                          <w:drawing>
                                            <wp:inline distT="0" distB="0" distL="114300" distR="114300">
                                              <wp:extent cx="720090" cy="721995"/>
                                              <wp:effectExtent l="0" t="0" r="3810" b="1905"/>
                                              <wp:docPr id="8" name="图片 4289" descr="点击看大图及详细资料"/>
                                              <wp:cNvGraphicFramePr/>
                                              <a:graphic xmlns:a="http://schemas.openxmlformats.org/drawingml/2006/main">
                                                <a:graphicData uri="http://schemas.openxmlformats.org/drawingml/2006/picture">
                                                  <pic:pic xmlns:pic="http://schemas.openxmlformats.org/drawingml/2006/picture">
                                                    <pic:nvPicPr>
                                                      <pic:cNvPr id="8" name="图片 4289" descr="点击看大图及详细资料"/>
                                                      <pic:cNvPicPr/>
                                                    </pic:nvPicPr>
                                                    <pic:blipFill>
                                                      <a:blip r:embed="rId25"/>
                                                      <a:stretch>
                                                        <a:fillRect/>
                                                      </a:stretch>
                                                    </pic:blipFill>
                                                    <pic:spPr>
                                                      <a:xfrm>
                                                        <a:off x="0" y="0"/>
                                                        <a:ext cx="720090" cy="721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5.1pt;height:62.8pt;width:72pt;z-index:251660288;mso-width-relative:page;mso-height-relative:page;" filled="f" stroked="f" coordsize="21600,21600" o:gfxdata="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0lkk2QAAAAkBAAAPAAAAAAAAAAEAIAAAACIAAABkcnMv&#10;ZG93bnJldi54bWxQSwECFAAUAAAACACHTuJATTKuNTsCAABnBAAADgAAAAAAAAABACAAAAAoAQAA&#10;ZHJzL2Uyb0RvYy54bWxQSwUGAAAAAAYABgBZAQAA1QUAAAAA&#10;">
                            <v:fill on="f" focussize="0,0"/>
                            <v:stroke on="f" weight="0.5pt"/>
                            <v:imagedata o:title=""/>
                            <o:lock v:ext="edit" aspectratio="f"/>
                            <v:textbox>
                              <w:txbxContent>
                                <w:p w14:paraId="38D214DF">
                                  <w:r>
                                    <w:rPr>
                                      <w:sz w:val="21"/>
                                      <w:szCs w:val="21"/>
                                    </w:rPr>
                                    <w:drawing>
                                      <wp:inline distT="0" distB="0" distL="114300" distR="114300">
                                        <wp:extent cx="720090" cy="721995"/>
                                        <wp:effectExtent l="0" t="0" r="3810" b="1905"/>
                                        <wp:docPr id="8" name="图片 4289" descr="点击看大图及详细资料"/>
                                        <wp:cNvGraphicFramePr/>
                                        <a:graphic xmlns:a="http://schemas.openxmlformats.org/drawingml/2006/main">
                                          <a:graphicData uri="http://schemas.openxmlformats.org/drawingml/2006/picture">
                                            <pic:pic xmlns:pic="http://schemas.openxmlformats.org/drawingml/2006/picture">
                                              <pic:nvPicPr>
                                                <pic:cNvPr id="8" name="图片 4289" descr="点击看大图及详细资料"/>
                                                <pic:cNvPicPr/>
                                              </pic:nvPicPr>
                                              <pic:blipFill>
                                                <a:blip r:embed="rId25"/>
                                                <a:stretch>
                                                  <a:fillRect/>
                                                </a:stretch>
                                              </pic:blipFill>
                                              <pic:spPr>
                                                <a:xfrm>
                                                  <a:off x="0" y="0"/>
                                                  <a:ext cx="720090" cy="721995"/>
                                                </a:xfrm>
                                                <a:prstGeom prst="rect">
                                                  <a:avLst/>
                                                </a:prstGeom>
                                                <a:noFill/>
                                                <a:ln>
                                                  <a:noFill/>
                                                </a:ln>
                                              </pic:spPr>
                                            </pic:pic>
                                          </a:graphicData>
                                        </a:graphic>
                                      </wp:inline>
                                    </w:drawing>
                                  </w:r>
                                </w:p>
                              </w:txbxContent>
                            </v:textbox>
                          </v:shape>
                        </w:pict>
                      </mc:Fallback>
                    </mc:AlternateContent>
                  </w:r>
                </w:p>
              </w:tc>
              <w:tc>
                <w:tcPr>
                  <w:tcW w:w="1068" w:type="pct"/>
                  <w:tcBorders>
                    <w:top w:val="single" w:color="auto" w:sz="6" w:space="0"/>
                    <w:left w:val="single" w:color="auto" w:sz="6" w:space="0"/>
                    <w:bottom w:val="single" w:color="auto" w:sz="6" w:space="0"/>
                    <w:right w:val="nil"/>
                  </w:tcBorders>
                  <w:vAlign w:val="center"/>
                </w:tcPr>
                <w:p w14:paraId="22687BB9">
                  <w:pPr>
                    <w:adjustRightInd w:val="0"/>
                    <w:snapToGrid w:val="0"/>
                    <w:spacing w:line="240" w:lineRule="auto"/>
                    <w:jc w:val="center"/>
                    <w:rPr>
                      <w:color w:val="auto"/>
                      <w:sz w:val="21"/>
                      <w:szCs w:val="21"/>
                      <w:lang w:val="en-GB"/>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67945</wp:posOffset>
                            </wp:positionV>
                            <wp:extent cx="914400" cy="79756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46B97">
                                        <w:r>
                                          <w:rPr>
                                            <w:sz w:val="21"/>
                                            <w:szCs w:val="21"/>
                                          </w:rPr>
                                          <w:drawing>
                                            <wp:inline distT="0" distB="0" distL="114300" distR="114300">
                                              <wp:extent cx="720090" cy="720090"/>
                                              <wp:effectExtent l="0" t="0" r="3810" b="3810"/>
                                              <wp:docPr id="21" name="图片 4290" descr="一般固废"/>
                                              <wp:cNvGraphicFramePr/>
                                              <a:graphic xmlns:a="http://schemas.openxmlformats.org/drawingml/2006/main">
                                                <a:graphicData uri="http://schemas.openxmlformats.org/drawingml/2006/picture">
                                                  <pic:pic xmlns:pic="http://schemas.openxmlformats.org/drawingml/2006/picture">
                                                    <pic:nvPicPr>
                                                      <pic:cNvPr id="21" name="图片 4290" descr="一般固废"/>
                                                      <pic:cNvPicPr preferRelativeResize="0"/>
                                                    </pic:nvPicPr>
                                                    <pic:blipFill>
                                                      <a:blip r:embed="rId26"/>
                                                      <a:stretch>
                                                        <a:fillRect/>
                                                      </a:stretch>
                                                    </pic:blipFill>
                                                    <pic:spPr>
                                                      <a:xfrm>
                                                        <a:off x="0" y="0"/>
                                                        <a:ext cx="720090" cy="720090"/>
                                                      </a:xfrm>
                                                      <a:prstGeom prst="rect">
                                                        <a:avLst/>
                                                      </a:prstGeom>
                                                      <a:noFill/>
                                                      <a:ln>
                                                        <a:noFill/>
                                                      </a:ln>
                                                    </pic:spPr>
                                                  </pic:pic>
                                                </a:graphicData>
                                              </a:graphic>
                                            </wp:inline>
                                          </w:drawing>
                                        </w:r>
                                        <w:r>
                                          <w:rPr>
                                            <w:sz w:val="21"/>
                                            <w:szCs w:val="21"/>
                                          </w:rPr>
                                          <w:drawing>
                                            <wp:inline distT="0" distB="0" distL="114300" distR="114300">
                                              <wp:extent cx="720090" cy="720090"/>
                                              <wp:effectExtent l="0" t="0" r="3810" b="3810"/>
                                              <wp:docPr id="20" name="图片 4290" descr="一般固废"/>
                                              <wp:cNvGraphicFramePr/>
                                              <a:graphic xmlns:a="http://schemas.openxmlformats.org/drawingml/2006/main">
                                                <a:graphicData uri="http://schemas.openxmlformats.org/drawingml/2006/picture">
                                                  <pic:pic xmlns:pic="http://schemas.openxmlformats.org/drawingml/2006/picture">
                                                    <pic:nvPicPr>
                                                      <pic:cNvPr id="20" name="图片 4290" descr="一般固废"/>
                                                      <pic:cNvPicPr preferRelativeResize="0"/>
                                                    </pic:nvPicPr>
                                                    <pic:blipFill>
                                                      <a:blip r:embed="rId26"/>
                                                      <a:stretch>
                                                        <a:fillRect/>
                                                      </a:stretch>
                                                    </pic:blipFill>
                                                    <pic:spPr>
                                                      <a:xfrm>
                                                        <a:off x="0" y="0"/>
                                                        <a:ext cx="720090"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5.35pt;height:62.8pt;width:72pt;z-index:251661312;mso-width-relative:page;mso-height-relative:page;" filled="f" stroked="f" coordsize="21600,21600" o:gfxdata="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0ZQOG2gAAAAkBAAAPAAAAAAAAAAEAIAAAACIAAABkcnMv&#10;ZG93bnJldi54bWxQSwECFAAUAAAACACHTuJA/byCyDoCAABnBAAADgAAAAAAAAABACAAAAApAQAA&#10;ZHJzL2Uyb0RvYy54bWxQSwUGAAAAAAYABgBZAQAA1QUAAAAA&#10;">
                            <v:fill on="f" focussize="0,0"/>
                            <v:stroke on="f" weight="0.5pt"/>
                            <v:imagedata o:title=""/>
                            <o:lock v:ext="edit" aspectratio="f"/>
                            <v:textbox>
                              <w:txbxContent>
                                <w:p w14:paraId="7A346B97">
                                  <w:r>
                                    <w:rPr>
                                      <w:sz w:val="21"/>
                                      <w:szCs w:val="21"/>
                                    </w:rPr>
                                    <w:drawing>
                                      <wp:inline distT="0" distB="0" distL="114300" distR="114300">
                                        <wp:extent cx="720090" cy="720090"/>
                                        <wp:effectExtent l="0" t="0" r="3810" b="3810"/>
                                        <wp:docPr id="21" name="图片 4290" descr="一般固废"/>
                                        <wp:cNvGraphicFramePr/>
                                        <a:graphic xmlns:a="http://schemas.openxmlformats.org/drawingml/2006/main">
                                          <a:graphicData uri="http://schemas.openxmlformats.org/drawingml/2006/picture">
                                            <pic:pic xmlns:pic="http://schemas.openxmlformats.org/drawingml/2006/picture">
                                              <pic:nvPicPr>
                                                <pic:cNvPr id="21" name="图片 4290" descr="一般固废"/>
                                                <pic:cNvPicPr preferRelativeResize="0"/>
                                              </pic:nvPicPr>
                                              <pic:blipFill>
                                                <a:blip r:embed="rId26"/>
                                                <a:stretch>
                                                  <a:fillRect/>
                                                </a:stretch>
                                              </pic:blipFill>
                                              <pic:spPr>
                                                <a:xfrm>
                                                  <a:off x="0" y="0"/>
                                                  <a:ext cx="720090" cy="720090"/>
                                                </a:xfrm>
                                                <a:prstGeom prst="rect">
                                                  <a:avLst/>
                                                </a:prstGeom>
                                                <a:noFill/>
                                                <a:ln>
                                                  <a:noFill/>
                                                </a:ln>
                                              </pic:spPr>
                                            </pic:pic>
                                          </a:graphicData>
                                        </a:graphic>
                                      </wp:inline>
                                    </w:drawing>
                                  </w:r>
                                  <w:r>
                                    <w:rPr>
                                      <w:sz w:val="21"/>
                                      <w:szCs w:val="21"/>
                                    </w:rPr>
                                    <w:drawing>
                                      <wp:inline distT="0" distB="0" distL="114300" distR="114300">
                                        <wp:extent cx="720090" cy="720090"/>
                                        <wp:effectExtent l="0" t="0" r="3810" b="3810"/>
                                        <wp:docPr id="20" name="图片 4290" descr="一般固废"/>
                                        <wp:cNvGraphicFramePr/>
                                        <a:graphic xmlns:a="http://schemas.openxmlformats.org/drawingml/2006/main">
                                          <a:graphicData uri="http://schemas.openxmlformats.org/drawingml/2006/picture">
                                            <pic:pic xmlns:pic="http://schemas.openxmlformats.org/drawingml/2006/picture">
                                              <pic:nvPicPr>
                                                <pic:cNvPr id="20" name="图片 4290" descr="一般固废"/>
                                                <pic:cNvPicPr preferRelativeResize="0"/>
                                              </pic:nvPicPr>
                                              <pic:blipFill>
                                                <a:blip r:embed="rId26"/>
                                                <a:stretch>
                                                  <a:fillRect/>
                                                </a:stretch>
                                              </pic:blipFill>
                                              <pic:spPr>
                                                <a:xfrm>
                                                  <a:off x="0" y="0"/>
                                                  <a:ext cx="720090" cy="720090"/>
                                                </a:xfrm>
                                                <a:prstGeom prst="rect">
                                                  <a:avLst/>
                                                </a:prstGeom>
                                                <a:noFill/>
                                                <a:ln>
                                                  <a:noFill/>
                                                </a:ln>
                                              </pic:spPr>
                                            </pic:pic>
                                          </a:graphicData>
                                        </a:graphic>
                                      </wp:inline>
                                    </w:drawing>
                                  </w:r>
                                </w:p>
                              </w:txbxContent>
                            </v:textbox>
                          </v:shape>
                        </w:pict>
                      </mc:Fallback>
                    </mc:AlternateContent>
                  </w:r>
                </w:p>
              </w:tc>
              <w:tc>
                <w:tcPr>
                  <w:tcW w:w="952" w:type="pct"/>
                  <w:tcBorders>
                    <w:top w:val="single" w:color="auto" w:sz="6" w:space="0"/>
                    <w:left w:val="single" w:color="auto" w:sz="6" w:space="0"/>
                    <w:bottom w:val="single" w:color="auto" w:sz="6" w:space="0"/>
                    <w:right w:val="nil"/>
                  </w:tcBorders>
                  <w:vAlign w:val="center"/>
                </w:tcPr>
                <w:p w14:paraId="1D5F28B9">
                  <w:pPr>
                    <w:adjustRightInd w:val="0"/>
                    <w:snapToGrid w:val="0"/>
                    <w:spacing w:line="240" w:lineRule="auto"/>
                    <w:jc w:val="center"/>
                    <w:rPr>
                      <w:color w:val="auto"/>
                      <w:sz w:val="21"/>
                      <w:szCs w:val="21"/>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47625</wp:posOffset>
                            </wp:positionV>
                            <wp:extent cx="914400" cy="7975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797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0AD22">
                                        <w:r>
                                          <w:rPr>
                                            <w:rFonts w:hint="eastAsia"/>
                                            <w:bCs/>
                                            <w:color w:val="000000"/>
                                          </w:rPr>
                                          <w:drawing>
                                            <wp:inline distT="0" distB="0" distL="114300" distR="114300">
                                              <wp:extent cx="723265" cy="720090"/>
                                              <wp:effectExtent l="0" t="0" r="635" b="3810"/>
                                              <wp:docPr id="11" name="图片 2" descr="093c2d640a89c2c2fc565a102dcd89f"/>
                                              <wp:cNvGraphicFramePr/>
                                              <a:graphic xmlns:a="http://schemas.openxmlformats.org/drawingml/2006/main">
                                                <a:graphicData uri="http://schemas.openxmlformats.org/drawingml/2006/picture">
                                                  <pic:pic xmlns:pic="http://schemas.openxmlformats.org/drawingml/2006/picture">
                                                    <pic:nvPicPr>
                                                      <pic:cNvPr id="11" name="图片 2" descr="093c2d640a89c2c2fc565a102dcd89f"/>
                                                      <pic:cNvPicPr/>
                                                    </pic:nvPicPr>
                                                    <pic:blipFill>
                                                      <a:blip r:embed="rId27"/>
                                                      <a:stretch>
                                                        <a:fillRect/>
                                                      </a:stretch>
                                                    </pic:blipFill>
                                                    <pic:spPr>
                                                      <a:xfrm>
                                                        <a:off x="0" y="0"/>
                                                        <a:ext cx="723265" cy="720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3.75pt;height:62.8pt;width:72pt;z-index:251662336;mso-width-relative:page;mso-height-relative:page;" filled="f" stroked="f" coordsize="21600,21600" o:gfxdata="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cnGS9kAAAAIAQAADwAAAAAAAAABACAAAAAiAAAAZHJz&#10;L2Rvd25yZXYueG1sUEsBAhQAFAAAAAgAh07iQPbO/oQ8AgAAZwQAAA4AAAAAAAAAAQAgAAAAKAEA&#10;AGRycy9lMm9Eb2MueG1sUEsFBgAAAAAGAAYAWQEAANYFAAAAAA==&#10;">
                            <v:fill on="f" focussize="0,0"/>
                            <v:stroke on="f" weight="0.5pt"/>
                            <v:imagedata o:title=""/>
                            <o:lock v:ext="edit" aspectratio="f"/>
                            <v:textbox>
                              <w:txbxContent>
                                <w:p w14:paraId="39A0AD22">
                                  <w:r>
                                    <w:rPr>
                                      <w:rFonts w:hint="eastAsia"/>
                                      <w:bCs/>
                                      <w:color w:val="000000"/>
                                    </w:rPr>
                                    <w:drawing>
                                      <wp:inline distT="0" distB="0" distL="114300" distR="114300">
                                        <wp:extent cx="723265" cy="720090"/>
                                        <wp:effectExtent l="0" t="0" r="635" b="3810"/>
                                        <wp:docPr id="11" name="图片 2" descr="093c2d640a89c2c2fc565a102dcd89f"/>
                                        <wp:cNvGraphicFramePr/>
                                        <a:graphic xmlns:a="http://schemas.openxmlformats.org/drawingml/2006/main">
                                          <a:graphicData uri="http://schemas.openxmlformats.org/drawingml/2006/picture">
                                            <pic:pic xmlns:pic="http://schemas.openxmlformats.org/drawingml/2006/picture">
                                              <pic:nvPicPr>
                                                <pic:cNvPr id="11" name="图片 2" descr="093c2d640a89c2c2fc565a102dcd89f"/>
                                                <pic:cNvPicPr/>
                                              </pic:nvPicPr>
                                              <pic:blipFill>
                                                <a:blip r:embed="rId27"/>
                                                <a:stretch>
                                                  <a:fillRect/>
                                                </a:stretch>
                                              </pic:blipFill>
                                              <pic:spPr>
                                                <a:xfrm>
                                                  <a:off x="0" y="0"/>
                                                  <a:ext cx="723265" cy="720090"/>
                                                </a:xfrm>
                                                <a:prstGeom prst="rect">
                                                  <a:avLst/>
                                                </a:prstGeom>
                                                <a:noFill/>
                                                <a:ln>
                                                  <a:noFill/>
                                                </a:ln>
                                              </pic:spPr>
                                            </pic:pic>
                                          </a:graphicData>
                                        </a:graphic>
                                      </wp:inline>
                                    </w:drawing>
                                  </w:r>
                                </w:p>
                              </w:txbxContent>
                            </v:textbox>
                          </v:shape>
                        </w:pict>
                      </mc:Fallback>
                    </mc:AlternateContent>
                  </w:r>
                </w:p>
              </w:tc>
            </w:tr>
            <w:tr w14:paraId="6DB6664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6" w:space="0"/>
                    <w:right w:val="single" w:color="auto" w:sz="6" w:space="0"/>
                  </w:tcBorders>
                  <w:vAlign w:val="center"/>
                </w:tcPr>
                <w:p w14:paraId="235E7541">
                  <w:pPr>
                    <w:adjustRightInd w:val="0"/>
                    <w:snapToGrid w:val="0"/>
                    <w:spacing w:line="240" w:lineRule="auto"/>
                    <w:jc w:val="center"/>
                    <w:rPr>
                      <w:color w:val="auto"/>
                      <w:sz w:val="21"/>
                      <w:szCs w:val="21"/>
                      <w:lang w:val="en-GB"/>
                    </w:rPr>
                  </w:pPr>
                  <w:r>
                    <w:rPr>
                      <w:color w:val="auto"/>
                      <w:sz w:val="21"/>
                      <w:szCs w:val="21"/>
                      <w:lang w:val="en-GB"/>
                    </w:rPr>
                    <w:t>形状</w:t>
                  </w:r>
                </w:p>
              </w:tc>
              <w:tc>
                <w:tcPr>
                  <w:tcW w:w="1010" w:type="pct"/>
                  <w:tcBorders>
                    <w:top w:val="single" w:color="auto" w:sz="6" w:space="0"/>
                    <w:left w:val="single" w:color="auto" w:sz="6" w:space="0"/>
                    <w:bottom w:val="single" w:color="auto" w:sz="6" w:space="0"/>
                    <w:right w:val="single" w:color="auto" w:sz="6" w:space="0"/>
                  </w:tcBorders>
                  <w:vAlign w:val="center"/>
                </w:tcPr>
                <w:p w14:paraId="79C5014C">
                  <w:pPr>
                    <w:adjustRightInd w:val="0"/>
                    <w:snapToGrid w:val="0"/>
                    <w:spacing w:line="240" w:lineRule="auto"/>
                    <w:jc w:val="center"/>
                    <w:rPr>
                      <w:color w:val="auto"/>
                      <w:sz w:val="21"/>
                      <w:szCs w:val="21"/>
                      <w:lang w:val="en-GB"/>
                    </w:rPr>
                  </w:pPr>
                  <w:r>
                    <w:rPr>
                      <w:color w:val="auto"/>
                      <w:sz w:val="21"/>
                      <w:szCs w:val="21"/>
                      <w:lang w:val="en-GB"/>
                    </w:rPr>
                    <w:t>正方形边框</w:t>
                  </w:r>
                </w:p>
              </w:tc>
              <w:tc>
                <w:tcPr>
                  <w:tcW w:w="952" w:type="pct"/>
                  <w:tcBorders>
                    <w:top w:val="single" w:color="auto" w:sz="6" w:space="0"/>
                    <w:left w:val="single" w:color="auto" w:sz="6" w:space="0"/>
                    <w:bottom w:val="single" w:color="auto" w:sz="6" w:space="0"/>
                    <w:right w:val="single" w:color="auto" w:sz="6" w:space="0"/>
                  </w:tcBorders>
                  <w:vAlign w:val="center"/>
                </w:tcPr>
                <w:p w14:paraId="15CFB3C7">
                  <w:pPr>
                    <w:adjustRightInd w:val="0"/>
                    <w:snapToGrid w:val="0"/>
                    <w:spacing w:line="240" w:lineRule="auto"/>
                    <w:jc w:val="center"/>
                    <w:rPr>
                      <w:color w:val="auto"/>
                      <w:sz w:val="21"/>
                      <w:szCs w:val="21"/>
                      <w:lang w:val="en-GB"/>
                    </w:rPr>
                  </w:pPr>
                  <w:r>
                    <w:rPr>
                      <w:color w:val="auto"/>
                      <w:sz w:val="21"/>
                      <w:szCs w:val="21"/>
                      <w:lang w:val="en-GB"/>
                    </w:rPr>
                    <w:t>正方形边框</w:t>
                  </w:r>
                </w:p>
              </w:tc>
              <w:tc>
                <w:tcPr>
                  <w:tcW w:w="1068" w:type="pct"/>
                  <w:tcBorders>
                    <w:top w:val="single" w:color="auto" w:sz="6" w:space="0"/>
                    <w:left w:val="single" w:color="auto" w:sz="6" w:space="0"/>
                    <w:bottom w:val="single" w:color="auto" w:sz="6" w:space="0"/>
                    <w:right w:val="nil"/>
                  </w:tcBorders>
                  <w:vAlign w:val="center"/>
                </w:tcPr>
                <w:p w14:paraId="5C3093D0">
                  <w:pPr>
                    <w:adjustRightInd w:val="0"/>
                    <w:snapToGrid w:val="0"/>
                    <w:spacing w:line="240" w:lineRule="auto"/>
                    <w:jc w:val="center"/>
                    <w:rPr>
                      <w:color w:val="auto"/>
                      <w:sz w:val="21"/>
                      <w:szCs w:val="21"/>
                      <w:lang w:val="en-GB"/>
                    </w:rPr>
                  </w:pPr>
                  <w:r>
                    <w:rPr>
                      <w:color w:val="auto"/>
                      <w:sz w:val="21"/>
                      <w:szCs w:val="21"/>
                      <w:lang w:val="en-GB"/>
                    </w:rPr>
                    <w:t>三角形边框</w:t>
                  </w:r>
                </w:p>
              </w:tc>
              <w:tc>
                <w:tcPr>
                  <w:tcW w:w="952" w:type="pct"/>
                  <w:tcBorders>
                    <w:top w:val="single" w:color="auto" w:sz="6" w:space="0"/>
                    <w:left w:val="single" w:color="auto" w:sz="6" w:space="0"/>
                    <w:bottom w:val="single" w:color="auto" w:sz="6" w:space="0"/>
                    <w:right w:val="nil"/>
                  </w:tcBorders>
                  <w:vAlign w:val="center"/>
                </w:tcPr>
                <w:p w14:paraId="4EA36715">
                  <w:pPr>
                    <w:pStyle w:val="47"/>
                    <w:spacing w:line="240" w:lineRule="auto"/>
                    <w:rPr>
                      <w:rFonts w:ascii="Tahoma" w:hAnsi="Tahoma"/>
                      <w:bCs/>
                      <w:color w:val="auto"/>
                      <w:kern w:val="0"/>
                      <w:szCs w:val="22"/>
                      <w:lang w:val="en-GB"/>
                    </w:rPr>
                  </w:pPr>
                  <w:r>
                    <w:rPr>
                      <w:bCs/>
                      <w:color w:val="auto"/>
                      <w:lang w:val="en-GB"/>
                    </w:rPr>
                    <w:t>三角形边框</w:t>
                  </w:r>
                </w:p>
              </w:tc>
            </w:tr>
            <w:tr w14:paraId="2A34940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6" w:space="0"/>
                    <w:right w:val="single" w:color="auto" w:sz="6" w:space="0"/>
                  </w:tcBorders>
                  <w:vAlign w:val="center"/>
                </w:tcPr>
                <w:p w14:paraId="097E5683">
                  <w:pPr>
                    <w:adjustRightInd w:val="0"/>
                    <w:snapToGrid w:val="0"/>
                    <w:spacing w:line="240" w:lineRule="auto"/>
                    <w:jc w:val="center"/>
                    <w:rPr>
                      <w:color w:val="auto"/>
                      <w:sz w:val="21"/>
                      <w:szCs w:val="21"/>
                      <w:lang w:val="en-GB"/>
                    </w:rPr>
                  </w:pPr>
                  <w:r>
                    <w:rPr>
                      <w:color w:val="auto"/>
                      <w:sz w:val="21"/>
                      <w:szCs w:val="21"/>
                      <w:lang w:val="en-GB"/>
                    </w:rPr>
                    <w:t>背景颜色</w:t>
                  </w:r>
                </w:p>
              </w:tc>
              <w:tc>
                <w:tcPr>
                  <w:tcW w:w="1010" w:type="pct"/>
                  <w:tcBorders>
                    <w:top w:val="single" w:color="auto" w:sz="6" w:space="0"/>
                    <w:left w:val="single" w:color="auto" w:sz="6" w:space="0"/>
                    <w:bottom w:val="single" w:color="auto" w:sz="6" w:space="0"/>
                    <w:right w:val="single" w:color="auto" w:sz="6" w:space="0"/>
                  </w:tcBorders>
                  <w:vAlign w:val="center"/>
                </w:tcPr>
                <w:p w14:paraId="4EC9935D">
                  <w:pPr>
                    <w:adjustRightInd w:val="0"/>
                    <w:snapToGrid w:val="0"/>
                    <w:spacing w:line="240" w:lineRule="auto"/>
                    <w:jc w:val="center"/>
                    <w:rPr>
                      <w:color w:val="auto"/>
                      <w:sz w:val="21"/>
                      <w:szCs w:val="21"/>
                      <w:lang w:val="en-GB"/>
                    </w:rPr>
                  </w:pPr>
                  <w:r>
                    <w:rPr>
                      <w:color w:val="auto"/>
                      <w:sz w:val="21"/>
                      <w:szCs w:val="21"/>
                      <w:lang w:val="en-GB"/>
                    </w:rPr>
                    <w:t>绿色</w:t>
                  </w:r>
                </w:p>
              </w:tc>
              <w:tc>
                <w:tcPr>
                  <w:tcW w:w="952" w:type="pct"/>
                  <w:tcBorders>
                    <w:top w:val="single" w:color="auto" w:sz="6" w:space="0"/>
                    <w:left w:val="single" w:color="auto" w:sz="6" w:space="0"/>
                    <w:bottom w:val="single" w:color="auto" w:sz="6" w:space="0"/>
                    <w:right w:val="single" w:color="auto" w:sz="6" w:space="0"/>
                  </w:tcBorders>
                  <w:vAlign w:val="center"/>
                </w:tcPr>
                <w:p w14:paraId="26274455">
                  <w:pPr>
                    <w:adjustRightInd w:val="0"/>
                    <w:snapToGrid w:val="0"/>
                    <w:spacing w:line="240" w:lineRule="auto"/>
                    <w:jc w:val="center"/>
                    <w:rPr>
                      <w:color w:val="auto"/>
                      <w:sz w:val="21"/>
                      <w:szCs w:val="21"/>
                      <w:lang w:val="en-GB"/>
                    </w:rPr>
                  </w:pPr>
                  <w:r>
                    <w:rPr>
                      <w:color w:val="auto"/>
                      <w:sz w:val="21"/>
                      <w:szCs w:val="21"/>
                      <w:lang w:val="en-GB"/>
                    </w:rPr>
                    <w:t>绿色</w:t>
                  </w:r>
                </w:p>
              </w:tc>
              <w:tc>
                <w:tcPr>
                  <w:tcW w:w="1068" w:type="pct"/>
                  <w:tcBorders>
                    <w:top w:val="single" w:color="auto" w:sz="6" w:space="0"/>
                    <w:left w:val="single" w:color="auto" w:sz="6" w:space="0"/>
                    <w:bottom w:val="single" w:color="auto" w:sz="6" w:space="0"/>
                    <w:right w:val="nil"/>
                  </w:tcBorders>
                  <w:vAlign w:val="center"/>
                </w:tcPr>
                <w:p w14:paraId="4B7539C9">
                  <w:pPr>
                    <w:adjustRightInd w:val="0"/>
                    <w:snapToGrid w:val="0"/>
                    <w:spacing w:line="240" w:lineRule="auto"/>
                    <w:jc w:val="center"/>
                    <w:rPr>
                      <w:color w:val="auto"/>
                      <w:sz w:val="21"/>
                      <w:szCs w:val="21"/>
                      <w:lang w:val="en-GB"/>
                    </w:rPr>
                  </w:pPr>
                  <w:r>
                    <w:rPr>
                      <w:color w:val="auto"/>
                      <w:sz w:val="21"/>
                      <w:szCs w:val="21"/>
                      <w:lang w:val="en-GB"/>
                    </w:rPr>
                    <w:t>黄色</w:t>
                  </w:r>
                </w:p>
              </w:tc>
              <w:tc>
                <w:tcPr>
                  <w:tcW w:w="952" w:type="pct"/>
                  <w:tcBorders>
                    <w:top w:val="single" w:color="auto" w:sz="6" w:space="0"/>
                    <w:left w:val="single" w:color="auto" w:sz="6" w:space="0"/>
                    <w:bottom w:val="single" w:color="auto" w:sz="6" w:space="0"/>
                    <w:right w:val="nil"/>
                  </w:tcBorders>
                  <w:vAlign w:val="center"/>
                </w:tcPr>
                <w:p w14:paraId="6B36A3BE">
                  <w:pPr>
                    <w:pStyle w:val="47"/>
                    <w:spacing w:line="240" w:lineRule="auto"/>
                    <w:rPr>
                      <w:rFonts w:ascii="Tahoma" w:hAnsi="Tahoma"/>
                      <w:bCs/>
                      <w:color w:val="auto"/>
                      <w:kern w:val="0"/>
                      <w:szCs w:val="22"/>
                      <w:lang w:val="en-GB"/>
                    </w:rPr>
                  </w:pPr>
                  <w:r>
                    <w:rPr>
                      <w:bCs/>
                      <w:color w:val="auto"/>
                      <w:lang w:val="en-GB"/>
                    </w:rPr>
                    <w:t>黄色</w:t>
                  </w:r>
                </w:p>
              </w:tc>
            </w:tr>
            <w:tr w14:paraId="623566B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15" w:type="pct"/>
                  <w:tcBorders>
                    <w:top w:val="single" w:color="auto" w:sz="6" w:space="0"/>
                    <w:left w:val="nil"/>
                    <w:bottom w:val="single" w:color="auto" w:sz="12" w:space="0"/>
                    <w:right w:val="single" w:color="auto" w:sz="6" w:space="0"/>
                  </w:tcBorders>
                  <w:vAlign w:val="center"/>
                </w:tcPr>
                <w:p w14:paraId="3E20A372">
                  <w:pPr>
                    <w:adjustRightInd w:val="0"/>
                    <w:snapToGrid w:val="0"/>
                    <w:spacing w:line="240" w:lineRule="auto"/>
                    <w:jc w:val="center"/>
                    <w:rPr>
                      <w:color w:val="auto"/>
                      <w:sz w:val="21"/>
                      <w:szCs w:val="21"/>
                      <w:lang w:val="en-GB"/>
                    </w:rPr>
                  </w:pPr>
                  <w:r>
                    <w:rPr>
                      <w:color w:val="auto"/>
                      <w:sz w:val="21"/>
                      <w:szCs w:val="21"/>
                      <w:lang w:val="en-GB"/>
                    </w:rPr>
                    <w:t>图形颜色</w:t>
                  </w:r>
                </w:p>
              </w:tc>
              <w:tc>
                <w:tcPr>
                  <w:tcW w:w="1010" w:type="pct"/>
                  <w:tcBorders>
                    <w:top w:val="single" w:color="auto" w:sz="6" w:space="0"/>
                    <w:left w:val="single" w:color="auto" w:sz="6" w:space="0"/>
                    <w:bottom w:val="single" w:color="auto" w:sz="12" w:space="0"/>
                    <w:right w:val="single" w:color="auto" w:sz="6" w:space="0"/>
                  </w:tcBorders>
                  <w:vAlign w:val="center"/>
                </w:tcPr>
                <w:p w14:paraId="052B1566">
                  <w:pPr>
                    <w:adjustRightInd w:val="0"/>
                    <w:snapToGrid w:val="0"/>
                    <w:spacing w:line="240" w:lineRule="auto"/>
                    <w:jc w:val="center"/>
                    <w:rPr>
                      <w:color w:val="auto"/>
                      <w:sz w:val="21"/>
                      <w:szCs w:val="21"/>
                      <w:lang w:val="en-GB"/>
                    </w:rPr>
                  </w:pPr>
                  <w:r>
                    <w:rPr>
                      <w:color w:val="auto"/>
                      <w:sz w:val="21"/>
                      <w:szCs w:val="21"/>
                      <w:lang w:val="en-GB"/>
                    </w:rPr>
                    <w:t>白色</w:t>
                  </w:r>
                </w:p>
              </w:tc>
              <w:tc>
                <w:tcPr>
                  <w:tcW w:w="952" w:type="pct"/>
                  <w:tcBorders>
                    <w:top w:val="single" w:color="auto" w:sz="6" w:space="0"/>
                    <w:left w:val="single" w:color="auto" w:sz="6" w:space="0"/>
                    <w:bottom w:val="single" w:color="auto" w:sz="12" w:space="0"/>
                    <w:right w:val="single" w:color="auto" w:sz="6" w:space="0"/>
                  </w:tcBorders>
                  <w:vAlign w:val="center"/>
                </w:tcPr>
                <w:p w14:paraId="60E09A62">
                  <w:pPr>
                    <w:adjustRightInd w:val="0"/>
                    <w:snapToGrid w:val="0"/>
                    <w:spacing w:line="240" w:lineRule="auto"/>
                    <w:jc w:val="center"/>
                    <w:rPr>
                      <w:color w:val="auto"/>
                      <w:sz w:val="21"/>
                      <w:szCs w:val="21"/>
                      <w:lang w:val="en-GB"/>
                    </w:rPr>
                  </w:pPr>
                  <w:r>
                    <w:rPr>
                      <w:color w:val="auto"/>
                      <w:sz w:val="21"/>
                      <w:szCs w:val="21"/>
                      <w:lang w:val="en-GB"/>
                    </w:rPr>
                    <w:t>白色</w:t>
                  </w:r>
                </w:p>
              </w:tc>
              <w:tc>
                <w:tcPr>
                  <w:tcW w:w="1068" w:type="pct"/>
                  <w:tcBorders>
                    <w:top w:val="single" w:color="auto" w:sz="6" w:space="0"/>
                    <w:left w:val="single" w:color="auto" w:sz="6" w:space="0"/>
                    <w:bottom w:val="single" w:color="auto" w:sz="12" w:space="0"/>
                    <w:right w:val="nil"/>
                  </w:tcBorders>
                  <w:vAlign w:val="center"/>
                </w:tcPr>
                <w:p w14:paraId="238F8183">
                  <w:pPr>
                    <w:adjustRightInd w:val="0"/>
                    <w:snapToGrid w:val="0"/>
                    <w:spacing w:line="240" w:lineRule="auto"/>
                    <w:jc w:val="center"/>
                    <w:rPr>
                      <w:color w:val="auto"/>
                      <w:sz w:val="21"/>
                      <w:szCs w:val="21"/>
                      <w:lang w:val="en-GB"/>
                    </w:rPr>
                  </w:pPr>
                  <w:r>
                    <w:rPr>
                      <w:color w:val="auto"/>
                      <w:sz w:val="21"/>
                      <w:szCs w:val="21"/>
                      <w:lang w:val="en-GB"/>
                    </w:rPr>
                    <w:t>黑色</w:t>
                  </w:r>
                </w:p>
              </w:tc>
              <w:tc>
                <w:tcPr>
                  <w:tcW w:w="952" w:type="pct"/>
                  <w:tcBorders>
                    <w:top w:val="single" w:color="auto" w:sz="6" w:space="0"/>
                    <w:left w:val="single" w:color="auto" w:sz="6" w:space="0"/>
                    <w:bottom w:val="single" w:color="auto" w:sz="12" w:space="0"/>
                    <w:right w:val="nil"/>
                  </w:tcBorders>
                  <w:vAlign w:val="center"/>
                </w:tcPr>
                <w:p w14:paraId="5368453F">
                  <w:pPr>
                    <w:pStyle w:val="47"/>
                    <w:spacing w:line="240" w:lineRule="auto"/>
                    <w:rPr>
                      <w:rFonts w:ascii="Tahoma" w:hAnsi="Tahoma"/>
                      <w:bCs/>
                      <w:color w:val="auto"/>
                      <w:kern w:val="0"/>
                      <w:szCs w:val="22"/>
                      <w:lang w:val="en-GB"/>
                    </w:rPr>
                  </w:pPr>
                  <w:r>
                    <w:rPr>
                      <w:bCs/>
                      <w:color w:val="auto"/>
                      <w:lang w:val="en-GB"/>
                    </w:rPr>
                    <w:t>黑色</w:t>
                  </w:r>
                </w:p>
              </w:tc>
            </w:tr>
          </w:tbl>
          <w:p w14:paraId="35B34D3B">
            <w:pPr>
              <w:adjustRightInd w:val="0"/>
              <w:snapToGrid w:val="0"/>
              <w:spacing w:line="288" w:lineRule="auto"/>
              <w:ind w:firstLine="422" w:firstLineChars="200"/>
              <w:jc w:val="left"/>
              <w:rPr>
                <w:b/>
                <w:bCs/>
                <w:color w:val="auto"/>
                <w:sz w:val="21"/>
                <w:szCs w:val="21"/>
              </w:rPr>
            </w:pPr>
            <w:bookmarkStart w:id="14" w:name="_Toc24814499"/>
            <w:r>
              <w:rPr>
                <w:b/>
                <w:bCs/>
                <w:color w:val="auto"/>
                <w:sz w:val="21"/>
                <w:szCs w:val="21"/>
              </w:rPr>
              <w:t>（2）排污申报</w:t>
            </w:r>
          </w:p>
          <w:p w14:paraId="3AA6B1D7">
            <w:pPr>
              <w:adjustRightInd w:val="0"/>
              <w:snapToGrid w:val="0"/>
              <w:spacing w:line="288" w:lineRule="auto"/>
              <w:ind w:firstLine="420" w:firstLineChars="200"/>
              <w:rPr>
                <w:color w:val="auto"/>
                <w:sz w:val="21"/>
                <w:szCs w:val="21"/>
              </w:rPr>
            </w:pPr>
            <w:r>
              <w:rPr>
                <w:color w:val="auto"/>
                <w:sz w:val="21"/>
                <w:szCs w:val="21"/>
              </w:rPr>
              <w:t>根据《固定污染源排污许可分类管理名录（2019年版</w:t>
            </w:r>
            <w:r>
              <w:rPr>
                <w:rFonts w:hint="eastAsia"/>
                <w:color w:val="auto"/>
                <w:sz w:val="21"/>
                <w:szCs w:val="21"/>
              </w:rPr>
              <w:t>）</w:t>
            </w:r>
            <w:r>
              <w:rPr>
                <w:color w:val="auto"/>
                <w:sz w:val="21"/>
                <w:szCs w:val="21"/>
              </w:rPr>
              <w:t>》（生态环境部第11号</w:t>
            </w:r>
            <w:r>
              <w:rPr>
                <w:rFonts w:hint="eastAsia"/>
                <w:color w:val="auto"/>
                <w:sz w:val="21"/>
                <w:szCs w:val="21"/>
              </w:rPr>
              <w:t>）</w:t>
            </w:r>
            <w:r>
              <w:rPr>
                <w:color w:val="auto"/>
                <w:sz w:val="21"/>
                <w:szCs w:val="21"/>
              </w:rPr>
              <w:t>可知，不涉及通用工序简化管理的。本项目应当进行登记管理。</w:t>
            </w:r>
          </w:p>
          <w:p w14:paraId="2801640B">
            <w:pPr>
              <w:pStyle w:val="9"/>
              <w:spacing w:line="240" w:lineRule="auto"/>
              <w:ind w:firstLine="0"/>
              <w:jc w:val="center"/>
              <w:rPr>
                <w:rFonts w:eastAsia="宋体"/>
                <w:b/>
                <w:bCs/>
                <w:color w:val="auto"/>
                <w:sz w:val="21"/>
                <w:szCs w:val="21"/>
              </w:rPr>
            </w:pPr>
            <w:r>
              <w:rPr>
                <w:rFonts w:eastAsia="宋体"/>
                <w:b/>
                <w:bCs/>
                <w:color w:val="auto"/>
                <w:sz w:val="21"/>
                <w:szCs w:val="21"/>
              </w:rPr>
              <w:t>表5.1-2</w:t>
            </w:r>
            <w:r>
              <w:rPr>
                <w:rFonts w:hint="eastAsia" w:eastAsia="宋体"/>
                <w:b/>
                <w:bCs/>
                <w:color w:val="auto"/>
                <w:sz w:val="21"/>
                <w:szCs w:val="21"/>
              </w:rPr>
              <w:t xml:space="preserve"> </w:t>
            </w:r>
            <w:r>
              <w:rPr>
                <w:rFonts w:eastAsia="宋体"/>
                <w:b/>
                <w:bCs/>
                <w:color w:val="auto"/>
                <w:sz w:val="21"/>
                <w:szCs w:val="21"/>
              </w:rPr>
              <w:t xml:space="preserve"> 固定污染源排污许可分类管理名录（摘录</w:t>
            </w:r>
            <w:r>
              <w:rPr>
                <w:rFonts w:hint="eastAsia" w:eastAsia="宋体"/>
                <w:b/>
                <w:bCs/>
                <w:color w:val="auto"/>
                <w:sz w:val="21"/>
                <w:szCs w:val="21"/>
              </w:rPr>
              <w:t>）</w:t>
            </w:r>
          </w:p>
          <w:tbl>
            <w:tblPr>
              <w:tblStyle w:val="31"/>
              <w:tblW w:w="76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2349"/>
              <w:gridCol w:w="1459"/>
              <w:gridCol w:w="1967"/>
              <w:gridCol w:w="1341"/>
            </w:tblGrid>
            <w:tr w14:paraId="0E56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top w:val="single" w:color="auto" w:sz="12" w:space="0"/>
                    <w:left w:val="nil"/>
                    <w:bottom w:val="single" w:color="auto" w:sz="4" w:space="0"/>
                  </w:tcBorders>
                  <w:vAlign w:val="center"/>
                </w:tcPr>
                <w:p w14:paraId="5867B2CA">
                  <w:pPr>
                    <w:adjustRightInd w:val="0"/>
                    <w:snapToGrid w:val="0"/>
                    <w:spacing w:line="240" w:lineRule="auto"/>
                    <w:jc w:val="center"/>
                    <w:rPr>
                      <w:color w:val="auto"/>
                      <w:kern w:val="0"/>
                      <w:sz w:val="21"/>
                      <w:szCs w:val="20"/>
                    </w:rPr>
                  </w:pPr>
                  <w:r>
                    <w:rPr>
                      <w:rFonts w:hint="eastAsia"/>
                      <w:color w:val="auto"/>
                      <w:kern w:val="0"/>
                      <w:sz w:val="21"/>
                      <w:szCs w:val="20"/>
                    </w:rPr>
                    <w:t>序号</w:t>
                  </w:r>
                </w:p>
              </w:tc>
              <w:tc>
                <w:tcPr>
                  <w:tcW w:w="2349" w:type="dxa"/>
                  <w:tcBorders>
                    <w:top w:val="single" w:color="auto" w:sz="12" w:space="0"/>
                    <w:bottom w:val="single" w:color="auto" w:sz="4" w:space="0"/>
                  </w:tcBorders>
                  <w:vAlign w:val="center"/>
                </w:tcPr>
                <w:p w14:paraId="1D42E373">
                  <w:pPr>
                    <w:adjustRightInd w:val="0"/>
                    <w:snapToGrid w:val="0"/>
                    <w:spacing w:line="240" w:lineRule="auto"/>
                    <w:jc w:val="center"/>
                    <w:rPr>
                      <w:color w:val="auto"/>
                      <w:kern w:val="0"/>
                      <w:sz w:val="21"/>
                      <w:szCs w:val="20"/>
                    </w:rPr>
                  </w:pPr>
                  <w:r>
                    <w:rPr>
                      <w:rFonts w:hint="eastAsia"/>
                      <w:color w:val="auto"/>
                      <w:kern w:val="0"/>
                      <w:sz w:val="21"/>
                      <w:szCs w:val="20"/>
                    </w:rPr>
                    <w:t>行业类别</w:t>
                  </w:r>
                </w:p>
              </w:tc>
              <w:tc>
                <w:tcPr>
                  <w:tcW w:w="1459" w:type="dxa"/>
                  <w:tcBorders>
                    <w:top w:val="single" w:color="auto" w:sz="12" w:space="0"/>
                    <w:bottom w:val="single" w:color="auto" w:sz="4" w:space="0"/>
                  </w:tcBorders>
                  <w:vAlign w:val="center"/>
                </w:tcPr>
                <w:p w14:paraId="2A1C741E">
                  <w:pPr>
                    <w:adjustRightInd w:val="0"/>
                    <w:snapToGrid w:val="0"/>
                    <w:spacing w:line="240" w:lineRule="auto"/>
                    <w:jc w:val="center"/>
                    <w:rPr>
                      <w:color w:val="auto"/>
                      <w:kern w:val="0"/>
                      <w:sz w:val="21"/>
                      <w:szCs w:val="20"/>
                    </w:rPr>
                  </w:pPr>
                  <w:r>
                    <w:rPr>
                      <w:rFonts w:hint="eastAsia"/>
                      <w:color w:val="auto"/>
                      <w:kern w:val="0"/>
                      <w:sz w:val="21"/>
                      <w:szCs w:val="20"/>
                    </w:rPr>
                    <w:t>重点管理</w:t>
                  </w:r>
                </w:p>
              </w:tc>
              <w:tc>
                <w:tcPr>
                  <w:tcW w:w="1967" w:type="dxa"/>
                  <w:tcBorders>
                    <w:top w:val="single" w:color="auto" w:sz="12" w:space="0"/>
                    <w:bottom w:val="single" w:color="auto" w:sz="4" w:space="0"/>
                  </w:tcBorders>
                  <w:vAlign w:val="center"/>
                </w:tcPr>
                <w:p w14:paraId="209F655D">
                  <w:pPr>
                    <w:adjustRightInd w:val="0"/>
                    <w:snapToGrid w:val="0"/>
                    <w:spacing w:line="240" w:lineRule="auto"/>
                    <w:jc w:val="center"/>
                    <w:rPr>
                      <w:color w:val="auto"/>
                      <w:kern w:val="0"/>
                      <w:sz w:val="21"/>
                      <w:szCs w:val="20"/>
                    </w:rPr>
                  </w:pPr>
                  <w:r>
                    <w:rPr>
                      <w:rFonts w:hint="eastAsia"/>
                      <w:color w:val="auto"/>
                      <w:kern w:val="0"/>
                      <w:sz w:val="21"/>
                      <w:szCs w:val="20"/>
                    </w:rPr>
                    <w:t>简化管理</w:t>
                  </w:r>
                </w:p>
              </w:tc>
              <w:tc>
                <w:tcPr>
                  <w:tcW w:w="1341" w:type="dxa"/>
                  <w:tcBorders>
                    <w:top w:val="single" w:color="auto" w:sz="12" w:space="0"/>
                    <w:bottom w:val="single" w:color="auto" w:sz="4" w:space="0"/>
                    <w:right w:val="nil"/>
                  </w:tcBorders>
                  <w:shd w:val="clear" w:color="D7D7D7" w:fill="A4A4A4"/>
                  <w:vAlign w:val="center"/>
                </w:tcPr>
                <w:p w14:paraId="1E0058AF">
                  <w:pPr>
                    <w:adjustRightInd w:val="0"/>
                    <w:snapToGrid w:val="0"/>
                    <w:spacing w:line="240" w:lineRule="auto"/>
                    <w:jc w:val="center"/>
                    <w:rPr>
                      <w:color w:val="auto"/>
                      <w:kern w:val="0"/>
                      <w:sz w:val="21"/>
                      <w:szCs w:val="20"/>
                    </w:rPr>
                  </w:pPr>
                  <w:r>
                    <w:rPr>
                      <w:rFonts w:hint="eastAsia"/>
                      <w:color w:val="auto"/>
                      <w:kern w:val="0"/>
                      <w:sz w:val="21"/>
                      <w:szCs w:val="20"/>
                    </w:rPr>
                    <w:t>登记管理</w:t>
                  </w:r>
                </w:p>
              </w:tc>
            </w:tr>
            <w:tr w14:paraId="07D2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84" w:type="dxa"/>
                  <w:gridSpan w:val="5"/>
                  <w:tcBorders>
                    <w:top w:val="single" w:color="auto" w:sz="4" w:space="0"/>
                    <w:left w:val="nil"/>
                    <w:right w:val="nil"/>
                  </w:tcBorders>
                  <w:shd w:val="clear" w:color="D7D7D7" w:fill="A4A4A4"/>
                  <w:vAlign w:val="center"/>
                </w:tcPr>
                <w:p w14:paraId="39839407">
                  <w:pPr>
                    <w:adjustRightInd w:val="0"/>
                    <w:snapToGrid w:val="0"/>
                    <w:spacing w:line="240" w:lineRule="auto"/>
                    <w:jc w:val="left"/>
                    <w:rPr>
                      <w:color w:val="auto"/>
                      <w:kern w:val="0"/>
                      <w:sz w:val="21"/>
                      <w:szCs w:val="20"/>
                    </w:rPr>
                  </w:pPr>
                  <w:r>
                    <w:rPr>
                      <w:rFonts w:hint="eastAsia"/>
                      <w:color w:val="auto"/>
                      <w:kern w:val="0"/>
                      <w:sz w:val="21"/>
                      <w:szCs w:val="20"/>
                    </w:rPr>
                    <w:t>二十四、橡胶和塑料制品业29</w:t>
                  </w:r>
                </w:p>
              </w:tc>
            </w:tr>
            <w:tr w14:paraId="0618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tcBorders>
                  <w:vAlign w:val="center"/>
                </w:tcPr>
                <w:p w14:paraId="3971B12B">
                  <w:pPr>
                    <w:adjustRightInd w:val="0"/>
                    <w:snapToGrid w:val="0"/>
                    <w:spacing w:line="240" w:lineRule="auto"/>
                    <w:jc w:val="center"/>
                    <w:rPr>
                      <w:color w:val="auto"/>
                      <w:kern w:val="0"/>
                      <w:sz w:val="21"/>
                      <w:szCs w:val="20"/>
                    </w:rPr>
                  </w:pPr>
                  <w:r>
                    <w:rPr>
                      <w:rFonts w:hint="eastAsia"/>
                      <w:color w:val="auto"/>
                      <w:kern w:val="0"/>
                      <w:sz w:val="21"/>
                      <w:szCs w:val="20"/>
                    </w:rPr>
                    <w:t>62</w:t>
                  </w:r>
                </w:p>
              </w:tc>
              <w:tc>
                <w:tcPr>
                  <w:tcW w:w="2349" w:type="dxa"/>
                  <w:vAlign w:val="center"/>
                </w:tcPr>
                <w:p w14:paraId="59A69683">
                  <w:pPr>
                    <w:adjustRightInd w:val="0"/>
                    <w:snapToGrid w:val="0"/>
                    <w:spacing w:line="240" w:lineRule="auto"/>
                    <w:jc w:val="center"/>
                    <w:rPr>
                      <w:color w:val="auto"/>
                      <w:kern w:val="0"/>
                      <w:sz w:val="21"/>
                      <w:szCs w:val="20"/>
                    </w:rPr>
                  </w:pPr>
                  <w:r>
                    <w:rPr>
                      <w:rFonts w:hint="eastAsia"/>
                      <w:color w:val="auto"/>
                      <w:kern w:val="0"/>
                      <w:sz w:val="21"/>
                      <w:szCs w:val="20"/>
                    </w:rPr>
                    <w:t>塑料制品业292</w:t>
                  </w:r>
                </w:p>
              </w:tc>
              <w:tc>
                <w:tcPr>
                  <w:tcW w:w="1459" w:type="dxa"/>
                  <w:vAlign w:val="center"/>
                </w:tcPr>
                <w:p w14:paraId="66E8FBE6">
                  <w:pPr>
                    <w:adjustRightInd w:val="0"/>
                    <w:snapToGrid w:val="0"/>
                    <w:spacing w:line="240" w:lineRule="auto"/>
                    <w:jc w:val="center"/>
                    <w:rPr>
                      <w:color w:val="auto"/>
                      <w:kern w:val="0"/>
                      <w:sz w:val="21"/>
                      <w:szCs w:val="20"/>
                    </w:rPr>
                  </w:pPr>
                  <w:r>
                    <w:rPr>
                      <w:rFonts w:hint="eastAsia"/>
                      <w:color w:val="auto"/>
                      <w:kern w:val="0"/>
                      <w:sz w:val="21"/>
                      <w:szCs w:val="20"/>
                    </w:rPr>
                    <w:t>塑料人造革、合成革制造2925</w:t>
                  </w:r>
                </w:p>
              </w:tc>
              <w:tc>
                <w:tcPr>
                  <w:tcW w:w="1967" w:type="dxa"/>
                  <w:vAlign w:val="center"/>
                </w:tcPr>
                <w:p w14:paraId="13149E5E">
                  <w:pPr>
                    <w:adjustRightInd w:val="0"/>
                    <w:snapToGrid w:val="0"/>
                    <w:spacing w:line="240" w:lineRule="auto"/>
                    <w:jc w:val="center"/>
                    <w:rPr>
                      <w:color w:val="auto"/>
                      <w:kern w:val="0"/>
                      <w:sz w:val="21"/>
                      <w:szCs w:val="20"/>
                    </w:rPr>
                  </w:pPr>
                  <w:r>
                    <w:rPr>
                      <w:color w:val="auto"/>
                      <w:kern w:val="0"/>
                      <w:sz w:val="21"/>
                      <w:szCs w:val="20"/>
                    </w:rPr>
                    <w:t>年产1万吨及以上的泡沫塑料制造2924</w:t>
                  </w:r>
                  <w:r>
                    <w:rPr>
                      <w:rFonts w:hint="eastAsia"/>
                      <w:color w:val="auto"/>
                      <w:kern w:val="0"/>
                      <w:sz w:val="21"/>
                      <w:szCs w:val="20"/>
                    </w:rPr>
                    <w:t>，</w:t>
                  </w:r>
                  <w:r>
                    <w:rPr>
                      <w:color w:val="auto"/>
                      <w:kern w:val="0"/>
                      <w:sz w:val="21"/>
                      <w:szCs w:val="20"/>
                    </w:rPr>
                    <w:t>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1341" w:type="dxa"/>
                  <w:tcBorders>
                    <w:right w:val="nil"/>
                  </w:tcBorders>
                  <w:shd w:val="clear" w:color="D7D7D7" w:fill="A4A4A4" w:themeFill="background1" w:themeFillShade="A5"/>
                  <w:vAlign w:val="center"/>
                </w:tcPr>
                <w:p w14:paraId="190C40A3">
                  <w:pPr>
                    <w:adjustRightInd w:val="0"/>
                    <w:snapToGrid w:val="0"/>
                    <w:spacing w:line="240" w:lineRule="auto"/>
                    <w:jc w:val="center"/>
                    <w:rPr>
                      <w:color w:val="auto"/>
                      <w:kern w:val="0"/>
                      <w:sz w:val="21"/>
                      <w:szCs w:val="20"/>
                    </w:rPr>
                  </w:pPr>
                  <w:r>
                    <w:rPr>
                      <w:rFonts w:hint="eastAsia"/>
                      <w:color w:val="auto"/>
                      <w:kern w:val="0"/>
                      <w:sz w:val="21"/>
                      <w:szCs w:val="20"/>
                    </w:rPr>
                    <w:t>其他</w:t>
                  </w:r>
                </w:p>
              </w:tc>
            </w:tr>
            <w:tr w14:paraId="062A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684" w:type="dxa"/>
                  <w:gridSpan w:val="5"/>
                  <w:tcBorders>
                    <w:left w:val="nil"/>
                    <w:right w:val="nil"/>
                  </w:tcBorders>
                  <w:shd w:val="clear" w:color="auto" w:fill="A4A4A4"/>
                  <w:vAlign w:val="center"/>
                </w:tcPr>
                <w:p w14:paraId="705EF6AD">
                  <w:pPr>
                    <w:adjustRightInd w:val="0"/>
                    <w:snapToGrid w:val="0"/>
                    <w:spacing w:line="240" w:lineRule="auto"/>
                    <w:jc w:val="left"/>
                    <w:rPr>
                      <w:color w:val="auto"/>
                      <w:kern w:val="0"/>
                      <w:sz w:val="21"/>
                      <w:szCs w:val="20"/>
                    </w:rPr>
                  </w:pPr>
                  <w:r>
                    <w:rPr>
                      <w:rFonts w:hint="eastAsia"/>
                      <w:color w:val="auto"/>
                      <w:kern w:val="0"/>
                      <w:sz w:val="21"/>
                      <w:szCs w:val="20"/>
                    </w:rPr>
                    <w:t>三十、金属制品业33</w:t>
                  </w:r>
                </w:p>
              </w:tc>
            </w:tr>
            <w:tr w14:paraId="1D85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tcBorders>
                    <w:left w:val="nil"/>
                    <w:bottom w:val="single" w:color="auto" w:sz="12" w:space="0"/>
                  </w:tcBorders>
                  <w:vAlign w:val="center"/>
                </w:tcPr>
                <w:p w14:paraId="1F0F8929">
                  <w:pPr>
                    <w:adjustRightInd w:val="0"/>
                    <w:snapToGrid w:val="0"/>
                    <w:spacing w:line="240" w:lineRule="auto"/>
                    <w:jc w:val="center"/>
                    <w:rPr>
                      <w:color w:val="auto"/>
                      <w:kern w:val="0"/>
                      <w:sz w:val="21"/>
                      <w:szCs w:val="20"/>
                    </w:rPr>
                  </w:pPr>
                  <w:r>
                    <w:rPr>
                      <w:rFonts w:hint="eastAsia"/>
                      <w:color w:val="auto"/>
                      <w:kern w:val="0"/>
                      <w:sz w:val="21"/>
                      <w:szCs w:val="20"/>
                    </w:rPr>
                    <w:t>80</w:t>
                  </w:r>
                </w:p>
              </w:tc>
              <w:tc>
                <w:tcPr>
                  <w:tcW w:w="2349" w:type="dxa"/>
                  <w:tcBorders>
                    <w:bottom w:val="single" w:color="auto" w:sz="12" w:space="0"/>
                  </w:tcBorders>
                  <w:vAlign w:val="center"/>
                </w:tcPr>
                <w:p w14:paraId="320DBFC3">
                  <w:pPr>
                    <w:adjustRightInd w:val="0"/>
                    <w:snapToGrid w:val="0"/>
                    <w:spacing w:line="240" w:lineRule="auto"/>
                    <w:jc w:val="center"/>
                    <w:rPr>
                      <w:color w:val="auto"/>
                      <w:kern w:val="0"/>
                      <w:sz w:val="21"/>
                      <w:szCs w:val="20"/>
                    </w:rPr>
                  </w:pPr>
                  <w:r>
                    <w:rPr>
                      <w:color w:val="auto"/>
                      <w:kern w:val="0"/>
                      <w:sz w:val="21"/>
                      <w:szCs w:val="20"/>
                    </w:rPr>
                    <w:t>结构性金属制品制造 331，金属工具制造 332，集装箱及金属包装容器制造333，金属丝绳及其制品制造334，建筑、安全用金属制品制造335，搪瓷制品制造 337，金属制日用品制造338</w:t>
                  </w:r>
                  <w:r>
                    <w:rPr>
                      <w:rFonts w:hint="eastAsia"/>
                      <w:color w:val="auto"/>
                      <w:kern w:val="0"/>
                      <w:sz w:val="21"/>
                      <w:szCs w:val="20"/>
                    </w:rPr>
                    <w:t>，</w:t>
                  </w:r>
                  <w:r>
                    <w:rPr>
                      <w:color w:val="auto"/>
                      <w:kern w:val="0"/>
                      <w:sz w:val="21"/>
                      <w:szCs w:val="20"/>
                    </w:rPr>
                    <w:t>铸造及其他金属制品制造339</w:t>
                  </w:r>
                  <w:r>
                    <w:rPr>
                      <w:rFonts w:hint="eastAsia"/>
                      <w:color w:val="auto"/>
                      <w:kern w:val="0"/>
                      <w:sz w:val="21"/>
                      <w:szCs w:val="20"/>
                    </w:rPr>
                    <w:t>（</w:t>
                  </w:r>
                  <w:r>
                    <w:rPr>
                      <w:color w:val="auto"/>
                      <w:kern w:val="0"/>
                      <w:sz w:val="21"/>
                      <w:szCs w:val="20"/>
                    </w:rPr>
                    <w:t>除黑色金属铸造 3391、有色金属铸造3392</w:t>
                  </w:r>
                  <w:r>
                    <w:rPr>
                      <w:rFonts w:hint="eastAsia"/>
                      <w:color w:val="auto"/>
                      <w:kern w:val="0"/>
                      <w:sz w:val="21"/>
                      <w:szCs w:val="20"/>
                    </w:rPr>
                    <w:t>）</w:t>
                  </w:r>
                </w:p>
              </w:tc>
              <w:tc>
                <w:tcPr>
                  <w:tcW w:w="1459" w:type="dxa"/>
                  <w:tcBorders>
                    <w:bottom w:val="single" w:color="auto" w:sz="12" w:space="0"/>
                  </w:tcBorders>
                  <w:vAlign w:val="center"/>
                </w:tcPr>
                <w:p w14:paraId="54827BD2">
                  <w:pPr>
                    <w:adjustRightInd w:val="0"/>
                    <w:snapToGrid w:val="0"/>
                    <w:spacing w:line="240" w:lineRule="auto"/>
                    <w:jc w:val="center"/>
                    <w:rPr>
                      <w:color w:val="auto"/>
                      <w:kern w:val="0"/>
                      <w:sz w:val="21"/>
                      <w:szCs w:val="20"/>
                    </w:rPr>
                  </w:pPr>
                  <w:r>
                    <w:rPr>
                      <w:color w:val="auto"/>
                      <w:kern w:val="0"/>
                      <w:sz w:val="21"/>
                      <w:szCs w:val="20"/>
                    </w:rPr>
                    <w:t>涉及通用工序重点管理的</w:t>
                  </w:r>
                </w:p>
              </w:tc>
              <w:tc>
                <w:tcPr>
                  <w:tcW w:w="1967" w:type="dxa"/>
                  <w:tcBorders>
                    <w:bottom w:val="single" w:color="auto" w:sz="12" w:space="0"/>
                  </w:tcBorders>
                  <w:vAlign w:val="center"/>
                </w:tcPr>
                <w:p w14:paraId="2CD51B48">
                  <w:pPr>
                    <w:adjustRightInd w:val="0"/>
                    <w:snapToGrid w:val="0"/>
                    <w:spacing w:line="240" w:lineRule="auto"/>
                    <w:jc w:val="center"/>
                    <w:rPr>
                      <w:color w:val="auto"/>
                      <w:kern w:val="0"/>
                      <w:sz w:val="21"/>
                      <w:szCs w:val="20"/>
                    </w:rPr>
                  </w:pPr>
                  <w:r>
                    <w:rPr>
                      <w:color w:val="auto"/>
                      <w:kern w:val="0"/>
                      <w:sz w:val="21"/>
                      <w:szCs w:val="20"/>
                    </w:rPr>
                    <w:t>涉及通用工序简化管理的</w:t>
                  </w:r>
                </w:p>
              </w:tc>
              <w:tc>
                <w:tcPr>
                  <w:tcW w:w="1341" w:type="dxa"/>
                  <w:tcBorders>
                    <w:bottom w:val="single" w:color="auto" w:sz="12" w:space="0"/>
                    <w:right w:val="nil"/>
                  </w:tcBorders>
                  <w:shd w:val="clear" w:color="D7D7D7" w:fill="A4A4A4"/>
                  <w:vAlign w:val="center"/>
                </w:tcPr>
                <w:p w14:paraId="06845387">
                  <w:pPr>
                    <w:adjustRightInd w:val="0"/>
                    <w:snapToGrid w:val="0"/>
                    <w:spacing w:line="240" w:lineRule="auto"/>
                    <w:jc w:val="center"/>
                    <w:rPr>
                      <w:color w:val="auto"/>
                      <w:kern w:val="0"/>
                      <w:sz w:val="21"/>
                      <w:szCs w:val="20"/>
                    </w:rPr>
                  </w:pPr>
                  <w:r>
                    <w:rPr>
                      <w:rFonts w:hint="eastAsia"/>
                      <w:color w:val="auto"/>
                      <w:kern w:val="0"/>
                      <w:sz w:val="21"/>
                      <w:szCs w:val="20"/>
                    </w:rPr>
                    <w:t>其他</w:t>
                  </w:r>
                </w:p>
              </w:tc>
            </w:tr>
          </w:tbl>
          <w:p w14:paraId="18746003">
            <w:pPr>
              <w:pStyle w:val="64"/>
              <w:adjustRightInd w:val="0"/>
              <w:snapToGrid w:val="0"/>
              <w:spacing w:line="288" w:lineRule="auto"/>
              <w:ind w:firstLine="422"/>
              <w:rPr>
                <w:b/>
                <w:bCs/>
                <w:color w:val="auto"/>
                <w:sz w:val="21"/>
                <w:szCs w:val="21"/>
              </w:rPr>
            </w:pPr>
            <w:r>
              <w:rPr>
                <w:b/>
                <w:bCs/>
                <w:color w:val="auto"/>
                <w:sz w:val="21"/>
                <w:szCs w:val="21"/>
              </w:rPr>
              <w:t>（</w:t>
            </w:r>
            <w:r>
              <w:rPr>
                <w:rFonts w:hint="eastAsia"/>
                <w:b/>
                <w:bCs/>
                <w:color w:val="auto"/>
                <w:sz w:val="21"/>
                <w:szCs w:val="21"/>
              </w:rPr>
              <w:t>3</w:t>
            </w:r>
            <w:r>
              <w:rPr>
                <w:b/>
                <w:bCs/>
                <w:color w:val="auto"/>
                <w:sz w:val="21"/>
                <w:szCs w:val="21"/>
              </w:rPr>
              <w:t>）</w:t>
            </w:r>
            <w:bookmarkEnd w:id="14"/>
            <w:bookmarkStart w:id="15" w:name="_Toc24814500"/>
            <w:r>
              <w:rPr>
                <w:b/>
                <w:bCs/>
                <w:color w:val="auto"/>
                <w:sz w:val="21"/>
                <w:szCs w:val="21"/>
              </w:rPr>
              <w:t>自主竣工环境保护验收要求</w:t>
            </w:r>
            <w:bookmarkEnd w:id="15"/>
          </w:p>
          <w:p w14:paraId="43941D6B">
            <w:pPr>
              <w:adjustRightInd w:val="0"/>
              <w:snapToGrid w:val="0"/>
              <w:spacing w:line="288" w:lineRule="auto"/>
              <w:ind w:firstLine="420" w:firstLineChars="200"/>
              <w:rPr>
                <w:color w:val="auto"/>
                <w:sz w:val="21"/>
                <w:szCs w:val="21"/>
              </w:rPr>
            </w:pPr>
            <w:r>
              <w:rPr>
                <w:color w:val="auto"/>
                <w:sz w:val="21"/>
                <w:szCs w:val="21"/>
              </w:rPr>
              <w:t>根据《建设项目环境保护管理条例》规定，建设项目需要配套建设的环保设施，必须与主体工程同时设计、同时施工、同时投产使用。建设单位应严格落实建设项目的环保措施，强化建设期和运营期的环境管理。</w:t>
            </w:r>
          </w:p>
          <w:p w14:paraId="243972E8">
            <w:pPr>
              <w:adjustRightInd w:val="0"/>
              <w:snapToGrid w:val="0"/>
              <w:spacing w:line="288" w:lineRule="auto"/>
              <w:ind w:firstLine="420" w:firstLineChars="200"/>
              <w:rPr>
                <w:color w:val="auto"/>
                <w:spacing w:val="-8"/>
                <w:sz w:val="21"/>
                <w:szCs w:val="21"/>
              </w:rPr>
            </w:pPr>
            <w:r>
              <w:rPr>
                <w:color w:val="auto"/>
                <w:sz w:val="21"/>
                <w:szCs w:val="21"/>
              </w:rPr>
              <w:t>建设单位应按照《建设项目竣工环境保护验收技术指南 污染影响类》（生态环境部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70A13246">
      <w:pPr>
        <w:pStyle w:val="63"/>
        <w:jc w:val="both"/>
        <w:outlineLvl w:val="9"/>
        <w:rPr>
          <w:color w:val="auto"/>
        </w:rPr>
      </w:pPr>
    </w:p>
    <w:p w14:paraId="7312999E">
      <w:pPr>
        <w:pStyle w:val="63"/>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B9C3BB5">
      <w:pPr>
        <w:pStyle w:val="2"/>
        <w:spacing w:before="0" w:after="0" w:line="360" w:lineRule="auto"/>
        <w:ind w:left="0" w:firstLine="0"/>
        <w:jc w:val="center"/>
        <w:rPr>
          <w:b w:val="0"/>
          <w:bCs w:val="0"/>
          <w:color w:val="auto"/>
        </w:rPr>
      </w:pPr>
      <w:r>
        <w:rPr>
          <w:sz w:val="30"/>
        </w:rPr>
        <mc:AlternateContent>
          <mc:Choice Requires="wps">
            <w:drawing>
              <wp:anchor distT="0" distB="0" distL="114300" distR="114300" simplePos="0" relativeHeight="251667456" behindDoc="0" locked="0" layoutInCell="1" allowOverlap="1">
                <wp:simplePos x="0" y="0"/>
                <wp:positionH relativeFrom="column">
                  <wp:posOffset>-243205</wp:posOffset>
                </wp:positionH>
                <wp:positionV relativeFrom="paragraph">
                  <wp:posOffset>17145</wp:posOffset>
                </wp:positionV>
                <wp:extent cx="6104255" cy="8383905"/>
                <wp:effectExtent l="0" t="0" r="10795" b="17145"/>
                <wp:wrapNone/>
                <wp:docPr id="17" name="文本框 17"/>
                <wp:cNvGraphicFramePr/>
                <a:graphic xmlns:a="http://schemas.openxmlformats.org/drawingml/2006/main">
                  <a:graphicData uri="http://schemas.microsoft.com/office/word/2010/wordprocessingShape">
                    <wps:wsp>
                      <wps:cNvSpPr txBox="1"/>
                      <wps:spPr>
                        <a:xfrm>
                          <a:off x="3101340" y="1121410"/>
                          <a:ext cx="6104255" cy="8383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73ED1D">
                            <w:r>
                              <w:drawing>
                                <wp:inline distT="0" distB="0" distL="114300" distR="114300">
                                  <wp:extent cx="5908675" cy="8009255"/>
                                  <wp:effectExtent l="0" t="0" r="15875"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5908675" cy="8009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1.35pt;height:660.15pt;width:480.65pt;z-index:251667456;mso-width-relative:page;mso-height-relative:page;" fillcolor="#FFFFFF [3201]" filled="t" stroked="f" coordsize="21600,21600" o:gfxdata="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0TNu1AAA&#10;AAoBAAAPAAAAAAAAAAEAIAAAACIAAABkcnMvZG93bnJldi54bWxQSwECFAAUAAAACACHTuJAppW6&#10;IVsCAACeBAAADgAAAAAAAAABACAAAAAjAQAAZHJzL2Uyb0RvYy54bWxQSwUGAAAAAAYABgBZAQAA&#10;8AUAAAAA&#10;">
                <v:fill on="t" focussize="0,0"/>
                <v:stroke on="f" weight="0.5pt"/>
                <v:imagedata o:title=""/>
                <o:lock v:ext="edit" aspectratio="f"/>
                <v:textbox>
                  <w:txbxContent>
                    <w:p w14:paraId="0773ED1D">
                      <w:r>
                        <w:drawing>
                          <wp:inline distT="0" distB="0" distL="114300" distR="114300">
                            <wp:extent cx="5908675" cy="8009255"/>
                            <wp:effectExtent l="0" t="0" r="15875"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5908675" cy="8009255"/>
                                    </a:xfrm>
                                    <a:prstGeom prst="rect">
                                      <a:avLst/>
                                    </a:prstGeom>
                                    <a:noFill/>
                                    <a:ln>
                                      <a:noFill/>
                                    </a:ln>
                                  </pic:spPr>
                                </pic:pic>
                              </a:graphicData>
                            </a:graphic>
                          </wp:inline>
                        </w:drawing>
                      </w:r>
                    </w:p>
                  </w:txbxContent>
                </v:textbox>
              </v:shape>
            </w:pict>
          </mc:Fallback>
        </mc:AlternateContent>
      </w:r>
      <w:r>
        <w:rPr>
          <w:rFonts w:hint="eastAsia"/>
          <w:b w:val="0"/>
          <w:bCs w:val="0"/>
          <w:color w:val="auto"/>
        </w:rPr>
        <w:t>六、结论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E67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0" w:hRule="atLeast"/>
        </w:trPr>
        <w:tc>
          <w:tcPr>
            <w:tcW w:w="9060" w:type="dxa"/>
          </w:tcPr>
          <w:p w14:paraId="23AB6B98">
            <w:pPr>
              <w:spacing w:before="120" w:beforeLines="50"/>
              <w:ind w:firstLine="480" w:firstLineChars="200"/>
              <w:rPr>
                <w:rFonts w:cs="宋体"/>
                <w:color w:val="auto"/>
              </w:rPr>
            </w:pPr>
            <w:r>
              <w:rPr>
                <w:rFonts w:hint="eastAsia" w:cs="宋体"/>
                <w:color w:val="auto"/>
              </w:rPr>
              <w:t>福州彩诚光电有限公司位于福建省闽侯县南屿镇智慧大道20号保利通信福州高新科技产业园13号楼，本项目符合国家产业政策选址合理可行。本项目满足区域环境功能区划和总量控制的要求。通过对本项目的环境影响分析评价，项目运营过程中废水、废气、噪声、固废等污染物，对周围环境空气质量、水环境、声环境等造成一定不利影响经采取综合性、积极有效的防治措施并确保污染物达标排放后，可避免或减少这些不利影响，影响均在环境可接受的范围内。本项目应严格执行环境保护</w:t>
            </w:r>
            <w:r>
              <w:rPr>
                <w:rFonts w:hint="eastAsia" w:cs="宋体"/>
                <w:color w:val="auto"/>
                <w:lang w:eastAsia="zh-CN"/>
              </w:rPr>
              <w:t>“</w:t>
            </w:r>
            <w:r>
              <w:rPr>
                <w:rFonts w:hint="eastAsia" w:cs="宋体"/>
                <w:color w:val="auto"/>
              </w:rPr>
              <w:t>三同时</w:t>
            </w:r>
            <w:r>
              <w:rPr>
                <w:rFonts w:hint="eastAsia" w:cs="宋体"/>
                <w:color w:val="auto"/>
                <w:lang w:eastAsia="zh-CN"/>
              </w:rPr>
              <w:t>”</w:t>
            </w:r>
            <w:r>
              <w:rPr>
                <w:rFonts w:hint="eastAsia" w:cs="宋体"/>
                <w:color w:val="auto"/>
              </w:rPr>
              <w:t>制度，认真落实各项环保要求，并加强日常环境管理，确保本项目污染物达标排放，从环境影响角度看，本项目的建设是可行的。</w:t>
            </w:r>
          </w:p>
          <w:p w14:paraId="024B5BB9">
            <w:pPr>
              <w:jc w:val="right"/>
              <w:rPr>
                <w:b/>
                <w:color w:val="auto"/>
                <w:sz w:val="28"/>
              </w:rPr>
            </w:pPr>
          </w:p>
          <w:p w14:paraId="200A6FD9">
            <w:pPr>
              <w:jc w:val="right"/>
              <w:rPr>
                <w:b/>
                <w:color w:val="auto"/>
                <w:sz w:val="28"/>
              </w:rPr>
            </w:pPr>
          </w:p>
          <w:p w14:paraId="4B718EAE">
            <w:pPr>
              <w:jc w:val="right"/>
              <w:rPr>
                <w:b/>
                <w:color w:val="auto"/>
                <w:sz w:val="28"/>
              </w:rPr>
            </w:pPr>
          </w:p>
          <w:p w14:paraId="5E7B988E">
            <w:pPr>
              <w:jc w:val="right"/>
              <w:rPr>
                <w:b/>
                <w:color w:val="auto"/>
                <w:sz w:val="28"/>
              </w:rPr>
            </w:pPr>
          </w:p>
          <w:p w14:paraId="46985647">
            <w:pPr>
              <w:jc w:val="right"/>
              <w:rPr>
                <w:b/>
                <w:color w:val="auto"/>
                <w:sz w:val="28"/>
              </w:rPr>
            </w:pPr>
          </w:p>
          <w:p w14:paraId="5D32C1B3">
            <w:pPr>
              <w:jc w:val="right"/>
              <w:rPr>
                <w:b/>
                <w:color w:val="auto"/>
                <w:sz w:val="28"/>
              </w:rPr>
            </w:pPr>
          </w:p>
          <w:p w14:paraId="7F3DDD0B">
            <w:pPr>
              <w:jc w:val="right"/>
              <w:rPr>
                <w:b/>
                <w:color w:val="auto"/>
                <w:sz w:val="28"/>
              </w:rPr>
            </w:pPr>
          </w:p>
          <w:p w14:paraId="0355FA38">
            <w:pPr>
              <w:jc w:val="right"/>
              <w:rPr>
                <w:b/>
                <w:color w:val="auto"/>
                <w:sz w:val="28"/>
              </w:rPr>
            </w:pPr>
            <w:r>
              <w:rPr>
                <w:b/>
                <w:color w:val="auto"/>
                <w:sz w:val="28"/>
              </w:rPr>
              <w:t>编制单位：福州朴诚至信环保科技有限公司</w:t>
            </w:r>
          </w:p>
          <w:p w14:paraId="146CD657">
            <w:pPr>
              <w:jc w:val="right"/>
              <w:outlineLvl w:val="0"/>
              <w:rPr>
                <w:rStyle w:val="43"/>
                <w:color w:val="auto"/>
              </w:rPr>
            </w:pPr>
            <w:r>
              <w:rPr>
                <w:b/>
                <w:color w:val="auto"/>
                <w:sz w:val="28"/>
              </w:rPr>
              <w:t>202</w:t>
            </w:r>
            <w:r>
              <w:rPr>
                <w:rFonts w:hint="eastAsia"/>
                <w:b/>
                <w:color w:val="auto"/>
                <w:sz w:val="28"/>
              </w:rPr>
              <w:t>5</w:t>
            </w:r>
            <w:r>
              <w:rPr>
                <w:b/>
                <w:color w:val="auto"/>
                <w:sz w:val="28"/>
              </w:rPr>
              <w:t>年</w:t>
            </w:r>
            <w:r>
              <w:rPr>
                <w:rFonts w:hint="eastAsia"/>
                <w:b/>
                <w:color w:val="auto"/>
                <w:sz w:val="28"/>
              </w:rPr>
              <w:t>7</w:t>
            </w:r>
            <w:r>
              <w:rPr>
                <w:b/>
                <w:color w:val="auto"/>
                <w:sz w:val="28"/>
              </w:rPr>
              <w:t>月</w:t>
            </w:r>
          </w:p>
        </w:tc>
      </w:tr>
    </w:tbl>
    <w:p w14:paraId="334831B7">
      <w:pPr>
        <w:rPr>
          <w:rStyle w:val="43"/>
          <w:rFonts w:hint="default"/>
          <w:color w:val="auto"/>
          <w:lang w:val="en-US" w:eastAsia="zh-CN"/>
        </w:rPr>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737F535">
      <w:pPr>
        <w:pStyle w:val="2"/>
        <w:spacing w:before="0" w:after="0" w:line="360" w:lineRule="auto"/>
        <w:ind w:left="0" w:firstLine="0"/>
        <w:jc w:val="left"/>
        <w:rPr>
          <w:rFonts w:hint="eastAsia" w:ascii="宋体" w:hAnsi="宋体" w:eastAsia="宋体" w:cs="宋体"/>
          <w:color w:val="auto"/>
        </w:rPr>
      </w:pPr>
      <w:r>
        <w:rPr>
          <w:rFonts w:hint="eastAsia" w:ascii="宋体" w:hAnsi="宋体" w:eastAsia="宋体" w:cs="宋体"/>
          <w:color w:val="auto"/>
        </w:rPr>
        <w:t>附表</w:t>
      </w:r>
    </w:p>
    <w:p w14:paraId="78C6B0BE">
      <w:pPr>
        <w:keepNext/>
        <w:keepLines/>
        <w:jc w:val="center"/>
        <w:rPr>
          <w:rFonts w:hint="eastAsia" w:ascii="宋体" w:hAnsi="宋体" w:cs="宋体"/>
          <w:b/>
          <w:bCs/>
          <w:snapToGrid w:val="0"/>
          <w:color w:val="auto"/>
          <w:sz w:val="30"/>
          <w:szCs w:val="30"/>
        </w:rPr>
      </w:pPr>
      <w:r>
        <w:rPr>
          <w:rFonts w:hint="eastAsia" w:ascii="宋体" w:hAnsi="宋体" w:cs="宋体"/>
          <w:b/>
          <w:bCs/>
          <w:color w:val="auto"/>
          <w:sz w:val="30"/>
          <w:szCs w:val="30"/>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450"/>
        <w:gridCol w:w="1575"/>
        <w:gridCol w:w="1150"/>
        <w:gridCol w:w="1600"/>
        <w:gridCol w:w="1487"/>
        <w:gridCol w:w="1588"/>
        <w:gridCol w:w="1925"/>
        <w:gridCol w:w="623"/>
      </w:tblGrid>
      <w:tr w14:paraId="4D32C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390" w:type="dxa"/>
            <w:tcBorders>
              <w:tl2br w:val="single" w:color="auto" w:sz="4" w:space="0"/>
            </w:tcBorders>
            <w:tcMar>
              <w:left w:w="28" w:type="dxa"/>
              <w:right w:w="28" w:type="dxa"/>
            </w:tcMar>
            <w:vAlign w:val="center"/>
          </w:tcPr>
          <w:p w14:paraId="79775597">
            <w:pPr>
              <w:pStyle w:val="40"/>
              <w:jc w:val="right"/>
              <w:rPr>
                <w:color w:val="auto"/>
              </w:rPr>
            </w:pPr>
            <w:r>
              <w:rPr>
                <w:rFonts w:hint="eastAsia"/>
                <w:color w:val="auto"/>
              </w:rPr>
              <w:t>项目</w:t>
            </w:r>
          </w:p>
          <w:p w14:paraId="721B89B3">
            <w:pPr>
              <w:pStyle w:val="40"/>
              <w:jc w:val="left"/>
              <w:rPr>
                <w:color w:val="auto"/>
              </w:rPr>
            </w:pPr>
            <w:r>
              <w:rPr>
                <w:rFonts w:hint="eastAsia"/>
                <w:color w:val="auto"/>
              </w:rPr>
              <w:t>分类</w:t>
            </w:r>
          </w:p>
        </w:tc>
        <w:tc>
          <w:tcPr>
            <w:tcW w:w="2450" w:type="dxa"/>
            <w:tcMar>
              <w:left w:w="28" w:type="dxa"/>
              <w:right w:w="28" w:type="dxa"/>
            </w:tcMar>
            <w:vAlign w:val="center"/>
          </w:tcPr>
          <w:p w14:paraId="257E7E02">
            <w:pPr>
              <w:pStyle w:val="40"/>
              <w:rPr>
                <w:color w:val="auto"/>
              </w:rPr>
            </w:pPr>
            <w:r>
              <w:rPr>
                <w:rFonts w:hint="eastAsia"/>
                <w:color w:val="auto"/>
              </w:rPr>
              <w:t>污染物名称</w:t>
            </w:r>
          </w:p>
        </w:tc>
        <w:tc>
          <w:tcPr>
            <w:tcW w:w="1575" w:type="dxa"/>
            <w:tcMar>
              <w:left w:w="28" w:type="dxa"/>
              <w:right w:w="28" w:type="dxa"/>
            </w:tcMar>
            <w:vAlign w:val="center"/>
          </w:tcPr>
          <w:p w14:paraId="00B4CE73">
            <w:pPr>
              <w:pStyle w:val="40"/>
              <w:rPr>
                <w:color w:val="auto"/>
              </w:rPr>
            </w:pPr>
            <w:r>
              <w:rPr>
                <w:color w:val="auto"/>
              </w:rPr>
              <w:t>现有工程</w:t>
            </w:r>
          </w:p>
          <w:p w14:paraId="3360BC56">
            <w:pPr>
              <w:pStyle w:val="40"/>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tc>
        <w:tc>
          <w:tcPr>
            <w:tcW w:w="1150" w:type="dxa"/>
            <w:tcMar>
              <w:left w:w="28" w:type="dxa"/>
              <w:right w:w="28" w:type="dxa"/>
            </w:tcMar>
            <w:vAlign w:val="center"/>
          </w:tcPr>
          <w:p w14:paraId="21260FAE">
            <w:pPr>
              <w:pStyle w:val="40"/>
              <w:rPr>
                <w:color w:val="auto"/>
              </w:rPr>
            </w:pPr>
            <w:r>
              <w:rPr>
                <w:color w:val="auto"/>
              </w:rPr>
              <w:t>现有工程</w:t>
            </w:r>
          </w:p>
          <w:p w14:paraId="4C343C6C">
            <w:pPr>
              <w:pStyle w:val="40"/>
              <w:rPr>
                <w:color w:val="auto"/>
              </w:rPr>
            </w:pPr>
            <w:r>
              <w:rPr>
                <w:color w:val="auto"/>
              </w:rPr>
              <w:t>许可排放量</w:t>
            </w:r>
          </w:p>
          <w:p w14:paraId="0AFED1E4">
            <w:pPr>
              <w:pStyle w:val="40"/>
              <w:rPr>
                <w:color w:val="auto"/>
              </w:rPr>
            </w:pP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p>
        </w:tc>
        <w:tc>
          <w:tcPr>
            <w:tcW w:w="1600" w:type="dxa"/>
            <w:tcMar>
              <w:left w:w="28" w:type="dxa"/>
              <w:right w:w="28" w:type="dxa"/>
            </w:tcMar>
            <w:vAlign w:val="center"/>
          </w:tcPr>
          <w:p w14:paraId="6CC6E11B">
            <w:pPr>
              <w:pStyle w:val="40"/>
              <w:rPr>
                <w:color w:val="auto"/>
              </w:rPr>
            </w:pPr>
            <w:r>
              <w:rPr>
                <w:color w:val="auto"/>
              </w:rPr>
              <w:t>在建工程</w:t>
            </w:r>
          </w:p>
          <w:p w14:paraId="24B6BB60">
            <w:pPr>
              <w:pStyle w:val="40"/>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p>
        </w:tc>
        <w:tc>
          <w:tcPr>
            <w:tcW w:w="1487" w:type="dxa"/>
            <w:tcMar>
              <w:left w:w="28" w:type="dxa"/>
              <w:right w:w="28" w:type="dxa"/>
            </w:tcMar>
            <w:vAlign w:val="center"/>
          </w:tcPr>
          <w:p w14:paraId="113F2161">
            <w:pPr>
              <w:pStyle w:val="40"/>
              <w:rPr>
                <w:color w:val="auto"/>
              </w:rPr>
            </w:pPr>
            <w:r>
              <w:rPr>
                <w:color w:val="auto"/>
              </w:rPr>
              <w:t>本项目</w:t>
            </w:r>
          </w:p>
          <w:p w14:paraId="3DF02F00">
            <w:pPr>
              <w:pStyle w:val="40"/>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p>
        </w:tc>
        <w:tc>
          <w:tcPr>
            <w:tcW w:w="1588" w:type="dxa"/>
            <w:tcMar>
              <w:left w:w="28" w:type="dxa"/>
              <w:right w:w="28" w:type="dxa"/>
            </w:tcMar>
            <w:vAlign w:val="center"/>
          </w:tcPr>
          <w:p w14:paraId="4247E5A5">
            <w:pPr>
              <w:pStyle w:val="40"/>
              <w:rPr>
                <w:color w:val="auto"/>
              </w:rPr>
            </w:pPr>
            <w:r>
              <w:rPr>
                <w:color w:val="auto"/>
              </w:rPr>
              <w:t>以新带老削减量</w:t>
            </w:r>
          </w:p>
          <w:p w14:paraId="5B41D231">
            <w:pPr>
              <w:pStyle w:val="4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p>
        </w:tc>
        <w:tc>
          <w:tcPr>
            <w:tcW w:w="1925" w:type="dxa"/>
            <w:tcMar>
              <w:left w:w="28" w:type="dxa"/>
              <w:right w:w="28" w:type="dxa"/>
            </w:tcMar>
            <w:vAlign w:val="center"/>
          </w:tcPr>
          <w:p w14:paraId="0729872F">
            <w:pPr>
              <w:pStyle w:val="40"/>
              <w:rPr>
                <w:color w:val="auto"/>
              </w:rPr>
            </w:pPr>
            <w:r>
              <w:rPr>
                <w:color w:val="auto"/>
              </w:rPr>
              <w:t>本项目建成后</w:t>
            </w:r>
          </w:p>
          <w:p w14:paraId="5F33C055">
            <w:pPr>
              <w:pStyle w:val="40"/>
              <w:rPr>
                <w:color w:val="auto"/>
              </w:rPr>
            </w:pPr>
            <w:r>
              <w:rPr>
                <w:rFonts w:hint="eastAsia"/>
                <w:color w:val="auto"/>
              </w:rPr>
              <w:t>全厂</w:t>
            </w: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p>
        </w:tc>
        <w:tc>
          <w:tcPr>
            <w:tcW w:w="623" w:type="dxa"/>
            <w:tcMar>
              <w:left w:w="28" w:type="dxa"/>
              <w:right w:w="28" w:type="dxa"/>
            </w:tcMar>
            <w:vAlign w:val="center"/>
          </w:tcPr>
          <w:p w14:paraId="5F6667CD">
            <w:pPr>
              <w:pStyle w:val="40"/>
              <w:rPr>
                <w:color w:val="auto"/>
              </w:rPr>
            </w:pPr>
            <w:r>
              <w:rPr>
                <w:color w:val="auto"/>
              </w:rPr>
              <w:t>变化量</w:t>
            </w:r>
          </w:p>
          <w:p w14:paraId="76A90507">
            <w:pPr>
              <w:pStyle w:val="40"/>
              <w:rPr>
                <w:color w:val="auto"/>
              </w:rPr>
            </w:pP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p>
        </w:tc>
      </w:tr>
      <w:tr w14:paraId="2D6DC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90" w:type="dxa"/>
            <w:vMerge w:val="restart"/>
            <w:vAlign w:val="center"/>
          </w:tcPr>
          <w:p w14:paraId="308C1B80">
            <w:pPr>
              <w:pStyle w:val="40"/>
              <w:rPr>
                <w:color w:val="auto"/>
              </w:rPr>
            </w:pPr>
            <w:r>
              <w:rPr>
                <w:rFonts w:hint="eastAsia"/>
                <w:color w:val="auto"/>
              </w:rPr>
              <w:t>废气</w:t>
            </w:r>
          </w:p>
        </w:tc>
        <w:tc>
          <w:tcPr>
            <w:tcW w:w="2450" w:type="dxa"/>
            <w:vAlign w:val="center"/>
          </w:tcPr>
          <w:p w14:paraId="0A07D2EC">
            <w:pPr>
              <w:pStyle w:val="40"/>
              <w:rPr>
                <w:color w:val="auto"/>
              </w:rPr>
            </w:pPr>
            <w:r>
              <w:rPr>
                <w:rFonts w:hint="eastAsia"/>
                <w:color w:val="auto"/>
              </w:rPr>
              <w:t>VOCs（t/a）</w:t>
            </w:r>
          </w:p>
        </w:tc>
        <w:tc>
          <w:tcPr>
            <w:tcW w:w="1575" w:type="dxa"/>
            <w:vAlign w:val="center"/>
          </w:tcPr>
          <w:p w14:paraId="69335DE8">
            <w:pPr>
              <w:pStyle w:val="40"/>
              <w:rPr>
                <w:color w:val="auto"/>
              </w:rPr>
            </w:pPr>
            <w:r>
              <w:rPr>
                <w:rFonts w:hint="eastAsia"/>
                <w:color w:val="auto"/>
              </w:rPr>
              <w:t>/</w:t>
            </w:r>
          </w:p>
        </w:tc>
        <w:tc>
          <w:tcPr>
            <w:tcW w:w="1150" w:type="dxa"/>
            <w:vAlign w:val="center"/>
          </w:tcPr>
          <w:p w14:paraId="72A673A1">
            <w:pPr>
              <w:pStyle w:val="40"/>
              <w:rPr>
                <w:color w:val="auto"/>
              </w:rPr>
            </w:pPr>
            <w:r>
              <w:rPr>
                <w:rFonts w:hint="eastAsia"/>
                <w:color w:val="auto"/>
              </w:rPr>
              <w:t>/</w:t>
            </w:r>
          </w:p>
        </w:tc>
        <w:tc>
          <w:tcPr>
            <w:tcW w:w="1600" w:type="dxa"/>
            <w:vAlign w:val="center"/>
          </w:tcPr>
          <w:p w14:paraId="76AEEC55">
            <w:pPr>
              <w:pStyle w:val="40"/>
              <w:rPr>
                <w:color w:val="auto"/>
              </w:rPr>
            </w:pPr>
            <w:r>
              <w:rPr>
                <w:rFonts w:hint="eastAsia"/>
                <w:color w:val="auto"/>
              </w:rPr>
              <w:t>/</w:t>
            </w:r>
          </w:p>
        </w:tc>
        <w:tc>
          <w:tcPr>
            <w:tcW w:w="1487" w:type="dxa"/>
            <w:vAlign w:val="center"/>
          </w:tcPr>
          <w:p w14:paraId="2FAD7B08">
            <w:pPr>
              <w:pStyle w:val="40"/>
              <w:rPr>
                <w:rFonts w:hint="default" w:eastAsia="宋体"/>
                <w:color w:val="auto"/>
                <w:lang w:val="en-US" w:eastAsia="zh-CN"/>
              </w:rPr>
            </w:pPr>
            <w:r>
              <w:rPr>
                <w:rFonts w:hint="eastAsia"/>
                <w:color w:val="auto"/>
                <w:lang w:val="en-US" w:eastAsia="zh-CN"/>
              </w:rPr>
              <w:t>0.28443</w:t>
            </w:r>
          </w:p>
        </w:tc>
        <w:tc>
          <w:tcPr>
            <w:tcW w:w="1588" w:type="dxa"/>
            <w:vAlign w:val="center"/>
          </w:tcPr>
          <w:p w14:paraId="2D55A904">
            <w:pPr>
              <w:pStyle w:val="40"/>
              <w:rPr>
                <w:color w:val="auto"/>
              </w:rPr>
            </w:pPr>
            <w:r>
              <w:rPr>
                <w:rFonts w:hint="eastAsia"/>
                <w:color w:val="auto"/>
              </w:rPr>
              <w:t>/</w:t>
            </w:r>
          </w:p>
        </w:tc>
        <w:tc>
          <w:tcPr>
            <w:tcW w:w="1925" w:type="dxa"/>
            <w:vAlign w:val="center"/>
          </w:tcPr>
          <w:p w14:paraId="4A41C064">
            <w:pPr>
              <w:pStyle w:val="40"/>
              <w:rPr>
                <w:rFonts w:hint="default" w:eastAsia="宋体"/>
                <w:color w:val="auto"/>
                <w:lang w:val="en-US" w:eastAsia="zh-CN"/>
              </w:rPr>
            </w:pPr>
            <w:r>
              <w:rPr>
                <w:rFonts w:hint="eastAsia"/>
                <w:color w:val="auto"/>
                <w:lang w:val="en-US" w:eastAsia="zh-CN"/>
              </w:rPr>
              <w:t>0.28443</w:t>
            </w:r>
          </w:p>
        </w:tc>
        <w:tc>
          <w:tcPr>
            <w:tcW w:w="623" w:type="dxa"/>
            <w:vAlign w:val="center"/>
          </w:tcPr>
          <w:p w14:paraId="577E902C">
            <w:pPr>
              <w:pStyle w:val="40"/>
              <w:rPr>
                <w:color w:val="auto"/>
              </w:rPr>
            </w:pPr>
            <w:r>
              <w:rPr>
                <w:rFonts w:hint="eastAsia"/>
                <w:color w:val="auto"/>
              </w:rPr>
              <w:t>/</w:t>
            </w:r>
          </w:p>
        </w:tc>
      </w:tr>
      <w:tr w14:paraId="27319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90" w:type="dxa"/>
            <w:vMerge w:val="continue"/>
            <w:vAlign w:val="center"/>
          </w:tcPr>
          <w:p w14:paraId="682A1C61">
            <w:pPr>
              <w:pStyle w:val="40"/>
              <w:rPr>
                <w:color w:val="auto"/>
              </w:rPr>
            </w:pPr>
          </w:p>
        </w:tc>
        <w:tc>
          <w:tcPr>
            <w:tcW w:w="2450" w:type="dxa"/>
            <w:vAlign w:val="center"/>
          </w:tcPr>
          <w:p w14:paraId="328FB238">
            <w:pPr>
              <w:pStyle w:val="40"/>
              <w:rPr>
                <w:color w:val="auto"/>
              </w:rPr>
            </w:pPr>
            <w:r>
              <w:rPr>
                <w:rFonts w:hint="eastAsia"/>
                <w:color w:val="auto"/>
              </w:rPr>
              <w:t>颗粒物（t/a）</w:t>
            </w:r>
          </w:p>
        </w:tc>
        <w:tc>
          <w:tcPr>
            <w:tcW w:w="1575" w:type="dxa"/>
            <w:vAlign w:val="center"/>
          </w:tcPr>
          <w:p w14:paraId="4DB4E748">
            <w:pPr>
              <w:pStyle w:val="40"/>
              <w:rPr>
                <w:color w:val="auto"/>
              </w:rPr>
            </w:pPr>
            <w:r>
              <w:rPr>
                <w:rFonts w:hint="eastAsia"/>
                <w:color w:val="auto"/>
              </w:rPr>
              <w:t>/</w:t>
            </w:r>
          </w:p>
        </w:tc>
        <w:tc>
          <w:tcPr>
            <w:tcW w:w="1150" w:type="dxa"/>
            <w:vAlign w:val="center"/>
          </w:tcPr>
          <w:p w14:paraId="3019A64D">
            <w:pPr>
              <w:pStyle w:val="40"/>
              <w:rPr>
                <w:color w:val="auto"/>
              </w:rPr>
            </w:pPr>
            <w:r>
              <w:rPr>
                <w:rFonts w:hint="eastAsia"/>
                <w:color w:val="auto"/>
              </w:rPr>
              <w:t>/</w:t>
            </w:r>
          </w:p>
        </w:tc>
        <w:tc>
          <w:tcPr>
            <w:tcW w:w="1600" w:type="dxa"/>
            <w:vAlign w:val="center"/>
          </w:tcPr>
          <w:p w14:paraId="630D9616">
            <w:pPr>
              <w:pStyle w:val="40"/>
              <w:rPr>
                <w:color w:val="auto"/>
              </w:rPr>
            </w:pPr>
            <w:r>
              <w:rPr>
                <w:rFonts w:hint="eastAsia"/>
                <w:color w:val="auto"/>
              </w:rPr>
              <w:t>/</w:t>
            </w:r>
          </w:p>
        </w:tc>
        <w:tc>
          <w:tcPr>
            <w:tcW w:w="1487" w:type="dxa"/>
            <w:vAlign w:val="center"/>
          </w:tcPr>
          <w:p w14:paraId="1B43BA16">
            <w:pPr>
              <w:pStyle w:val="40"/>
              <w:rPr>
                <w:rFonts w:hint="default" w:eastAsia="宋体"/>
                <w:color w:val="auto"/>
                <w:lang w:val="en-US" w:eastAsia="zh-CN"/>
              </w:rPr>
            </w:pPr>
            <w:r>
              <w:rPr>
                <w:rFonts w:hint="eastAsia"/>
                <w:color w:val="auto"/>
                <w:lang w:val="en-US" w:eastAsia="zh-CN"/>
              </w:rPr>
              <w:t>0.10438</w:t>
            </w:r>
          </w:p>
        </w:tc>
        <w:tc>
          <w:tcPr>
            <w:tcW w:w="1588" w:type="dxa"/>
            <w:vAlign w:val="center"/>
          </w:tcPr>
          <w:p w14:paraId="1046ADA5">
            <w:pPr>
              <w:pStyle w:val="40"/>
              <w:rPr>
                <w:color w:val="auto"/>
              </w:rPr>
            </w:pPr>
            <w:r>
              <w:rPr>
                <w:rFonts w:hint="eastAsia"/>
                <w:color w:val="auto"/>
              </w:rPr>
              <w:t>/</w:t>
            </w:r>
          </w:p>
        </w:tc>
        <w:tc>
          <w:tcPr>
            <w:tcW w:w="1925" w:type="dxa"/>
            <w:vAlign w:val="center"/>
          </w:tcPr>
          <w:p w14:paraId="028049A5">
            <w:pPr>
              <w:pStyle w:val="40"/>
              <w:rPr>
                <w:rFonts w:hint="default" w:eastAsia="宋体"/>
                <w:color w:val="auto"/>
                <w:lang w:val="en-US" w:eastAsia="zh-CN"/>
              </w:rPr>
            </w:pPr>
            <w:r>
              <w:rPr>
                <w:rFonts w:hint="eastAsia"/>
                <w:color w:val="auto"/>
                <w:lang w:val="en-US" w:eastAsia="zh-CN"/>
              </w:rPr>
              <w:t>0.10438</w:t>
            </w:r>
          </w:p>
        </w:tc>
        <w:tc>
          <w:tcPr>
            <w:tcW w:w="623" w:type="dxa"/>
            <w:vAlign w:val="center"/>
          </w:tcPr>
          <w:p w14:paraId="0E95E2FC">
            <w:pPr>
              <w:pStyle w:val="40"/>
              <w:rPr>
                <w:color w:val="auto"/>
              </w:rPr>
            </w:pPr>
            <w:r>
              <w:rPr>
                <w:rFonts w:hint="eastAsia"/>
                <w:color w:val="auto"/>
              </w:rPr>
              <w:t>/</w:t>
            </w:r>
          </w:p>
        </w:tc>
      </w:tr>
      <w:tr w14:paraId="53AF6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90" w:type="dxa"/>
            <w:vMerge w:val="restart"/>
            <w:vAlign w:val="center"/>
          </w:tcPr>
          <w:p w14:paraId="35B4C36A">
            <w:pPr>
              <w:pStyle w:val="40"/>
              <w:rPr>
                <w:color w:val="auto"/>
              </w:rPr>
            </w:pPr>
            <w:r>
              <w:rPr>
                <w:rFonts w:hint="eastAsia"/>
                <w:color w:val="auto"/>
              </w:rPr>
              <w:t>废水</w:t>
            </w:r>
          </w:p>
        </w:tc>
        <w:tc>
          <w:tcPr>
            <w:tcW w:w="2450" w:type="dxa"/>
            <w:vAlign w:val="center"/>
          </w:tcPr>
          <w:p w14:paraId="72B97E37">
            <w:pPr>
              <w:pStyle w:val="40"/>
              <w:rPr>
                <w:color w:val="auto"/>
              </w:rPr>
            </w:pPr>
            <w:r>
              <w:rPr>
                <w:rFonts w:hint="eastAsia"/>
                <w:color w:val="auto"/>
              </w:rPr>
              <w:t>SS（t/a）</w:t>
            </w:r>
          </w:p>
        </w:tc>
        <w:tc>
          <w:tcPr>
            <w:tcW w:w="1575" w:type="dxa"/>
            <w:vAlign w:val="center"/>
          </w:tcPr>
          <w:p w14:paraId="512BF379">
            <w:pPr>
              <w:pStyle w:val="40"/>
              <w:rPr>
                <w:color w:val="auto"/>
              </w:rPr>
            </w:pPr>
            <w:r>
              <w:rPr>
                <w:rFonts w:hint="eastAsia"/>
                <w:color w:val="auto"/>
              </w:rPr>
              <w:t>/</w:t>
            </w:r>
          </w:p>
        </w:tc>
        <w:tc>
          <w:tcPr>
            <w:tcW w:w="1150" w:type="dxa"/>
            <w:vAlign w:val="center"/>
          </w:tcPr>
          <w:p w14:paraId="1E284D97">
            <w:pPr>
              <w:pStyle w:val="40"/>
              <w:rPr>
                <w:color w:val="auto"/>
              </w:rPr>
            </w:pPr>
            <w:r>
              <w:rPr>
                <w:rFonts w:hint="eastAsia"/>
                <w:color w:val="auto"/>
              </w:rPr>
              <w:t>/</w:t>
            </w:r>
          </w:p>
        </w:tc>
        <w:tc>
          <w:tcPr>
            <w:tcW w:w="1600" w:type="dxa"/>
            <w:vAlign w:val="center"/>
          </w:tcPr>
          <w:p w14:paraId="0B354B29">
            <w:pPr>
              <w:pStyle w:val="40"/>
              <w:rPr>
                <w:color w:val="auto"/>
              </w:rPr>
            </w:pPr>
            <w:r>
              <w:rPr>
                <w:rFonts w:hint="eastAsia"/>
                <w:color w:val="auto"/>
              </w:rPr>
              <w:t>/</w:t>
            </w:r>
          </w:p>
        </w:tc>
        <w:tc>
          <w:tcPr>
            <w:tcW w:w="1487" w:type="dxa"/>
            <w:vAlign w:val="center"/>
          </w:tcPr>
          <w:p w14:paraId="16912B4E">
            <w:pPr>
              <w:pStyle w:val="40"/>
              <w:rPr>
                <w:rFonts w:hint="default" w:eastAsia="宋体"/>
                <w:color w:val="auto"/>
                <w:lang w:val="en-US" w:eastAsia="zh-CN"/>
              </w:rPr>
            </w:pPr>
            <w:r>
              <w:rPr>
                <w:rFonts w:hint="eastAsia"/>
                <w:color w:val="auto"/>
                <w:lang w:val="en-US" w:eastAsia="zh-CN"/>
              </w:rPr>
              <w:t>0.06664</w:t>
            </w:r>
          </w:p>
        </w:tc>
        <w:tc>
          <w:tcPr>
            <w:tcW w:w="1588" w:type="dxa"/>
            <w:vAlign w:val="center"/>
          </w:tcPr>
          <w:p w14:paraId="5A3706C8">
            <w:pPr>
              <w:pStyle w:val="40"/>
              <w:rPr>
                <w:color w:val="auto"/>
              </w:rPr>
            </w:pPr>
            <w:r>
              <w:rPr>
                <w:rFonts w:hint="eastAsia"/>
                <w:color w:val="auto"/>
              </w:rPr>
              <w:t>/</w:t>
            </w:r>
          </w:p>
        </w:tc>
        <w:tc>
          <w:tcPr>
            <w:tcW w:w="1925" w:type="dxa"/>
            <w:vAlign w:val="center"/>
          </w:tcPr>
          <w:p w14:paraId="0C0C1062">
            <w:pPr>
              <w:pStyle w:val="40"/>
              <w:rPr>
                <w:color w:val="auto"/>
              </w:rPr>
            </w:pPr>
            <w:r>
              <w:rPr>
                <w:rFonts w:hint="eastAsia"/>
                <w:color w:val="auto"/>
                <w:lang w:val="en-US" w:eastAsia="zh-CN"/>
              </w:rPr>
              <w:t>0.06664</w:t>
            </w:r>
          </w:p>
        </w:tc>
        <w:tc>
          <w:tcPr>
            <w:tcW w:w="623" w:type="dxa"/>
            <w:vAlign w:val="center"/>
          </w:tcPr>
          <w:p w14:paraId="45DD3E64">
            <w:pPr>
              <w:pStyle w:val="40"/>
              <w:rPr>
                <w:color w:val="auto"/>
              </w:rPr>
            </w:pPr>
            <w:r>
              <w:rPr>
                <w:rFonts w:hint="eastAsia"/>
                <w:color w:val="auto"/>
              </w:rPr>
              <w:t>/</w:t>
            </w:r>
          </w:p>
        </w:tc>
      </w:tr>
      <w:tr w14:paraId="76105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90" w:type="dxa"/>
            <w:vMerge w:val="continue"/>
            <w:vAlign w:val="center"/>
          </w:tcPr>
          <w:p w14:paraId="0AABE112">
            <w:pPr>
              <w:pStyle w:val="40"/>
              <w:rPr>
                <w:color w:val="auto"/>
              </w:rPr>
            </w:pPr>
          </w:p>
        </w:tc>
        <w:tc>
          <w:tcPr>
            <w:tcW w:w="2450" w:type="dxa"/>
            <w:vAlign w:val="center"/>
          </w:tcPr>
          <w:p w14:paraId="7EE6299B">
            <w:pPr>
              <w:pStyle w:val="40"/>
              <w:rPr>
                <w:color w:val="auto"/>
              </w:rPr>
            </w:pPr>
            <w:r>
              <w:rPr>
                <w:rFonts w:hint="eastAsia"/>
                <w:color w:val="auto"/>
              </w:rPr>
              <w:t>COD（t/a）</w:t>
            </w:r>
          </w:p>
        </w:tc>
        <w:tc>
          <w:tcPr>
            <w:tcW w:w="1575" w:type="dxa"/>
            <w:vAlign w:val="center"/>
          </w:tcPr>
          <w:p w14:paraId="5ED716BE">
            <w:pPr>
              <w:pStyle w:val="40"/>
              <w:rPr>
                <w:color w:val="auto"/>
              </w:rPr>
            </w:pPr>
            <w:r>
              <w:rPr>
                <w:rFonts w:hint="eastAsia"/>
                <w:color w:val="auto"/>
              </w:rPr>
              <w:t>/</w:t>
            </w:r>
          </w:p>
        </w:tc>
        <w:tc>
          <w:tcPr>
            <w:tcW w:w="1150" w:type="dxa"/>
            <w:vAlign w:val="center"/>
          </w:tcPr>
          <w:p w14:paraId="7C90658A">
            <w:pPr>
              <w:pStyle w:val="40"/>
              <w:rPr>
                <w:color w:val="auto"/>
              </w:rPr>
            </w:pPr>
            <w:r>
              <w:rPr>
                <w:rFonts w:hint="eastAsia"/>
                <w:color w:val="auto"/>
              </w:rPr>
              <w:t>/</w:t>
            </w:r>
          </w:p>
        </w:tc>
        <w:tc>
          <w:tcPr>
            <w:tcW w:w="1600" w:type="dxa"/>
            <w:vAlign w:val="center"/>
          </w:tcPr>
          <w:p w14:paraId="4A945C43">
            <w:pPr>
              <w:pStyle w:val="40"/>
              <w:rPr>
                <w:color w:val="auto"/>
              </w:rPr>
            </w:pPr>
            <w:r>
              <w:rPr>
                <w:rFonts w:hint="eastAsia"/>
                <w:color w:val="auto"/>
              </w:rPr>
              <w:t>/</w:t>
            </w:r>
          </w:p>
        </w:tc>
        <w:tc>
          <w:tcPr>
            <w:tcW w:w="1487" w:type="dxa"/>
            <w:vAlign w:val="center"/>
          </w:tcPr>
          <w:p w14:paraId="38A45D5E">
            <w:pPr>
              <w:pStyle w:val="40"/>
              <w:rPr>
                <w:rFonts w:hint="default" w:eastAsia="宋体"/>
                <w:color w:val="auto"/>
                <w:lang w:val="en-US" w:eastAsia="zh-CN"/>
              </w:rPr>
            </w:pPr>
            <w:r>
              <w:rPr>
                <w:rFonts w:hint="eastAsia"/>
                <w:color w:val="auto"/>
                <w:lang w:val="en-US" w:eastAsia="zh-CN"/>
              </w:rPr>
              <w:t>0.21706</w:t>
            </w:r>
          </w:p>
        </w:tc>
        <w:tc>
          <w:tcPr>
            <w:tcW w:w="1588" w:type="dxa"/>
            <w:vAlign w:val="center"/>
          </w:tcPr>
          <w:p w14:paraId="149EAFA0">
            <w:pPr>
              <w:pStyle w:val="40"/>
              <w:rPr>
                <w:color w:val="auto"/>
              </w:rPr>
            </w:pPr>
            <w:r>
              <w:rPr>
                <w:rFonts w:hint="eastAsia"/>
                <w:color w:val="auto"/>
              </w:rPr>
              <w:t>/</w:t>
            </w:r>
          </w:p>
        </w:tc>
        <w:tc>
          <w:tcPr>
            <w:tcW w:w="1925" w:type="dxa"/>
            <w:vAlign w:val="center"/>
          </w:tcPr>
          <w:p w14:paraId="26C443C0">
            <w:pPr>
              <w:pStyle w:val="40"/>
              <w:rPr>
                <w:color w:val="auto"/>
              </w:rPr>
            </w:pPr>
            <w:r>
              <w:rPr>
                <w:rFonts w:hint="eastAsia"/>
                <w:color w:val="auto"/>
                <w:lang w:val="en-US" w:eastAsia="zh-CN"/>
              </w:rPr>
              <w:t>0.21706</w:t>
            </w:r>
          </w:p>
        </w:tc>
        <w:tc>
          <w:tcPr>
            <w:tcW w:w="623" w:type="dxa"/>
            <w:vAlign w:val="center"/>
          </w:tcPr>
          <w:p w14:paraId="5267E02F">
            <w:pPr>
              <w:pStyle w:val="40"/>
              <w:rPr>
                <w:color w:val="auto"/>
              </w:rPr>
            </w:pPr>
            <w:r>
              <w:rPr>
                <w:rFonts w:hint="eastAsia"/>
                <w:color w:val="auto"/>
              </w:rPr>
              <w:t>/</w:t>
            </w:r>
          </w:p>
        </w:tc>
      </w:tr>
      <w:tr w14:paraId="4463F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90" w:type="dxa"/>
            <w:vMerge w:val="continue"/>
            <w:vAlign w:val="center"/>
          </w:tcPr>
          <w:p w14:paraId="6BEDF71F">
            <w:pPr>
              <w:pStyle w:val="40"/>
              <w:rPr>
                <w:color w:val="auto"/>
              </w:rPr>
            </w:pPr>
          </w:p>
        </w:tc>
        <w:tc>
          <w:tcPr>
            <w:tcW w:w="2450" w:type="dxa"/>
            <w:vAlign w:val="center"/>
          </w:tcPr>
          <w:p w14:paraId="232E5813">
            <w:pPr>
              <w:pStyle w:val="40"/>
              <w:rPr>
                <w:color w:val="auto"/>
              </w:rPr>
            </w:pPr>
            <w:r>
              <w:rPr>
                <w:rFonts w:hint="eastAsia"/>
                <w:color w:val="auto"/>
              </w:rPr>
              <w:t>BOD</w:t>
            </w:r>
            <w:r>
              <w:rPr>
                <w:rFonts w:hint="eastAsia"/>
                <w:color w:val="auto"/>
                <w:vertAlign w:val="subscript"/>
              </w:rPr>
              <w:t>5</w:t>
            </w:r>
            <w:r>
              <w:rPr>
                <w:rFonts w:hint="eastAsia"/>
                <w:color w:val="auto"/>
              </w:rPr>
              <w:t>（t/a）</w:t>
            </w:r>
          </w:p>
        </w:tc>
        <w:tc>
          <w:tcPr>
            <w:tcW w:w="1575" w:type="dxa"/>
            <w:vAlign w:val="center"/>
          </w:tcPr>
          <w:p w14:paraId="43F59576">
            <w:pPr>
              <w:pStyle w:val="40"/>
              <w:rPr>
                <w:color w:val="auto"/>
              </w:rPr>
            </w:pPr>
            <w:r>
              <w:rPr>
                <w:rFonts w:hint="eastAsia"/>
                <w:color w:val="auto"/>
              </w:rPr>
              <w:t>/</w:t>
            </w:r>
          </w:p>
        </w:tc>
        <w:tc>
          <w:tcPr>
            <w:tcW w:w="1150" w:type="dxa"/>
            <w:vAlign w:val="center"/>
          </w:tcPr>
          <w:p w14:paraId="3F73B16D">
            <w:pPr>
              <w:pStyle w:val="40"/>
              <w:rPr>
                <w:color w:val="auto"/>
              </w:rPr>
            </w:pPr>
            <w:r>
              <w:rPr>
                <w:rFonts w:hint="eastAsia"/>
                <w:color w:val="auto"/>
              </w:rPr>
              <w:t>/</w:t>
            </w:r>
          </w:p>
        </w:tc>
        <w:tc>
          <w:tcPr>
            <w:tcW w:w="1600" w:type="dxa"/>
            <w:vAlign w:val="center"/>
          </w:tcPr>
          <w:p w14:paraId="546A691B">
            <w:pPr>
              <w:pStyle w:val="40"/>
              <w:rPr>
                <w:color w:val="auto"/>
              </w:rPr>
            </w:pPr>
            <w:r>
              <w:rPr>
                <w:rFonts w:hint="eastAsia"/>
                <w:color w:val="auto"/>
              </w:rPr>
              <w:t>/</w:t>
            </w:r>
          </w:p>
        </w:tc>
        <w:tc>
          <w:tcPr>
            <w:tcW w:w="1487" w:type="dxa"/>
            <w:vAlign w:val="center"/>
          </w:tcPr>
          <w:p w14:paraId="114F07BB">
            <w:pPr>
              <w:pStyle w:val="40"/>
              <w:rPr>
                <w:rFonts w:hint="default" w:eastAsia="宋体"/>
                <w:color w:val="auto"/>
                <w:lang w:val="en-US" w:eastAsia="zh-CN"/>
              </w:rPr>
            </w:pPr>
            <w:r>
              <w:rPr>
                <w:rFonts w:hint="eastAsia"/>
                <w:color w:val="auto"/>
                <w:lang w:val="en-US" w:eastAsia="zh-CN"/>
              </w:rPr>
              <w:t>0.0953</w:t>
            </w:r>
          </w:p>
        </w:tc>
        <w:tc>
          <w:tcPr>
            <w:tcW w:w="1588" w:type="dxa"/>
            <w:vAlign w:val="center"/>
          </w:tcPr>
          <w:p w14:paraId="1FE83906">
            <w:pPr>
              <w:pStyle w:val="40"/>
              <w:rPr>
                <w:color w:val="auto"/>
              </w:rPr>
            </w:pPr>
            <w:r>
              <w:rPr>
                <w:rFonts w:hint="eastAsia"/>
                <w:color w:val="auto"/>
              </w:rPr>
              <w:t>/</w:t>
            </w:r>
          </w:p>
        </w:tc>
        <w:tc>
          <w:tcPr>
            <w:tcW w:w="1925" w:type="dxa"/>
            <w:vAlign w:val="center"/>
          </w:tcPr>
          <w:p w14:paraId="2AE0557A">
            <w:pPr>
              <w:pStyle w:val="40"/>
              <w:rPr>
                <w:color w:val="auto"/>
              </w:rPr>
            </w:pPr>
            <w:r>
              <w:rPr>
                <w:rFonts w:hint="eastAsia"/>
                <w:color w:val="auto"/>
                <w:lang w:val="en-US" w:eastAsia="zh-CN"/>
              </w:rPr>
              <w:t>0.0953</w:t>
            </w:r>
          </w:p>
        </w:tc>
        <w:tc>
          <w:tcPr>
            <w:tcW w:w="623" w:type="dxa"/>
            <w:vAlign w:val="center"/>
          </w:tcPr>
          <w:p w14:paraId="7B3BE8EE">
            <w:pPr>
              <w:pStyle w:val="40"/>
              <w:rPr>
                <w:color w:val="auto"/>
              </w:rPr>
            </w:pPr>
            <w:r>
              <w:rPr>
                <w:rFonts w:hint="eastAsia"/>
                <w:color w:val="auto"/>
              </w:rPr>
              <w:t>/</w:t>
            </w:r>
          </w:p>
        </w:tc>
      </w:tr>
      <w:tr w14:paraId="308D8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90" w:type="dxa"/>
            <w:vMerge w:val="continue"/>
            <w:vAlign w:val="center"/>
          </w:tcPr>
          <w:p w14:paraId="4A9A8755">
            <w:pPr>
              <w:pStyle w:val="40"/>
              <w:rPr>
                <w:color w:val="auto"/>
              </w:rPr>
            </w:pPr>
          </w:p>
        </w:tc>
        <w:tc>
          <w:tcPr>
            <w:tcW w:w="2450" w:type="dxa"/>
            <w:vAlign w:val="center"/>
          </w:tcPr>
          <w:p w14:paraId="2546AC6F">
            <w:pPr>
              <w:pStyle w:val="40"/>
              <w:rPr>
                <w:color w:val="auto"/>
              </w:rPr>
            </w:pPr>
            <w:r>
              <w:rPr>
                <w:rFonts w:hint="eastAsia"/>
                <w:color w:val="auto"/>
              </w:rPr>
              <w:t>NH</w:t>
            </w:r>
            <w:r>
              <w:rPr>
                <w:rFonts w:hint="eastAsia"/>
                <w:color w:val="auto"/>
                <w:vertAlign w:val="subscript"/>
              </w:rPr>
              <w:t>3</w:t>
            </w:r>
            <w:r>
              <w:rPr>
                <w:rFonts w:hint="eastAsia"/>
                <w:color w:val="auto"/>
              </w:rPr>
              <w:t>-N（t/a）</w:t>
            </w:r>
          </w:p>
        </w:tc>
        <w:tc>
          <w:tcPr>
            <w:tcW w:w="1575" w:type="dxa"/>
            <w:vAlign w:val="center"/>
          </w:tcPr>
          <w:p w14:paraId="2351EF06">
            <w:pPr>
              <w:pStyle w:val="40"/>
              <w:rPr>
                <w:color w:val="auto"/>
              </w:rPr>
            </w:pPr>
            <w:r>
              <w:rPr>
                <w:rFonts w:hint="eastAsia"/>
                <w:color w:val="auto"/>
              </w:rPr>
              <w:t>/</w:t>
            </w:r>
          </w:p>
        </w:tc>
        <w:tc>
          <w:tcPr>
            <w:tcW w:w="1150" w:type="dxa"/>
            <w:vAlign w:val="center"/>
          </w:tcPr>
          <w:p w14:paraId="194B84B6">
            <w:pPr>
              <w:pStyle w:val="40"/>
              <w:rPr>
                <w:color w:val="auto"/>
              </w:rPr>
            </w:pPr>
            <w:r>
              <w:rPr>
                <w:rFonts w:hint="eastAsia"/>
                <w:color w:val="auto"/>
              </w:rPr>
              <w:t>/</w:t>
            </w:r>
          </w:p>
        </w:tc>
        <w:tc>
          <w:tcPr>
            <w:tcW w:w="1600" w:type="dxa"/>
            <w:vAlign w:val="center"/>
          </w:tcPr>
          <w:p w14:paraId="012EF132">
            <w:pPr>
              <w:pStyle w:val="40"/>
              <w:rPr>
                <w:color w:val="auto"/>
              </w:rPr>
            </w:pPr>
            <w:r>
              <w:rPr>
                <w:rFonts w:hint="eastAsia"/>
                <w:color w:val="auto"/>
              </w:rPr>
              <w:t>/</w:t>
            </w:r>
          </w:p>
        </w:tc>
        <w:tc>
          <w:tcPr>
            <w:tcW w:w="1487" w:type="dxa"/>
            <w:vAlign w:val="center"/>
          </w:tcPr>
          <w:p w14:paraId="00E7ABB0">
            <w:pPr>
              <w:pStyle w:val="40"/>
              <w:rPr>
                <w:rFonts w:hint="default" w:eastAsia="宋体"/>
                <w:color w:val="auto"/>
                <w:lang w:val="en-US" w:eastAsia="zh-CN"/>
              </w:rPr>
            </w:pPr>
            <w:r>
              <w:rPr>
                <w:rFonts w:hint="eastAsia"/>
                <w:color w:val="auto"/>
                <w:lang w:val="en-US" w:eastAsia="zh-CN"/>
              </w:rPr>
              <w:t>0.02856</w:t>
            </w:r>
          </w:p>
        </w:tc>
        <w:tc>
          <w:tcPr>
            <w:tcW w:w="1588" w:type="dxa"/>
            <w:vAlign w:val="center"/>
          </w:tcPr>
          <w:p w14:paraId="52B22BF8">
            <w:pPr>
              <w:pStyle w:val="40"/>
              <w:rPr>
                <w:color w:val="auto"/>
              </w:rPr>
            </w:pPr>
            <w:r>
              <w:rPr>
                <w:rFonts w:hint="eastAsia"/>
                <w:color w:val="auto"/>
              </w:rPr>
              <w:t>/</w:t>
            </w:r>
          </w:p>
        </w:tc>
        <w:tc>
          <w:tcPr>
            <w:tcW w:w="1925" w:type="dxa"/>
            <w:vAlign w:val="center"/>
          </w:tcPr>
          <w:p w14:paraId="184DB4CE">
            <w:pPr>
              <w:pStyle w:val="40"/>
              <w:rPr>
                <w:color w:val="auto"/>
              </w:rPr>
            </w:pPr>
            <w:r>
              <w:rPr>
                <w:rFonts w:hint="eastAsia"/>
                <w:color w:val="auto"/>
                <w:lang w:val="en-US" w:eastAsia="zh-CN"/>
              </w:rPr>
              <w:t>0.02856</w:t>
            </w:r>
          </w:p>
        </w:tc>
        <w:tc>
          <w:tcPr>
            <w:tcW w:w="623" w:type="dxa"/>
            <w:vAlign w:val="center"/>
          </w:tcPr>
          <w:p w14:paraId="781DF6AF">
            <w:pPr>
              <w:pStyle w:val="40"/>
              <w:rPr>
                <w:color w:val="auto"/>
              </w:rPr>
            </w:pPr>
            <w:r>
              <w:rPr>
                <w:rFonts w:hint="eastAsia"/>
                <w:color w:val="auto"/>
              </w:rPr>
              <w:t>/</w:t>
            </w:r>
          </w:p>
        </w:tc>
      </w:tr>
      <w:tr w14:paraId="4896C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90" w:type="dxa"/>
            <w:vMerge w:val="restart"/>
            <w:vAlign w:val="center"/>
          </w:tcPr>
          <w:p w14:paraId="41441337">
            <w:pPr>
              <w:pStyle w:val="40"/>
              <w:rPr>
                <w:color w:val="auto"/>
              </w:rPr>
            </w:pPr>
            <w:r>
              <w:rPr>
                <w:rFonts w:hint="eastAsia"/>
                <w:color w:val="auto"/>
              </w:rPr>
              <w:t>一般工业固体废物</w:t>
            </w:r>
          </w:p>
        </w:tc>
        <w:tc>
          <w:tcPr>
            <w:tcW w:w="2450" w:type="dxa"/>
            <w:vAlign w:val="center"/>
          </w:tcPr>
          <w:p w14:paraId="6BA1FC0B">
            <w:pPr>
              <w:pStyle w:val="40"/>
              <w:rPr>
                <w:color w:val="auto"/>
              </w:rPr>
            </w:pPr>
            <w:r>
              <w:rPr>
                <w:rFonts w:hint="eastAsia"/>
                <w:color w:val="auto"/>
              </w:rPr>
              <w:t>废边角料（t/a）</w:t>
            </w:r>
          </w:p>
        </w:tc>
        <w:tc>
          <w:tcPr>
            <w:tcW w:w="1575" w:type="dxa"/>
            <w:vAlign w:val="center"/>
          </w:tcPr>
          <w:p w14:paraId="404F34BF">
            <w:pPr>
              <w:pStyle w:val="40"/>
              <w:rPr>
                <w:color w:val="auto"/>
              </w:rPr>
            </w:pPr>
            <w:r>
              <w:rPr>
                <w:rFonts w:hint="eastAsia"/>
                <w:color w:val="auto"/>
              </w:rPr>
              <w:t>/</w:t>
            </w:r>
          </w:p>
        </w:tc>
        <w:tc>
          <w:tcPr>
            <w:tcW w:w="1150" w:type="dxa"/>
            <w:vAlign w:val="center"/>
          </w:tcPr>
          <w:p w14:paraId="39A75BE1">
            <w:pPr>
              <w:pStyle w:val="40"/>
              <w:rPr>
                <w:color w:val="auto"/>
              </w:rPr>
            </w:pPr>
            <w:r>
              <w:rPr>
                <w:rFonts w:hint="eastAsia"/>
                <w:color w:val="auto"/>
              </w:rPr>
              <w:t>/</w:t>
            </w:r>
          </w:p>
        </w:tc>
        <w:tc>
          <w:tcPr>
            <w:tcW w:w="1600" w:type="dxa"/>
            <w:vAlign w:val="center"/>
          </w:tcPr>
          <w:p w14:paraId="647C8E11">
            <w:pPr>
              <w:pStyle w:val="40"/>
              <w:rPr>
                <w:color w:val="auto"/>
              </w:rPr>
            </w:pPr>
            <w:r>
              <w:rPr>
                <w:rFonts w:hint="eastAsia"/>
                <w:color w:val="auto"/>
              </w:rPr>
              <w:t>/</w:t>
            </w:r>
          </w:p>
        </w:tc>
        <w:tc>
          <w:tcPr>
            <w:tcW w:w="1487" w:type="dxa"/>
            <w:vAlign w:val="center"/>
          </w:tcPr>
          <w:p w14:paraId="19631F62">
            <w:pPr>
              <w:pStyle w:val="40"/>
              <w:rPr>
                <w:color w:val="auto"/>
              </w:rPr>
            </w:pPr>
            <w:r>
              <w:rPr>
                <w:rFonts w:hint="eastAsia"/>
                <w:color w:val="auto"/>
              </w:rPr>
              <w:t>1.2</w:t>
            </w:r>
          </w:p>
        </w:tc>
        <w:tc>
          <w:tcPr>
            <w:tcW w:w="1588" w:type="dxa"/>
            <w:vAlign w:val="center"/>
          </w:tcPr>
          <w:p w14:paraId="0AB7BA16">
            <w:pPr>
              <w:pStyle w:val="40"/>
              <w:rPr>
                <w:color w:val="auto"/>
              </w:rPr>
            </w:pPr>
            <w:r>
              <w:rPr>
                <w:rFonts w:hint="eastAsia"/>
                <w:color w:val="auto"/>
              </w:rPr>
              <w:t>/</w:t>
            </w:r>
          </w:p>
        </w:tc>
        <w:tc>
          <w:tcPr>
            <w:tcW w:w="1925" w:type="dxa"/>
            <w:vAlign w:val="center"/>
          </w:tcPr>
          <w:p w14:paraId="456A9C68">
            <w:pPr>
              <w:pStyle w:val="40"/>
              <w:rPr>
                <w:color w:val="auto"/>
              </w:rPr>
            </w:pPr>
            <w:r>
              <w:rPr>
                <w:rFonts w:hint="eastAsia"/>
                <w:color w:val="auto"/>
              </w:rPr>
              <w:t>1.2</w:t>
            </w:r>
          </w:p>
        </w:tc>
        <w:tc>
          <w:tcPr>
            <w:tcW w:w="623" w:type="dxa"/>
            <w:vAlign w:val="center"/>
          </w:tcPr>
          <w:p w14:paraId="25FF2763">
            <w:pPr>
              <w:pStyle w:val="40"/>
              <w:rPr>
                <w:color w:val="auto"/>
              </w:rPr>
            </w:pPr>
            <w:r>
              <w:rPr>
                <w:rFonts w:hint="eastAsia"/>
                <w:color w:val="auto"/>
              </w:rPr>
              <w:t>/</w:t>
            </w:r>
          </w:p>
        </w:tc>
      </w:tr>
      <w:tr w14:paraId="0C164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90" w:type="dxa"/>
            <w:vMerge w:val="continue"/>
            <w:vAlign w:val="center"/>
          </w:tcPr>
          <w:p w14:paraId="5A55908C">
            <w:pPr>
              <w:pStyle w:val="40"/>
              <w:rPr>
                <w:color w:val="auto"/>
              </w:rPr>
            </w:pPr>
          </w:p>
        </w:tc>
        <w:tc>
          <w:tcPr>
            <w:tcW w:w="2450" w:type="dxa"/>
            <w:vAlign w:val="center"/>
          </w:tcPr>
          <w:p w14:paraId="1F972D8B">
            <w:pPr>
              <w:pStyle w:val="40"/>
              <w:rPr>
                <w:color w:val="auto"/>
              </w:rPr>
            </w:pPr>
            <w:r>
              <w:rPr>
                <w:rFonts w:hint="eastAsia"/>
                <w:color w:val="auto"/>
              </w:rPr>
              <w:t>废包装材料（t/a）</w:t>
            </w:r>
          </w:p>
        </w:tc>
        <w:tc>
          <w:tcPr>
            <w:tcW w:w="1575" w:type="dxa"/>
            <w:vAlign w:val="center"/>
          </w:tcPr>
          <w:p w14:paraId="05BAE971">
            <w:pPr>
              <w:pStyle w:val="40"/>
              <w:rPr>
                <w:color w:val="auto"/>
              </w:rPr>
            </w:pPr>
            <w:r>
              <w:rPr>
                <w:rFonts w:hint="eastAsia"/>
                <w:color w:val="auto"/>
              </w:rPr>
              <w:t>/</w:t>
            </w:r>
          </w:p>
        </w:tc>
        <w:tc>
          <w:tcPr>
            <w:tcW w:w="1150" w:type="dxa"/>
            <w:vAlign w:val="center"/>
          </w:tcPr>
          <w:p w14:paraId="6E9A5383">
            <w:pPr>
              <w:pStyle w:val="40"/>
              <w:rPr>
                <w:color w:val="auto"/>
              </w:rPr>
            </w:pPr>
            <w:r>
              <w:rPr>
                <w:rFonts w:hint="eastAsia"/>
                <w:color w:val="auto"/>
              </w:rPr>
              <w:t>/</w:t>
            </w:r>
          </w:p>
        </w:tc>
        <w:tc>
          <w:tcPr>
            <w:tcW w:w="1600" w:type="dxa"/>
            <w:vAlign w:val="center"/>
          </w:tcPr>
          <w:p w14:paraId="3182C306">
            <w:pPr>
              <w:pStyle w:val="40"/>
              <w:rPr>
                <w:color w:val="auto"/>
              </w:rPr>
            </w:pPr>
            <w:r>
              <w:rPr>
                <w:rFonts w:hint="eastAsia"/>
                <w:color w:val="auto"/>
              </w:rPr>
              <w:t>/</w:t>
            </w:r>
          </w:p>
        </w:tc>
        <w:tc>
          <w:tcPr>
            <w:tcW w:w="1487" w:type="dxa"/>
            <w:vAlign w:val="center"/>
          </w:tcPr>
          <w:p w14:paraId="00808F88">
            <w:pPr>
              <w:pStyle w:val="40"/>
              <w:rPr>
                <w:color w:val="auto"/>
              </w:rPr>
            </w:pPr>
            <w:r>
              <w:rPr>
                <w:rFonts w:hint="eastAsia"/>
                <w:color w:val="auto"/>
              </w:rPr>
              <w:t>0.1</w:t>
            </w:r>
          </w:p>
        </w:tc>
        <w:tc>
          <w:tcPr>
            <w:tcW w:w="1588" w:type="dxa"/>
            <w:vAlign w:val="center"/>
          </w:tcPr>
          <w:p w14:paraId="5F0EF96B">
            <w:pPr>
              <w:pStyle w:val="40"/>
              <w:rPr>
                <w:color w:val="auto"/>
              </w:rPr>
            </w:pPr>
            <w:r>
              <w:rPr>
                <w:rFonts w:hint="eastAsia"/>
                <w:color w:val="auto"/>
              </w:rPr>
              <w:t>/</w:t>
            </w:r>
          </w:p>
        </w:tc>
        <w:tc>
          <w:tcPr>
            <w:tcW w:w="1925" w:type="dxa"/>
            <w:vAlign w:val="center"/>
          </w:tcPr>
          <w:p w14:paraId="5C8373BC">
            <w:pPr>
              <w:pStyle w:val="40"/>
              <w:rPr>
                <w:color w:val="auto"/>
              </w:rPr>
            </w:pPr>
            <w:r>
              <w:rPr>
                <w:rFonts w:hint="eastAsia"/>
                <w:color w:val="auto"/>
              </w:rPr>
              <w:t>0.1</w:t>
            </w:r>
          </w:p>
        </w:tc>
        <w:tc>
          <w:tcPr>
            <w:tcW w:w="623" w:type="dxa"/>
            <w:vAlign w:val="center"/>
          </w:tcPr>
          <w:p w14:paraId="39FBCDE3">
            <w:pPr>
              <w:pStyle w:val="40"/>
              <w:rPr>
                <w:color w:val="auto"/>
              </w:rPr>
            </w:pPr>
            <w:r>
              <w:rPr>
                <w:rFonts w:hint="eastAsia"/>
                <w:color w:val="auto"/>
              </w:rPr>
              <w:t>/</w:t>
            </w:r>
          </w:p>
        </w:tc>
      </w:tr>
      <w:tr w14:paraId="778AF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90" w:type="dxa"/>
            <w:vMerge w:val="continue"/>
            <w:vAlign w:val="center"/>
          </w:tcPr>
          <w:p w14:paraId="4DD89743">
            <w:pPr>
              <w:pStyle w:val="40"/>
              <w:rPr>
                <w:color w:val="auto"/>
              </w:rPr>
            </w:pPr>
          </w:p>
        </w:tc>
        <w:tc>
          <w:tcPr>
            <w:tcW w:w="2450" w:type="dxa"/>
            <w:vAlign w:val="center"/>
          </w:tcPr>
          <w:p w14:paraId="092FB751">
            <w:pPr>
              <w:pStyle w:val="40"/>
              <w:rPr>
                <w:color w:val="auto"/>
              </w:rPr>
            </w:pPr>
            <w:r>
              <w:rPr>
                <w:rFonts w:hint="eastAsia"/>
                <w:color w:val="auto"/>
              </w:rPr>
              <w:t>除尘器收集粉尘（t/a）</w:t>
            </w:r>
          </w:p>
        </w:tc>
        <w:tc>
          <w:tcPr>
            <w:tcW w:w="1575" w:type="dxa"/>
            <w:vAlign w:val="center"/>
          </w:tcPr>
          <w:p w14:paraId="069846F7">
            <w:pPr>
              <w:pStyle w:val="40"/>
              <w:rPr>
                <w:color w:val="auto"/>
              </w:rPr>
            </w:pPr>
            <w:r>
              <w:rPr>
                <w:rFonts w:hint="eastAsia"/>
                <w:color w:val="auto"/>
              </w:rPr>
              <w:t>/</w:t>
            </w:r>
          </w:p>
        </w:tc>
        <w:tc>
          <w:tcPr>
            <w:tcW w:w="1150" w:type="dxa"/>
            <w:vAlign w:val="center"/>
          </w:tcPr>
          <w:p w14:paraId="1AE72F79">
            <w:pPr>
              <w:pStyle w:val="40"/>
              <w:rPr>
                <w:color w:val="auto"/>
              </w:rPr>
            </w:pPr>
            <w:r>
              <w:rPr>
                <w:rFonts w:hint="eastAsia"/>
                <w:color w:val="auto"/>
              </w:rPr>
              <w:t>/</w:t>
            </w:r>
          </w:p>
        </w:tc>
        <w:tc>
          <w:tcPr>
            <w:tcW w:w="1600" w:type="dxa"/>
            <w:vAlign w:val="center"/>
          </w:tcPr>
          <w:p w14:paraId="32150236">
            <w:pPr>
              <w:pStyle w:val="40"/>
              <w:rPr>
                <w:color w:val="auto"/>
              </w:rPr>
            </w:pPr>
            <w:r>
              <w:rPr>
                <w:rFonts w:hint="eastAsia"/>
                <w:color w:val="auto"/>
              </w:rPr>
              <w:t>/</w:t>
            </w:r>
          </w:p>
        </w:tc>
        <w:tc>
          <w:tcPr>
            <w:tcW w:w="1487" w:type="dxa"/>
            <w:vAlign w:val="center"/>
          </w:tcPr>
          <w:p w14:paraId="6B028F81">
            <w:pPr>
              <w:pStyle w:val="40"/>
              <w:rPr>
                <w:rFonts w:hint="default" w:eastAsia="宋体"/>
                <w:color w:val="auto"/>
                <w:lang w:val="en-US" w:eastAsia="zh-CN"/>
              </w:rPr>
            </w:pPr>
            <w:r>
              <w:rPr>
                <w:rFonts w:hint="eastAsia"/>
                <w:color w:val="auto"/>
                <w:lang w:val="en-US" w:eastAsia="zh-CN"/>
              </w:rPr>
              <w:t>0.61427</w:t>
            </w:r>
          </w:p>
        </w:tc>
        <w:tc>
          <w:tcPr>
            <w:tcW w:w="1588" w:type="dxa"/>
            <w:vAlign w:val="center"/>
          </w:tcPr>
          <w:p w14:paraId="5C48496A">
            <w:pPr>
              <w:pStyle w:val="40"/>
              <w:rPr>
                <w:color w:val="auto"/>
              </w:rPr>
            </w:pPr>
            <w:r>
              <w:rPr>
                <w:rFonts w:hint="eastAsia"/>
                <w:color w:val="auto"/>
              </w:rPr>
              <w:t>/</w:t>
            </w:r>
          </w:p>
        </w:tc>
        <w:tc>
          <w:tcPr>
            <w:tcW w:w="1925" w:type="dxa"/>
            <w:vAlign w:val="center"/>
          </w:tcPr>
          <w:p w14:paraId="5C354398">
            <w:pPr>
              <w:pStyle w:val="40"/>
              <w:rPr>
                <w:color w:val="auto"/>
              </w:rPr>
            </w:pPr>
            <w:r>
              <w:rPr>
                <w:rFonts w:hint="eastAsia"/>
                <w:color w:val="auto"/>
                <w:lang w:val="en-US" w:eastAsia="zh-CN"/>
              </w:rPr>
              <w:t>0.61427</w:t>
            </w:r>
          </w:p>
        </w:tc>
        <w:tc>
          <w:tcPr>
            <w:tcW w:w="623" w:type="dxa"/>
            <w:vAlign w:val="center"/>
          </w:tcPr>
          <w:p w14:paraId="026F0121">
            <w:pPr>
              <w:pStyle w:val="40"/>
              <w:rPr>
                <w:color w:val="auto"/>
              </w:rPr>
            </w:pPr>
            <w:r>
              <w:rPr>
                <w:rFonts w:hint="eastAsia"/>
                <w:color w:val="auto"/>
              </w:rPr>
              <w:t>/</w:t>
            </w:r>
          </w:p>
        </w:tc>
      </w:tr>
      <w:tr w14:paraId="4F590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390" w:type="dxa"/>
            <w:vMerge w:val="restart"/>
            <w:vAlign w:val="center"/>
          </w:tcPr>
          <w:p w14:paraId="2991706D">
            <w:pPr>
              <w:pStyle w:val="40"/>
              <w:rPr>
                <w:color w:val="auto"/>
              </w:rPr>
            </w:pPr>
            <w:r>
              <w:rPr>
                <w:rFonts w:hint="eastAsia"/>
                <w:color w:val="auto"/>
              </w:rPr>
              <w:t>危险废物</w:t>
            </w:r>
          </w:p>
        </w:tc>
        <w:tc>
          <w:tcPr>
            <w:tcW w:w="2450" w:type="dxa"/>
            <w:vAlign w:val="center"/>
          </w:tcPr>
          <w:p w14:paraId="4B92CB81">
            <w:pPr>
              <w:pStyle w:val="40"/>
              <w:rPr>
                <w:color w:val="auto"/>
              </w:rPr>
            </w:pPr>
            <w:r>
              <w:rPr>
                <w:rFonts w:hint="eastAsia"/>
                <w:color w:val="auto"/>
              </w:rPr>
              <w:t>废活性炭（t/a）</w:t>
            </w:r>
          </w:p>
        </w:tc>
        <w:tc>
          <w:tcPr>
            <w:tcW w:w="1575" w:type="dxa"/>
            <w:vAlign w:val="center"/>
          </w:tcPr>
          <w:p w14:paraId="5995FFC2">
            <w:pPr>
              <w:pStyle w:val="40"/>
              <w:rPr>
                <w:color w:val="auto"/>
              </w:rPr>
            </w:pPr>
            <w:r>
              <w:rPr>
                <w:rFonts w:hint="eastAsia"/>
                <w:color w:val="auto"/>
              </w:rPr>
              <w:t>/</w:t>
            </w:r>
          </w:p>
        </w:tc>
        <w:tc>
          <w:tcPr>
            <w:tcW w:w="1150" w:type="dxa"/>
            <w:vAlign w:val="center"/>
          </w:tcPr>
          <w:p w14:paraId="6A81A4E5">
            <w:pPr>
              <w:pStyle w:val="40"/>
              <w:rPr>
                <w:color w:val="auto"/>
              </w:rPr>
            </w:pPr>
            <w:r>
              <w:rPr>
                <w:rFonts w:hint="eastAsia"/>
                <w:color w:val="auto"/>
              </w:rPr>
              <w:t>/</w:t>
            </w:r>
          </w:p>
        </w:tc>
        <w:tc>
          <w:tcPr>
            <w:tcW w:w="1600" w:type="dxa"/>
            <w:vAlign w:val="center"/>
          </w:tcPr>
          <w:p w14:paraId="0A9FC2DB">
            <w:pPr>
              <w:pStyle w:val="40"/>
              <w:rPr>
                <w:color w:val="auto"/>
              </w:rPr>
            </w:pPr>
            <w:r>
              <w:rPr>
                <w:rFonts w:hint="eastAsia"/>
                <w:color w:val="auto"/>
              </w:rPr>
              <w:t>/</w:t>
            </w:r>
          </w:p>
        </w:tc>
        <w:tc>
          <w:tcPr>
            <w:tcW w:w="1487" w:type="dxa"/>
            <w:vAlign w:val="center"/>
          </w:tcPr>
          <w:p w14:paraId="2E0300FC">
            <w:pPr>
              <w:pStyle w:val="40"/>
              <w:rPr>
                <w:rFonts w:hint="default" w:eastAsia="宋体"/>
                <w:color w:val="auto"/>
                <w:lang w:val="en-US" w:eastAsia="zh-CN"/>
              </w:rPr>
            </w:pPr>
            <w:r>
              <w:rPr>
                <w:rFonts w:hint="eastAsia"/>
                <w:color w:val="auto"/>
                <w:lang w:val="en-US" w:eastAsia="zh-CN"/>
              </w:rPr>
              <w:t>3.38</w:t>
            </w:r>
          </w:p>
        </w:tc>
        <w:tc>
          <w:tcPr>
            <w:tcW w:w="1588" w:type="dxa"/>
            <w:vAlign w:val="center"/>
          </w:tcPr>
          <w:p w14:paraId="44498A94">
            <w:pPr>
              <w:pStyle w:val="40"/>
              <w:rPr>
                <w:color w:val="auto"/>
              </w:rPr>
            </w:pPr>
            <w:r>
              <w:rPr>
                <w:rFonts w:hint="eastAsia"/>
                <w:color w:val="auto"/>
              </w:rPr>
              <w:t>/</w:t>
            </w:r>
          </w:p>
        </w:tc>
        <w:tc>
          <w:tcPr>
            <w:tcW w:w="1925" w:type="dxa"/>
            <w:vAlign w:val="center"/>
          </w:tcPr>
          <w:p w14:paraId="54563119">
            <w:pPr>
              <w:pStyle w:val="40"/>
              <w:rPr>
                <w:rFonts w:hint="default" w:eastAsia="宋体"/>
                <w:color w:val="auto"/>
                <w:lang w:val="en-US" w:eastAsia="zh-CN"/>
              </w:rPr>
            </w:pPr>
            <w:r>
              <w:rPr>
                <w:rFonts w:hint="eastAsia"/>
                <w:color w:val="auto"/>
                <w:lang w:val="en-US" w:eastAsia="zh-CN"/>
              </w:rPr>
              <w:t>3.38</w:t>
            </w:r>
          </w:p>
        </w:tc>
        <w:tc>
          <w:tcPr>
            <w:tcW w:w="623" w:type="dxa"/>
            <w:vAlign w:val="center"/>
          </w:tcPr>
          <w:p w14:paraId="09A6640D">
            <w:pPr>
              <w:pStyle w:val="40"/>
              <w:rPr>
                <w:color w:val="auto"/>
              </w:rPr>
            </w:pPr>
            <w:r>
              <w:rPr>
                <w:rFonts w:hint="eastAsia"/>
                <w:color w:val="auto"/>
              </w:rPr>
              <w:t>/</w:t>
            </w:r>
          </w:p>
        </w:tc>
      </w:tr>
      <w:tr w14:paraId="08BAF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390" w:type="dxa"/>
            <w:vMerge w:val="continue"/>
            <w:vAlign w:val="center"/>
          </w:tcPr>
          <w:p w14:paraId="24ED77E8">
            <w:pPr>
              <w:pStyle w:val="40"/>
              <w:rPr>
                <w:color w:val="auto"/>
              </w:rPr>
            </w:pPr>
          </w:p>
        </w:tc>
        <w:tc>
          <w:tcPr>
            <w:tcW w:w="2450" w:type="dxa"/>
            <w:vAlign w:val="center"/>
          </w:tcPr>
          <w:p w14:paraId="451DC424">
            <w:pPr>
              <w:pStyle w:val="40"/>
              <w:rPr>
                <w:color w:val="auto"/>
              </w:rPr>
            </w:pPr>
            <w:r>
              <w:rPr>
                <w:rFonts w:hint="eastAsia"/>
                <w:color w:val="auto"/>
              </w:rPr>
              <w:t>废原料桶（t/a）</w:t>
            </w:r>
          </w:p>
        </w:tc>
        <w:tc>
          <w:tcPr>
            <w:tcW w:w="1575" w:type="dxa"/>
            <w:vAlign w:val="center"/>
          </w:tcPr>
          <w:p w14:paraId="21FA7026">
            <w:pPr>
              <w:pStyle w:val="40"/>
              <w:rPr>
                <w:color w:val="auto"/>
              </w:rPr>
            </w:pPr>
            <w:r>
              <w:rPr>
                <w:rFonts w:hint="eastAsia"/>
                <w:color w:val="auto"/>
              </w:rPr>
              <w:t>/</w:t>
            </w:r>
          </w:p>
        </w:tc>
        <w:tc>
          <w:tcPr>
            <w:tcW w:w="1150" w:type="dxa"/>
            <w:vAlign w:val="center"/>
          </w:tcPr>
          <w:p w14:paraId="1FAD17D5">
            <w:pPr>
              <w:pStyle w:val="40"/>
              <w:rPr>
                <w:color w:val="auto"/>
              </w:rPr>
            </w:pPr>
            <w:r>
              <w:rPr>
                <w:rFonts w:hint="eastAsia"/>
                <w:color w:val="auto"/>
              </w:rPr>
              <w:t>/</w:t>
            </w:r>
          </w:p>
        </w:tc>
        <w:tc>
          <w:tcPr>
            <w:tcW w:w="1600" w:type="dxa"/>
            <w:vAlign w:val="center"/>
          </w:tcPr>
          <w:p w14:paraId="4E77F86E">
            <w:pPr>
              <w:pStyle w:val="40"/>
              <w:rPr>
                <w:color w:val="auto"/>
              </w:rPr>
            </w:pPr>
            <w:r>
              <w:rPr>
                <w:rFonts w:hint="eastAsia"/>
                <w:color w:val="auto"/>
              </w:rPr>
              <w:t>/</w:t>
            </w:r>
          </w:p>
        </w:tc>
        <w:tc>
          <w:tcPr>
            <w:tcW w:w="1487" w:type="dxa"/>
            <w:vAlign w:val="center"/>
          </w:tcPr>
          <w:p w14:paraId="6B827AAF">
            <w:pPr>
              <w:pStyle w:val="40"/>
              <w:rPr>
                <w:color w:val="auto"/>
              </w:rPr>
            </w:pPr>
            <w:r>
              <w:rPr>
                <w:rFonts w:hint="eastAsia"/>
                <w:color w:val="auto"/>
              </w:rPr>
              <w:t>0.5</w:t>
            </w:r>
          </w:p>
        </w:tc>
        <w:tc>
          <w:tcPr>
            <w:tcW w:w="1588" w:type="dxa"/>
            <w:vAlign w:val="center"/>
          </w:tcPr>
          <w:p w14:paraId="07A98CE7">
            <w:pPr>
              <w:pStyle w:val="40"/>
              <w:rPr>
                <w:color w:val="auto"/>
              </w:rPr>
            </w:pPr>
            <w:r>
              <w:rPr>
                <w:rFonts w:hint="eastAsia"/>
                <w:color w:val="auto"/>
              </w:rPr>
              <w:t>/</w:t>
            </w:r>
          </w:p>
        </w:tc>
        <w:tc>
          <w:tcPr>
            <w:tcW w:w="1925" w:type="dxa"/>
            <w:vAlign w:val="center"/>
          </w:tcPr>
          <w:p w14:paraId="0E8F412E">
            <w:pPr>
              <w:pStyle w:val="40"/>
              <w:rPr>
                <w:color w:val="auto"/>
              </w:rPr>
            </w:pPr>
            <w:r>
              <w:rPr>
                <w:rFonts w:hint="eastAsia"/>
                <w:color w:val="auto"/>
              </w:rPr>
              <w:t>0.5</w:t>
            </w:r>
          </w:p>
        </w:tc>
        <w:tc>
          <w:tcPr>
            <w:tcW w:w="623" w:type="dxa"/>
            <w:vAlign w:val="center"/>
          </w:tcPr>
          <w:p w14:paraId="28C42B39">
            <w:pPr>
              <w:pStyle w:val="40"/>
              <w:rPr>
                <w:color w:val="auto"/>
              </w:rPr>
            </w:pPr>
            <w:r>
              <w:rPr>
                <w:rFonts w:hint="eastAsia"/>
                <w:color w:val="auto"/>
              </w:rPr>
              <w:t>/</w:t>
            </w:r>
          </w:p>
        </w:tc>
      </w:tr>
      <w:tr w14:paraId="3D60A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0" w:type="dxa"/>
            <w:vMerge w:val="continue"/>
            <w:vAlign w:val="center"/>
          </w:tcPr>
          <w:p w14:paraId="0761BC1B">
            <w:pPr>
              <w:pStyle w:val="40"/>
              <w:rPr>
                <w:color w:val="auto"/>
              </w:rPr>
            </w:pPr>
          </w:p>
        </w:tc>
        <w:tc>
          <w:tcPr>
            <w:tcW w:w="2450" w:type="dxa"/>
            <w:vAlign w:val="center"/>
          </w:tcPr>
          <w:p w14:paraId="4B7A1A92">
            <w:pPr>
              <w:pStyle w:val="40"/>
              <w:rPr>
                <w:color w:val="auto"/>
              </w:rPr>
            </w:pPr>
            <w:r>
              <w:rPr>
                <w:rFonts w:hint="eastAsia"/>
                <w:color w:val="auto"/>
              </w:rPr>
              <w:t>水帘柜废水（t/a）</w:t>
            </w:r>
          </w:p>
        </w:tc>
        <w:tc>
          <w:tcPr>
            <w:tcW w:w="1575" w:type="dxa"/>
            <w:vAlign w:val="center"/>
          </w:tcPr>
          <w:p w14:paraId="265A26D0">
            <w:pPr>
              <w:pStyle w:val="40"/>
              <w:rPr>
                <w:color w:val="auto"/>
              </w:rPr>
            </w:pPr>
            <w:r>
              <w:rPr>
                <w:rFonts w:hint="eastAsia"/>
                <w:color w:val="auto"/>
              </w:rPr>
              <w:t>/</w:t>
            </w:r>
          </w:p>
        </w:tc>
        <w:tc>
          <w:tcPr>
            <w:tcW w:w="1150" w:type="dxa"/>
            <w:vAlign w:val="center"/>
          </w:tcPr>
          <w:p w14:paraId="6B8FAFE2">
            <w:pPr>
              <w:pStyle w:val="40"/>
              <w:rPr>
                <w:color w:val="auto"/>
              </w:rPr>
            </w:pPr>
            <w:r>
              <w:rPr>
                <w:rFonts w:hint="eastAsia"/>
                <w:color w:val="auto"/>
              </w:rPr>
              <w:t>/</w:t>
            </w:r>
          </w:p>
        </w:tc>
        <w:tc>
          <w:tcPr>
            <w:tcW w:w="1600" w:type="dxa"/>
            <w:vAlign w:val="center"/>
          </w:tcPr>
          <w:p w14:paraId="025B6565">
            <w:pPr>
              <w:pStyle w:val="40"/>
              <w:rPr>
                <w:color w:val="auto"/>
              </w:rPr>
            </w:pPr>
            <w:r>
              <w:rPr>
                <w:rFonts w:hint="eastAsia"/>
                <w:color w:val="auto"/>
              </w:rPr>
              <w:t>/</w:t>
            </w:r>
          </w:p>
        </w:tc>
        <w:tc>
          <w:tcPr>
            <w:tcW w:w="1487" w:type="dxa"/>
            <w:vAlign w:val="center"/>
          </w:tcPr>
          <w:p w14:paraId="074D8393">
            <w:pPr>
              <w:pStyle w:val="40"/>
              <w:rPr>
                <w:rFonts w:hint="eastAsia" w:eastAsia="宋体"/>
                <w:color w:val="auto"/>
                <w:lang w:eastAsia="zh-CN"/>
              </w:rPr>
            </w:pPr>
            <w:r>
              <w:rPr>
                <w:rFonts w:hint="eastAsia"/>
                <w:color w:val="auto"/>
                <w:lang w:val="en-US" w:eastAsia="zh-CN"/>
              </w:rPr>
              <w:t>8</w:t>
            </w:r>
          </w:p>
        </w:tc>
        <w:tc>
          <w:tcPr>
            <w:tcW w:w="1588" w:type="dxa"/>
            <w:vAlign w:val="center"/>
          </w:tcPr>
          <w:p w14:paraId="43BD5481">
            <w:pPr>
              <w:pStyle w:val="40"/>
              <w:rPr>
                <w:color w:val="auto"/>
              </w:rPr>
            </w:pPr>
            <w:r>
              <w:rPr>
                <w:rFonts w:hint="eastAsia"/>
                <w:color w:val="auto"/>
              </w:rPr>
              <w:t>/</w:t>
            </w:r>
          </w:p>
        </w:tc>
        <w:tc>
          <w:tcPr>
            <w:tcW w:w="1925" w:type="dxa"/>
            <w:vAlign w:val="center"/>
          </w:tcPr>
          <w:p w14:paraId="515FA8E0">
            <w:pPr>
              <w:pStyle w:val="40"/>
              <w:rPr>
                <w:rFonts w:hint="eastAsia" w:eastAsia="宋体"/>
                <w:color w:val="auto"/>
                <w:lang w:eastAsia="zh-CN"/>
              </w:rPr>
            </w:pPr>
            <w:r>
              <w:rPr>
                <w:rFonts w:hint="eastAsia"/>
                <w:color w:val="auto"/>
                <w:lang w:val="en-US" w:eastAsia="zh-CN"/>
              </w:rPr>
              <w:t>8</w:t>
            </w:r>
          </w:p>
        </w:tc>
        <w:tc>
          <w:tcPr>
            <w:tcW w:w="623" w:type="dxa"/>
            <w:vAlign w:val="center"/>
          </w:tcPr>
          <w:p w14:paraId="5DDE89FE">
            <w:pPr>
              <w:pStyle w:val="40"/>
              <w:rPr>
                <w:color w:val="auto"/>
              </w:rPr>
            </w:pPr>
            <w:r>
              <w:rPr>
                <w:rFonts w:hint="eastAsia"/>
                <w:color w:val="auto"/>
              </w:rPr>
              <w:t>/</w:t>
            </w:r>
          </w:p>
        </w:tc>
      </w:tr>
      <w:tr w14:paraId="7955A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90" w:type="dxa"/>
            <w:vMerge w:val="continue"/>
            <w:vAlign w:val="center"/>
          </w:tcPr>
          <w:p w14:paraId="41335CD2">
            <w:pPr>
              <w:pStyle w:val="40"/>
              <w:rPr>
                <w:color w:val="auto"/>
              </w:rPr>
            </w:pPr>
          </w:p>
        </w:tc>
        <w:tc>
          <w:tcPr>
            <w:tcW w:w="2450" w:type="dxa"/>
            <w:vAlign w:val="center"/>
          </w:tcPr>
          <w:p w14:paraId="6A7CB150">
            <w:pPr>
              <w:pStyle w:val="40"/>
              <w:rPr>
                <w:color w:val="auto"/>
              </w:rPr>
            </w:pPr>
            <w:r>
              <w:rPr>
                <w:rFonts w:hint="eastAsia"/>
                <w:color w:val="auto"/>
              </w:rPr>
              <w:t>废过滤棉（t/a）</w:t>
            </w:r>
          </w:p>
        </w:tc>
        <w:tc>
          <w:tcPr>
            <w:tcW w:w="1575" w:type="dxa"/>
            <w:vAlign w:val="center"/>
          </w:tcPr>
          <w:p w14:paraId="4CAB3FC6">
            <w:pPr>
              <w:pStyle w:val="40"/>
              <w:rPr>
                <w:color w:val="auto"/>
              </w:rPr>
            </w:pPr>
            <w:r>
              <w:rPr>
                <w:rFonts w:hint="eastAsia"/>
                <w:color w:val="auto"/>
              </w:rPr>
              <w:t>/</w:t>
            </w:r>
          </w:p>
        </w:tc>
        <w:tc>
          <w:tcPr>
            <w:tcW w:w="1150" w:type="dxa"/>
            <w:vAlign w:val="center"/>
          </w:tcPr>
          <w:p w14:paraId="60BA767B">
            <w:pPr>
              <w:pStyle w:val="40"/>
              <w:rPr>
                <w:color w:val="auto"/>
              </w:rPr>
            </w:pPr>
            <w:r>
              <w:rPr>
                <w:rFonts w:hint="eastAsia"/>
                <w:color w:val="auto"/>
              </w:rPr>
              <w:t>/</w:t>
            </w:r>
          </w:p>
        </w:tc>
        <w:tc>
          <w:tcPr>
            <w:tcW w:w="1600" w:type="dxa"/>
            <w:vAlign w:val="center"/>
          </w:tcPr>
          <w:p w14:paraId="6C602792">
            <w:pPr>
              <w:pStyle w:val="40"/>
              <w:rPr>
                <w:color w:val="auto"/>
              </w:rPr>
            </w:pPr>
            <w:r>
              <w:rPr>
                <w:rFonts w:hint="eastAsia"/>
                <w:color w:val="auto"/>
              </w:rPr>
              <w:t>/</w:t>
            </w:r>
          </w:p>
        </w:tc>
        <w:tc>
          <w:tcPr>
            <w:tcW w:w="1487" w:type="dxa"/>
            <w:vAlign w:val="center"/>
          </w:tcPr>
          <w:p w14:paraId="3FDAF28B">
            <w:pPr>
              <w:pStyle w:val="40"/>
              <w:rPr>
                <w:color w:val="auto"/>
              </w:rPr>
            </w:pPr>
            <w:r>
              <w:rPr>
                <w:rFonts w:hint="eastAsia"/>
                <w:color w:val="auto"/>
              </w:rPr>
              <w:t>0.5</w:t>
            </w:r>
          </w:p>
        </w:tc>
        <w:tc>
          <w:tcPr>
            <w:tcW w:w="1588" w:type="dxa"/>
            <w:vAlign w:val="center"/>
          </w:tcPr>
          <w:p w14:paraId="4D97848E">
            <w:pPr>
              <w:pStyle w:val="40"/>
              <w:rPr>
                <w:color w:val="auto"/>
              </w:rPr>
            </w:pPr>
            <w:r>
              <w:rPr>
                <w:rFonts w:hint="eastAsia"/>
                <w:color w:val="auto"/>
              </w:rPr>
              <w:t>/</w:t>
            </w:r>
          </w:p>
        </w:tc>
        <w:tc>
          <w:tcPr>
            <w:tcW w:w="1925" w:type="dxa"/>
            <w:vAlign w:val="center"/>
          </w:tcPr>
          <w:p w14:paraId="48C50F0E">
            <w:pPr>
              <w:pStyle w:val="40"/>
              <w:rPr>
                <w:color w:val="auto"/>
              </w:rPr>
            </w:pPr>
            <w:r>
              <w:rPr>
                <w:rFonts w:hint="eastAsia"/>
                <w:color w:val="auto"/>
              </w:rPr>
              <w:t>0.5</w:t>
            </w:r>
          </w:p>
        </w:tc>
        <w:tc>
          <w:tcPr>
            <w:tcW w:w="623" w:type="dxa"/>
            <w:vAlign w:val="center"/>
          </w:tcPr>
          <w:p w14:paraId="4ADF7343">
            <w:pPr>
              <w:pStyle w:val="40"/>
              <w:rPr>
                <w:color w:val="auto"/>
              </w:rPr>
            </w:pPr>
            <w:r>
              <w:rPr>
                <w:rFonts w:hint="eastAsia"/>
                <w:color w:val="auto"/>
              </w:rPr>
              <w:t>/</w:t>
            </w:r>
          </w:p>
        </w:tc>
      </w:tr>
      <w:tr w14:paraId="672C4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90" w:type="dxa"/>
            <w:vMerge w:val="continue"/>
            <w:vAlign w:val="center"/>
          </w:tcPr>
          <w:p w14:paraId="67442D7E">
            <w:pPr>
              <w:pStyle w:val="40"/>
              <w:rPr>
                <w:color w:val="auto"/>
              </w:rPr>
            </w:pPr>
          </w:p>
        </w:tc>
        <w:tc>
          <w:tcPr>
            <w:tcW w:w="2450" w:type="dxa"/>
            <w:vAlign w:val="center"/>
          </w:tcPr>
          <w:p w14:paraId="3D922566">
            <w:pPr>
              <w:pStyle w:val="40"/>
              <w:rPr>
                <w:color w:val="auto"/>
              </w:rPr>
            </w:pPr>
            <w:r>
              <w:rPr>
                <w:rFonts w:hint="eastAsia"/>
                <w:color w:val="auto"/>
              </w:rPr>
              <w:t>漆渣（t/a）</w:t>
            </w:r>
          </w:p>
        </w:tc>
        <w:tc>
          <w:tcPr>
            <w:tcW w:w="1575" w:type="dxa"/>
            <w:vAlign w:val="center"/>
          </w:tcPr>
          <w:p w14:paraId="2AB17FBD">
            <w:pPr>
              <w:pStyle w:val="40"/>
              <w:rPr>
                <w:color w:val="auto"/>
              </w:rPr>
            </w:pPr>
            <w:r>
              <w:rPr>
                <w:rFonts w:hint="eastAsia"/>
                <w:color w:val="auto"/>
              </w:rPr>
              <w:t>/</w:t>
            </w:r>
          </w:p>
        </w:tc>
        <w:tc>
          <w:tcPr>
            <w:tcW w:w="1150" w:type="dxa"/>
            <w:vAlign w:val="center"/>
          </w:tcPr>
          <w:p w14:paraId="767E4CA6">
            <w:pPr>
              <w:pStyle w:val="40"/>
              <w:rPr>
                <w:color w:val="auto"/>
              </w:rPr>
            </w:pPr>
            <w:r>
              <w:rPr>
                <w:rFonts w:hint="eastAsia"/>
                <w:color w:val="auto"/>
              </w:rPr>
              <w:t>/</w:t>
            </w:r>
          </w:p>
        </w:tc>
        <w:tc>
          <w:tcPr>
            <w:tcW w:w="1600" w:type="dxa"/>
            <w:vAlign w:val="center"/>
          </w:tcPr>
          <w:p w14:paraId="664F7816">
            <w:pPr>
              <w:pStyle w:val="40"/>
              <w:rPr>
                <w:color w:val="auto"/>
              </w:rPr>
            </w:pPr>
            <w:r>
              <w:rPr>
                <w:rFonts w:hint="eastAsia"/>
                <w:color w:val="auto"/>
              </w:rPr>
              <w:t>/</w:t>
            </w:r>
          </w:p>
        </w:tc>
        <w:tc>
          <w:tcPr>
            <w:tcW w:w="1487" w:type="dxa"/>
            <w:vAlign w:val="center"/>
          </w:tcPr>
          <w:p w14:paraId="11BEC088">
            <w:pPr>
              <w:pStyle w:val="40"/>
              <w:rPr>
                <w:color w:val="auto"/>
              </w:rPr>
            </w:pPr>
            <w:r>
              <w:rPr>
                <w:rFonts w:hint="eastAsia"/>
                <w:color w:val="auto"/>
                <w:lang w:val="en-US" w:eastAsia="zh-CN"/>
              </w:rPr>
              <w:t>0.31536</w:t>
            </w:r>
          </w:p>
        </w:tc>
        <w:tc>
          <w:tcPr>
            <w:tcW w:w="1588" w:type="dxa"/>
            <w:vAlign w:val="center"/>
          </w:tcPr>
          <w:p w14:paraId="5DECE165">
            <w:pPr>
              <w:pStyle w:val="40"/>
              <w:rPr>
                <w:color w:val="auto"/>
              </w:rPr>
            </w:pPr>
            <w:r>
              <w:rPr>
                <w:rFonts w:hint="eastAsia"/>
                <w:color w:val="auto"/>
              </w:rPr>
              <w:t>/</w:t>
            </w:r>
          </w:p>
        </w:tc>
        <w:tc>
          <w:tcPr>
            <w:tcW w:w="1925" w:type="dxa"/>
            <w:vAlign w:val="center"/>
          </w:tcPr>
          <w:p w14:paraId="638FBE2D">
            <w:pPr>
              <w:pStyle w:val="40"/>
              <w:rPr>
                <w:color w:val="auto"/>
              </w:rPr>
            </w:pPr>
            <w:r>
              <w:rPr>
                <w:rFonts w:hint="eastAsia"/>
                <w:color w:val="auto"/>
                <w:lang w:val="en-US" w:eastAsia="zh-CN"/>
              </w:rPr>
              <w:t>0.31536</w:t>
            </w:r>
          </w:p>
        </w:tc>
        <w:tc>
          <w:tcPr>
            <w:tcW w:w="623" w:type="dxa"/>
            <w:vAlign w:val="center"/>
          </w:tcPr>
          <w:p w14:paraId="1C7FA010">
            <w:pPr>
              <w:pStyle w:val="40"/>
              <w:rPr>
                <w:color w:val="auto"/>
              </w:rPr>
            </w:pPr>
            <w:r>
              <w:rPr>
                <w:rFonts w:hint="eastAsia"/>
                <w:color w:val="auto"/>
              </w:rPr>
              <w:t>/</w:t>
            </w:r>
          </w:p>
        </w:tc>
      </w:tr>
      <w:tr w14:paraId="4BCA7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0" w:type="dxa"/>
            <w:vMerge w:val="continue"/>
            <w:vAlign w:val="center"/>
          </w:tcPr>
          <w:p w14:paraId="288187D4">
            <w:pPr>
              <w:pStyle w:val="40"/>
              <w:rPr>
                <w:color w:val="auto"/>
              </w:rPr>
            </w:pPr>
          </w:p>
        </w:tc>
        <w:tc>
          <w:tcPr>
            <w:tcW w:w="2450" w:type="dxa"/>
            <w:vAlign w:val="center"/>
          </w:tcPr>
          <w:p w14:paraId="0C44A79C">
            <w:pPr>
              <w:pStyle w:val="40"/>
              <w:rPr>
                <w:color w:val="auto"/>
              </w:rPr>
            </w:pPr>
            <w:r>
              <w:rPr>
                <w:rFonts w:hint="eastAsia"/>
                <w:color w:val="auto"/>
              </w:rPr>
              <w:t>废机油（t/a）</w:t>
            </w:r>
          </w:p>
        </w:tc>
        <w:tc>
          <w:tcPr>
            <w:tcW w:w="1575" w:type="dxa"/>
            <w:vAlign w:val="center"/>
          </w:tcPr>
          <w:p w14:paraId="40DECC1C">
            <w:pPr>
              <w:pStyle w:val="40"/>
              <w:rPr>
                <w:color w:val="auto"/>
              </w:rPr>
            </w:pPr>
            <w:r>
              <w:rPr>
                <w:rFonts w:hint="eastAsia"/>
                <w:color w:val="auto"/>
              </w:rPr>
              <w:t>/</w:t>
            </w:r>
          </w:p>
        </w:tc>
        <w:tc>
          <w:tcPr>
            <w:tcW w:w="1150" w:type="dxa"/>
            <w:vAlign w:val="center"/>
          </w:tcPr>
          <w:p w14:paraId="3E49301B">
            <w:pPr>
              <w:pStyle w:val="40"/>
              <w:rPr>
                <w:color w:val="auto"/>
              </w:rPr>
            </w:pPr>
            <w:r>
              <w:rPr>
                <w:rFonts w:hint="eastAsia"/>
                <w:color w:val="auto"/>
              </w:rPr>
              <w:t>/</w:t>
            </w:r>
          </w:p>
        </w:tc>
        <w:tc>
          <w:tcPr>
            <w:tcW w:w="1600" w:type="dxa"/>
            <w:vAlign w:val="center"/>
          </w:tcPr>
          <w:p w14:paraId="18C73ECC">
            <w:pPr>
              <w:pStyle w:val="40"/>
              <w:rPr>
                <w:color w:val="auto"/>
              </w:rPr>
            </w:pPr>
            <w:r>
              <w:rPr>
                <w:rFonts w:hint="eastAsia"/>
                <w:color w:val="auto"/>
              </w:rPr>
              <w:t>/</w:t>
            </w:r>
          </w:p>
        </w:tc>
        <w:tc>
          <w:tcPr>
            <w:tcW w:w="1487" w:type="dxa"/>
            <w:vAlign w:val="center"/>
          </w:tcPr>
          <w:p w14:paraId="2EC0DA6C">
            <w:pPr>
              <w:pStyle w:val="40"/>
              <w:rPr>
                <w:color w:val="auto"/>
              </w:rPr>
            </w:pPr>
            <w:r>
              <w:rPr>
                <w:rFonts w:hint="eastAsia"/>
                <w:color w:val="auto"/>
              </w:rPr>
              <w:t>0.1</w:t>
            </w:r>
          </w:p>
        </w:tc>
        <w:tc>
          <w:tcPr>
            <w:tcW w:w="1588" w:type="dxa"/>
            <w:vAlign w:val="center"/>
          </w:tcPr>
          <w:p w14:paraId="3788318F">
            <w:pPr>
              <w:pStyle w:val="40"/>
              <w:rPr>
                <w:color w:val="auto"/>
              </w:rPr>
            </w:pPr>
            <w:r>
              <w:rPr>
                <w:rFonts w:hint="eastAsia"/>
                <w:color w:val="auto"/>
              </w:rPr>
              <w:t>/</w:t>
            </w:r>
          </w:p>
        </w:tc>
        <w:tc>
          <w:tcPr>
            <w:tcW w:w="1925" w:type="dxa"/>
            <w:vAlign w:val="center"/>
          </w:tcPr>
          <w:p w14:paraId="7EE209FF">
            <w:pPr>
              <w:pStyle w:val="40"/>
              <w:rPr>
                <w:color w:val="auto"/>
              </w:rPr>
            </w:pPr>
            <w:r>
              <w:rPr>
                <w:rFonts w:hint="eastAsia"/>
                <w:color w:val="auto"/>
              </w:rPr>
              <w:t>0.1</w:t>
            </w:r>
          </w:p>
        </w:tc>
        <w:tc>
          <w:tcPr>
            <w:tcW w:w="623" w:type="dxa"/>
            <w:vAlign w:val="center"/>
          </w:tcPr>
          <w:p w14:paraId="40A66DAE">
            <w:pPr>
              <w:pStyle w:val="40"/>
              <w:rPr>
                <w:color w:val="auto"/>
              </w:rPr>
            </w:pPr>
            <w:r>
              <w:rPr>
                <w:rFonts w:hint="eastAsia"/>
                <w:color w:val="auto"/>
              </w:rPr>
              <w:t>/</w:t>
            </w:r>
          </w:p>
        </w:tc>
      </w:tr>
      <w:tr w14:paraId="4F4EA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vAlign w:val="center"/>
          </w:tcPr>
          <w:p w14:paraId="306C1617">
            <w:pPr>
              <w:pStyle w:val="40"/>
              <w:rPr>
                <w:color w:val="auto"/>
              </w:rPr>
            </w:pPr>
            <w:r>
              <w:rPr>
                <w:rFonts w:hint="eastAsia"/>
                <w:color w:val="auto"/>
              </w:rPr>
              <w:t>生活垃圾</w:t>
            </w:r>
          </w:p>
        </w:tc>
        <w:tc>
          <w:tcPr>
            <w:tcW w:w="2450" w:type="dxa"/>
            <w:vAlign w:val="center"/>
          </w:tcPr>
          <w:p w14:paraId="3D983C42">
            <w:pPr>
              <w:pStyle w:val="40"/>
              <w:rPr>
                <w:color w:val="auto"/>
              </w:rPr>
            </w:pPr>
            <w:r>
              <w:rPr>
                <w:rFonts w:hint="eastAsia"/>
                <w:color w:val="auto"/>
              </w:rPr>
              <w:t>生活垃圾（t/a）</w:t>
            </w:r>
          </w:p>
        </w:tc>
        <w:tc>
          <w:tcPr>
            <w:tcW w:w="1575" w:type="dxa"/>
            <w:vAlign w:val="center"/>
          </w:tcPr>
          <w:p w14:paraId="144C89E5">
            <w:pPr>
              <w:pStyle w:val="40"/>
              <w:rPr>
                <w:color w:val="auto"/>
              </w:rPr>
            </w:pPr>
            <w:r>
              <w:rPr>
                <w:rFonts w:hint="eastAsia"/>
                <w:color w:val="auto"/>
              </w:rPr>
              <w:t>/</w:t>
            </w:r>
          </w:p>
        </w:tc>
        <w:tc>
          <w:tcPr>
            <w:tcW w:w="1150" w:type="dxa"/>
            <w:vAlign w:val="center"/>
          </w:tcPr>
          <w:p w14:paraId="5752C878">
            <w:pPr>
              <w:pStyle w:val="40"/>
              <w:rPr>
                <w:color w:val="auto"/>
              </w:rPr>
            </w:pPr>
            <w:r>
              <w:rPr>
                <w:rFonts w:hint="eastAsia"/>
                <w:color w:val="auto"/>
              </w:rPr>
              <w:t>/</w:t>
            </w:r>
          </w:p>
        </w:tc>
        <w:tc>
          <w:tcPr>
            <w:tcW w:w="1600" w:type="dxa"/>
            <w:vAlign w:val="center"/>
          </w:tcPr>
          <w:p w14:paraId="1DE178DD">
            <w:pPr>
              <w:pStyle w:val="40"/>
              <w:rPr>
                <w:color w:val="auto"/>
              </w:rPr>
            </w:pPr>
            <w:r>
              <w:rPr>
                <w:rFonts w:hint="eastAsia"/>
                <w:color w:val="auto"/>
              </w:rPr>
              <w:t>/</w:t>
            </w:r>
          </w:p>
        </w:tc>
        <w:tc>
          <w:tcPr>
            <w:tcW w:w="1487" w:type="dxa"/>
            <w:vAlign w:val="center"/>
          </w:tcPr>
          <w:p w14:paraId="6DE684E2">
            <w:pPr>
              <w:pStyle w:val="40"/>
              <w:rPr>
                <w:color w:val="auto"/>
              </w:rPr>
            </w:pPr>
            <w:r>
              <w:rPr>
                <w:rFonts w:hint="eastAsia"/>
                <w:color w:val="auto"/>
              </w:rPr>
              <w:t>11.9</w:t>
            </w:r>
          </w:p>
        </w:tc>
        <w:tc>
          <w:tcPr>
            <w:tcW w:w="1588" w:type="dxa"/>
            <w:vAlign w:val="center"/>
          </w:tcPr>
          <w:p w14:paraId="3F84C0B2">
            <w:pPr>
              <w:pStyle w:val="40"/>
              <w:rPr>
                <w:color w:val="auto"/>
              </w:rPr>
            </w:pPr>
            <w:r>
              <w:rPr>
                <w:rFonts w:hint="eastAsia"/>
                <w:color w:val="auto"/>
              </w:rPr>
              <w:t>/</w:t>
            </w:r>
          </w:p>
        </w:tc>
        <w:tc>
          <w:tcPr>
            <w:tcW w:w="1925" w:type="dxa"/>
            <w:vAlign w:val="center"/>
          </w:tcPr>
          <w:p w14:paraId="62E14A66">
            <w:pPr>
              <w:pStyle w:val="40"/>
              <w:rPr>
                <w:color w:val="auto"/>
              </w:rPr>
            </w:pPr>
            <w:r>
              <w:rPr>
                <w:rFonts w:hint="eastAsia"/>
                <w:color w:val="auto"/>
              </w:rPr>
              <w:t>11.9</w:t>
            </w:r>
          </w:p>
        </w:tc>
        <w:tc>
          <w:tcPr>
            <w:tcW w:w="623" w:type="dxa"/>
            <w:vAlign w:val="center"/>
          </w:tcPr>
          <w:p w14:paraId="77F00DCF">
            <w:pPr>
              <w:pStyle w:val="40"/>
              <w:rPr>
                <w:color w:val="auto"/>
              </w:rPr>
            </w:pPr>
            <w:r>
              <w:rPr>
                <w:rFonts w:hint="eastAsia"/>
                <w:color w:val="auto"/>
              </w:rPr>
              <w:t>/</w:t>
            </w:r>
          </w:p>
        </w:tc>
      </w:tr>
    </w:tbl>
    <w:p w14:paraId="5EABDBCA">
      <w:pPr>
        <w:rPr>
          <w:rFonts w:hAnsi="宋体"/>
          <w:snapToGrid w:val="0"/>
          <w:color w:val="auto"/>
          <w:spacing w:val="-6"/>
          <w:kern w:val="21"/>
          <w:szCs w:val="21"/>
        </w:rPr>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3804B12F">
      <w:pPr>
        <w:pStyle w:val="60"/>
        <w:ind w:left="0" w:leftChars="0"/>
        <w:rPr>
          <w:rFonts w:eastAsia="宋体"/>
          <w:b/>
          <w:bCs/>
          <w:color w:val="auto"/>
          <w:sz w:val="28"/>
          <w:szCs w:val="28"/>
        </w:rPr>
      </w:pPr>
      <w:r>
        <w:rPr>
          <w:sz w:val="28"/>
        </w:rPr>
        <mc:AlternateContent>
          <mc:Choice Requires="wps">
            <w:drawing>
              <wp:anchor distT="0" distB="0" distL="114300" distR="114300" simplePos="0" relativeHeight="251669504" behindDoc="0" locked="0" layoutInCell="1" allowOverlap="1">
                <wp:simplePos x="0" y="0"/>
                <wp:positionH relativeFrom="column">
                  <wp:posOffset>-81280</wp:posOffset>
                </wp:positionH>
                <wp:positionV relativeFrom="paragraph">
                  <wp:posOffset>689610</wp:posOffset>
                </wp:positionV>
                <wp:extent cx="5953760" cy="7927975"/>
                <wp:effectExtent l="0" t="0" r="8890" b="15875"/>
                <wp:wrapNone/>
                <wp:docPr id="36" name="文本框 36"/>
                <wp:cNvGraphicFramePr/>
                <a:graphic xmlns:a="http://schemas.openxmlformats.org/drawingml/2006/main">
                  <a:graphicData uri="http://schemas.microsoft.com/office/word/2010/wordprocessingShape">
                    <wps:wsp>
                      <wps:cNvSpPr txBox="1"/>
                      <wps:spPr>
                        <a:xfrm>
                          <a:off x="890905" y="1590040"/>
                          <a:ext cx="5953760" cy="7927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53B3D9">
                            <w:r>
                              <w:drawing>
                                <wp:inline distT="0" distB="0" distL="114300" distR="114300">
                                  <wp:extent cx="5759450" cy="7665720"/>
                                  <wp:effectExtent l="0" t="0" r="12700" b="11430"/>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29"/>
                                          <a:stretch>
                                            <a:fillRect/>
                                          </a:stretch>
                                        </pic:blipFill>
                                        <pic:spPr>
                                          <a:xfrm>
                                            <a:off x="0" y="0"/>
                                            <a:ext cx="5759450" cy="766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54.3pt;height:624.25pt;width:468.8pt;z-index:251669504;mso-width-relative:page;mso-height-relative:page;" fillcolor="#FFFFFF [3201]" filled="t" stroked="f" coordsize="21600,21600" o:gfxdata="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Sqi&#10;2tcAAAAMAQAADwAAAAAAAAABACAAAAAiAAAAZHJzL2Rvd25yZXYueG1sUEsBAhQAFAAAAAgAh07i&#10;QH+OWzJcAgAAnQQAAA4AAAAAAAAAAQAgAAAAJgEAAGRycy9lMm9Eb2MueG1sUEsFBgAAAAAGAAYA&#10;WQEAAPQFAAAAAA==&#10;">
                <v:fill on="t" focussize="0,0"/>
                <v:stroke on="f" weight="0.5pt"/>
                <v:imagedata o:title=""/>
                <o:lock v:ext="edit" aspectratio="f"/>
                <v:textbox>
                  <w:txbxContent>
                    <w:p w14:paraId="6B53B3D9">
                      <w:r>
                        <w:drawing>
                          <wp:inline distT="0" distB="0" distL="114300" distR="114300">
                            <wp:extent cx="5759450" cy="7665720"/>
                            <wp:effectExtent l="0" t="0" r="12700" b="11430"/>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29"/>
                                    <a:stretch>
                                      <a:fillRect/>
                                    </a:stretch>
                                  </pic:blipFill>
                                  <pic:spPr>
                                    <a:xfrm>
                                      <a:off x="0" y="0"/>
                                      <a:ext cx="5759450" cy="7665720"/>
                                    </a:xfrm>
                                    <a:prstGeom prst="rect">
                                      <a:avLst/>
                                    </a:prstGeom>
                                    <a:noFill/>
                                    <a:ln>
                                      <a:noFill/>
                                    </a:ln>
                                  </pic:spPr>
                                </pic:pic>
                              </a:graphicData>
                            </a:graphic>
                          </wp:inline>
                        </w:drawing>
                      </w:r>
                    </w:p>
                  </w:txbxContent>
                </v:textbox>
              </v:shape>
            </w:pict>
          </mc:Fallback>
        </mc:AlternateContent>
      </w:r>
      <w:r>
        <w:rPr>
          <w:rFonts w:hint="eastAsia" w:eastAsia="宋体"/>
          <w:b/>
          <w:bCs/>
          <w:color w:val="auto"/>
          <w:sz w:val="28"/>
          <w:szCs w:val="28"/>
        </w:rPr>
        <w:t>附件1</w:t>
      </w:r>
      <w:r>
        <w:rPr>
          <w:rFonts w:hint="eastAsia" w:eastAsia="宋体"/>
          <w:b/>
          <w:bCs/>
          <w:color w:val="auto"/>
          <w:sz w:val="28"/>
          <w:szCs w:val="28"/>
          <w:lang w:val="en-US" w:eastAsia="zh-CN"/>
        </w:rPr>
        <w:t>2</w:t>
      </w:r>
      <w:r>
        <w:rPr>
          <w:rFonts w:hint="eastAsia" w:eastAsia="宋体"/>
          <w:b/>
          <w:bCs/>
          <w:color w:val="auto"/>
          <w:sz w:val="28"/>
          <w:szCs w:val="28"/>
        </w:rPr>
        <w:t>关于环评文件公开文本删除的涉及国家秘密、商业等内容的删除依据和理由说明</w:t>
      </w:r>
    </w:p>
    <w:p w14:paraId="270E2B36">
      <w:pPr>
        <w:pStyle w:val="60"/>
        <w:ind w:left="0" w:leftChars="0"/>
        <w:outlineLvl w:val="9"/>
        <w:rPr>
          <w:rFonts w:eastAsia="宋体"/>
          <w:b/>
          <w:bCs/>
          <w:color w:val="auto"/>
        </w:rPr>
      </w:pPr>
    </w:p>
    <w:p w14:paraId="659C6B37">
      <w:pPr>
        <w:pStyle w:val="60"/>
        <w:ind w:left="0" w:leftChars="0"/>
        <w:jc w:val="center"/>
        <w:outlineLvl w:val="9"/>
        <w:rPr>
          <w:rFonts w:eastAsia="宋体"/>
          <w:b/>
          <w:bCs/>
          <w:color w:val="auto"/>
          <w:sz w:val="28"/>
          <w:szCs w:val="28"/>
        </w:rPr>
      </w:pPr>
      <w:r>
        <w:rPr>
          <w:rFonts w:hint="eastAsia" w:eastAsia="宋体"/>
          <w:b/>
          <w:bCs/>
          <w:color w:val="auto"/>
          <w:sz w:val="28"/>
          <w:szCs w:val="28"/>
        </w:rPr>
        <w:t>关于环评文件公开文本删除的涉及国家秘密、商业秘密等内容的删除依据和理由说明</w:t>
      </w:r>
    </w:p>
    <w:p w14:paraId="3CCA0A74">
      <w:pPr>
        <w:pStyle w:val="60"/>
        <w:spacing w:line="480" w:lineRule="auto"/>
        <w:ind w:left="0" w:leftChars="0"/>
        <w:outlineLvl w:val="9"/>
        <w:rPr>
          <w:rFonts w:eastAsia="宋体"/>
          <w:color w:val="auto"/>
          <w:sz w:val="24"/>
          <w:szCs w:val="24"/>
        </w:rPr>
      </w:pPr>
      <w:r>
        <w:rPr>
          <w:rFonts w:hint="eastAsia" w:eastAsia="宋体"/>
          <w:color w:val="auto"/>
          <w:sz w:val="24"/>
          <w:szCs w:val="24"/>
        </w:rPr>
        <w:t>福州高新技术产业开发区生态环境局：</w:t>
      </w:r>
    </w:p>
    <w:p w14:paraId="2DFFC614">
      <w:pPr>
        <w:pStyle w:val="60"/>
        <w:spacing w:line="480" w:lineRule="auto"/>
        <w:ind w:left="0" w:leftChars="0" w:firstLine="480" w:firstLineChars="200"/>
        <w:outlineLvl w:val="9"/>
        <w:rPr>
          <w:rFonts w:eastAsia="宋体"/>
          <w:color w:val="auto"/>
          <w:sz w:val="24"/>
          <w:szCs w:val="24"/>
        </w:rPr>
      </w:pPr>
      <w:r>
        <w:rPr>
          <w:rFonts w:hint="eastAsia" w:eastAsia="宋体"/>
          <w:color w:val="auto"/>
          <w:sz w:val="24"/>
          <w:szCs w:val="24"/>
        </w:rPr>
        <w:t>我司光电LED产品及标识发光字制作生产项目已完成环境影响评价报告表编制，现报送贵局审批。我司已删除涉及国家秘密、商业秘密、个人隐私等内容（具体删除内容、删除依据详见附件）。报送贵局的环境影响评价报告表公开文本已经我司审核，我司同意对《光电LED产品及标识发光字制作生产项目环境影响评价报告表》公开文本全文进行公示，特此声明。</w:t>
      </w:r>
    </w:p>
    <w:p w14:paraId="485EC11C">
      <w:pPr>
        <w:pStyle w:val="60"/>
        <w:spacing w:line="480" w:lineRule="auto"/>
        <w:ind w:left="0" w:leftChars="0" w:firstLine="480" w:firstLineChars="200"/>
        <w:outlineLvl w:val="9"/>
        <w:rPr>
          <w:rFonts w:eastAsia="宋体"/>
          <w:color w:val="auto"/>
          <w:sz w:val="24"/>
          <w:szCs w:val="24"/>
        </w:rPr>
      </w:pPr>
      <w:r>
        <w:rPr>
          <w:rFonts w:hint="eastAsia" w:eastAsia="宋体"/>
          <w:color w:val="auto"/>
          <w:sz w:val="24"/>
          <w:szCs w:val="24"/>
        </w:rPr>
        <w:t>附件：关于光电LED产品及标识发光字制作生产项目的环境影响评价报告表公开文本删除内容、删除依据的说明</w:t>
      </w:r>
    </w:p>
    <w:p w14:paraId="762332D3">
      <w:pPr>
        <w:pStyle w:val="60"/>
        <w:spacing w:line="480" w:lineRule="auto"/>
        <w:ind w:left="0" w:leftChars="0" w:firstLine="480" w:firstLineChars="200"/>
        <w:outlineLvl w:val="9"/>
        <w:rPr>
          <w:rFonts w:eastAsia="宋体"/>
          <w:color w:val="auto"/>
          <w:sz w:val="24"/>
          <w:szCs w:val="24"/>
        </w:rPr>
      </w:pPr>
    </w:p>
    <w:p w14:paraId="3F61B8D2">
      <w:pPr>
        <w:tabs>
          <w:tab w:val="left" w:pos="5920"/>
        </w:tabs>
        <w:spacing w:line="480" w:lineRule="auto"/>
        <w:jc w:val="right"/>
        <w:rPr>
          <w:color w:val="auto"/>
        </w:rPr>
      </w:pPr>
      <w:r>
        <w:rPr>
          <w:rFonts w:hint="eastAsia"/>
          <w:color w:val="auto"/>
        </w:rPr>
        <w:t>单位盖章</w:t>
      </w:r>
    </w:p>
    <w:p w14:paraId="22FC26FC">
      <w:pPr>
        <w:tabs>
          <w:tab w:val="left" w:pos="5920"/>
        </w:tabs>
        <w:spacing w:line="480" w:lineRule="auto"/>
        <w:jc w:val="right"/>
        <w:rPr>
          <w:color w:val="auto"/>
        </w:rPr>
      </w:pPr>
      <w:r>
        <w:rPr>
          <w:rFonts w:hint="eastAsia"/>
          <w:color w:val="auto"/>
        </w:rPr>
        <w:t>2025年7月</w:t>
      </w:r>
      <w:r>
        <w:rPr>
          <w:rFonts w:hint="eastAsia"/>
          <w:color w:val="auto"/>
          <w:lang w:val="en-US" w:eastAsia="zh-CN"/>
        </w:rPr>
        <w:t>31</w:t>
      </w:r>
      <w:r>
        <w:rPr>
          <w:rFonts w:hint="eastAsia"/>
          <w:color w:val="auto"/>
        </w:rPr>
        <w:t>日</w:t>
      </w:r>
    </w:p>
    <w:p w14:paraId="3E704B18">
      <w:pPr>
        <w:tabs>
          <w:tab w:val="left" w:pos="5920"/>
        </w:tabs>
        <w:jc w:val="center"/>
        <w:rPr>
          <w:b/>
          <w:bCs/>
          <w:color w:val="auto"/>
          <w:sz w:val="28"/>
          <w:szCs w:val="28"/>
        </w:rPr>
      </w:pPr>
    </w:p>
    <w:p w14:paraId="74FD9E60">
      <w:pPr>
        <w:tabs>
          <w:tab w:val="left" w:pos="5920"/>
        </w:tabs>
        <w:jc w:val="center"/>
        <w:rPr>
          <w:b/>
          <w:bCs/>
          <w:color w:val="auto"/>
          <w:sz w:val="28"/>
          <w:szCs w:val="28"/>
        </w:rPr>
      </w:pPr>
    </w:p>
    <w:p w14:paraId="40B1ADBB">
      <w:pPr>
        <w:tabs>
          <w:tab w:val="left" w:pos="5920"/>
        </w:tabs>
        <w:jc w:val="center"/>
        <w:rPr>
          <w:b/>
          <w:bCs/>
          <w:color w:val="auto"/>
          <w:sz w:val="28"/>
          <w:szCs w:val="28"/>
        </w:rPr>
      </w:pPr>
    </w:p>
    <w:p w14:paraId="7B62A54A">
      <w:pPr>
        <w:tabs>
          <w:tab w:val="left" w:pos="5920"/>
        </w:tabs>
        <w:jc w:val="center"/>
        <w:rPr>
          <w:b/>
          <w:bCs/>
          <w:color w:val="auto"/>
          <w:sz w:val="28"/>
          <w:szCs w:val="28"/>
        </w:rPr>
      </w:pPr>
    </w:p>
    <w:p w14:paraId="126BF73B">
      <w:pPr>
        <w:tabs>
          <w:tab w:val="left" w:pos="5920"/>
        </w:tabs>
        <w:jc w:val="center"/>
        <w:rPr>
          <w:b/>
          <w:bCs/>
          <w:color w:val="auto"/>
          <w:sz w:val="28"/>
          <w:szCs w:val="28"/>
        </w:rPr>
      </w:pPr>
    </w:p>
    <w:p w14:paraId="52F842E9">
      <w:pPr>
        <w:tabs>
          <w:tab w:val="left" w:pos="5920"/>
        </w:tabs>
        <w:jc w:val="center"/>
        <w:rPr>
          <w:b/>
          <w:bCs/>
          <w:color w:val="auto"/>
          <w:sz w:val="28"/>
          <w:szCs w:val="28"/>
        </w:rPr>
      </w:pPr>
    </w:p>
    <w:p w14:paraId="192BD27E">
      <w:pPr>
        <w:tabs>
          <w:tab w:val="left" w:pos="5920"/>
        </w:tabs>
        <w:jc w:val="center"/>
        <w:rPr>
          <w:b/>
          <w:bCs/>
          <w:color w:val="auto"/>
          <w:sz w:val="28"/>
          <w:szCs w:val="28"/>
        </w:rPr>
      </w:pPr>
    </w:p>
    <w:p w14:paraId="4136EA30">
      <w:pPr>
        <w:tabs>
          <w:tab w:val="left" w:pos="5920"/>
        </w:tabs>
        <w:jc w:val="center"/>
        <w:rPr>
          <w:b/>
          <w:bCs/>
          <w:color w:val="auto"/>
          <w:sz w:val="28"/>
          <w:szCs w:val="28"/>
        </w:rPr>
      </w:pPr>
    </w:p>
    <w:p w14:paraId="72C3190A">
      <w:pPr>
        <w:tabs>
          <w:tab w:val="left" w:pos="5920"/>
        </w:tabs>
        <w:jc w:val="center"/>
        <w:rPr>
          <w:b/>
          <w:bCs/>
          <w:color w:val="auto"/>
          <w:sz w:val="28"/>
          <w:szCs w:val="28"/>
        </w:rPr>
      </w:pPr>
    </w:p>
    <w:p w14:paraId="41A47A29">
      <w:pPr>
        <w:tabs>
          <w:tab w:val="left" w:pos="5920"/>
        </w:tabs>
        <w:rPr>
          <w:b/>
          <w:bCs/>
          <w:color w:val="auto"/>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-88900</wp:posOffset>
                </wp:positionH>
                <wp:positionV relativeFrom="paragraph">
                  <wp:posOffset>325755</wp:posOffset>
                </wp:positionV>
                <wp:extent cx="5937885" cy="8286115"/>
                <wp:effectExtent l="0" t="0" r="5715" b="635"/>
                <wp:wrapNone/>
                <wp:docPr id="42" name="文本框 42"/>
                <wp:cNvGraphicFramePr/>
                <a:graphic xmlns:a="http://schemas.openxmlformats.org/drawingml/2006/main">
                  <a:graphicData uri="http://schemas.microsoft.com/office/word/2010/wordprocessingShape">
                    <wps:wsp>
                      <wps:cNvSpPr txBox="1"/>
                      <wps:spPr>
                        <a:xfrm>
                          <a:off x="954405" y="1304925"/>
                          <a:ext cx="5937885" cy="8286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A7E44E">
                            <w:r>
                              <w:drawing>
                                <wp:inline distT="0" distB="0" distL="114300" distR="114300">
                                  <wp:extent cx="5743575" cy="7995920"/>
                                  <wp:effectExtent l="0" t="0" r="9525" b="5080"/>
                                  <wp:docPr id="1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9"/>
                                          <pic:cNvPicPr>
                                            <a:picLocks noChangeAspect="1"/>
                                          </pic:cNvPicPr>
                                        </pic:nvPicPr>
                                        <pic:blipFill>
                                          <a:blip r:embed="rId30"/>
                                          <a:stretch>
                                            <a:fillRect/>
                                          </a:stretch>
                                        </pic:blipFill>
                                        <pic:spPr>
                                          <a:xfrm>
                                            <a:off x="0" y="0"/>
                                            <a:ext cx="5743575" cy="799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25.65pt;height:652.45pt;width:467.55pt;z-index:251670528;mso-width-relative:page;mso-height-relative:page;" fillcolor="#FFFFFF [3201]" filled="t" stroked="f" coordsize="21600,21600" o:gfxdata="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wpybdcAAAALAQAADwAAAAAAAAABACAAAAAiAAAAZHJzL2Rvd25yZXYueG1sUEsBAhQAFAAAAAgA&#10;h07iQHdNsL5fAgAAnQQAAA4AAAAAAAAAAQAgAAAAJgEAAGRycy9lMm9Eb2MueG1sUEsFBgAAAAAG&#10;AAYAWQEAAPcFAAAAAA==&#10;">
                <v:fill on="t" focussize="0,0"/>
                <v:stroke on="f" weight="0.5pt"/>
                <v:imagedata o:title=""/>
                <o:lock v:ext="edit" aspectratio="f"/>
                <v:textbox>
                  <w:txbxContent>
                    <w:p w14:paraId="03A7E44E">
                      <w:r>
                        <w:drawing>
                          <wp:inline distT="0" distB="0" distL="114300" distR="114300">
                            <wp:extent cx="5743575" cy="7995920"/>
                            <wp:effectExtent l="0" t="0" r="9525" b="5080"/>
                            <wp:docPr id="1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9"/>
                                    <pic:cNvPicPr>
                                      <a:picLocks noChangeAspect="1"/>
                                    </pic:cNvPicPr>
                                  </pic:nvPicPr>
                                  <pic:blipFill>
                                    <a:blip r:embed="rId30"/>
                                    <a:stretch>
                                      <a:fillRect/>
                                    </a:stretch>
                                  </pic:blipFill>
                                  <pic:spPr>
                                    <a:xfrm>
                                      <a:off x="0" y="0"/>
                                      <a:ext cx="5743575" cy="7995920"/>
                                    </a:xfrm>
                                    <a:prstGeom prst="rect">
                                      <a:avLst/>
                                    </a:prstGeom>
                                    <a:noFill/>
                                    <a:ln>
                                      <a:noFill/>
                                    </a:ln>
                                  </pic:spPr>
                                </pic:pic>
                              </a:graphicData>
                            </a:graphic>
                          </wp:inline>
                        </w:drawing>
                      </w:r>
                    </w:p>
                  </w:txbxContent>
                </v:textbox>
              </v:shape>
            </w:pict>
          </mc:Fallback>
        </mc:AlternateContent>
      </w:r>
      <w:r>
        <w:rPr>
          <w:rFonts w:hint="eastAsia"/>
          <w:b/>
          <w:bCs/>
          <w:color w:val="auto"/>
          <w:sz w:val="28"/>
          <w:szCs w:val="28"/>
        </w:rPr>
        <w:t>附件：</w:t>
      </w:r>
    </w:p>
    <w:p w14:paraId="5DEF5587">
      <w:pPr>
        <w:tabs>
          <w:tab w:val="left" w:pos="5920"/>
        </w:tabs>
        <w:jc w:val="center"/>
        <w:rPr>
          <w:b/>
          <w:bCs/>
          <w:color w:val="auto"/>
          <w:sz w:val="28"/>
          <w:szCs w:val="28"/>
        </w:rPr>
      </w:pPr>
      <w:r>
        <w:rPr>
          <w:rFonts w:hint="eastAsia"/>
          <w:b/>
          <w:bCs/>
          <w:color w:val="auto"/>
          <w:sz w:val="28"/>
          <w:szCs w:val="28"/>
        </w:rPr>
        <w:t>关于光电LED产品及标识发光字制作生产项目的环境影响评价报告表公开文本删除内容、删除依据的说明</w:t>
      </w:r>
    </w:p>
    <w:p w14:paraId="41B105B1">
      <w:pPr>
        <w:tabs>
          <w:tab w:val="left" w:pos="5920"/>
        </w:tabs>
        <w:spacing w:line="480" w:lineRule="auto"/>
        <w:ind w:firstLine="480" w:firstLineChars="200"/>
        <w:rPr>
          <w:color w:val="auto"/>
        </w:rPr>
      </w:pPr>
    </w:p>
    <w:p w14:paraId="3F34357C">
      <w:pPr>
        <w:tabs>
          <w:tab w:val="left" w:pos="5920"/>
        </w:tabs>
        <w:spacing w:line="480" w:lineRule="auto"/>
        <w:ind w:firstLine="480" w:firstLineChars="200"/>
        <w:rPr>
          <w:color w:val="auto"/>
        </w:rPr>
      </w:pPr>
      <w:r>
        <w:rPr>
          <w:rFonts w:hint="eastAsia"/>
          <w:color w:val="auto"/>
        </w:rPr>
        <w:t>我司光电LED产品及标识发光字制作生产项目的环境影响评价报告表部分内容涉及国家秘密、商业秘密、个人隐私等内容，我司删除了环境影响评价报告表中相应内容具体删除内容和删除依据如下：</w:t>
      </w:r>
    </w:p>
    <w:p w14:paraId="50F4BC40">
      <w:pPr>
        <w:tabs>
          <w:tab w:val="left" w:pos="5920"/>
        </w:tabs>
        <w:spacing w:line="480" w:lineRule="auto"/>
        <w:ind w:firstLine="480" w:firstLineChars="200"/>
        <w:rPr>
          <w:color w:val="auto"/>
        </w:rPr>
      </w:pPr>
      <w:r>
        <w:rPr>
          <w:rFonts w:hint="eastAsia"/>
          <w:color w:val="auto"/>
        </w:rPr>
        <w:t>1、删除附图、附件部分，删除理由：涉及商业秘密及个人隐私；</w:t>
      </w:r>
    </w:p>
    <w:p w14:paraId="57E6B3CC">
      <w:pPr>
        <w:tabs>
          <w:tab w:val="left" w:pos="5920"/>
        </w:tabs>
        <w:spacing w:line="480" w:lineRule="auto"/>
        <w:ind w:firstLine="480" w:firstLineChars="200"/>
        <w:rPr>
          <w:color w:val="auto"/>
        </w:rPr>
      </w:pPr>
      <w:r>
        <w:rPr>
          <w:rFonts w:hint="eastAsia"/>
          <w:color w:val="auto"/>
        </w:rPr>
        <w:t>2、删除建设单位联系方式，删除理由：涉及个人隐私；</w:t>
      </w:r>
    </w:p>
    <w:p w14:paraId="488C7D10">
      <w:pPr>
        <w:tabs>
          <w:tab w:val="left" w:pos="5920"/>
        </w:tabs>
        <w:spacing w:line="480" w:lineRule="auto"/>
        <w:ind w:firstLine="480" w:firstLineChars="200"/>
        <w:rPr>
          <w:color w:val="auto"/>
        </w:rPr>
      </w:pPr>
      <w:r>
        <w:rPr>
          <w:rFonts w:hint="eastAsia"/>
          <w:color w:val="auto"/>
        </w:rPr>
        <w:t>3、删除项目编制单位统一社会信用代码及编制主持人证书编号、信用编号等，删除理由：涉及商业秘密及个人隐私。</w:t>
      </w:r>
    </w:p>
    <w:p w14:paraId="50A6B47D">
      <w:pPr>
        <w:tabs>
          <w:tab w:val="left" w:pos="5920"/>
        </w:tabs>
        <w:spacing w:line="480" w:lineRule="auto"/>
        <w:ind w:firstLine="480" w:firstLineChars="200"/>
        <w:rPr>
          <w:color w:val="auto"/>
        </w:rPr>
      </w:pPr>
    </w:p>
    <w:p w14:paraId="26670BE9">
      <w:pPr>
        <w:tabs>
          <w:tab w:val="left" w:pos="5920"/>
        </w:tabs>
        <w:spacing w:line="480" w:lineRule="auto"/>
        <w:ind w:firstLine="480" w:firstLineChars="200"/>
        <w:rPr>
          <w:color w:val="auto"/>
        </w:rPr>
      </w:pPr>
    </w:p>
    <w:p w14:paraId="5A409DB8">
      <w:pPr>
        <w:tabs>
          <w:tab w:val="left" w:pos="5920"/>
        </w:tabs>
        <w:spacing w:line="480" w:lineRule="auto"/>
        <w:jc w:val="right"/>
        <w:rPr>
          <w:color w:val="auto"/>
        </w:rPr>
      </w:pPr>
      <w:r>
        <w:rPr>
          <w:rFonts w:hint="eastAsia"/>
          <w:color w:val="auto"/>
        </w:rPr>
        <w:t>单位盖章</w:t>
      </w:r>
    </w:p>
    <w:p w14:paraId="7BEF7EE5">
      <w:pPr>
        <w:tabs>
          <w:tab w:val="left" w:pos="5920"/>
        </w:tabs>
        <w:spacing w:line="480" w:lineRule="auto"/>
        <w:jc w:val="right"/>
        <w:rPr>
          <w:color w:val="auto"/>
        </w:rPr>
      </w:pPr>
      <w:r>
        <w:rPr>
          <w:rFonts w:hint="eastAsia"/>
          <w:color w:val="auto"/>
        </w:rPr>
        <w:t>2025年7月</w:t>
      </w:r>
      <w:r>
        <w:rPr>
          <w:rFonts w:hint="eastAsia"/>
          <w:color w:val="auto"/>
          <w:lang w:val="en-US" w:eastAsia="zh-CN"/>
        </w:rPr>
        <w:t>31</w:t>
      </w:r>
      <w:r>
        <w:rPr>
          <w:rFonts w:hint="eastAsia"/>
          <w:color w:val="auto"/>
        </w:rPr>
        <w:t>日</w:t>
      </w:r>
    </w:p>
    <w:p w14:paraId="2DE41C57">
      <w:pPr>
        <w:tabs>
          <w:tab w:val="left" w:pos="5920"/>
        </w:tabs>
        <w:jc w:val="right"/>
        <w:rPr>
          <w:color w:val="auto"/>
        </w:rPr>
        <w:sectPr>
          <w:pgSz w:w="11906" w:h="16838"/>
          <w:pgMar w:top="1418"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32006E8">
      <w:pPr>
        <w:tabs>
          <w:tab w:val="left" w:pos="5920"/>
        </w:tabs>
        <w:outlineLvl w:val="1"/>
        <w:rPr>
          <w:b/>
          <w:bCs/>
          <w:color w:val="auto"/>
          <w:sz w:val="28"/>
          <w:szCs w:val="28"/>
        </w:rPr>
      </w:pPr>
      <w:r>
        <w:rPr>
          <w:sz w:val="30"/>
        </w:rPr>
        <mc:AlternateContent>
          <mc:Choice Requires="wps">
            <w:drawing>
              <wp:anchor distT="0" distB="0" distL="114300" distR="114300" simplePos="0" relativeHeight="251671552" behindDoc="0" locked="0" layoutInCell="1" allowOverlap="1">
                <wp:simplePos x="0" y="0"/>
                <wp:positionH relativeFrom="column">
                  <wp:posOffset>-358775</wp:posOffset>
                </wp:positionH>
                <wp:positionV relativeFrom="paragraph">
                  <wp:posOffset>295910</wp:posOffset>
                </wp:positionV>
                <wp:extent cx="6264275" cy="8143875"/>
                <wp:effectExtent l="0" t="0" r="3175" b="9525"/>
                <wp:wrapNone/>
                <wp:docPr id="71" name="文本框 71"/>
                <wp:cNvGraphicFramePr/>
                <a:graphic xmlns:a="http://schemas.openxmlformats.org/drawingml/2006/main">
                  <a:graphicData uri="http://schemas.microsoft.com/office/word/2010/wordprocessingShape">
                    <wps:wsp>
                      <wps:cNvSpPr txBox="1"/>
                      <wps:spPr>
                        <a:xfrm>
                          <a:off x="2811780" y="1764665"/>
                          <a:ext cx="6264275" cy="814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4329E1">
                            <w:r>
                              <w:drawing>
                                <wp:inline distT="0" distB="0" distL="114300" distR="114300">
                                  <wp:extent cx="6072505" cy="8081010"/>
                                  <wp:effectExtent l="0" t="0" r="4445" b="1524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31"/>
                                          <a:stretch>
                                            <a:fillRect/>
                                          </a:stretch>
                                        </pic:blipFill>
                                        <pic:spPr>
                                          <a:xfrm>
                                            <a:off x="0" y="0"/>
                                            <a:ext cx="6072505" cy="8081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3.3pt;height:641.25pt;width:493.25pt;z-index:251671552;mso-width-relative:page;mso-height-relative:page;" fillcolor="#FFFFFF [3201]" filled="t" stroked="f" coordsize="21600,21600" o:gfxdata="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WMW+&#10;1gAAAAsBAAAPAAAAAAAAAAEAIAAAACIAAABkcnMvZG93bnJldi54bWxQSwECFAAUAAAACACHTuJA&#10;dlzbCFwCAACeBAAADgAAAAAAAAABACAAAAAlAQAAZHJzL2Uyb0RvYy54bWxQSwUGAAAAAAYABgBZ&#10;AQAA8wUAAAAA&#10;">
                <v:fill on="t" focussize="0,0"/>
                <v:stroke on="f" weight="0.5pt"/>
                <v:imagedata o:title=""/>
                <o:lock v:ext="edit" aspectratio="f"/>
                <v:textbox>
                  <w:txbxContent>
                    <w:p w14:paraId="314329E1">
                      <w:r>
                        <w:drawing>
                          <wp:inline distT="0" distB="0" distL="114300" distR="114300">
                            <wp:extent cx="6072505" cy="8081010"/>
                            <wp:effectExtent l="0" t="0" r="4445" b="1524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31"/>
                                    <a:stretch>
                                      <a:fillRect/>
                                    </a:stretch>
                                  </pic:blipFill>
                                  <pic:spPr>
                                    <a:xfrm>
                                      <a:off x="0" y="0"/>
                                      <a:ext cx="6072505" cy="8081010"/>
                                    </a:xfrm>
                                    <a:prstGeom prst="rect">
                                      <a:avLst/>
                                    </a:prstGeom>
                                    <a:noFill/>
                                    <a:ln>
                                      <a:noFill/>
                                    </a:ln>
                                  </pic:spPr>
                                </pic:pic>
                              </a:graphicData>
                            </a:graphic>
                          </wp:inline>
                        </w:drawing>
                      </w:r>
                    </w:p>
                  </w:txbxContent>
                </v:textbox>
              </v:shape>
            </w:pict>
          </mc:Fallback>
        </mc:AlternateContent>
      </w:r>
      <w:r>
        <w:rPr>
          <w:b/>
          <w:bCs/>
          <w:color w:val="auto"/>
          <w:sz w:val="28"/>
          <w:szCs w:val="28"/>
        </w:rPr>
        <w:t>附件1</w:t>
      </w:r>
      <w:r>
        <w:rPr>
          <w:rFonts w:hint="eastAsia"/>
          <w:b/>
          <w:bCs/>
          <w:color w:val="auto"/>
          <w:sz w:val="28"/>
          <w:szCs w:val="28"/>
          <w:lang w:val="en-US" w:eastAsia="zh-CN"/>
        </w:rPr>
        <w:t>3</w:t>
      </w:r>
      <w:r>
        <w:rPr>
          <w:b/>
          <w:bCs/>
          <w:color w:val="auto"/>
          <w:sz w:val="28"/>
          <w:szCs w:val="28"/>
        </w:rPr>
        <w:t>申请环评批复报告</w:t>
      </w:r>
    </w:p>
    <w:p w14:paraId="1EB5A8D5">
      <w:pPr>
        <w:tabs>
          <w:tab w:val="left" w:pos="5920"/>
        </w:tabs>
        <w:rPr>
          <w:b/>
          <w:bCs/>
          <w:color w:val="auto"/>
          <w:sz w:val="30"/>
          <w:szCs w:val="30"/>
        </w:rPr>
      </w:pPr>
    </w:p>
    <w:p w14:paraId="3A1AAFD9">
      <w:pPr>
        <w:tabs>
          <w:tab w:val="left" w:pos="5920"/>
        </w:tabs>
        <w:spacing w:line="480" w:lineRule="auto"/>
        <w:jc w:val="center"/>
        <w:rPr>
          <w:b/>
          <w:bCs/>
          <w:color w:val="auto"/>
          <w:sz w:val="30"/>
          <w:szCs w:val="30"/>
        </w:rPr>
      </w:pPr>
      <w:r>
        <w:rPr>
          <w:b/>
          <w:bCs/>
          <w:color w:val="auto"/>
          <w:sz w:val="30"/>
          <w:szCs w:val="30"/>
        </w:rPr>
        <w:t>申请环评批复报告</w:t>
      </w:r>
    </w:p>
    <w:p w14:paraId="2CD8E1B6">
      <w:pPr>
        <w:tabs>
          <w:tab w:val="left" w:pos="5920"/>
        </w:tabs>
        <w:spacing w:line="480" w:lineRule="auto"/>
        <w:rPr>
          <w:color w:val="auto"/>
        </w:rPr>
      </w:pPr>
      <w:r>
        <w:rPr>
          <w:rFonts w:hint="eastAsia"/>
          <w:color w:val="auto"/>
        </w:rPr>
        <w:t>福州高新技术产业开发区生态环境局：</w:t>
      </w:r>
    </w:p>
    <w:p w14:paraId="1757E0B5">
      <w:pPr>
        <w:tabs>
          <w:tab w:val="left" w:pos="5920"/>
        </w:tabs>
        <w:spacing w:line="480" w:lineRule="auto"/>
        <w:ind w:firstLine="480" w:firstLineChars="200"/>
        <w:rPr>
          <w:color w:val="auto"/>
        </w:rPr>
      </w:pPr>
      <w:r>
        <w:rPr>
          <w:rFonts w:hint="eastAsia"/>
          <w:color w:val="auto"/>
        </w:rPr>
        <w:t>我单位申请</w:t>
      </w:r>
      <w:r>
        <w:rPr>
          <w:rFonts w:hint="eastAsia"/>
          <w:color w:val="auto"/>
          <w:u w:val="single"/>
        </w:rPr>
        <w:t>光电LED产品及标识发光字制作生产项目</w:t>
      </w:r>
      <w:r>
        <w:rPr>
          <w:rFonts w:hint="eastAsia"/>
          <w:color w:val="auto"/>
        </w:rPr>
        <w:t>环评文件审批，选址于</w:t>
      </w:r>
      <w:r>
        <w:rPr>
          <w:rFonts w:hint="eastAsia"/>
          <w:color w:val="auto"/>
          <w:u w:val="single"/>
        </w:rPr>
        <w:t>福建省闽侯县南屿镇智慧大道20号保利通信福州高新科技产业园13号楼。</w:t>
      </w:r>
      <w:r>
        <w:rPr>
          <w:rFonts w:hint="eastAsia"/>
          <w:color w:val="auto"/>
        </w:rPr>
        <w:t>建设规模：</w:t>
      </w:r>
      <w:r>
        <w:rPr>
          <w:rFonts w:hint="eastAsia"/>
          <w:color w:val="auto"/>
          <w:u w:val="single"/>
        </w:rPr>
        <w:t>项目拟总投资4000万元，主要建筑面积4482.72m</w:t>
      </w:r>
      <w:r>
        <w:rPr>
          <w:rFonts w:hint="eastAsia"/>
          <w:color w:val="auto"/>
          <w:u w:val="single"/>
          <w:vertAlign w:val="superscript"/>
        </w:rPr>
        <w:t>2</w:t>
      </w:r>
      <w:r>
        <w:rPr>
          <w:rFonts w:hint="eastAsia"/>
          <w:color w:val="auto"/>
          <w:u w:val="single"/>
        </w:rPr>
        <w:t>，生产能力：</w:t>
      </w:r>
      <w:r>
        <w:rPr>
          <w:rFonts w:hint="eastAsia"/>
          <w:color w:val="auto"/>
        </w:rPr>
        <w:t>年产光电LED产品及标识发光字20万套。</w:t>
      </w:r>
    </w:p>
    <w:p w14:paraId="21542E36">
      <w:pPr>
        <w:tabs>
          <w:tab w:val="left" w:pos="5920"/>
        </w:tabs>
        <w:spacing w:line="480" w:lineRule="auto"/>
        <w:ind w:firstLine="480" w:firstLineChars="200"/>
        <w:rPr>
          <w:color w:val="auto"/>
        </w:rPr>
      </w:pPr>
      <w:r>
        <w:rPr>
          <w:rFonts w:hint="eastAsia"/>
          <w:color w:val="auto"/>
        </w:rPr>
        <w:t>根据《建设项目环境保护管理条例》等有关法律法规规定，</w:t>
      </w:r>
      <w:r>
        <w:rPr>
          <w:color w:val="auto"/>
        </w:rPr>
        <w:t>我单位</w:t>
      </w:r>
      <w:r>
        <w:rPr>
          <w:rFonts w:hint="eastAsia"/>
          <w:color w:val="auto"/>
        </w:rPr>
        <w:t>委托</w:t>
      </w:r>
      <w:r>
        <w:rPr>
          <w:color w:val="auto"/>
        </w:rPr>
        <w:t>福州朴诚至信环保科技有限公司</w:t>
      </w:r>
      <w:r>
        <w:rPr>
          <w:rFonts w:hint="eastAsia"/>
          <w:color w:val="auto"/>
        </w:rPr>
        <w:t>对</w:t>
      </w:r>
      <w:r>
        <w:rPr>
          <w:rFonts w:hint="eastAsia"/>
          <w:color w:val="auto"/>
          <w:lang w:eastAsia="zh-CN"/>
        </w:rPr>
        <w:t>“</w:t>
      </w:r>
      <w:r>
        <w:rPr>
          <w:rFonts w:hint="eastAsia"/>
          <w:color w:val="auto"/>
        </w:rPr>
        <w:t>光电LED产品及标识发光字制作生产项目</w:t>
      </w:r>
      <w:r>
        <w:rPr>
          <w:rFonts w:hint="eastAsia"/>
          <w:color w:val="auto"/>
          <w:lang w:eastAsia="zh-CN"/>
        </w:rPr>
        <w:t>”</w:t>
      </w:r>
      <w:r>
        <w:rPr>
          <w:rFonts w:hint="eastAsia"/>
          <w:color w:val="auto"/>
        </w:rPr>
        <w:t>开展环境影响评价工作，编制了《光电LED产品及标识发光字制作生产项目环境影响评价报告表》，</w:t>
      </w:r>
      <w:r>
        <w:rPr>
          <w:color w:val="auto"/>
        </w:rPr>
        <w:t>现已完成并呈报贵局，请及时</w:t>
      </w:r>
      <w:r>
        <w:rPr>
          <w:rFonts w:hint="eastAsia"/>
          <w:color w:val="auto"/>
        </w:rPr>
        <w:t>给予</w:t>
      </w:r>
      <w:r>
        <w:rPr>
          <w:color w:val="auto"/>
        </w:rPr>
        <w:t>批复</w:t>
      </w:r>
      <w:r>
        <w:rPr>
          <w:rFonts w:hint="eastAsia"/>
          <w:color w:val="auto"/>
        </w:rPr>
        <w:t>。</w:t>
      </w:r>
    </w:p>
    <w:p w14:paraId="357D98C5">
      <w:pPr>
        <w:tabs>
          <w:tab w:val="left" w:pos="5920"/>
        </w:tabs>
        <w:spacing w:line="480" w:lineRule="auto"/>
        <w:ind w:firstLine="480" w:firstLineChars="200"/>
        <w:rPr>
          <w:color w:val="auto"/>
        </w:rPr>
      </w:pPr>
    </w:p>
    <w:p w14:paraId="2E5A9E86">
      <w:pPr>
        <w:tabs>
          <w:tab w:val="left" w:pos="5920"/>
        </w:tabs>
        <w:spacing w:line="480" w:lineRule="auto"/>
        <w:ind w:firstLine="480" w:firstLineChars="200"/>
        <w:rPr>
          <w:color w:val="auto"/>
        </w:rPr>
      </w:pPr>
    </w:p>
    <w:p w14:paraId="6D6F6675">
      <w:pPr>
        <w:keepNext w:val="0"/>
        <w:keepLines w:val="0"/>
        <w:pageBreakBefore w:val="0"/>
        <w:widowControl w:val="0"/>
        <w:tabs>
          <w:tab w:val="left" w:pos="5920"/>
        </w:tabs>
        <w:kinsoku/>
        <w:wordWrap w:val="0"/>
        <w:overflowPunct/>
        <w:topLinePunct w:val="0"/>
        <w:autoSpaceDE/>
        <w:autoSpaceDN/>
        <w:bidi w:val="0"/>
        <w:adjustRightInd/>
        <w:snapToGrid/>
        <w:spacing w:line="480" w:lineRule="auto"/>
        <w:jc w:val="righ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申请单位（盖章）：           </w:t>
      </w:r>
    </w:p>
    <w:p w14:paraId="3DA7FBA9">
      <w:pPr>
        <w:keepNext w:val="0"/>
        <w:keepLines w:val="0"/>
        <w:pageBreakBefore w:val="0"/>
        <w:widowControl w:val="0"/>
        <w:tabs>
          <w:tab w:val="left" w:pos="5920"/>
        </w:tabs>
        <w:kinsoku/>
        <w:wordWrap w:val="0"/>
        <w:overflowPunct/>
        <w:topLinePunct w:val="0"/>
        <w:autoSpaceDE/>
        <w:autoSpaceDN/>
        <w:bidi w:val="0"/>
        <w:adjustRightInd/>
        <w:snapToGrid/>
        <w:spacing w:line="480" w:lineRule="auto"/>
        <w:jc w:val="righ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法定代表人（盖章或签字）：          </w:t>
      </w:r>
    </w:p>
    <w:p w14:paraId="3705B80C">
      <w:pPr>
        <w:keepNext w:val="0"/>
        <w:keepLines w:val="0"/>
        <w:pageBreakBefore w:val="0"/>
        <w:widowControl w:val="0"/>
        <w:tabs>
          <w:tab w:val="left" w:pos="5920"/>
        </w:tabs>
        <w:kinsoku/>
        <w:wordWrap/>
        <w:overflowPunct/>
        <w:topLinePunct w:val="0"/>
        <w:autoSpaceDE/>
        <w:autoSpaceDN/>
        <w:bidi w:val="0"/>
        <w:adjustRightInd/>
        <w:snapToGrid/>
        <w:spacing w:line="480" w:lineRule="auto"/>
        <w:jc w:val="right"/>
        <w:textAlignment w:val="auto"/>
        <w:rPr>
          <w:rFonts w:hint="default" w:cs="Times New Roman"/>
          <w:b w:val="0"/>
          <w:bCs w:val="0"/>
          <w:color w:val="auto"/>
          <w:sz w:val="24"/>
          <w:szCs w:val="24"/>
          <w:highlight w:val="none"/>
          <w:lang w:val="en-US" w:eastAsia="zh-CN"/>
        </w:rPr>
      </w:pPr>
      <w:r>
        <w:rPr>
          <w:rFonts w:hint="eastAsia"/>
          <w:color w:val="auto"/>
          <w:highlight w:val="none"/>
          <w:lang w:val="en-US" w:eastAsia="zh-CN"/>
        </w:rPr>
        <w:t>2025年7月31日</w:t>
      </w:r>
      <w:bookmarkStart w:id="16" w:name="_GoBack"/>
      <w:bookmarkEnd w:id="16"/>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8D43">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0F545">
    <w:pPr>
      <w:framePr w:wrap="around" w:vAnchor="text" w:hAnchor="margin" w:xAlign="center" w:y="1"/>
      <w:tabs>
        <w:tab w:val="center" w:pos="4153"/>
        <w:tab w:val="right" w:pos="8306"/>
      </w:tabs>
    </w:pPr>
    <w:r>
      <w:fldChar w:fldCharType="begin"/>
    </w:r>
    <w:r>
      <w:instrText xml:space="preserve">PAGE  </w:instrText>
    </w:r>
    <w:r>
      <w:fldChar w:fldCharType="end"/>
    </w:r>
  </w:p>
  <w:p w14:paraId="173E49BC">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AEC72">
    <w:pPr>
      <w:tabs>
        <w:tab w:val="center" w:pos="4153"/>
        <w:tab w:val="right" w:pos="8306"/>
      </w:tabs>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E80B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3F9E80BD">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3F8E4">
    <w:pPr>
      <w:tabs>
        <w:tab w:val="center" w:pos="4153"/>
        <w:tab w:val="right" w:pos="8306"/>
      </w:tabs>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6453A">
                          <w:pPr>
                            <w:pStyle w:val="2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0CC6453A">
                    <w:pPr>
                      <w:pStyle w:val="2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E50A">
    <w:pPr>
      <w:pStyle w:val="23"/>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07340" cy="1828800"/>
              <wp:effectExtent l="0" t="0" r="0" b="0"/>
              <wp:wrapNone/>
              <wp:docPr id="4" name="文本框 2050"/>
              <wp:cNvGraphicFramePr/>
              <a:graphic xmlns:a="http://schemas.openxmlformats.org/drawingml/2006/main">
                <a:graphicData uri="http://schemas.microsoft.com/office/word/2010/wordprocessingShape">
                  <wps:wsp>
                    <wps:cNvSpPr txBox="1"/>
                    <wps:spPr>
                      <a:xfrm>
                        <a:off x="0" y="0"/>
                        <a:ext cx="307340" cy="1828800"/>
                      </a:xfrm>
                      <a:prstGeom prst="rect">
                        <a:avLst/>
                      </a:prstGeom>
                      <a:noFill/>
                      <a:ln>
                        <a:noFill/>
                      </a:ln>
                    </wps:spPr>
                    <wps:txbx>
                      <w:txbxContent>
                        <w:p w14:paraId="41718B4A">
                          <w:pPr>
                            <w:pStyle w:val="23"/>
                            <w:jc w:val="center"/>
                            <w:rPr>
                              <w:rStyle w:val="34"/>
                              <w:rFonts w:hint="eastAsia" w:ascii="宋体" w:hAnsi="宋体"/>
                              <w:sz w:val="28"/>
                              <w:szCs w:val="28"/>
                            </w:rPr>
                          </w:pPr>
                          <w:r>
                            <w:rPr>
                              <w:rStyle w:val="34"/>
                              <w:szCs w:val="18"/>
                            </w:rPr>
                            <w:fldChar w:fldCharType="begin"/>
                          </w:r>
                          <w:r>
                            <w:rPr>
                              <w:rStyle w:val="34"/>
                              <w:szCs w:val="18"/>
                            </w:rPr>
                            <w:instrText xml:space="preserve">PAGE  </w:instrText>
                          </w:r>
                          <w:r>
                            <w:rPr>
                              <w:rStyle w:val="34"/>
                              <w:szCs w:val="18"/>
                            </w:rPr>
                            <w:fldChar w:fldCharType="separate"/>
                          </w:r>
                          <w:r>
                            <w:rPr>
                              <w:rStyle w:val="34"/>
                              <w:szCs w:val="18"/>
                            </w:rPr>
                            <w:t>50</w:t>
                          </w:r>
                          <w:r>
                            <w:rPr>
                              <w:rStyle w:val="34"/>
                              <w:szCs w:val="18"/>
                            </w:rPr>
                            <w:fldChar w:fldCharType="end"/>
                          </w:r>
                        </w:p>
                      </w:txbxContent>
                    </wps:txbx>
                    <wps:bodyPr vert="horz" wrap="square" lIns="0" tIns="0" rIns="0" bIns="0" anchor="t" anchorCtr="0">
                      <a:spAutoFit/>
                    </wps:bodyPr>
                  </wps:wsp>
                </a:graphicData>
              </a:graphic>
            </wp:anchor>
          </w:drawing>
        </mc:Choice>
        <mc:Fallback>
          <w:pict>
            <v:shape id="文本框 2050" o:spid="_x0000_s1026" o:spt="202" type="#_x0000_t202" style="position:absolute;left:0pt;margin-top:0pt;height:144pt;width:24.2pt;mso-position-horizontal:center;mso-position-horizontal-relative:margin;z-index:251663360;mso-width-relative:page;mso-height-relative:page;" filled="f" stroked="f" coordsize="21600,21600" o:gfxdata="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9nJdIAAAAEAQAADwAAAAAA&#10;AAABACAAAAAiAAAAZHJzL2Rvd25yZXYueG1sUEsBAhQAFAAAAAgAh07iQLT5RjjgAQAAtgMAAA4A&#10;AAAAAAAAAQAgAAAAIQEAAGRycy9lMm9Eb2MueG1sUEsFBgAAAAAGAAYAWQEAAHMFAAAAAA==&#10;">
              <v:fill on="f" focussize="0,0"/>
              <v:stroke on="f"/>
              <v:imagedata o:title=""/>
              <o:lock v:ext="edit" aspectratio="f"/>
              <v:textbox inset="0mm,0mm,0mm,0mm" style="mso-fit-shape-to-text:t;">
                <w:txbxContent>
                  <w:p w14:paraId="41718B4A">
                    <w:pPr>
                      <w:pStyle w:val="23"/>
                      <w:jc w:val="center"/>
                      <w:rPr>
                        <w:rStyle w:val="34"/>
                        <w:rFonts w:hint="eastAsia" w:ascii="宋体" w:hAnsi="宋体"/>
                        <w:sz w:val="28"/>
                        <w:szCs w:val="28"/>
                      </w:rPr>
                    </w:pPr>
                    <w:r>
                      <w:rPr>
                        <w:rStyle w:val="34"/>
                        <w:szCs w:val="18"/>
                      </w:rPr>
                      <w:fldChar w:fldCharType="begin"/>
                    </w:r>
                    <w:r>
                      <w:rPr>
                        <w:rStyle w:val="34"/>
                        <w:szCs w:val="18"/>
                      </w:rPr>
                      <w:instrText xml:space="preserve">PAGE  </w:instrText>
                    </w:r>
                    <w:r>
                      <w:rPr>
                        <w:rStyle w:val="34"/>
                        <w:szCs w:val="18"/>
                      </w:rPr>
                      <w:fldChar w:fldCharType="separate"/>
                    </w:r>
                    <w:r>
                      <w:rPr>
                        <w:rStyle w:val="34"/>
                        <w:szCs w:val="18"/>
                      </w:rPr>
                      <w:t>50</w:t>
                    </w:r>
                    <w:r>
                      <w:rPr>
                        <w:rStyle w:val="34"/>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DAB3E">
    <w:pPr>
      <w:tabs>
        <w:tab w:val="center" w:pos="4153"/>
        <w:tab w:val="right" w:pos="8306"/>
      </w:tabs>
      <w:ind w:right="360" w:firstLine="36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7ABE9">
                          <w:pPr>
                            <w:pStyle w:val="2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0547ABE9">
                    <w:pPr>
                      <w:pStyle w:val="2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CD332">
    <w:pPr>
      <w:pBdr>
        <w:bottom w:val="none" w:color="auto" w:sz="0" w:space="1"/>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FE31D1"/>
    <w:multiLevelType w:val="singleLevel"/>
    <w:tmpl w:val="F4FE31D1"/>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yZTVhOGFhZGRjNmNhMzQxZmVlYTAyNjdlZDMyYjgifQ=="/>
  </w:docVars>
  <w:rsids>
    <w:rsidRoot w:val="00A14947"/>
    <w:rsid w:val="000047F2"/>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C6DB8"/>
    <w:rsid w:val="001D5595"/>
    <w:rsid w:val="001D7874"/>
    <w:rsid w:val="001D7F22"/>
    <w:rsid w:val="001F0F17"/>
    <w:rsid w:val="001F3347"/>
    <w:rsid w:val="001F69E4"/>
    <w:rsid w:val="002125B4"/>
    <w:rsid w:val="002155B8"/>
    <w:rsid w:val="00224839"/>
    <w:rsid w:val="002249B2"/>
    <w:rsid w:val="00226574"/>
    <w:rsid w:val="002278A5"/>
    <w:rsid w:val="002278EC"/>
    <w:rsid w:val="0023280E"/>
    <w:rsid w:val="00234269"/>
    <w:rsid w:val="002377D1"/>
    <w:rsid w:val="002506BC"/>
    <w:rsid w:val="00254345"/>
    <w:rsid w:val="00264557"/>
    <w:rsid w:val="002805AB"/>
    <w:rsid w:val="00284204"/>
    <w:rsid w:val="00286445"/>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34384"/>
    <w:rsid w:val="00452738"/>
    <w:rsid w:val="00456091"/>
    <w:rsid w:val="00466321"/>
    <w:rsid w:val="00484B9B"/>
    <w:rsid w:val="004855F6"/>
    <w:rsid w:val="0048661E"/>
    <w:rsid w:val="00494670"/>
    <w:rsid w:val="004A3823"/>
    <w:rsid w:val="004E616D"/>
    <w:rsid w:val="004E6946"/>
    <w:rsid w:val="004F1AD8"/>
    <w:rsid w:val="0050211B"/>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5261"/>
    <w:rsid w:val="005A68A7"/>
    <w:rsid w:val="005D36AB"/>
    <w:rsid w:val="00617CC3"/>
    <w:rsid w:val="006377A6"/>
    <w:rsid w:val="00637A3D"/>
    <w:rsid w:val="006411EF"/>
    <w:rsid w:val="00657541"/>
    <w:rsid w:val="006748B8"/>
    <w:rsid w:val="006775C3"/>
    <w:rsid w:val="0069290A"/>
    <w:rsid w:val="0069775A"/>
    <w:rsid w:val="00697813"/>
    <w:rsid w:val="006A3EE8"/>
    <w:rsid w:val="006A72BF"/>
    <w:rsid w:val="006B00D7"/>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3941"/>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0502"/>
    <w:rsid w:val="009C10EE"/>
    <w:rsid w:val="009C7DD5"/>
    <w:rsid w:val="009E227D"/>
    <w:rsid w:val="009E5019"/>
    <w:rsid w:val="00A04F1B"/>
    <w:rsid w:val="00A0501B"/>
    <w:rsid w:val="00A14947"/>
    <w:rsid w:val="00A32A83"/>
    <w:rsid w:val="00A368DB"/>
    <w:rsid w:val="00A423AA"/>
    <w:rsid w:val="00A53EC6"/>
    <w:rsid w:val="00A55C0F"/>
    <w:rsid w:val="00A8713F"/>
    <w:rsid w:val="00A87F74"/>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AF7"/>
    <w:rsid w:val="00B7723F"/>
    <w:rsid w:val="00B80534"/>
    <w:rsid w:val="00B80B89"/>
    <w:rsid w:val="00B8433C"/>
    <w:rsid w:val="00B87491"/>
    <w:rsid w:val="00BA29E9"/>
    <w:rsid w:val="00BA7142"/>
    <w:rsid w:val="00BB237C"/>
    <w:rsid w:val="00BB41A3"/>
    <w:rsid w:val="00BC32DC"/>
    <w:rsid w:val="00BC35B6"/>
    <w:rsid w:val="00BD1B51"/>
    <w:rsid w:val="00BD4596"/>
    <w:rsid w:val="00BE1405"/>
    <w:rsid w:val="00BE312D"/>
    <w:rsid w:val="00BF1C20"/>
    <w:rsid w:val="00C0687C"/>
    <w:rsid w:val="00C10578"/>
    <w:rsid w:val="00C135BC"/>
    <w:rsid w:val="00C15C95"/>
    <w:rsid w:val="00C2596A"/>
    <w:rsid w:val="00C27537"/>
    <w:rsid w:val="00C323C9"/>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298C"/>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00E"/>
    <w:rsid w:val="00D94A7C"/>
    <w:rsid w:val="00D95896"/>
    <w:rsid w:val="00DB2983"/>
    <w:rsid w:val="00DC1257"/>
    <w:rsid w:val="00DC3DC0"/>
    <w:rsid w:val="00DC5B2B"/>
    <w:rsid w:val="00DD318D"/>
    <w:rsid w:val="00DF2E12"/>
    <w:rsid w:val="00DF390D"/>
    <w:rsid w:val="00DF514A"/>
    <w:rsid w:val="00DF6690"/>
    <w:rsid w:val="00DF6804"/>
    <w:rsid w:val="00E0358D"/>
    <w:rsid w:val="00E04323"/>
    <w:rsid w:val="00E070A2"/>
    <w:rsid w:val="00E0770D"/>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261DF"/>
    <w:rsid w:val="00F3383E"/>
    <w:rsid w:val="00F43918"/>
    <w:rsid w:val="00F465A7"/>
    <w:rsid w:val="00F50B7C"/>
    <w:rsid w:val="00F550E6"/>
    <w:rsid w:val="00F74345"/>
    <w:rsid w:val="00F80A0A"/>
    <w:rsid w:val="00F82B19"/>
    <w:rsid w:val="00F9212D"/>
    <w:rsid w:val="00F965DA"/>
    <w:rsid w:val="00FA3E3A"/>
    <w:rsid w:val="00FA406A"/>
    <w:rsid w:val="00FB503A"/>
    <w:rsid w:val="00FB516C"/>
    <w:rsid w:val="00FD0236"/>
    <w:rsid w:val="00FD18F4"/>
    <w:rsid w:val="00FD54DB"/>
    <w:rsid w:val="00FD619F"/>
    <w:rsid w:val="0101710E"/>
    <w:rsid w:val="01290F7E"/>
    <w:rsid w:val="013712F7"/>
    <w:rsid w:val="01464FA1"/>
    <w:rsid w:val="01491805"/>
    <w:rsid w:val="015D1E09"/>
    <w:rsid w:val="01621A8C"/>
    <w:rsid w:val="019D738A"/>
    <w:rsid w:val="01A54BC7"/>
    <w:rsid w:val="01BD0368"/>
    <w:rsid w:val="01C71F2B"/>
    <w:rsid w:val="02015FF3"/>
    <w:rsid w:val="02697903"/>
    <w:rsid w:val="026B410E"/>
    <w:rsid w:val="026C7C74"/>
    <w:rsid w:val="029608BF"/>
    <w:rsid w:val="02A8425B"/>
    <w:rsid w:val="02C1356F"/>
    <w:rsid w:val="02D45932"/>
    <w:rsid w:val="02F96569"/>
    <w:rsid w:val="03051739"/>
    <w:rsid w:val="0314369E"/>
    <w:rsid w:val="031C36E6"/>
    <w:rsid w:val="03275688"/>
    <w:rsid w:val="03721489"/>
    <w:rsid w:val="03C20AB7"/>
    <w:rsid w:val="03D11FF4"/>
    <w:rsid w:val="03D251BA"/>
    <w:rsid w:val="03EA7B21"/>
    <w:rsid w:val="03ED4E00"/>
    <w:rsid w:val="03F33C8D"/>
    <w:rsid w:val="0431202E"/>
    <w:rsid w:val="044414C9"/>
    <w:rsid w:val="0454399B"/>
    <w:rsid w:val="045E0627"/>
    <w:rsid w:val="046922E9"/>
    <w:rsid w:val="047B14FB"/>
    <w:rsid w:val="047F2D99"/>
    <w:rsid w:val="04A26914"/>
    <w:rsid w:val="04B96508"/>
    <w:rsid w:val="04C335CE"/>
    <w:rsid w:val="04D12EE4"/>
    <w:rsid w:val="04D17976"/>
    <w:rsid w:val="04F31198"/>
    <w:rsid w:val="05016940"/>
    <w:rsid w:val="050B2FD3"/>
    <w:rsid w:val="05263A54"/>
    <w:rsid w:val="054933A7"/>
    <w:rsid w:val="05526700"/>
    <w:rsid w:val="056A2196"/>
    <w:rsid w:val="058A67FB"/>
    <w:rsid w:val="05980437"/>
    <w:rsid w:val="05A35936"/>
    <w:rsid w:val="05AC4062"/>
    <w:rsid w:val="05B91393"/>
    <w:rsid w:val="05BB0B15"/>
    <w:rsid w:val="05CD5D86"/>
    <w:rsid w:val="05F46191"/>
    <w:rsid w:val="05F83EAE"/>
    <w:rsid w:val="060774EA"/>
    <w:rsid w:val="062005D2"/>
    <w:rsid w:val="062C51A3"/>
    <w:rsid w:val="062F14AE"/>
    <w:rsid w:val="063E7D85"/>
    <w:rsid w:val="064509FD"/>
    <w:rsid w:val="06666C58"/>
    <w:rsid w:val="06823015"/>
    <w:rsid w:val="06BC6EBA"/>
    <w:rsid w:val="06C547FC"/>
    <w:rsid w:val="06D849E3"/>
    <w:rsid w:val="06E710CA"/>
    <w:rsid w:val="07004FA9"/>
    <w:rsid w:val="07266F57"/>
    <w:rsid w:val="07293586"/>
    <w:rsid w:val="07295285"/>
    <w:rsid w:val="072F4F4B"/>
    <w:rsid w:val="074F0945"/>
    <w:rsid w:val="07636392"/>
    <w:rsid w:val="076375B5"/>
    <w:rsid w:val="076E3F95"/>
    <w:rsid w:val="07702E6D"/>
    <w:rsid w:val="07770C56"/>
    <w:rsid w:val="0799713C"/>
    <w:rsid w:val="07A91BE4"/>
    <w:rsid w:val="07E30EC4"/>
    <w:rsid w:val="07F74A1E"/>
    <w:rsid w:val="08055CAB"/>
    <w:rsid w:val="081C7F5B"/>
    <w:rsid w:val="08313EDD"/>
    <w:rsid w:val="085207C5"/>
    <w:rsid w:val="086B77B1"/>
    <w:rsid w:val="0874698D"/>
    <w:rsid w:val="089D0D19"/>
    <w:rsid w:val="08AF5E71"/>
    <w:rsid w:val="08E1304F"/>
    <w:rsid w:val="08E837D5"/>
    <w:rsid w:val="091927F9"/>
    <w:rsid w:val="091C476A"/>
    <w:rsid w:val="092217DD"/>
    <w:rsid w:val="092F499C"/>
    <w:rsid w:val="093A7294"/>
    <w:rsid w:val="09674FE6"/>
    <w:rsid w:val="098A02FB"/>
    <w:rsid w:val="099E426D"/>
    <w:rsid w:val="09A82D92"/>
    <w:rsid w:val="09B95A2F"/>
    <w:rsid w:val="09BF1E8A"/>
    <w:rsid w:val="09D734AE"/>
    <w:rsid w:val="0A263993"/>
    <w:rsid w:val="0A2D3AC2"/>
    <w:rsid w:val="0A341E0E"/>
    <w:rsid w:val="0A5F2B10"/>
    <w:rsid w:val="0A6749FB"/>
    <w:rsid w:val="0A81061E"/>
    <w:rsid w:val="0AA479FE"/>
    <w:rsid w:val="0AA729AD"/>
    <w:rsid w:val="0AA755DF"/>
    <w:rsid w:val="0AF671C9"/>
    <w:rsid w:val="0B093D05"/>
    <w:rsid w:val="0B120D44"/>
    <w:rsid w:val="0B28531B"/>
    <w:rsid w:val="0B37538E"/>
    <w:rsid w:val="0B527CFD"/>
    <w:rsid w:val="0B5E7726"/>
    <w:rsid w:val="0B640F3B"/>
    <w:rsid w:val="0B6B7554"/>
    <w:rsid w:val="0B7D3DAB"/>
    <w:rsid w:val="0BB8476F"/>
    <w:rsid w:val="0BCF66B4"/>
    <w:rsid w:val="0BD27BF6"/>
    <w:rsid w:val="0BF202F5"/>
    <w:rsid w:val="0BFC73C5"/>
    <w:rsid w:val="0BFF2A12"/>
    <w:rsid w:val="0C075734"/>
    <w:rsid w:val="0C144CDC"/>
    <w:rsid w:val="0C2B1C4D"/>
    <w:rsid w:val="0C321039"/>
    <w:rsid w:val="0C3B3C7D"/>
    <w:rsid w:val="0C436DA2"/>
    <w:rsid w:val="0C474AE5"/>
    <w:rsid w:val="0C6D3E1F"/>
    <w:rsid w:val="0C777C2A"/>
    <w:rsid w:val="0C7A60E8"/>
    <w:rsid w:val="0CAB2EAE"/>
    <w:rsid w:val="0CDF0A17"/>
    <w:rsid w:val="0D4C1C87"/>
    <w:rsid w:val="0D621C7D"/>
    <w:rsid w:val="0D706780"/>
    <w:rsid w:val="0D780CCE"/>
    <w:rsid w:val="0DA254B7"/>
    <w:rsid w:val="0DA63A8D"/>
    <w:rsid w:val="0DB13A5D"/>
    <w:rsid w:val="0DBF4B4E"/>
    <w:rsid w:val="0DD34156"/>
    <w:rsid w:val="0DED1DE7"/>
    <w:rsid w:val="0DF97AA6"/>
    <w:rsid w:val="0E053C19"/>
    <w:rsid w:val="0E1958F3"/>
    <w:rsid w:val="0E24538F"/>
    <w:rsid w:val="0E73034D"/>
    <w:rsid w:val="0EA2493A"/>
    <w:rsid w:val="0ECA7672"/>
    <w:rsid w:val="0EDD379B"/>
    <w:rsid w:val="0EFA6861"/>
    <w:rsid w:val="0F13775A"/>
    <w:rsid w:val="0F3D3F7D"/>
    <w:rsid w:val="0F4E618A"/>
    <w:rsid w:val="0F5B2655"/>
    <w:rsid w:val="0F5D63CD"/>
    <w:rsid w:val="0F5F45FE"/>
    <w:rsid w:val="0F8676D2"/>
    <w:rsid w:val="0F9645FF"/>
    <w:rsid w:val="0F9A112B"/>
    <w:rsid w:val="0FB1671C"/>
    <w:rsid w:val="0FB2067D"/>
    <w:rsid w:val="0FDC3811"/>
    <w:rsid w:val="0FDF6DE2"/>
    <w:rsid w:val="0FFD54BA"/>
    <w:rsid w:val="10213944"/>
    <w:rsid w:val="10610589"/>
    <w:rsid w:val="106D2F64"/>
    <w:rsid w:val="106E0B5C"/>
    <w:rsid w:val="107C704D"/>
    <w:rsid w:val="10802619"/>
    <w:rsid w:val="108A2D1A"/>
    <w:rsid w:val="10961B97"/>
    <w:rsid w:val="109E0A4B"/>
    <w:rsid w:val="10AE765C"/>
    <w:rsid w:val="10B63710"/>
    <w:rsid w:val="10B918F8"/>
    <w:rsid w:val="10BC5375"/>
    <w:rsid w:val="10BE4C49"/>
    <w:rsid w:val="10D3198D"/>
    <w:rsid w:val="10D659E9"/>
    <w:rsid w:val="10E326D9"/>
    <w:rsid w:val="10F016E9"/>
    <w:rsid w:val="10F10820"/>
    <w:rsid w:val="110C6396"/>
    <w:rsid w:val="11163815"/>
    <w:rsid w:val="111C2F7A"/>
    <w:rsid w:val="11420E5A"/>
    <w:rsid w:val="11624912"/>
    <w:rsid w:val="11635C16"/>
    <w:rsid w:val="11665CA1"/>
    <w:rsid w:val="118916FB"/>
    <w:rsid w:val="118F65E6"/>
    <w:rsid w:val="11AD16F5"/>
    <w:rsid w:val="11C22276"/>
    <w:rsid w:val="11C42B6A"/>
    <w:rsid w:val="11DB0BAA"/>
    <w:rsid w:val="11E30924"/>
    <w:rsid w:val="1205513C"/>
    <w:rsid w:val="120B6CD5"/>
    <w:rsid w:val="121A67F7"/>
    <w:rsid w:val="125E477D"/>
    <w:rsid w:val="12753A2E"/>
    <w:rsid w:val="12873BEB"/>
    <w:rsid w:val="12907582"/>
    <w:rsid w:val="12A57C13"/>
    <w:rsid w:val="12B75DF4"/>
    <w:rsid w:val="12DA3760"/>
    <w:rsid w:val="12DE5A77"/>
    <w:rsid w:val="12ED571D"/>
    <w:rsid w:val="12ED6BB1"/>
    <w:rsid w:val="12FE7EC7"/>
    <w:rsid w:val="1324792E"/>
    <w:rsid w:val="132C7B80"/>
    <w:rsid w:val="133B07D3"/>
    <w:rsid w:val="136715C8"/>
    <w:rsid w:val="137E1A70"/>
    <w:rsid w:val="13951726"/>
    <w:rsid w:val="13B96287"/>
    <w:rsid w:val="13EC2B38"/>
    <w:rsid w:val="13FC6ECE"/>
    <w:rsid w:val="14092680"/>
    <w:rsid w:val="14123C2A"/>
    <w:rsid w:val="141D612B"/>
    <w:rsid w:val="14396509"/>
    <w:rsid w:val="145224A8"/>
    <w:rsid w:val="148373C9"/>
    <w:rsid w:val="148C2D6F"/>
    <w:rsid w:val="14DD2C3C"/>
    <w:rsid w:val="15695999"/>
    <w:rsid w:val="156F5B70"/>
    <w:rsid w:val="1585042C"/>
    <w:rsid w:val="15947A49"/>
    <w:rsid w:val="15AF7257"/>
    <w:rsid w:val="15EC04AB"/>
    <w:rsid w:val="15F65AA9"/>
    <w:rsid w:val="15FF01DE"/>
    <w:rsid w:val="16032ECF"/>
    <w:rsid w:val="16087E1D"/>
    <w:rsid w:val="162B04A4"/>
    <w:rsid w:val="163D2AB4"/>
    <w:rsid w:val="163E3F7E"/>
    <w:rsid w:val="163F3459"/>
    <w:rsid w:val="16485016"/>
    <w:rsid w:val="16596262"/>
    <w:rsid w:val="165E5034"/>
    <w:rsid w:val="167E55A7"/>
    <w:rsid w:val="16AB0BB8"/>
    <w:rsid w:val="16C15493"/>
    <w:rsid w:val="16D50F3F"/>
    <w:rsid w:val="16E01004"/>
    <w:rsid w:val="17244A82"/>
    <w:rsid w:val="17397720"/>
    <w:rsid w:val="176263BC"/>
    <w:rsid w:val="1769625A"/>
    <w:rsid w:val="176B3CC1"/>
    <w:rsid w:val="17701D14"/>
    <w:rsid w:val="17735226"/>
    <w:rsid w:val="179D5560"/>
    <w:rsid w:val="17A175D8"/>
    <w:rsid w:val="17A252C5"/>
    <w:rsid w:val="17A667F9"/>
    <w:rsid w:val="17DC33B7"/>
    <w:rsid w:val="17EF2D94"/>
    <w:rsid w:val="17F964D3"/>
    <w:rsid w:val="1816603C"/>
    <w:rsid w:val="18282132"/>
    <w:rsid w:val="183871CC"/>
    <w:rsid w:val="18431828"/>
    <w:rsid w:val="18840CBD"/>
    <w:rsid w:val="18943E66"/>
    <w:rsid w:val="189F624C"/>
    <w:rsid w:val="18A4506D"/>
    <w:rsid w:val="18AB63FB"/>
    <w:rsid w:val="18B72C9A"/>
    <w:rsid w:val="18C37321"/>
    <w:rsid w:val="18C4126B"/>
    <w:rsid w:val="18CE5ABA"/>
    <w:rsid w:val="18F84792"/>
    <w:rsid w:val="18FC0F9D"/>
    <w:rsid w:val="19033178"/>
    <w:rsid w:val="192021A1"/>
    <w:rsid w:val="192346B1"/>
    <w:rsid w:val="19432694"/>
    <w:rsid w:val="195A572B"/>
    <w:rsid w:val="195C53DD"/>
    <w:rsid w:val="196A76A5"/>
    <w:rsid w:val="198A7D37"/>
    <w:rsid w:val="19A1335A"/>
    <w:rsid w:val="19AC26AA"/>
    <w:rsid w:val="19AF7825"/>
    <w:rsid w:val="19EA4D01"/>
    <w:rsid w:val="1A0756C2"/>
    <w:rsid w:val="1A1C66C0"/>
    <w:rsid w:val="1A217135"/>
    <w:rsid w:val="1A241BAB"/>
    <w:rsid w:val="1A255536"/>
    <w:rsid w:val="1A42393B"/>
    <w:rsid w:val="1A5578A6"/>
    <w:rsid w:val="1A8F7B70"/>
    <w:rsid w:val="1A98650F"/>
    <w:rsid w:val="1AA71765"/>
    <w:rsid w:val="1AAD45DE"/>
    <w:rsid w:val="1AC31754"/>
    <w:rsid w:val="1ADC0AEE"/>
    <w:rsid w:val="1B046F80"/>
    <w:rsid w:val="1B0F512D"/>
    <w:rsid w:val="1B3267B5"/>
    <w:rsid w:val="1B3E17CF"/>
    <w:rsid w:val="1B40161D"/>
    <w:rsid w:val="1B441859"/>
    <w:rsid w:val="1B4F4EDD"/>
    <w:rsid w:val="1B6606B1"/>
    <w:rsid w:val="1BA00681"/>
    <w:rsid w:val="1BA07D6D"/>
    <w:rsid w:val="1BAF0D39"/>
    <w:rsid w:val="1BB92BDD"/>
    <w:rsid w:val="1BB9498B"/>
    <w:rsid w:val="1C5E7925"/>
    <w:rsid w:val="1CA1128D"/>
    <w:rsid w:val="1CA4409A"/>
    <w:rsid w:val="1CA67BE3"/>
    <w:rsid w:val="1CC21858"/>
    <w:rsid w:val="1CDE2B1F"/>
    <w:rsid w:val="1CEE6693"/>
    <w:rsid w:val="1CFD070F"/>
    <w:rsid w:val="1CFD54DF"/>
    <w:rsid w:val="1D1D719C"/>
    <w:rsid w:val="1D1F2F14"/>
    <w:rsid w:val="1D3125CC"/>
    <w:rsid w:val="1D5F6196"/>
    <w:rsid w:val="1D6132A5"/>
    <w:rsid w:val="1D671466"/>
    <w:rsid w:val="1D8E56D5"/>
    <w:rsid w:val="1D8F1A71"/>
    <w:rsid w:val="1DB23D88"/>
    <w:rsid w:val="1DB41DC8"/>
    <w:rsid w:val="1DBE097F"/>
    <w:rsid w:val="1DC9591A"/>
    <w:rsid w:val="1DDB508D"/>
    <w:rsid w:val="1DDE43AD"/>
    <w:rsid w:val="1DDE7468"/>
    <w:rsid w:val="1DE175C3"/>
    <w:rsid w:val="1DE32356"/>
    <w:rsid w:val="1DEB1CDF"/>
    <w:rsid w:val="1DFF4ACD"/>
    <w:rsid w:val="1E012F6F"/>
    <w:rsid w:val="1E043378"/>
    <w:rsid w:val="1E050CB1"/>
    <w:rsid w:val="1E063629"/>
    <w:rsid w:val="1E304F86"/>
    <w:rsid w:val="1E36042F"/>
    <w:rsid w:val="1E3D78BA"/>
    <w:rsid w:val="1E42107B"/>
    <w:rsid w:val="1E611AEB"/>
    <w:rsid w:val="1E655A9F"/>
    <w:rsid w:val="1E6A0777"/>
    <w:rsid w:val="1E6E5F01"/>
    <w:rsid w:val="1E727F88"/>
    <w:rsid w:val="1E7A43DA"/>
    <w:rsid w:val="1E7A6EAB"/>
    <w:rsid w:val="1E820013"/>
    <w:rsid w:val="1E9F430C"/>
    <w:rsid w:val="1EA9157F"/>
    <w:rsid w:val="1EAF2075"/>
    <w:rsid w:val="1EE753F2"/>
    <w:rsid w:val="1EEC5078"/>
    <w:rsid w:val="1F1B4054"/>
    <w:rsid w:val="1F244C14"/>
    <w:rsid w:val="1F3233D2"/>
    <w:rsid w:val="1F706947"/>
    <w:rsid w:val="1F820B2E"/>
    <w:rsid w:val="1F8C6AA1"/>
    <w:rsid w:val="1F953961"/>
    <w:rsid w:val="1FB11418"/>
    <w:rsid w:val="1FB64F88"/>
    <w:rsid w:val="1FE7539E"/>
    <w:rsid w:val="1FE75D4B"/>
    <w:rsid w:val="1FE8583F"/>
    <w:rsid w:val="20054643"/>
    <w:rsid w:val="20150624"/>
    <w:rsid w:val="201E74B3"/>
    <w:rsid w:val="202D4D1D"/>
    <w:rsid w:val="20360CA0"/>
    <w:rsid w:val="204B07E7"/>
    <w:rsid w:val="205D1F29"/>
    <w:rsid w:val="20631369"/>
    <w:rsid w:val="20635A0A"/>
    <w:rsid w:val="20671BE0"/>
    <w:rsid w:val="20677CFC"/>
    <w:rsid w:val="20864183"/>
    <w:rsid w:val="20963CB8"/>
    <w:rsid w:val="20A81A1B"/>
    <w:rsid w:val="20B07FB6"/>
    <w:rsid w:val="20B111AB"/>
    <w:rsid w:val="20B646FB"/>
    <w:rsid w:val="20BD4225"/>
    <w:rsid w:val="20C00784"/>
    <w:rsid w:val="20C86EC7"/>
    <w:rsid w:val="20CB619D"/>
    <w:rsid w:val="20D346DE"/>
    <w:rsid w:val="210A6765"/>
    <w:rsid w:val="21262AC3"/>
    <w:rsid w:val="213A3BD3"/>
    <w:rsid w:val="213B74B1"/>
    <w:rsid w:val="215A2310"/>
    <w:rsid w:val="218B0B78"/>
    <w:rsid w:val="21B46321"/>
    <w:rsid w:val="21DE318A"/>
    <w:rsid w:val="21E47E0F"/>
    <w:rsid w:val="21EF5B80"/>
    <w:rsid w:val="22024965"/>
    <w:rsid w:val="22266AF2"/>
    <w:rsid w:val="222A213F"/>
    <w:rsid w:val="22576990"/>
    <w:rsid w:val="225F5463"/>
    <w:rsid w:val="22635075"/>
    <w:rsid w:val="226A7FDF"/>
    <w:rsid w:val="22791424"/>
    <w:rsid w:val="227F32F1"/>
    <w:rsid w:val="22832586"/>
    <w:rsid w:val="228A65A7"/>
    <w:rsid w:val="22A3415F"/>
    <w:rsid w:val="22A926FB"/>
    <w:rsid w:val="22AE1E2C"/>
    <w:rsid w:val="22BC591B"/>
    <w:rsid w:val="22C16090"/>
    <w:rsid w:val="22C639B4"/>
    <w:rsid w:val="22DB4568"/>
    <w:rsid w:val="22EA46D7"/>
    <w:rsid w:val="22F47480"/>
    <w:rsid w:val="22F50E1B"/>
    <w:rsid w:val="230A659F"/>
    <w:rsid w:val="23381743"/>
    <w:rsid w:val="23384D2F"/>
    <w:rsid w:val="23905935"/>
    <w:rsid w:val="23964A5E"/>
    <w:rsid w:val="23986EE6"/>
    <w:rsid w:val="239B7364"/>
    <w:rsid w:val="23AE4FF1"/>
    <w:rsid w:val="23DE1C48"/>
    <w:rsid w:val="23E07E45"/>
    <w:rsid w:val="23EB3B50"/>
    <w:rsid w:val="23F07F62"/>
    <w:rsid w:val="240210CD"/>
    <w:rsid w:val="242634F6"/>
    <w:rsid w:val="242647E5"/>
    <w:rsid w:val="24546CF6"/>
    <w:rsid w:val="24600C0F"/>
    <w:rsid w:val="24927561"/>
    <w:rsid w:val="24A361D8"/>
    <w:rsid w:val="24AA0E08"/>
    <w:rsid w:val="24B02A77"/>
    <w:rsid w:val="24B35117"/>
    <w:rsid w:val="24BF09F7"/>
    <w:rsid w:val="24CD14A7"/>
    <w:rsid w:val="24D20FA8"/>
    <w:rsid w:val="24D8723E"/>
    <w:rsid w:val="24FD3B3B"/>
    <w:rsid w:val="252D53FE"/>
    <w:rsid w:val="25311864"/>
    <w:rsid w:val="25534842"/>
    <w:rsid w:val="2557040B"/>
    <w:rsid w:val="257162D7"/>
    <w:rsid w:val="258234F7"/>
    <w:rsid w:val="25B00611"/>
    <w:rsid w:val="25E84E78"/>
    <w:rsid w:val="25EB42DB"/>
    <w:rsid w:val="25EC2D81"/>
    <w:rsid w:val="25EE7927"/>
    <w:rsid w:val="25EF6EDD"/>
    <w:rsid w:val="25FC3DF2"/>
    <w:rsid w:val="2624726E"/>
    <w:rsid w:val="264B57D6"/>
    <w:rsid w:val="266C6208"/>
    <w:rsid w:val="26A10202"/>
    <w:rsid w:val="26BC5D3C"/>
    <w:rsid w:val="26EE4EF8"/>
    <w:rsid w:val="27012EFA"/>
    <w:rsid w:val="272A6446"/>
    <w:rsid w:val="27393A05"/>
    <w:rsid w:val="276237A8"/>
    <w:rsid w:val="277057A2"/>
    <w:rsid w:val="278C73F8"/>
    <w:rsid w:val="27CC6DFF"/>
    <w:rsid w:val="27CD0184"/>
    <w:rsid w:val="27E05E11"/>
    <w:rsid w:val="27EE00B2"/>
    <w:rsid w:val="27EF5D88"/>
    <w:rsid w:val="27F11CE7"/>
    <w:rsid w:val="27F37477"/>
    <w:rsid w:val="281D62A2"/>
    <w:rsid w:val="289649D8"/>
    <w:rsid w:val="289C7B0E"/>
    <w:rsid w:val="28A133A7"/>
    <w:rsid w:val="28AF087B"/>
    <w:rsid w:val="28E026ED"/>
    <w:rsid w:val="28E211FF"/>
    <w:rsid w:val="28E6609A"/>
    <w:rsid w:val="28FB2A87"/>
    <w:rsid w:val="29063D2F"/>
    <w:rsid w:val="29206EB8"/>
    <w:rsid w:val="29595666"/>
    <w:rsid w:val="296D4AC6"/>
    <w:rsid w:val="29874881"/>
    <w:rsid w:val="298C1931"/>
    <w:rsid w:val="299A65F1"/>
    <w:rsid w:val="29A071BB"/>
    <w:rsid w:val="29C0782D"/>
    <w:rsid w:val="29C7798E"/>
    <w:rsid w:val="29E06B4E"/>
    <w:rsid w:val="29E325E0"/>
    <w:rsid w:val="29EF3C6E"/>
    <w:rsid w:val="2A156DB9"/>
    <w:rsid w:val="2A1B5446"/>
    <w:rsid w:val="2A224043"/>
    <w:rsid w:val="2A24214D"/>
    <w:rsid w:val="2A3358AC"/>
    <w:rsid w:val="2A452503"/>
    <w:rsid w:val="2A540ECC"/>
    <w:rsid w:val="2A557F75"/>
    <w:rsid w:val="2A600439"/>
    <w:rsid w:val="2A800E7B"/>
    <w:rsid w:val="2A8324A0"/>
    <w:rsid w:val="2A8673CC"/>
    <w:rsid w:val="2A8E3487"/>
    <w:rsid w:val="2AA64DA8"/>
    <w:rsid w:val="2ABA427C"/>
    <w:rsid w:val="2AF72431"/>
    <w:rsid w:val="2B381D70"/>
    <w:rsid w:val="2B3958EB"/>
    <w:rsid w:val="2B4F2C16"/>
    <w:rsid w:val="2B652975"/>
    <w:rsid w:val="2B7803BF"/>
    <w:rsid w:val="2B8D411A"/>
    <w:rsid w:val="2B974A9B"/>
    <w:rsid w:val="2BA70CA4"/>
    <w:rsid w:val="2BA936A8"/>
    <w:rsid w:val="2BAC0068"/>
    <w:rsid w:val="2BC04891"/>
    <w:rsid w:val="2BC25537"/>
    <w:rsid w:val="2BCC24B9"/>
    <w:rsid w:val="2BF53C73"/>
    <w:rsid w:val="2BF9485A"/>
    <w:rsid w:val="2C0003B4"/>
    <w:rsid w:val="2C147E7E"/>
    <w:rsid w:val="2C1A4341"/>
    <w:rsid w:val="2C216C2D"/>
    <w:rsid w:val="2C315A5A"/>
    <w:rsid w:val="2C371F07"/>
    <w:rsid w:val="2C42687B"/>
    <w:rsid w:val="2C4B1C25"/>
    <w:rsid w:val="2C932AA9"/>
    <w:rsid w:val="2CA70C45"/>
    <w:rsid w:val="2CC338BC"/>
    <w:rsid w:val="2CC3566A"/>
    <w:rsid w:val="2CD0422B"/>
    <w:rsid w:val="2CD0688D"/>
    <w:rsid w:val="2CDF2B50"/>
    <w:rsid w:val="2D2D4FC1"/>
    <w:rsid w:val="2D4927FA"/>
    <w:rsid w:val="2D595FCE"/>
    <w:rsid w:val="2D5C786C"/>
    <w:rsid w:val="2D6D442D"/>
    <w:rsid w:val="2D866ECD"/>
    <w:rsid w:val="2D9E56F5"/>
    <w:rsid w:val="2D9F1634"/>
    <w:rsid w:val="2DCA6CC1"/>
    <w:rsid w:val="2DD50E45"/>
    <w:rsid w:val="2DEE4294"/>
    <w:rsid w:val="2DF07849"/>
    <w:rsid w:val="2DF74D40"/>
    <w:rsid w:val="2DF9399D"/>
    <w:rsid w:val="2DFD3F01"/>
    <w:rsid w:val="2E0423DE"/>
    <w:rsid w:val="2E051CB2"/>
    <w:rsid w:val="2E334A71"/>
    <w:rsid w:val="2E4505AE"/>
    <w:rsid w:val="2E465FB6"/>
    <w:rsid w:val="2E51483A"/>
    <w:rsid w:val="2E6223DD"/>
    <w:rsid w:val="2E667F96"/>
    <w:rsid w:val="2E787D05"/>
    <w:rsid w:val="2E8226AB"/>
    <w:rsid w:val="2E9C3744"/>
    <w:rsid w:val="2EA4771D"/>
    <w:rsid w:val="2EAF319B"/>
    <w:rsid w:val="2ECD1756"/>
    <w:rsid w:val="2EDC6EB7"/>
    <w:rsid w:val="2EE5607F"/>
    <w:rsid w:val="2EF36220"/>
    <w:rsid w:val="2EF4028C"/>
    <w:rsid w:val="2F072F10"/>
    <w:rsid w:val="2F283EAA"/>
    <w:rsid w:val="2F3F11F4"/>
    <w:rsid w:val="2F5816BA"/>
    <w:rsid w:val="2F6176D0"/>
    <w:rsid w:val="2F7C41F6"/>
    <w:rsid w:val="2F877DCB"/>
    <w:rsid w:val="2F990904"/>
    <w:rsid w:val="2FB96318"/>
    <w:rsid w:val="2FC8302E"/>
    <w:rsid w:val="2FD065E6"/>
    <w:rsid w:val="2FD404D9"/>
    <w:rsid w:val="2FD96870"/>
    <w:rsid w:val="2FE31AD2"/>
    <w:rsid w:val="2FFA1095"/>
    <w:rsid w:val="2FFA29E6"/>
    <w:rsid w:val="30272C8D"/>
    <w:rsid w:val="304F36B8"/>
    <w:rsid w:val="30556F21"/>
    <w:rsid w:val="30580BC9"/>
    <w:rsid w:val="30634F75"/>
    <w:rsid w:val="306C416A"/>
    <w:rsid w:val="309537C1"/>
    <w:rsid w:val="30976DAB"/>
    <w:rsid w:val="30D20571"/>
    <w:rsid w:val="30E34889"/>
    <w:rsid w:val="310103F1"/>
    <w:rsid w:val="31152A96"/>
    <w:rsid w:val="311E2ED7"/>
    <w:rsid w:val="31342FDA"/>
    <w:rsid w:val="31352652"/>
    <w:rsid w:val="31476416"/>
    <w:rsid w:val="314A31BA"/>
    <w:rsid w:val="314B3E80"/>
    <w:rsid w:val="315619EE"/>
    <w:rsid w:val="31592A40"/>
    <w:rsid w:val="315C449C"/>
    <w:rsid w:val="317C01BB"/>
    <w:rsid w:val="318259BC"/>
    <w:rsid w:val="31872392"/>
    <w:rsid w:val="31B82709"/>
    <w:rsid w:val="31CA58BC"/>
    <w:rsid w:val="31D05482"/>
    <w:rsid w:val="31F71209"/>
    <w:rsid w:val="3214691B"/>
    <w:rsid w:val="3220247C"/>
    <w:rsid w:val="3234700A"/>
    <w:rsid w:val="32400B34"/>
    <w:rsid w:val="32566E81"/>
    <w:rsid w:val="325A374F"/>
    <w:rsid w:val="327D62BB"/>
    <w:rsid w:val="327F58EB"/>
    <w:rsid w:val="32917B6C"/>
    <w:rsid w:val="329E6876"/>
    <w:rsid w:val="32D54022"/>
    <w:rsid w:val="32E01416"/>
    <w:rsid w:val="332C1A8F"/>
    <w:rsid w:val="332E5807"/>
    <w:rsid w:val="332F197A"/>
    <w:rsid w:val="333015F2"/>
    <w:rsid w:val="33446DD8"/>
    <w:rsid w:val="334B6320"/>
    <w:rsid w:val="334D0383"/>
    <w:rsid w:val="336141EE"/>
    <w:rsid w:val="33663AD4"/>
    <w:rsid w:val="33723946"/>
    <w:rsid w:val="337E0E7F"/>
    <w:rsid w:val="33C65A3F"/>
    <w:rsid w:val="33D934D4"/>
    <w:rsid w:val="33E81E5A"/>
    <w:rsid w:val="33EA3E24"/>
    <w:rsid w:val="33FE2F6A"/>
    <w:rsid w:val="340E07E5"/>
    <w:rsid w:val="341E587B"/>
    <w:rsid w:val="34235BF7"/>
    <w:rsid w:val="343D2666"/>
    <w:rsid w:val="34453032"/>
    <w:rsid w:val="344F1ED9"/>
    <w:rsid w:val="346B1472"/>
    <w:rsid w:val="348108AC"/>
    <w:rsid w:val="34880EDB"/>
    <w:rsid w:val="34BB131C"/>
    <w:rsid w:val="34C04E88"/>
    <w:rsid w:val="34C52A16"/>
    <w:rsid w:val="34CE0D6D"/>
    <w:rsid w:val="34E25FED"/>
    <w:rsid w:val="34FE5126"/>
    <w:rsid w:val="35044A71"/>
    <w:rsid w:val="35215623"/>
    <w:rsid w:val="352458A2"/>
    <w:rsid w:val="352B4490"/>
    <w:rsid w:val="3534161E"/>
    <w:rsid w:val="3540482B"/>
    <w:rsid w:val="35484FB0"/>
    <w:rsid w:val="354E0D62"/>
    <w:rsid w:val="35523A2F"/>
    <w:rsid w:val="35643762"/>
    <w:rsid w:val="35666A11"/>
    <w:rsid w:val="356D0868"/>
    <w:rsid w:val="35787085"/>
    <w:rsid w:val="358C5FA8"/>
    <w:rsid w:val="359A12AF"/>
    <w:rsid w:val="35AF60E8"/>
    <w:rsid w:val="35B21D80"/>
    <w:rsid w:val="35C15DF1"/>
    <w:rsid w:val="35D05C27"/>
    <w:rsid w:val="35D07B6F"/>
    <w:rsid w:val="35D13266"/>
    <w:rsid w:val="35DB27AF"/>
    <w:rsid w:val="36074A7F"/>
    <w:rsid w:val="361138EA"/>
    <w:rsid w:val="36116540"/>
    <w:rsid w:val="36236C0F"/>
    <w:rsid w:val="3624433A"/>
    <w:rsid w:val="36273C30"/>
    <w:rsid w:val="364A32E1"/>
    <w:rsid w:val="366F017D"/>
    <w:rsid w:val="367E08D0"/>
    <w:rsid w:val="36835E6A"/>
    <w:rsid w:val="368C2F70"/>
    <w:rsid w:val="36923549"/>
    <w:rsid w:val="369605DD"/>
    <w:rsid w:val="36B75FBF"/>
    <w:rsid w:val="36BD0C45"/>
    <w:rsid w:val="36C35000"/>
    <w:rsid w:val="36C61456"/>
    <w:rsid w:val="36DF61E9"/>
    <w:rsid w:val="36DF7535"/>
    <w:rsid w:val="36E25286"/>
    <w:rsid w:val="36F031D4"/>
    <w:rsid w:val="36F6333B"/>
    <w:rsid w:val="370B658B"/>
    <w:rsid w:val="374B4417"/>
    <w:rsid w:val="376E6B1A"/>
    <w:rsid w:val="379412E7"/>
    <w:rsid w:val="37947220"/>
    <w:rsid w:val="37BE35FD"/>
    <w:rsid w:val="37BE781E"/>
    <w:rsid w:val="37E00298"/>
    <w:rsid w:val="37E03FCC"/>
    <w:rsid w:val="37F17079"/>
    <w:rsid w:val="38041BF1"/>
    <w:rsid w:val="380F12EA"/>
    <w:rsid w:val="38246030"/>
    <w:rsid w:val="38263A95"/>
    <w:rsid w:val="38294550"/>
    <w:rsid w:val="38301478"/>
    <w:rsid w:val="3852533B"/>
    <w:rsid w:val="38704DCF"/>
    <w:rsid w:val="38AE4BD8"/>
    <w:rsid w:val="38B22A36"/>
    <w:rsid w:val="38B302F9"/>
    <w:rsid w:val="38CC16FF"/>
    <w:rsid w:val="38CE023B"/>
    <w:rsid w:val="38D511D2"/>
    <w:rsid w:val="38DE7880"/>
    <w:rsid w:val="38F12CD3"/>
    <w:rsid w:val="38F94775"/>
    <w:rsid w:val="390B0845"/>
    <w:rsid w:val="392971ED"/>
    <w:rsid w:val="39325651"/>
    <w:rsid w:val="394D7F24"/>
    <w:rsid w:val="39581CCA"/>
    <w:rsid w:val="395C1320"/>
    <w:rsid w:val="395E1D1A"/>
    <w:rsid w:val="39622E71"/>
    <w:rsid w:val="3969085C"/>
    <w:rsid w:val="397228F1"/>
    <w:rsid w:val="39777139"/>
    <w:rsid w:val="39833969"/>
    <w:rsid w:val="39B11B31"/>
    <w:rsid w:val="39BF365D"/>
    <w:rsid w:val="39C944DB"/>
    <w:rsid w:val="39D569DC"/>
    <w:rsid w:val="39DF1AB0"/>
    <w:rsid w:val="39E11825"/>
    <w:rsid w:val="3A271504"/>
    <w:rsid w:val="3A363D30"/>
    <w:rsid w:val="3A537626"/>
    <w:rsid w:val="3A6C0DFF"/>
    <w:rsid w:val="3A6C4696"/>
    <w:rsid w:val="3A7158D5"/>
    <w:rsid w:val="3A840E46"/>
    <w:rsid w:val="3A872856"/>
    <w:rsid w:val="3A881CA1"/>
    <w:rsid w:val="3AAA7E69"/>
    <w:rsid w:val="3AAD1707"/>
    <w:rsid w:val="3AAE241C"/>
    <w:rsid w:val="3AD11B97"/>
    <w:rsid w:val="3AE0388B"/>
    <w:rsid w:val="3AEC13BC"/>
    <w:rsid w:val="3B0F4170"/>
    <w:rsid w:val="3B2A383C"/>
    <w:rsid w:val="3B3763D1"/>
    <w:rsid w:val="3B430836"/>
    <w:rsid w:val="3B44167C"/>
    <w:rsid w:val="3B5727EC"/>
    <w:rsid w:val="3B7364AD"/>
    <w:rsid w:val="3B7B1805"/>
    <w:rsid w:val="3B83521D"/>
    <w:rsid w:val="3B8D36C5"/>
    <w:rsid w:val="3BA174BE"/>
    <w:rsid w:val="3C1D3823"/>
    <w:rsid w:val="3C2F6E1E"/>
    <w:rsid w:val="3C430CFC"/>
    <w:rsid w:val="3C4F64BA"/>
    <w:rsid w:val="3C6F3118"/>
    <w:rsid w:val="3C827F9E"/>
    <w:rsid w:val="3C8A172C"/>
    <w:rsid w:val="3C8D1F31"/>
    <w:rsid w:val="3CA408E8"/>
    <w:rsid w:val="3CAA2AD7"/>
    <w:rsid w:val="3CAF5242"/>
    <w:rsid w:val="3CCA0977"/>
    <w:rsid w:val="3CD43F35"/>
    <w:rsid w:val="3CD529C8"/>
    <w:rsid w:val="3CDA245A"/>
    <w:rsid w:val="3CEB06AA"/>
    <w:rsid w:val="3CEE0ECF"/>
    <w:rsid w:val="3D001BF6"/>
    <w:rsid w:val="3D143113"/>
    <w:rsid w:val="3D1E06B7"/>
    <w:rsid w:val="3D3305EA"/>
    <w:rsid w:val="3D4A4F49"/>
    <w:rsid w:val="3D5C6DDF"/>
    <w:rsid w:val="3D672041"/>
    <w:rsid w:val="3D6C7658"/>
    <w:rsid w:val="3D7301EA"/>
    <w:rsid w:val="3DB01489"/>
    <w:rsid w:val="3DBA42C7"/>
    <w:rsid w:val="3DC469D6"/>
    <w:rsid w:val="3DC47916"/>
    <w:rsid w:val="3DD30690"/>
    <w:rsid w:val="3DD516A1"/>
    <w:rsid w:val="3DE10046"/>
    <w:rsid w:val="3DF83E38"/>
    <w:rsid w:val="3E044AE6"/>
    <w:rsid w:val="3E0F75DB"/>
    <w:rsid w:val="3E4B3711"/>
    <w:rsid w:val="3E684981"/>
    <w:rsid w:val="3E797619"/>
    <w:rsid w:val="3E7E31B2"/>
    <w:rsid w:val="3E9A5977"/>
    <w:rsid w:val="3EAD7D52"/>
    <w:rsid w:val="3EC25B49"/>
    <w:rsid w:val="3ECB5549"/>
    <w:rsid w:val="3ED701A7"/>
    <w:rsid w:val="3EDA0523"/>
    <w:rsid w:val="3F422D66"/>
    <w:rsid w:val="3F6727CC"/>
    <w:rsid w:val="3F74350F"/>
    <w:rsid w:val="3F8A0269"/>
    <w:rsid w:val="3FAB3D77"/>
    <w:rsid w:val="3FED758E"/>
    <w:rsid w:val="40463E1D"/>
    <w:rsid w:val="40574842"/>
    <w:rsid w:val="407A6407"/>
    <w:rsid w:val="408E3D89"/>
    <w:rsid w:val="40C477AB"/>
    <w:rsid w:val="410634E4"/>
    <w:rsid w:val="411F7D76"/>
    <w:rsid w:val="412F2E4F"/>
    <w:rsid w:val="413A0B2D"/>
    <w:rsid w:val="41421E90"/>
    <w:rsid w:val="41483F38"/>
    <w:rsid w:val="415C0FAE"/>
    <w:rsid w:val="416311A0"/>
    <w:rsid w:val="41642EEB"/>
    <w:rsid w:val="41727207"/>
    <w:rsid w:val="41770CEE"/>
    <w:rsid w:val="41833B7E"/>
    <w:rsid w:val="41A01A1D"/>
    <w:rsid w:val="41A630B2"/>
    <w:rsid w:val="41C23DF4"/>
    <w:rsid w:val="41CF6407"/>
    <w:rsid w:val="41DA53DD"/>
    <w:rsid w:val="41F27D12"/>
    <w:rsid w:val="41FF608F"/>
    <w:rsid w:val="4200449D"/>
    <w:rsid w:val="423A3BCC"/>
    <w:rsid w:val="424E57D2"/>
    <w:rsid w:val="42642CB1"/>
    <w:rsid w:val="426A6C91"/>
    <w:rsid w:val="427A49FA"/>
    <w:rsid w:val="427A6466"/>
    <w:rsid w:val="42B26C49"/>
    <w:rsid w:val="42B9333F"/>
    <w:rsid w:val="42D8325E"/>
    <w:rsid w:val="43036D53"/>
    <w:rsid w:val="431647F8"/>
    <w:rsid w:val="4322216B"/>
    <w:rsid w:val="433A6FE6"/>
    <w:rsid w:val="43416F54"/>
    <w:rsid w:val="43480868"/>
    <w:rsid w:val="4350713C"/>
    <w:rsid w:val="4364489E"/>
    <w:rsid w:val="436653E0"/>
    <w:rsid w:val="43674DA2"/>
    <w:rsid w:val="439B47F3"/>
    <w:rsid w:val="43A22185"/>
    <w:rsid w:val="43B37461"/>
    <w:rsid w:val="43B6442E"/>
    <w:rsid w:val="43C4431A"/>
    <w:rsid w:val="43CC5FF3"/>
    <w:rsid w:val="43D6717F"/>
    <w:rsid w:val="43D85A47"/>
    <w:rsid w:val="43D9531B"/>
    <w:rsid w:val="43DF200D"/>
    <w:rsid w:val="43E2516D"/>
    <w:rsid w:val="43E86454"/>
    <w:rsid w:val="440638AF"/>
    <w:rsid w:val="441F218E"/>
    <w:rsid w:val="442137A7"/>
    <w:rsid w:val="44445165"/>
    <w:rsid w:val="447D65EE"/>
    <w:rsid w:val="44917077"/>
    <w:rsid w:val="449271F2"/>
    <w:rsid w:val="449A7E0E"/>
    <w:rsid w:val="449D459A"/>
    <w:rsid w:val="44A73083"/>
    <w:rsid w:val="44AA156D"/>
    <w:rsid w:val="44B1130C"/>
    <w:rsid w:val="44B951CC"/>
    <w:rsid w:val="44CD14E0"/>
    <w:rsid w:val="44E346F2"/>
    <w:rsid w:val="44E45C79"/>
    <w:rsid w:val="44E76F80"/>
    <w:rsid w:val="44F20B0B"/>
    <w:rsid w:val="450308A1"/>
    <w:rsid w:val="4504286C"/>
    <w:rsid w:val="45156827"/>
    <w:rsid w:val="451A1577"/>
    <w:rsid w:val="45216F7A"/>
    <w:rsid w:val="452E5F4C"/>
    <w:rsid w:val="452F0F17"/>
    <w:rsid w:val="4536208C"/>
    <w:rsid w:val="45612018"/>
    <w:rsid w:val="45860AB4"/>
    <w:rsid w:val="458614D2"/>
    <w:rsid w:val="458946E9"/>
    <w:rsid w:val="459840CB"/>
    <w:rsid w:val="459D696F"/>
    <w:rsid w:val="45A47C0E"/>
    <w:rsid w:val="45CF6BBD"/>
    <w:rsid w:val="45E53379"/>
    <w:rsid w:val="45F320D1"/>
    <w:rsid w:val="45FE128A"/>
    <w:rsid w:val="45FF1AF4"/>
    <w:rsid w:val="46081DC4"/>
    <w:rsid w:val="463A63B8"/>
    <w:rsid w:val="46577FD6"/>
    <w:rsid w:val="466B5C17"/>
    <w:rsid w:val="467A166D"/>
    <w:rsid w:val="469325D5"/>
    <w:rsid w:val="46933C70"/>
    <w:rsid w:val="46D90870"/>
    <w:rsid w:val="46D955A7"/>
    <w:rsid w:val="46E968E9"/>
    <w:rsid w:val="470335AD"/>
    <w:rsid w:val="470E352E"/>
    <w:rsid w:val="47133957"/>
    <w:rsid w:val="471C4CC5"/>
    <w:rsid w:val="471F28FC"/>
    <w:rsid w:val="47252EBF"/>
    <w:rsid w:val="47454704"/>
    <w:rsid w:val="47573126"/>
    <w:rsid w:val="476C01BD"/>
    <w:rsid w:val="47A07E0C"/>
    <w:rsid w:val="47A8679C"/>
    <w:rsid w:val="47AE5207"/>
    <w:rsid w:val="48141F25"/>
    <w:rsid w:val="484F39B2"/>
    <w:rsid w:val="485D2428"/>
    <w:rsid w:val="486D25DB"/>
    <w:rsid w:val="4870272E"/>
    <w:rsid w:val="48765788"/>
    <w:rsid w:val="487F17C6"/>
    <w:rsid w:val="488F68F0"/>
    <w:rsid w:val="48A10BBA"/>
    <w:rsid w:val="48CA7928"/>
    <w:rsid w:val="48D662CD"/>
    <w:rsid w:val="48F826E7"/>
    <w:rsid w:val="4929643D"/>
    <w:rsid w:val="493556E9"/>
    <w:rsid w:val="493E1A8E"/>
    <w:rsid w:val="497F545F"/>
    <w:rsid w:val="499441BE"/>
    <w:rsid w:val="49A66B65"/>
    <w:rsid w:val="49D96170"/>
    <w:rsid w:val="49DC7715"/>
    <w:rsid w:val="49DE7F41"/>
    <w:rsid w:val="49FE1F7F"/>
    <w:rsid w:val="4A023139"/>
    <w:rsid w:val="4A1452FF"/>
    <w:rsid w:val="4A6D1F00"/>
    <w:rsid w:val="4A7B576F"/>
    <w:rsid w:val="4A9106FD"/>
    <w:rsid w:val="4AB5120E"/>
    <w:rsid w:val="4ABE4B31"/>
    <w:rsid w:val="4ADF1221"/>
    <w:rsid w:val="4AEF3676"/>
    <w:rsid w:val="4AF561A9"/>
    <w:rsid w:val="4B1B26BD"/>
    <w:rsid w:val="4B1F52CB"/>
    <w:rsid w:val="4B2214E6"/>
    <w:rsid w:val="4B307F16"/>
    <w:rsid w:val="4B502367"/>
    <w:rsid w:val="4B7C4D68"/>
    <w:rsid w:val="4B850B76"/>
    <w:rsid w:val="4BCF5981"/>
    <w:rsid w:val="4BCF726A"/>
    <w:rsid w:val="4BD51C7D"/>
    <w:rsid w:val="4C0231EF"/>
    <w:rsid w:val="4C055638"/>
    <w:rsid w:val="4C0B44E0"/>
    <w:rsid w:val="4C0C20D5"/>
    <w:rsid w:val="4C2C47D5"/>
    <w:rsid w:val="4C381892"/>
    <w:rsid w:val="4C397DE0"/>
    <w:rsid w:val="4C3C319E"/>
    <w:rsid w:val="4C4A0649"/>
    <w:rsid w:val="4C6929D9"/>
    <w:rsid w:val="4C7E5ECA"/>
    <w:rsid w:val="4C876AA5"/>
    <w:rsid w:val="4C9149E5"/>
    <w:rsid w:val="4C9B015C"/>
    <w:rsid w:val="4CA87F80"/>
    <w:rsid w:val="4CB74759"/>
    <w:rsid w:val="4CC0351C"/>
    <w:rsid w:val="4CC0703A"/>
    <w:rsid w:val="4CC34DBA"/>
    <w:rsid w:val="4CCB3E8A"/>
    <w:rsid w:val="4CE22604"/>
    <w:rsid w:val="4CF878D3"/>
    <w:rsid w:val="4D027691"/>
    <w:rsid w:val="4D0C050F"/>
    <w:rsid w:val="4D0E00FB"/>
    <w:rsid w:val="4D176606"/>
    <w:rsid w:val="4D2E492A"/>
    <w:rsid w:val="4D493511"/>
    <w:rsid w:val="4D4D5E0D"/>
    <w:rsid w:val="4D5C0B81"/>
    <w:rsid w:val="4D986247"/>
    <w:rsid w:val="4DA7758E"/>
    <w:rsid w:val="4DC40DEA"/>
    <w:rsid w:val="4DE01804"/>
    <w:rsid w:val="4DE247A0"/>
    <w:rsid w:val="4DEC4FB0"/>
    <w:rsid w:val="4DF612CC"/>
    <w:rsid w:val="4E075D8A"/>
    <w:rsid w:val="4E0B0B56"/>
    <w:rsid w:val="4E375A60"/>
    <w:rsid w:val="4E434405"/>
    <w:rsid w:val="4E5B174E"/>
    <w:rsid w:val="4E6E32FB"/>
    <w:rsid w:val="4EC00FAD"/>
    <w:rsid w:val="4EC1538E"/>
    <w:rsid w:val="4EC1684F"/>
    <w:rsid w:val="4EC95F29"/>
    <w:rsid w:val="4ED65D2C"/>
    <w:rsid w:val="4EDA4E1D"/>
    <w:rsid w:val="4EDB2737"/>
    <w:rsid w:val="4F017C92"/>
    <w:rsid w:val="4F070A6C"/>
    <w:rsid w:val="4F2A7373"/>
    <w:rsid w:val="4F5C4AD4"/>
    <w:rsid w:val="4F6D6BF3"/>
    <w:rsid w:val="4F9843DC"/>
    <w:rsid w:val="4F986F22"/>
    <w:rsid w:val="4F9F7A87"/>
    <w:rsid w:val="4FC62A8C"/>
    <w:rsid w:val="4FC652ED"/>
    <w:rsid w:val="4FD70071"/>
    <w:rsid w:val="4FE20F0D"/>
    <w:rsid w:val="4FE51552"/>
    <w:rsid w:val="4FF03378"/>
    <w:rsid w:val="50115A60"/>
    <w:rsid w:val="501459B7"/>
    <w:rsid w:val="501A1195"/>
    <w:rsid w:val="502113F3"/>
    <w:rsid w:val="504A41CA"/>
    <w:rsid w:val="504F7091"/>
    <w:rsid w:val="50504C4B"/>
    <w:rsid w:val="505619C9"/>
    <w:rsid w:val="50727454"/>
    <w:rsid w:val="50737B8A"/>
    <w:rsid w:val="508A2D05"/>
    <w:rsid w:val="509C36D7"/>
    <w:rsid w:val="509C6E7C"/>
    <w:rsid w:val="50AC6291"/>
    <w:rsid w:val="50B55D64"/>
    <w:rsid w:val="50CE1435"/>
    <w:rsid w:val="50E13C05"/>
    <w:rsid w:val="50E7376D"/>
    <w:rsid w:val="50EE3BD5"/>
    <w:rsid w:val="50EE3D6B"/>
    <w:rsid w:val="50F10148"/>
    <w:rsid w:val="5106757A"/>
    <w:rsid w:val="5128521C"/>
    <w:rsid w:val="51471C2F"/>
    <w:rsid w:val="5162104E"/>
    <w:rsid w:val="5165515C"/>
    <w:rsid w:val="51791EEB"/>
    <w:rsid w:val="519327F7"/>
    <w:rsid w:val="519D5BDA"/>
    <w:rsid w:val="51B353FD"/>
    <w:rsid w:val="51C42B60"/>
    <w:rsid w:val="51CB27AC"/>
    <w:rsid w:val="51E638F4"/>
    <w:rsid w:val="52475395"/>
    <w:rsid w:val="526A1C3E"/>
    <w:rsid w:val="526F0DA0"/>
    <w:rsid w:val="528F19C6"/>
    <w:rsid w:val="529541C3"/>
    <w:rsid w:val="529D2F49"/>
    <w:rsid w:val="52E8444E"/>
    <w:rsid w:val="530121AE"/>
    <w:rsid w:val="530733C6"/>
    <w:rsid w:val="53123344"/>
    <w:rsid w:val="531C4C0C"/>
    <w:rsid w:val="53660E77"/>
    <w:rsid w:val="538C361F"/>
    <w:rsid w:val="53933819"/>
    <w:rsid w:val="53A039CC"/>
    <w:rsid w:val="53A1505A"/>
    <w:rsid w:val="53D91E35"/>
    <w:rsid w:val="53F55BF6"/>
    <w:rsid w:val="54063E08"/>
    <w:rsid w:val="543437E8"/>
    <w:rsid w:val="543547EF"/>
    <w:rsid w:val="543C5B7E"/>
    <w:rsid w:val="544B0706"/>
    <w:rsid w:val="5463135D"/>
    <w:rsid w:val="547C241E"/>
    <w:rsid w:val="54A77267"/>
    <w:rsid w:val="54B35714"/>
    <w:rsid w:val="54C97CAA"/>
    <w:rsid w:val="54F72836"/>
    <w:rsid w:val="54F73313"/>
    <w:rsid w:val="54F80955"/>
    <w:rsid w:val="5503669C"/>
    <w:rsid w:val="550F3292"/>
    <w:rsid w:val="553601AB"/>
    <w:rsid w:val="55477AC8"/>
    <w:rsid w:val="555170A7"/>
    <w:rsid w:val="556C0806"/>
    <w:rsid w:val="5587536D"/>
    <w:rsid w:val="559B174B"/>
    <w:rsid w:val="55A57753"/>
    <w:rsid w:val="55B456A2"/>
    <w:rsid w:val="55BB256E"/>
    <w:rsid w:val="55C53951"/>
    <w:rsid w:val="55CE0CF4"/>
    <w:rsid w:val="55D45CDB"/>
    <w:rsid w:val="55E624F3"/>
    <w:rsid w:val="564D418E"/>
    <w:rsid w:val="56567066"/>
    <w:rsid w:val="56635341"/>
    <w:rsid w:val="56833B9F"/>
    <w:rsid w:val="569752EE"/>
    <w:rsid w:val="569A2C2D"/>
    <w:rsid w:val="56B22A9C"/>
    <w:rsid w:val="56B539C6"/>
    <w:rsid w:val="56B77317"/>
    <w:rsid w:val="56C642DD"/>
    <w:rsid w:val="56CE147D"/>
    <w:rsid w:val="56E90F5B"/>
    <w:rsid w:val="56F40992"/>
    <w:rsid w:val="573A7974"/>
    <w:rsid w:val="57421CEE"/>
    <w:rsid w:val="576B22D6"/>
    <w:rsid w:val="57923D07"/>
    <w:rsid w:val="57B72A76"/>
    <w:rsid w:val="57C3426C"/>
    <w:rsid w:val="57C54E22"/>
    <w:rsid w:val="57CE1F93"/>
    <w:rsid w:val="57D0705D"/>
    <w:rsid w:val="58044C05"/>
    <w:rsid w:val="58090325"/>
    <w:rsid w:val="5813728B"/>
    <w:rsid w:val="582B5F72"/>
    <w:rsid w:val="584414A5"/>
    <w:rsid w:val="58643A79"/>
    <w:rsid w:val="587E5677"/>
    <w:rsid w:val="588743D1"/>
    <w:rsid w:val="5887701A"/>
    <w:rsid w:val="58A1737F"/>
    <w:rsid w:val="58B30B6E"/>
    <w:rsid w:val="58BA7875"/>
    <w:rsid w:val="58C03AD0"/>
    <w:rsid w:val="58CB076B"/>
    <w:rsid w:val="58DE37CC"/>
    <w:rsid w:val="58E135DE"/>
    <w:rsid w:val="592A1DA8"/>
    <w:rsid w:val="592B747B"/>
    <w:rsid w:val="59367A0B"/>
    <w:rsid w:val="595219A0"/>
    <w:rsid w:val="59545718"/>
    <w:rsid w:val="59705C94"/>
    <w:rsid w:val="597E4543"/>
    <w:rsid w:val="59820C5F"/>
    <w:rsid w:val="598A6A4B"/>
    <w:rsid w:val="59B15945"/>
    <w:rsid w:val="59B70343"/>
    <w:rsid w:val="59C0439F"/>
    <w:rsid w:val="59E06FAB"/>
    <w:rsid w:val="59E2278B"/>
    <w:rsid w:val="59F17B48"/>
    <w:rsid w:val="5A364E1D"/>
    <w:rsid w:val="5A3E2146"/>
    <w:rsid w:val="5A696955"/>
    <w:rsid w:val="5A6D38D4"/>
    <w:rsid w:val="5A9150FA"/>
    <w:rsid w:val="5AB453C9"/>
    <w:rsid w:val="5AB55796"/>
    <w:rsid w:val="5AB61F96"/>
    <w:rsid w:val="5ABE2233"/>
    <w:rsid w:val="5AC0307E"/>
    <w:rsid w:val="5AC61F0A"/>
    <w:rsid w:val="5AC93EE4"/>
    <w:rsid w:val="5AF43490"/>
    <w:rsid w:val="5B182775"/>
    <w:rsid w:val="5B1E7D8B"/>
    <w:rsid w:val="5B205FE6"/>
    <w:rsid w:val="5B3640E7"/>
    <w:rsid w:val="5B386973"/>
    <w:rsid w:val="5B4041A6"/>
    <w:rsid w:val="5B5C6B06"/>
    <w:rsid w:val="5B5F3944"/>
    <w:rsid w:val="5BAA64E3"/>
    <w:rsid w:val="5BAC183B"/>
    <w:rsid w:val="5BC05AB7"/>
    <w:rsid w:val="5BDF5D95"/>
    <w:rsid w:val="5BE5613E"/>
    <w:rsid w:val="5BEF2DB0"/>
    <w:rsid w:val="5BF46D3E"/>
    <w:rsid w:val="5BFE7528"/>
    <w:rsid w:val="5C1C0E2B"/>
    <w:rsid w:val="5C367357"/>
    <w:rsid w:val="5C3B6762"/>
    <w:rsid w:val="5C5E4753"/>
    <w:rsid w:val="5C7D389A"/>
    <w:rsid w:val="5CA15022"/>
    <w:rsid w:val="5CA9409F"/>
    <w:rsid w:val="5CB7115D"/>
    <w:rsid w:val="5CBB65A6"/>
    <w:rsid w:val="5CD31049"/>
    <w:rsid w:val="5CDC7331"/>
    <w:rsid w:val="5CF07506"/>
    <w:rsid w:val="5CF944F3"/>
    <w:rsid w:val="5D057255"/>
    <w:rsid w:val="5D1A0A26"/>
    <w:rsid w:val="5D1D4073"/>
    <w:rsid w:val="5D266BED"/>
    <w:rsid w:val="5D325B48"/>
    <w:rsid w:val="5D627D98"/>
    <w:rsid w:val="5D6A3E66"/>
    <w:rsid w:val="5D7C4C80"/>
    <w:rsid w:val="5D882B80"/>
    <w:rsid w:val="5D934388"/>
    <w:rsid w:val="5D9D72A2"/>
    <w:rsid w:val="5DAA7FFC"/>
    <w:rsid w:val="5DB3549D"/>
    <w:rsid w:val="5DB9023F"/>
    <w:rsid w:val="5DE32E6C"/>
    <w:rsid w:val="5E067761"/>
    <w:rsid w:val="5E1100D9"/>
    <w:rsid w:val="5E2467F1"/>
    <w:rsid w:val="5E3727C7"/>
    <w:rsid w:val="5E904C4B"/>
    <w:rsid w:val="5ED07A80"/>
    <w:rsid w:val="5EDA046D"/>
    <w:rsid w:val="5EF01CBB"/>
    <w:rsid w:val="5F1A2B43"/>
    <w:rsid w:val="5F1C2F97"/>
    <w:rsid w:val="5F5C5FB8"/>
    <w:rsid w:val="5F6B646F"/>
    <w:rsid w:val="5F711AC8"/>
    <w:rsid w:val="5F761901"/>
    <w:rsid w:val="5F84182F"/>
    <w:rsid w:val="5F996F03"/>
    <w:rsid w:val="5FB837BB"/>
    <w:rsid w:val="5FC324AB"/>
    <w:rsid w:val="5FDE26B4"/>
    <w:rsid w:val="5FEB2E9F"/>
    <w:rsid w:val="5FFC08B7"/>
    <w:rsid w:val="5FFE039B"/>
    <w:rsid w:val="60047B51"/>
    <w:rsid w:val="601D1297"/>
    <w:rsid w:val="603B4F3C"/>
    <w:rsid w:val="603C7F94"/>
    <w:rsid w:val="6042035A"/>
    <w:rsid w:val="608C2DD4"/>
    <w:rsid w:val="608C5797"/>
    <w:rsid w:val="608F34D9"/>
    <w:rsid w:val="60B563F4"/>
    <w:rsid w:val="60B9557F"/>
    <w:rsid w:val="60CC405A"/>
    <w:rsid w:val="610265E4"/>
    <w:rsid w:val="6126590E"/>
    <w:rsid w:val="614B6546"/>
    <w:rsid w:val="61594480"/>
    <w:rsid w:val="615C3BFF"/>
    <w:rsid w:val="617B00D6"/>
    <w:rsid w:val="617D3877"/>
    <w:rsid w:val="61872199"/>
    <w:rsid w:val="618964CE"/>
    <w:rsid w:val="61897F29"/>
    <w:rsid w:val="618E3791"/>
    <w:rsid w:val="61A904CE"/>
    <w:rsid w:val="61C0689B"/>
    <w:rsid w:val="61CF0031"/>
    <w:rsid w:val="61D82628"/>
    <w:rsid w:val="61E215D8"/>
    <w:rsid w:val="620A1069"/>
    <w:rsid w:val="621B3775"/>
    <w:rsid w:val="622B435B"/>
    <w:rsid w:val="622E68B7"/>
    <w:rsid w:val="62364782"/>
    <w:rsid w:val="623718F2"/>
    <w:rsid w:val="62404A8B"/>
    <w:rsid w:val="6249122F"/>
    <w:rsid w:val="62512D8D"/>
    <w:rsid w:val="62593D9F"/>
    <w:rsid w:val="62797F9D"/>
    <w:rsid w:val="62813845"/>
    <w:rsid w:val="628425D8"/>
    <w:rsid w:val="62854B94"/>
    <w:rsid w:val="628F18F9"/>
    <w:rsid w:val="629331D1"/>
    <w:rsid w:val="62A3501A"/>
    <w:rsid w:val="62CC1E4B"/>
    <w:rsid w:val="62D94C6F"/>
    <w:rsid w:val="62DD39C2"/>
    <w:rsid w:val="62E03898"/>
    <w:rsid w:val="6326785D"/>
    <w:rsid w:val="63517762"/>
    <w:rsid w:val="635D5082"/>
    <w:rsid w:val="63690012"/>
    <w:rsid w:val="636C4E0A"/>
    <w:rsid w:val="637075F2"/>
    <w:rsid w:val="63740919"/>
    <w:rsid w:val="6394356A"/>
    <w:rsid w:val="63B17E46"/>
    <w:rsid w:val="63C61B2C"/>
    <w:rsid w:val="63C9199B"/>
    <w:rsid w:val="63D40BE9"/>
    <w:rsid w:val="64102431"/>
    <w:rsid w:val="64243F39"/>
    <w:rsid w:val="644462F1"/>
    <w:rsid w:val="644F294A"/>
    <w:rsid w:val="645940A8"/>
    <w:rsid w:val="6460547E"/>
    <w:rsid w:val="64624BBC"/>
    <w:rsid w:val="646507D9"/>
    <w:rsid w:val="6469454D"/>
    <w:rsid w:val="64721148"/>
    <w:rsid w:val="64950D8F"/>
    <w:rsid w:val="6497295D"/>
    <w:rsid w:val="649A1969"/>
    <w:rsid w:val="64A5243A"/>
    <w:rsid w:val="64D10239"/>
    <w:rsid w:val="64F531DE"/>
    <w:rsid w:val="6502071E"/>
    <w:rsid w:val="65287730"/>
    <w:rsid w:val="65336094"/>
    <w:rsid w:val="65373578"/>
    <w:rsid w:val="65534D39"/>
    <w:rsid w:val="65590C54"/>
    <w:rsid w:val="65670581"/>
    <w:rsid w:val="65870C23"/>
    <w:rsid w:val="658E5B0E"/>
    <w:rsid w:val="659F41BF"/>
    <w:rsid w:val="659F5F6D"/>
    <w:rsid w:val="65A73651"/>
    <w:rsid w:val="65B07F5C"/>
    <w:rsid w:val="65C5625C"/>
    <w:rsid w:val="65C854C3"/>
    <w:rsid w:val="65CB4FB4"/>
    <w:rsid w:val="65CC2677"/>
    <w:rsid w:val="65D2271B"/>
    <w:rsid w:val="65F21201"/>
    <w:rsid w:val="65F70F2C"/>
    <w:rsid w:val="660340CC"/>
    <w:rsid w:val="6610090A"/>
    <w:rsid w:val="66173D55"/>
    <w:rsid w:val="663D0055"/>
    <w:rsid w:val="6645502F"/>
    <w:rsid w:val="66560D21"/>
    <w:rsid w:val="6659436D"/>
    <w:rsid w:val="665C5C0C"/>
    <w:rsid w:val="667B2536"/>
    <w:rsid w:val="66991891"/>
    <w:rsid w:val="66BC7DEC"/>
    <w:rsid w:val="66DA43BD"/>
    <w:rsid w:val="66E67276"/>
    <w:rsid w:val="66FE1E6C"/>
    <w:rsid w:val="67043D5E"/>
    <w:rsid w:val="671169F6"/>
    <w:rsid w:val="671E7365"/>
    <w:rsid w:val="671F124A"/>
    <w:rsid w:val="6720747F"/>
    <w:rsid w:val="67332E10"/>
    <w:rsid w:val="6735627C"/>
    <w:rsid w:val="673E1BB0"/>
    <w:rsid w:val="677A33C6"/>
    <w:rsid w:val="67873D37"/>
    <w:rsid w:val="67925D4C"/>
    <w:rsid w:val="67A5546D"/>
    <w:rsid w:val="67C601A1"/>
    <w:rsid w:val="67D477C3"/>
    <w:rsid w:val="67E04BDA"/>
    <w:rsid w:val="67F73D92"/>
    <w:rsid w:val="681F6961"/>
    <w:rsid w:val="68201871"/>
    <w:rsid w:val="682249E5"/>
    <w:rsid w:val="682537F7"/>
    <w:rsid w:val="683F46CF"/>
    <w:rsid w:val="68476448"/>
    <w:rsid w:val="68483BBA"/>
    <w:rsid w:val="68541CB5"/>
    <w:rsid w:val="68610A2F"/>
    <w:rsid w:val="6863170B"/>
    <w:rsid w:val="68805514"/>
    <w:rsid w:val="688975C9"/>
    <w:rsid w:val="688F6629"/>
    <w:rsid w:val="68C0591A"/>
    <w:rsid w:val="68D36FAA"/>
    <w:rsid w:val="68DE5A9A"/>
    <w:rsid w:val="68E0473D"/>
    <w:rsid w:val="68F13618"/>
    <w:rsid w:val="69007420"/>
    <w:rsid w:val="69083E29"/>
    <w:rsid w:val="692E7D33"/>
    <w:rsid w:val="693049DA"/>
    <w:rsid w:val="69316E2F"/>
    <w:rsid w:val="6932715A"/>
    <w:rsid w:val="693929E4"/>
    <w:rsid w:val="69440575"/>
    <w:rsid w:val="694E2071"/>
    <w:rsid w:val="694E2184"/>
    <w:rsid w:val="69626CAC"/>
    <w:rsid w:val="69626EF5"/>
    <w:rsid w:val="6964142B"/>
    <w:rsid w:val="69766163"/>
    <w:rsid w:val="697A3B33"/>
    <w:rsid w:val="69862C62"/>
    <w:rsid w:val="69BD2E65"/>
    <w:rsid w:val="69C73CE4"/>
    <w:rsid w:val="69D44760"/>
    <w:rsid w:val="69D4612E"/>
    <w:rsid w:val="69DB189F"/>
    <w:rsid w:val="69EA344D"/>
    <w:rsid w:val="69FA08EE"/>
    <w:rsid w:val="6A0A6A7D"/>
    <w:rsid w:val="6A1B2F94"/>
    <w:rsid w:val="6A325601"/>
    <w:rsid w:val="6A325B95"/>
    <w:rsid w:val="6A4A7D06"/>
    <w:rsid w:val="6A4F6090"/>
    <w:rsid w:val="6A50275D"/>
    <w:rsid w:val="6A520EC7"/>
    <w:rsid w:val="6A607467"/>
    <w:rsid w:val="6A627569"/>
    <w:rsid w:val="6A7551F8"/>
    <w:rsid w:val="6A7E0451"/>
    <w:rsid w:val="6A991695"/>
    <w:rsid w:val="6AA302AD"/>
    <w:rsid w:val="6AAD6A36"/>
    <w:rsid w:val="6ABC4442"/>
    <w:rsid w:val="6AC03A8B"/>
    <w:rsid w:val="6ADC6C61"/>
    <w:rsid w:val="6AEB19C5"/>
    <w:rsid w:val="6AF0075E"/>
    <w:rsid w:val="6AF74F8C"/>
    <w:rsid w:val="6AF87E20"/>
    <w:rsid w:val="6B054018"/>
    <w:rsid w:val="6B1271E1"/>
    <w:rsid w:val="6B1E1D9F"/>
    <w:rsid w:val="6B1F3C6D"/>
    <w:rsid w:val="6B291C2C"/>
    <w:rsid w:val="6B322639"/>
    <w:rsid w:val="6B3929BF"/>
    <w:rsid w:val="6B43717D"/>
    <w:rsid w:val="6B6E1D40"/>
    <w:rsid w:val="6B92455B"/>
    <w:rsid w:val="6BA22313"/>
    <w:rsid w:val="6BED63A4"/>
    <w:rsid w:val="6C0B5079"/>
    <w:rsid w:val="6C2737C3"/>
    <w:rsid w:val="6C282F80"/>
    <w:rsid w:val="6C3D1EED"/>
    <w:rsid w:val="6C5C4BB7"/>
    <w:rsid w:val="6C636C38"/>
    <w:rsid w:val="6C733CAF"/>
    <w:rsid w:val="6C951535"/>
    <w:rsid w:val="6C9C6D62"/>
    <w:rsid w:val="6CC30D7F"/>
    <w:rsid w:val="6CCE7457"/>
    <w:rsid w:val="6CE16E6B"/>
    <w:rsid w:val="6CE63A1E"/>
    <w:rsid w:val="6CFE1580"/>
    <w:rsid w:val="6CFE5C6F"/>
    <w:rsid w:val="6D0A1C9E"/>
    <w:rsid w:val="6D1B5580"/>
    <w:rsid w:val="6D391D0B"/>
    <w:rsid w:val="6D527369"/>
    <w:rsid w:val="6D552497"/>
    <w:rsid w:val="6D702BDA"/>
    <w:rsid w:val="6DB12CE1"/>
    <w:rsid w:val="6DB34098"/>
    <w:rsid w:val="6DB545B6"/>
    <w:rsid w:val="6DD61B41"/>
    <w:rsid w:val="6DDD7632"/>
    <w:rsid w:val="6DE02FB4"/>
    <w:rsid w:val="6DE13755"/>
    <w:rsid w:val="6DFC12F1"/>
    <w:rsid w:val="6E2E7E8E"/>
    <w:rsid w:val="6E34121C"/>
    <w:rsid w:val="6E364F94"/>
    <w:rsid w:val="6E46524B"/>
    <w:rsid w:val="6E514CED"/>
    <w:rsid w:val="6E577485"/>
    <w:rsid w:val="6E5E65A2"/>
    <w:rsid w:val="6E6B549A"/>
    <w:rsid w:val="6E702892"/>
    <w:rsid w:val="6E767C03"/>
    <w:rsid w:val="6E7862D0"/>
    <w:rsid w:val="6E993B8F"/>
    <w:rsid w:val="6EB563D5"/>
    <w:rsid w:val="6ECC0046"/>
    <w:rsid w:val="6ED92677"/>
    <w:rsid w:val="6EDC5B3C"/>
    <w:rsid w:val="6F00350B"/>
    <w:rsid w:val="6F141745"/>
    <w:rsid w:val="6F1E6154"/>
    <w:rsid w:val="6F225983"/>
    <w:rsid w:val="6F241FB5"/>
    <w:rsid w:val="6F4705F4"/>
    <w:rsid w:val="6F5A6E26"/>
    <w:rsid w:val="6F841F78"/>
    <w:rsid w:val="6F85579A"/>
    <w:rsid w:val="6F875EB6"/>
    <w:rsid w:val="6F8A5598"/>
    <w:rsid w:val="6FAF491D"/>
    <w:rsid w:val="6FC35E69"/>
    <w:rsid w:val="6FD44A65"/>
    <w:rsid w:val="6FFC5590"/>
    <w:rsid w:val="70001FD7"/>
    <w:rsid w:val="7009239D"/>
    <w:rsid w:val="70196E45"/>
    <w:rsid w:val="702F047D"/>
    <w:rsid w:val="70670B75"/>
    <w:rsid w:val="70674384"/>
    <w:rsid w:val="706D1DD0"/>
    <w:rsid w:val="70856B87"/>
    <w:rsid w:val="708A78C5"/>
    <w:rsid w:val="7090553F"/>
    <w:rsid w:val="70950698"/>
    <w:rsid w:val="70CB230C"/>
    <w:rsid w:val="70D527EE"/>
    <w:rsid w:val="70F058CE"/>
    <w:rsid w:val="70F70507"/>
    <w:rsid w:val="71011E54"/>
    <w:rsid w:val="710475CC"/>
    <w:rsid w:val="714043A7"/>
    <w:rsid w:val="715916C6"/>
    <w:rsid w:val="715B5300"/>
    <w:rsid w:val="716A222F"/>
    <w:rsid w:val="71A76E60"/>
    <w:rsid w:val="71AD1A11"/>
    <w:rsid w:val="71BD0B9F"/>
    <w:rsid w:val="71BD1252"/>
    <w:rsid w:val="71BE5882"/>
    <w:rsid w:val="71C34D91"/>
    <w:rsid w:val="71C859B4"/>
    <w:rsid w:val="71D00147"/>
    <w:rsid w:val="71D16685"/>
    <w:rsid w:val="71D27F8A"/>
    <w:rsid w:val="71DC44F1"/>
    <w:rsid w:val="72386860"/>
    <w:rsid w:val="7239717C"/>
    <w:rsid w:val="723B526F"/>
    <w:rsid w:val="72553024"/>
    <w:rsid w:val="726141B3"/>
    <w:rsid w:val="72614929"/>
    <w:rsid w:val="72622812"/>
    <w:rsid w:val="72641A80"/>
    <w:rsid w:val="72680148"/>
    <w:rsid w:val="726F1E03"/>
    <w:rsid w:val="727C474E"/>
    <w:rsid w:val="728E35F1"/>
    <w:rsid w:val="72B03567"/>
    <w:rsid w:val="72BA012C"/>
    <w:rsid w:val="72BA2A10"/>
    <w:rsid w:val="72BA43E6"/>
    <w:rsid w:val="72BA667A"/>
    <w:rsid w:val="72C3128F"/>
    <w:rsid w:val="72D1390F"/>
    <w:rsid w:val="72D36A71"/>
    <w:rsid w:val="72E245A2"/>
    <w:rsid w:val="73092C77"/>
    <w:rsid w:val="73122968"/>
    <w:rsid w:val="73132C65"/>
    <w:rsid w:val="73143491"/>
    <w:rsid w:val="731F5D5E"/>
    <w:rsid w:val="733035DE"/>
    <w:rsid w:val="735B7DEA"/>
    <w:rsid w:val="735E67B4"/>
    <w:rsid w:val="73791799"/>
    <w:rsid w:val="7382614E"/>
    <w:rsid w:val="739573C6"/>
    <w:rsid w:val="739C3F3B"/>
    <w:rsid w:val="73AF7CC3"/>
    <w:rsid w:val="73C51AD5"/>
    <w:rsid w:val="73D43285"/>
    <w:rsid w:val="73FA3111"/>
    <w:rsid w:val="741E793C"/>
    <w:rsid w:val="743326A2"/>
    <w:rsid w:val="744832C6"/>
    <w:rsid w:val="7457466E"/>
    <w:rsid w:val="745E3944"/>
    <w:rsid w:val="747D56CB"/>
    <w:rsid w:val="74843683"/>
    <w:rsid w:val="74980757"/>
    <w:rsid w:val="74C77F60"/>
    <w:rsid w:val="74E11225"/>
    <w:rsid w:val="753F2639"/>
    <w:rsid w:val="75443282"/>
    <w:rsid w:val="75483F2B"/>
    <w:rsid w:val="754F15E2"/>
    <w:rsid w:val="757F40D0"/>
    <w:rsid w:val="75A35873"/>
    <w:rsid w:val="75DD0F61"/>
    <w:rsid w:val="7622199F"/>
    <w:rsid w:val="7635099D"/>
    <w:rsid w:val="7651520C"/>
    <w:rsid w:val="7654129A"/>
    <w:rsid w:val="76654281"/>
    <w:rsid w:val="767C19B2"/>
    <w:rsid w:val="76876EF4"/>
    <w:rsid w:val="768F7F5F"/>
    <w:rsid w:val="76927E73"/>
    <w:rsid w:val="76B15B00"/>
    <w:rsid w:val="76BB24DB"/>
    <w:rsid w:val="76C57264"/>
    <w:rsid w:val="76C577FD"/>
    <w:rsid w:val="76C91A96"/>
    <w:rsid w:val="76D30697"/>
    <w:rsid w:val="76D77EFA"/>
    <w:rsid w:val="76E23F0B"/>
    <w:rsid w:val="76F0782A"/>
    <w:rsid w:val="771D4F43"/>
    <w:rsid w:val="773432D5"/>
    <w:rsid w:val="77404207"/>
    <w:rsid w:val="774E334F"/>
    <w:rsid w:val="77612F4D"/>
    <w:rsid w:val="77744AF1"/>
    <w:rsid w:val="77762421"/>
    <w:rsid w:val="77813724"/>
    <w:rsid w:val="77854F30"/>
    <w:rsid w:val="779B3146"/>
    <w:rsid w:val="779F3BAA"/>
    <w:rsid w:val="77B56B1F"/>
    <w:rsid w:val="77D36D88"/>
    <w:rsid w:val="77FE3626"/>
    <w:rsid w:val="780126CE"/>
    <w:rsid w:val="780F09F4"/>
    <w:rsid w:val="780F6F82"/>
    <w:rsid w:val="78174088"/>
    <w:rsid w:val="783C3D26"/>
    <w:rsid w:val="784604CA"/>
    <w:rsid w:val="784D1AA2"/>
    <w:rsid w:val="78506C45"/>
    <w:rsid w:val="785901FD"/>
    <w:rsid w:val="787950CC"/>
    <w:rsid w:val="78857244"/>
    <w:rsid w:val="78A23968"/>
    <w:rsid w:val="78A90480"/>
    <w:rsid w:val="78B47399"/>
    <w:rsid w:val="78B47FC5"/>
    <w:rsid w:val="78B673FD"/>
    <w:rsid w:val="78C359DE"/>
    <w:rsid w:val="78D67BCB"/>
    <w:rsid w:val="78D85041"/>
    <w:rsid w:val="78F27591"/>
    <w:rsid w:val="78F30B09"/>
    <w:rsid w:val="79305A30"/>
    <w:rsid w:val="79405A80"/>
    <w:rsid w:val="794B5FAE"/>
    <w:rsid w:val="79534C4C"/>
    <w:rsid w:val="79694B89"/>
    <w:rsid w:val="797D0F20"/>
    <w:rsid w:val="798B088A"/>
    <w:rsid w:val="79BD2A0E"/>
    <w:rsid w:val="79CE69F2"/>
    <w:rsid w:val="79E77FA9"/>
    <w:rsid w:val="79FE72AE"/>
    <w:rsid w:val="7A0657BE"/>
    <w:rsid w:val="7A0E4D2E"/>
    <w:rsid w:val="7A126A9A"/>
    <w:rsid w:val="7A1E34AC"/>
    <w:rsid w:val="7A364017"/>
    <w:rsid w:val="7A5955C8"/>
    <w:rsid w:val="7A7607D9"/>
    <w:rsid w:val="7A8265E1"/>
    <w:rsid w:val="7ABE50C5"/>
    <w:rsid w:val="7ABE7993"/>
    <w:rsid w:val="7AC04563"/>
    <w:rsid w:val="7AFB1A3F"/>
    <w:rsid w:val="7B1B5C3E"/>
    <w:rsid w:val="7B233DCB"/>
    <w:rsid w:val="7B3F6659"/>
    <w:rsid w:val="7B4A6CED"/>
    <w:rsid w:val="7B4E008A"/>
    <w:rsid w:val="7B686D42"/>
    <w:rsid w:val="7B6E0463"/>
    <w:rsid w:val="7B6F04EF"/>
    <w:rsid w:val="7B841746"/>
    <w:rsid w:val="7B9D3C3F"/>
    <w:rsid w:val="7BA60C02"/>
    <w:rsid w:val="7BA93249"/>
    <w:rsid w:val="7BCA4924"/>
    <w:rsid w:val="7BD427EF"/>
    <w:rsid w:val="7BD867BE"/>
    <w:rsid w:val="7BE2731E"/>
    <w:rsid w:val="7C1C1C6D"/>
    <w:rsid w:val="7C2154D6"/>
    <w:rsid w:val="7C395D78"/>
    <w:rsid w:val="7C4566C3"/>
    <w:rsid w:val="7C6C5AC7"/>
    <w:rsid w:val="7C99427F"/>
    <w:rsid w:val="7CA0464C"/>
    <w:rsid w:val="7CB24809"/>
    <w:rsid w:val="7CB36F02"/>
    <w:rsid w:val="7CB506D9"/>
    <w:rsid w:val="7CC6544B"/>
    <w:rsid w:val="7CCE72FC"/>
    <w:rsid w:val="7CD963F7"/>
    <w:rsid w:val="7CE35639"/>
    <w:rsid w:val="7CEC7892"/>
    <w:rsid w:val="7D0239FF"/>
    <w:rsid w:val="7D20753B"/>
    <w:rsid w:val="7D2215F1"/>
    <w:rsid w:val="7D3354C1"/>
    <w:rsid w:val="7D44147C"/>
    <w:rsid w:val="7D5E40CD"/>
    <w:rsid w:val="7D607CFD"/>
    <w:rsid w:val="7D992EE2"/>
    <w:rsid w:val="7DA6729B"/>
    <w:rsid w:val="7DA77C5D"/>
    <w:rsid w:val="7DA95783"/>
    <w:rsid w:val="7DCB7D1F"/>
    <w:rsid w:val="7DCD56F2"/>
    <w:rsid w:val="7DDB1DB5"/>
    <w:rsid w:val="7DEC3B7A"/>
    <w:rsid w:val="7DF84014"/>
    <w:rsid w:val="7E0150C3"/>
    <w:rsid w:val="7E163093"/>
    <w:rsid w:val="7E29039D"/>
    <w:rsid w:val="7E307B83"/>
    <w:rsid w:val="7E3A2076"/>
    <w:rsid w:val="7E4B09AE"/>
    <w:rsid w:val="7E7100E3"/>
    <w:rsid w:val="7EAB1087"/>
    <w:rsid w:val="7EB77A2B"/>
    <w:rsid w:val="7ED94D99"/>
    <w:rsid w:val="7EE97F06"/>
    <w:rsid w:val="7EF14D84"/>
    <w:rsid w:val="7EFC603B"/>
    <w:rsid w:val="7F001CE7"/>
    <w:rsid w:val="7F0B1BA5"/>
    <w:rsid w:val="7F16390D"/>
    <w:rsid w:val="7F2B002F"/>
    <w:rsid w:val="7F336385"/>
    <w:rsid w:val="7F6851CA"/>
    <w:rsid w:val="7F9D3213"/>
    <w:rsid w:val="7FBF4594"/>
    <w:rsid w:val="7FDD34C2"/>
    <w:rsid w:val="7FE315DB"/>
    <w:rsid w:val="7FE47E50"/>
    <w:rsid w:val="7FEC5DFB"/>
    <w:rsid w:val="7FF94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unhideWhenUsed/>
    <w:qFormat/>
    <w:locked/>
    <w:uiPriority w:val="0"/>
    <w:pPr>
      <w:keepLines/>
      <w:spacing w:line="360" w:lineRule="auto"/>
      <w:ind w:left="0" w:firstLine="0"/>
      <w:outlineLvl w:val="1"/>
    </w:pPr>
    <w:rPr>
      <w:rFonts w:eastAsia="宋体"/>
      <w:sz w:val="28"/>
    </w:rPr>
  </w:style>
  <w:style w:type="paragraph" w:styleId="4">
    <w:name w:val="heading 3"/>
    <w:basedOn w:val="1"/>
    <w:next w:val="5"/>
    <w:unhideWhenUsed/>
    <w:qFormat/>
    <w:locked/>
    <w:uiPriority w:val="0"/>
    <w:pPr>
      <w:keepNext/>
      <w:keepLines/>
      <w:ind w:firstLine="720" w:firstLineChars="200"/>
      <w:outlineLvl w:val="2"/>
    </w:pPr>
    <w:rPr>
      <w:b/>
    </w:rPr>
  </w:style>
  <w:style w:type="paragraph" w:styleId="6">
    <w:name w:val="heading 4"/>
    <w:basedOn w:val="1"/>
    <w:next w:val="1"/>
    <w:link w:val="43"/>
    <w:unhideWhenUsed/>
    <w:qFormat/>
    <w:locked/>
    <w:uiPriority w:val="0"/>
    <w:pPr>
      <w:keepNext/>
      <w:keepLines/>
      <w:spacing w:before="280" w:after="290" w:line="240" w:lineRule="auto"/>
      <w:jc w:val="center"/>
      <w:outlineLvl w:val="3"/>
    </w:pPr>
    <w:rPr>
      <w:rFonts w:eastAsia="黑体"/>
      <w:sz w:val="3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5">
    <w:name w:val="正文内容"/>
    <w:basedOn w:val="1"/>
    <w:qFormat/>
    <w:uiPriority w:val="0"/>
    <w:pPr>
      <w:ind w:firstLine="720" w:firstLineChars="200"/>
    </w:pPr>
    <w:rPr>
      <w:rFonts w:cs="宋体"/>
    </w:rPr>
  </w:style>
  <w:style w:type="paragraph" w:styleId="7">
    <w:name w:val="table of authorities"/>
    <w:basedOn w:val="1"/>
    <w:next w:val="1"/>
    <w:semiHidden/>
    <w:qFormat/>
    <w:locked/>
    <w:uiPriority w:val="0"/>
    <w:pPr>
      <w:ind w:left="420" w:leftChars="200"/>
    </w:pPr>
  </w:style>
  <w:style w:type="paragraph" w:styleId="8">
    <w:name w:val="Note Heading"/>
    <w:basedOn w:val="1"/>
    <w:next w:val="1"/>
    <w:qFormat/>
    <w:uiPriority w:val="0"/>
    <w:pPr>
      <w:jc w:val="left"/>
    </w:pPr>
  </w:style>
  <w:style w:type="paragraph" w:styleId="9">
    <w:name w:val="Normal Indent"/>
    <w:basedOn w:val="1"/>
    <w:next w:val="1"/>
    <w:qFormat/>
    <w:locked/>
    <w:uiPriority w:val="0"/>
    <w:pPr>
      <w:spacing w:line="480" w:lineRule="atLeast"/>
      <w:ind w:firstLine="420"/>
    </w:pPr>
    <w:rPr>
      <w:rFonts w:eastAsia="仿宋_GB2312"/>
      <w:sz w:val="28"/>
      <w:szCs w:val="20"/>
    </w:rPr>
  </w:style>
  <w:style w:type="paragraph" w:styleId="10">
    <w:name w:val="annotation text"/>
    <w:basedOn w:val="1"/>
    <w:link w:val="70"/>
    <w:qFormat/>
    <w:uiPriority w:val="0"/>
    <w:pPr>
      <w:jc w:val="left"/>
    </w:pPr>
  </w:style>
  <w:style w:type="paragraph" w:styleId="11">
    <w:name w:val="Body Text"/>
    <w:basedOn w:val="1"/>
    <w:qFormat/>
    <w:uiPriority w:val="0"/>
    <w:pPr>
      <w:widowControl/>
      <w:snapToGrid w:val="0"/>
      <w:spacing w:before="60" w:after="160" w:line="259" w:lineRule="auto"/>
      <w:ind w:right="113"/>
    </w:pPr>
    <w:rPr>
      <w:kern w:val="0"/>
      <w:sz w:val="18"/>
      <w:szCs w:val="20"/>
    </w:rPr>
  </w:style>
  <w:style w:type="paragraph" w:styleId="12">
    <w:name w:val="Body Text Indent"/>
    <w:basedOn w:val="1"/>
    <w:next w:val="13"/>
    <w:qFormat/>
    <w:uiPriority w:val="0"/>
    <w:pPr>
      <w:spacing w:after="120"/>
      <w:ind w:left="420" w:leftChars="200"/>
    </w:pPr>
    <w:rPr>
      <w:kern w:val="0"/>
      <w:szCs w:val="20"/>
    </w:rPr>
  </w:style>
  <w:style w:type="paragraph" w:styleId="13">
    <w:name w:val="Body Text First Indent 2"/>
    <w:basedOn w:val="12"/>
    <w:next w:val="14"/>
    <w:qFormat/>
    <w:uiPriority w:val="0"/>
    <w:pPr>
      <w:ind w:firstLine="420" w:firstLineChars="200"/>
    </w:pPr>
    <w:rPr>
      <w:kern w:val="2"/>
      <w:sz w:val="21"/>
      <w:szCs w:val="24"/>
    </w:rPr>
  </w:style>
  <w:style w:type="paragraph" w:customStyle="1" w:styleId="14">
    <w:name w:val="Default"/>
    <w:basedOn w:val="15"/>
    <w:next w:val="17"/>
    <w:link w:val="53"/>
    <w:qFormat/>
    <w:uiPriority w:val="0"/>
    <w:pPr>
      <w:autoSpaceDE w:val="0"/>
      <w:autoSpaceDN w:val="0"/>
      <w:adjustRightInd w:val="0"/>
    </w:pPr>
    <w:rPr>
      <w:rFonts w:cs="宋体"/>
      <w:color w:val="000000"/>
      <w:szCs w:val="24"/>
    </w:rPr>
  </w:style>
  <w:style w:type="paragraph" w:customStyle="1" w:styleId="15">
    <w:name w:val="纯文本1"/>
    <w:basedOn w:val="1"/>
    <w:next w:val="16"/>
    <w:qFormat/>
    <w:uiPriority w:val="99"/>
    <w:rPr>
      <w:rFonts w:ascii="宋体" w:hAnsi="Courier New" w:cs="黑体"/>
      <w:szCs w:val="21"/>
    </w:rPr>
  </w:style>
  <w:style w:type="paragraph" w:styleId="16">
    <w:name w:val="Plain Text"/>
    <w:basedOn w:val="1"/>
    <w:next w:val="1"/>
    <w:qFormat/>
    <w:locked/>
    <w:uiPriority w:val="0"/>
    <w:rPr>
      <w:rFonts w:ascii="宋体" w:hAnsi="Courier New" w:cs="Courier New"/>
      <w:szCs w:val="21"/>
    </w:rPr>
  </w:style>
  <w:style w:type="paragraph" w:customStyle="1" w:styleId="17">
    <w:name w:val="样式35"/>
    <w:next w:val="18"/>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8">
    <w:name w:val="font6"/>
    <w:basedOn w:val="1"/>
    <w:next w:val="19"/>
    <w:qFormat/>
    <w:uiPriority w:val="99"/>
    <w:pPr>
      <w:widowControl/>
      <w:spacing w:before="100" w:beforeAutospacing="1" w:after="100" w:afterAutospacing="1"/>
      <w:jc w:val="left"/>
    </w:pPr>
    <w:rPr>
      <w:rFonts w:ascii="宋体" w:hAnsi="宋体"/>
      <w:sz w:val="20"/>
      <w:szCs w:val="20"/>
    </w:rPr>
  </w:style>
  <w:style w:type="paragraph" w:styleId="19">
    <w:name w:val="toc 2"/>
    <w:basedOn w:val="1"/>
    <w:next w:val="1"/>
    <w:qFormat/>
    <w:locked/>
    <w:uiPriority w:val="0"/>
    <w:pPr>
      <w:ind w:left="420" w:leftChars="200"/>
    </w:pPr>
  </w:style>
  <w:style w:type="paragraph" w:styleId="20">
    <w:name w:val="Block Text"/>
    <w:basedOn w:val="1"/>
    <w:qFormat/>
    <w:locked/>
    <w:uiPriority w:val="0"/>
    <w:pPr>
      <w:spacing w:line="360" w:lineRule="exact"/>
      <w:ind w:left="-57" w:right="-57"/>
    </w:pPr>
    <w:rPr>
      <w:sz w:val="18"/>
      <w:szCs w:val="20"/>
    </w:rPr>
  </w:style>
  <w:style w:type="paragraph" w:styleId="21">
    <w:name w:val="index 4"/>
    <w:basedOn w:val="1"/>
    <w:next w:val="1"/>
    <w:qFormat/>
    <w:locked/>
    <w:uiPriority w:val="0"/>
    <w:pPr>
      <w:ind w:left="600" w:leftChars="600"/>
    </w:pPr>
    <w:rPr>
      <w:sz w:val="21"/>
    </w:rPr>
  </w:style>
  <w:style w:type="paragraph" w:styleId="22">
    <w:name w:val="Body Text Indent 2"/>
    <w:basedOn w:val="1"/>
    <w:qFormat/>
    <w:locked/>
    <w:uiPriority w:val="0"/>
    <w:pPr>
      <w:spacing w:line="480" w:lineRule="auto"/>
      <w:ind w:left="420" w:leftChars="200"/>
    </w:pPr>
  </w:style>
  <w:style w:type="paragraph" w:styleId="23">
    <w:name w:val="footer"/>
    <w:basedOn w:val="1"/>
    <w:qFormat/>
    <w:uiPriority w:val="0"/>
    <w:pPr>
      <w:tabs>
        <w:tab w:val="center" w:pos="4153"/>
        <w:tab w:val="right" w:pos="8306"/>
      </w:tabs>
      <w:snapToGrid w:val="0"/>
      <w:jc w:val="left"/>
    </w:pPr>
    <w:rPr>
      <w:sz w:val="18"/>
    </w:rPr>
  </w:style>
  <w:style w:type="paragraph" w:styleId="24">
    <w:name w:val="header"/>
    <w:basedOn w:val="1"/>
    <w:link w:val="72"/>
    <w:qFormat/>
    <w:uiPriority w:val="0"/>
    <w:pPr>
      <w:tabs>
        <w:tab w:val="center" w:pos="4153"/>
        <w:tab w:val="right" w:pos="8306"/>
      </w:tabs>
      <w:snapToGrid w:val="0"/>
      <w:spacing w:line="240" w:lineRule="auto"/>
      <w:jc w:val="center"/>
    </w:pPr>
    <w:rPr>
      <w:sz w:val="18"/>
      <w:szCs w:val="18"/>
    </w:rPr>
  </w:style>
  <w:style w:type="paragraph" w:styleId="25">
    <w:name w:val="List"/>
    <w:basedOn w:val="1"/>
    <w:unhideWhenUsed/>
    <w:qFormat/>
    <w:locked/>
    <w:uiPriority w:val="99"/>
    <w:pPr>
      <w:ind w:left="200" w:hanging="200" w:hangingChars="200"/>
      <w:contextualSpacing/>
    </w:pPr>
  </w:style>
  <w:style w:type="paragraph" w:styleId="26">
    <w:name w:val="Body Text 2"/>
    <w:basedOn w:val="1"/>
    <w:qFormat/>
    <w:locked/>
    <w:uiPriority w:val="0"/>
    <w:pPr>
      <w:spacing w:after="120" w:line="480" w:lineRule="auto"/>
    </w:pPr>
  </w:style>
  <w:style w:type="paragraph" w:styleId="27">
    <w:name w:val="Normal (Web)"/>
    <w:basedOn w:val="1"/>
    <w:qFormat/>
    <w:uiPriority w:val="0"/>
    <w:pPr>
      <w:widowControl/>
      <w:spacing w:before="100" w:beforeAutospacing="1" w:after="100" w:afterAutospacing="1"/>
      <w:jc w:val="left"/>
    </w:pPr>
    <w:rPr>
      <w:rFonts w:ascii="宋体" w:hAnsi="宋体"/>
      <w:kern w:val="0"/>
      <w:szCs w:val="20"/>
    </w:rPr>
  </w:style>
  <w:style w:type="paragraph" w:styleId="28">
    <w:name w:val="annotation subject"/>
    <w:basedOn w:val="10"/>
    <w:next w:val="10"/>
    <w:link w:val="71"/>
    <w:qFormat/>
    <w:uiPriority w:val="0"/>
    <w:rPr>
      <w:b/>
      <w:bCs/>
    </w:rPr>
  </w:style>
  <w:style w:type="paragraph" w:styleId="29">
    <w:name w:val="Body Text First Indent"/>
    <w:basedOn w:val="11"/>
    <w:next w:val="1"/>
    <w:qFormat/>
    <w:uiPriority w:val="0"/>
    <w:pPr>
      <w:overflowPunct w:val="0"/>
      <w:autoSpaceDE w:val="0"/>
      <w:autoSpaceDN w:val="0"/>
      <w:adjustRightInd w:val="0"/>
      <w:spacing w:line="360" w:lineRule="auto"/>
      <w:ind w:firstLine="539"/>
      <w:textAlignment w:val="baseline"/>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qFormat/>
    <w:uiPriority w:val="0"/>
  </w:style>
  <w:style w:type="character" w:styleId="35">
    <w:name w:val="annotation reference"/>
    <w:basedOn w:val="32"/>
    <w:qFormat/>
    <w:uiPriority w:val="0"/>
    <w:rPr>
      <w:sz w:val="21"/>
      <w:szCs w:val="21"/>
    </w:rPr>
  </w:style>
  <w:style w:type="paragraph" w:customStyle="1" w:styleId="36">
    <w:name w:val="表头"/>
    <w:basedOn w:val="37"/>
    <w:next w:val="1"/>
    <w:qFormat/>
    <w:uiPriority w:val="0"/>
    <w:pPr>
      <w:spacing w:line="240" w:lineRule="auto"/>
      <w:ind w:right="0" w:firstLine="0" w:firstLineChars="0"/>
      <w:jc w:val="center"/>
    </w:pPr>
    <w:rPr>
      <w:rFonts w:ascii="Times New Roman" w:hAnsi="Times New Roman"/>
      <w:b/>
      <w:szCs w:val="22"/>
    </w:rPr>
  </w:style>
  <w:style w:type="paragraph" w:customStyle="1" w:styleId="37">
    <w:name w:val="正文格式"/>
    <w:basedOn w:val="38"/>
    <w:qFormat/>
    <w:uiPriority w:val="0"/>
    <w:pPr>
      <w:spacing w:line="360" w:lineRule="auto"/>
    </w:pPr>
    <w:rPr>
      <w:sz w:val="24"/>
    </w:rPr>
  </w:style>
  <w:style w:type="paragraph" w:customStyle="1" w:styleId="38">
    <w:name w:val="lin正文"/>
    <w:basedOn w:val="11"/>
    <w:qFormat/>
    <w:uiPriority w:val="0"/>
    <w:pPr>
      <w:widowControl w:val="0"/>
      <w:spacing w:line="560" w:lineRule="exact"/>
      <w:ind w:firstLine="200" w:firstLineChars="200"/>
    </w:pPr>
    <w:rPr>
      <w:rFonts w:ascii="Tahoma" w:hAnsi="Tahoma"/>
      <w:color w:val="000000"/>
      <w:szCs w:val="24"/>
    </w:rPr>
  </w:style>
  <w:style w:type="paragraph" w:customStyle="1" w:styleId="39">
    <w:name w:val="屠彪标题"/>
    <w:basedOn w:val="1"/>
    <w:qFormat/>
    <w:uiPriority w:val="0"/>
    <w:pPr>
      <w:adjustRightInd w:val="0"/>
      <w:snapToGrid w:val="0"/>
      <w:spacing w:before="10" w:beforeLines="10" w:after="10" w:afterLines="10"/>
      <w:jc w:val="center"/>
    </w:pPr>
    <w:rPr>
      <w:b/>
      <w:kern w:val="0"/>
      <w:szCs w:val="20"/>
    </w:rPr>
  </w:style>
  <w:style w:type="paragraph" w:customStyle="1" w:styleId="40">
    <w:name w:val="彪哥文本"/>
    <w:basedOn w:val="1"/>
    <w:next w:val="1"/>
    <w:link w:val="41"/>
    <w:qFormat/>
    <w:uiPriority w:val="0"/>
    <w:pPr>
      <w:adjustRightInd w:val="0"/>
      <w:snapToGrid w:val="0"/>
      <w:spacing w:line="240" w:lineRule="auto"/>
      <w:jc w:val="center"/>
    </w:pPr>
    <w:rPr>
      <w:kern w:val="0"/>
      <w:szCs w:val="20"/>
    </w:rPr>
  </w:style>
  <w:style w:type="character" w:customStyle="1" w:styleId="41">
    <w:name w:val="表格 Char"/>
    <w:link w:val="40"/>
    <w:qFormat/>
    <w:locked/>
    <w:uiPriority w:val="0"/>
    <w:rPr>
      <w:rFonts w:ascii="Times New Roman" w:hAnsi="Times New Roman" w:eastAsia="宋体"/>
      <w:sz w:val="21"/>
    </w:rPr>
  </w:style>
  <w:style w:type="paragraph" w:customStyle="1" w:styleId="42">
    <w:name w:val="福建标题"/>
    <w:basedOn w:val="1"/>
    <w:qFormat/>
    <w:uiPriority w:val="0"/>
    <w:pPr>
      <w:spacing w:line="240" w:lineRule="atLeast"/>
      <w:jc w:val="left"/>
    </w:pPr>
    <w:rPr>
      <w:rFonts w:cs="仿宋_GB2312"/>
      <w:b/>
      <w:sz w:val="28"/>
      <w:szCs w:val="36"/>
    </w:rPr>
  </w:style>
  <w:style w:type="character" w:customStyle="1" w:styleId="43">
    <w:name w:val="标题 4 字符"/>
    <w:link w:val="6"/>
    <w:qFormat/>
    <w:uiPriority w:val="0"/>
    <w:rPr>
      <w:rFonts w:ascii="Times New Roman" w:hAnsi="Times New Roman" w:eastAsia="黑体"/>
      <w:sz w:val="30"/>
    </w:rPr>
  </w:style>
  <w:style w:type="paragraph" w:customStyle="1" w:styleId="44">
    <w:name w:val="0正文"/>
    <w:basedOn w:val="12"/>
    <w:unhideWhenUsed/>
    <w:qFormat/>
    <w:uiPriority w:val="0"/>
    <w:pPr>
      <w:ind w:firstLine="720" w:firstLineChars="200"/>
    </w:pPr>
    <w:rPr>
      <w:szCs w:val="22"/>
    </w:rPr>
  </w:style>
  <w:style w:type="paragraph" w:customStyle="1" w:styleId="45">
    <w:name w:val="111表格"/>
    <w:basedOn w:val="1"/>
    <w:qFormat/>
    <w:uiPriority w:val="0"/>
    <w:pPr>
      <w:autoSpaceDE w:val="0"/>
      <w:autoSpaceDN w:val="0"/>
      <w:adjustRightInd w:val="0"/>
      <w:snapToGrid w:val="0"/>
      <w:ind w:firstLine="200" w:firstLineChars="200"/>
    </w:pPr>
    <w:rPr>
      <w:rFonts w:cs="宋体"/>
      <w:kern w:val="0"/>
      <w:szCs w:val="21"/>
    </w:rPr>
  </w:style>
  <w:style w:type="paragraph" w:customStyle="1" w:styleId="46">
    <w:name w:val="表格名称"/>
    <w:basedOn w:val="1"/>
    <w:qFormat/>
    <w:uiPriority w:val="0"/>
    <w:pPr>
      <w:widowControl/>
      <w:snapToGrid w:val="0"/>
      <w:jc w:val="center"/>
    </w:pPr>
    <w:rPr>
      <w:b/>
      <w:kern w:val="0"/>
      <w:szCs w:val="20"/>
    </w:rPr>
  </w:style>
  <w:style w:type="paragraph" w:customStyle="1" w:styleId="47">
    <w:name w:val="表格内容"/>
    <w:basedOn w:val="25"/>
    <w:next w:val="1"/>
    <w:qFormat/>
    <w:uiPriority w:val="0"/>
    <w:pPr>
      <w:widowControl/>
      <w:ind w:left="0" w:firstLine="0" w:firstLineChars="0"/>
      <w:jc w:val="center"/>
    </w:pPr>
    <w:rPr>
      <w:sz w:val="21"/>
    </w:rPr>
  </w:style>
  <w:style w:type="paragraph" w:customStyle="1" w:styleId="48">
    <w:name w:val="表格"/>
    <w:basedOn w:val="1"/>
    <w:next w:val="1"/>
    <w:qFormat/>
    <w:uiPriority w:val="0"/>
    <w:pPr>
      <w:adjustRightInd w:val="0"/>
      <w:snapToGrid w:val="0"/>
      <w:spacing w:before="10" w:beforeLines="10" w:after="10" w:afterLines="10" w:line="240" w:lineRule="auto"/>
    </w:pPr>
    <w:rPr>
      <w:rFonts w:ascii="宋体" w:hAnsi="宋体"/>
      <w:kern w:val="0"/>
      <w:sz w:val="21"/>
      <w:szCs w:val="20"/>
    </w:rPr>
  </w:style>
  <w:style w:type="paragraph" w:customStyle="1" w:styleId="49">
    <w:name w:val="表正文"/>
    <w:basedOn w:val="1"/>
    <w:qFormat/>
    <w:uiPriority w:val="0"/>
    <w:pPr>
      <w:widowControl/>
      <w:ind w:firstLine="200" w:firstLineChars="200"/>
      <w:jc w:val="left"/>
    </w:pPr>
  </w:style>
  <w:style w:type="paragraph" w:customStyle="1" w:styleId="50">
    <w:name w:val="表格文字"/>
    <w:basedOn w:val="1"/>
    <w:qFormat/>
    <w:uiPriority w:val="0"/>
    <w:pPr>
      <w:adjustRightInd w:val="0"/>
      <w:snapToGrid w:val="0"/>
      <w:spacing w:line="240" w:lineRule="auto"/>
      <w:jc w:val="center"/>
    </w:pPr>
    <w:rPr>
      <w:sz w:val="21"/>
    </w:rPr>
  </w:style>
  <w:style w:type="paragraph" w:customStyle="1" w:styleId="51">
    <w:name w:val="Table Text"/>
    <w:basedOn w:val="1"/>
    <w:semiHidden/>
    <w:qFormat/>
    <w:uiPriority w:val="0"/>
    <w:rPr>
      <w:rFonts w:ascii="宋体" w:hAnsi="宋体" w:cs="宋体"/>
      <w:lang w:eastAsia="en-US"/>
    </w:rPr>
  </w:style>
  <w:style w:type="table" w:customStyle="1" w:styleId="52">
    <w:name w:val="Table Normal"/>
    <w:semiHidden/>
    <w:unhideWhenUsed/>
    <w:qFormat/>
    <w:uiPriority w:val="0"/>
    <w:tblPr>
      <w:tblCellMar>
        <w:top w:w="0" w:type="dxa"/>
        <w:left w:w="0" w:type="dxa"/>
        <w:bottom w:w="0" w:type="dxa"/>
        <w:right w:w="0" w:type="dxa"/>
      </w:tblCellMar>
    </w:tblPr>
  </w:style>
  <w:style w:type="character" w:customStyle="1" w:styleId="53">
    <w:name w:val="Default Char"/>
    <w:link w:val="14"/>
    <w:qFormat/>
    <w:uiPriority w:val="0"/>
    <w:rPr>
      <w:rFonts w:ascii="宋体" w:cs="宋体"/>
      <w:color w:val="000000"/>
      <w:sz w:val="24"/>
      <w:szCs w:val="24"/>
      <w:lang w:val="en-US" w:eastAsia="zh-CN" w:bidi="ar-SA"/>
    </w:rPr>
  </w:style>
  <w:style w:type="paragraph" w:customStyle="1" w:styleId="54">
    <w:name w:val="11正文"/>
    <w:basedOn w:val="55"/>
    <w:qFormat/>
    <w:uiPriority w:val="0"/>
  </w:style>
  <w:style w:type="paragraph" w:customStyle="1" w:styleId="55">
    <w:name w:val="正文111"/>
    <w:basedOn w:val="56"/>
    <w:qFormat/>
    <w:uiPriority w:val="0"/>
    <w:pPr>
      <w:ind w:firstLine="480"/>
    </w:pPr>
  </w:style>
  <w:style w:type="paragraph" w:customStyle="1" w:styleId="56">
    <w:name w:val="正文的格式52"/>
    <w:basedOn w:val="1"/>
    <w:qFormat/>
    <w:uiPriority w:val="0"/>
    <w:pPr>
      <w:ind w:firstLine="200" w:firstLineChars="200"/>
    </w:pPr>
    <w:rPr>
      <w:kern w:val="0"/>
      <w:szCs w:val="20"/>
    </w:rPr>
  </w:style>
  <w:style w:type="paragraph" w:customStyle="1" w:styleId="57">
    <w:name w:val="样式2"/>
    <w:basedOn w:val="21"/>
    <w:next w:val="6"/>
    <w:qFormat/>
    <w:uiPriority w:val="0"/>
    <w:pPr>
      <w:ind w:firstLine="482" w:firstLineChars="200"/>
    </w:pPr>
    <w:rPr>
      <w:b/>
      <w:sz w:val="24"/>
    </w:rPr>
  </w:style>
  <w:style w:type="paragraph" w:customStyle="1" w:styleId="58">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59">
    <w:name w:val="正文(首行缩进)"/>
    <w:basedOn w:val="1"/>
    <w:qFormat/>
    <w:uiPriority w:val="0"/>
    <w:pPr>
      <w:adjustRightInd w:val="0"/>
      <w:snapToGrid w:val="0"/>
      <w:ind w:firstLine="200" w:firstLineChars="200"/>
    </w:pPr>
    <w:rPr>
      <w:snapToGrid w:val="0"/>
    </w:rPr>
  </w:style>
  <w:style w:type="paragraph" w:customStyle="1" w:styleId="60">
    <w:name w:val="22标题2"/>
    <w:basedOn w:val="61"/>
    <w:qFormat/>
    <w:uiPriority w:val="0"/>
    <w:pPr>
      <w:adjustRightInd w:val="0"/>
      <w:snapToGrid w:val="0"/>
    </w:pPr>
    <w:rPr>
      <w:color w:val="0000FF"/>
    </w:rPr>
  </w:style>
  <w:style w:type="paragraph" w:customStyle="1" w:styleId="61">
    <w:name w:val="标题2"/>
    <w:basedOn w:val="7"/>
    <w:qFormat/>
    <w:uiPriority w:val="0"/>
    <w:pPr>
      <w:outlineLvl w:val="1"/>
    </w:pPr>
    <w:rPr>
      <w:rFonts w:eastAsia="黑体"/>
      <w:sz w:val="30"/>
      <w:szCs w:val="30"/>
    </w:rPr>
  </w:style>
  <w:style w:type="paragraph" w:customStyle="1" w:styleId="62">
    <w:name w:val="表格文本"/>
    <w:basedOn w:val="1"/>
    <w:next w:val="1"/>
    <w:qFormat/>
    <w:uiPriority w:val="0"/>
    <w:pPr>
      <w:autoSpaceDE w:val="0"/>
      <w:autoSpaceDN w:val="0"/>
      <w:spacing w:line="320" w:lineRule="exact"/>
      <w:jc w:val="center"/>
      <w:textAlignment w:val="baseline"/>
    </w:pPr>
    <w:rPr>
      <w:kern w:val="0"/>
      <w:sz w:val="21"/>
      <w:szCs w:val="20"/>
    </w:rPr>
  </w:style>
  <w:style w:type="paragraph" w:customStyle="1" w:styleId="63">
    <w:name w:val="标题111"/>
    <w:basedOn w:val="27"/>
    <w:qFormat/>
    <w:uiPriority w:val="0"/>
    <w:pPr>
      <w:adjustRightInd w:val="0"/>
      <w:snapToGrid w:val="0"/>
      <w:spacing w:before="0" w:beforeAutospacing="0" w:after="0" w:afterAutospacing="0"/>
      <w:jc w:val="center"/>
      <w:outlineLvl w:val="0"/>
    </w:pPr>
    <w:rPr>
      <w:rFonts w:ascii="Times New Roman" w:hAnsi="Times New Roman" w:eastAsia="黑体"/>
      <w:snapToGrid w:val="0"/>
      <w:sz w:val="32"/>
      <w:szCs w:val="30"/>
    </w:rPr>
  </w:style>
  <w:style w:type="paragraph" w:customStyle="1" w:styleId="64">
    <w:name w:val="盈众正文"/>
    <w:basedOn w:val="1"/>
    <w:qFormat/>
    <w:uiPriority w:val="0"/>
    <w:pPr>
      <w:ind w:firstLine="720" w:firstLineChars="200"/>
    </w:pPr>
  </w:style>
  <w:style w:type="paragraph" w:customStyle="1" w:styleId="65">
    <w:name w:val="Table caption|1"/>
    <w:basedOn w:val="1"/>
    <w:autoRedefine/>
    <w:qFormat/>
    <w:uiPriority w:val="0"/>
    <w:rPr>
      <w:rFonts w:ascii="宋体" w:hAnsi="宋体" w:cs="宋体"/>
      <w:b/>
      <w:bCs/>
      <w:lang w:val="zh-TW" w:eastAsia="zh-TW" w:bidi="zh-TW"/>
    </w:rPr>
  </w:style>
  <w:style w:type="paragraph" w:customStyle="1" w:styleId="66">
    <w:name w:val="Table Paragraph"/>
    <w:basedOn w:val="1"/>
    <w:qFormat/>
    <w:uiPriority w:val="1"/>
    <w:pPr>
      <w:jc w:val="left"/>
    </w:pPr>
    <w:rPr>
      <w:rFonts w:ascii="Calibri" w:hAnsi="Calibri"/>
      <w:kern w:val="0"/>
      <w:sz w:val="22"/>
      <w:szCs w:val="22"/>
      <w:lang w:eastAsia="en-US"/>
    </w:rPr>
  </w:style>
  <w:style w:type="paragraph" w:customStyle="1" w:styleId="67">
    <w:name w:val="德胜表头"/>
    <w:basedOn w:val="1"/>
    <w:qFormat/>
    <w:uiPriority w:val="0"/>
    <w:pPr>
      <w:adjustRightInd w:val="0"/>
      <w:snapToGrid w:val="0"/>
      <w:jc w:val="center"/>
    </w:pPr>
    <w:rPr>
      <w:rFonts w:ascii="宋体" w:hAnsi="宋体"/>
      <w:b/>
      <w:snapToGrid w:val="0"/>
      <w:color w:val="0000FF"/>
      <w:kern w:val="0"/>
    </w:rPr>
  </w:style>
  <w:style w:type="character" w:customStyle="1" w:styleId="68">
    <w:name w:val="font31"/>
    <w:basedOn w:val="32"/>
    <w:qFormat/>
    <w:uiPriority w:val="0"/>
    <w:rPr>
      <w:rFonts w:hint="default" w:ascii="Times New Roman" w:hAnsi="Times New Roman" w:cs="Times New Roman"/>
      <w:color w:val="000000"/>
      <w:sz w:val="28"/>
      <w:szCs w:val="28"/>
      <w:u w:val="none"/>
    </w:rPr>
  </w:style>
  <w:style w:type="character" w:customStyle="1" w:styleId="69">
    <w:name w:val="font11"/>
    <w:basedOn w:val="32"/>
    <w:qFormat/>
    <w:uiPriority w:val="0"/>
    <w:rPr>
      <w:rFonts w:hint="eastAsia" w:ascii="宋体" w:hAnsi="宋体" w:eastAsia="宋体" w:cs="宋体"/>
      <w:color w:val="000000"/>
      <w:sz w:val="28"/>
      <w:szCs w:val="28"/>
      <w:u w:val="none"/>
    </w:rPr>
  </w:style>
  <w:style w:type="character" w:customStyle="1" w:styleId="70">
    <w:name w:val="批注文字 字符"/>
    <w:basedOn w:val="32"/>
    <w:link w:val="10"/>
    <w:qFormat/>
    <w:uiPriority w:val="0"/>
    <w:rPr>
      <w:kern w:val="2"/>
      <w:sz w:val="24"/>
      <w:szCs w:val="24"/>
    </w:rPr>
  </w:style>
  <w:style w:type="character" w:customStyle="1" w:styleId="71">
    <w:name w:val="批注主题 字符"/>
    <w:basedOn w:val="70"/>
    <w:link w:val="28"/>
    <w:qFormat/>
    <w:uiPriority w:val="0"/>
    <w:rPr>
      <w:b/>
      <w:bCs/>
      <w:kern w:val="2"/>
      <w:sz w:val="24"/>
      <w:szCs w:val="24"/>
    </w:rPr>
  </w:style>
  <w:style w:type="character" w:customStyle="1" w:styleId="72">
    <w:name w:val="页眉 字符"/>
    <w:basedOn w:val="32"/>
    <w:link w:val="2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91</Pages>
  <Words>20679</Words>
  <Characters>22453</Characters>
  <Lines>3348</Lines>
  <Paragraphs>3005</Paragraphs>
  <TotalTime>0</TotalTime>
  <ScaleCrop>false</ScaleCrop>
  <LinksUpToDate>false</LinksUpToDate>
  <CharactersWithSpaces>22533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linm</cp:lastModifiedBy>
  <cp:lastPrinted>2025-08-13T03:36:00Z</cp:lastPrinted>
  <dcterms:modified xsi:type="dcterms:W3CDTF">2025-08-13T07:02:14Z</dcterms:modified>
  <dc:title>附件2</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97DF6AABFC694128B827521115805332_13</vt:lpwstr>
  </property>
  <property fmtid="{D5CDD505-2E9C-101B-9397-08002B2CF9AE}" pid="4" name="KSOTemplateDocerSaveRecord">
    <vt:lpwstr>eyJoZGlkIjoiMDcxODExNjRhYmIxNWEwYTNlMDMzZDJlYTY4YzRjZDUiLCJ1c2VySWQiOiIyNjYxMjIxMzgifQ==</vt:lpwstr>
  </property>
</Properties>
</file>